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207010</wp:posOffset>
            </wp:positionH>
            <wp:positionV relativeFrom="page">
              <wp:posOffset>730885</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t>UNITED STATES SECURITIES AND EXCHANGE COMMISSION</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6"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__________________</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25" w:lineRule="exact"/>
        <w:rPr>
          <w:sz w:val="24"/>
          <w:szCs w:val="24"/>
          <w:color w:val="auto"/>
        </w:rPr>
      </w:pPr>
    </w:p>
    <w:p>
      <w:pPr>
        <w:ind w:left="20"/>
        <w:spacing w:after="0"/>
        <w:rPr>
          <w:sz w:val="20"/>
          <w:szCs w:val="20"/>
          <w:color w:val="auto"/>
        </w:rPr>
      </w:pPr>
      <w:r>
        <w:rPr>
          <w:rFonts w:ascii="Arial" w:cs="Arial" w:eastAsia="Arial" w:hAnsi="Arial"/>
          <w:sz w:val="11"/>
          <w:szCs w:val="11"/>
          <w:b w:val="1"/>
          <w:bCs w:val="1"/>
          <w:color w:val="auto"/>
        </w:rPr>
        <w:t>(Mark One)</w:t>
      </w:r>
    </w:p>
    <w:p>
      <w:pPr>
        <w:spacing w:after="0" w:line="51" w:lineRule="exact"/>
        <w:rPr>
          <w:sz w:val="24"/>
          <w:szCs w:val="24"/>
          <w:color w:val="auto"/>
        </w:rPr>
      </w:pPr>
    </w:p>
    <w:p>
      <w:pPr>
        <w:ind w:left="540" w:hanging="35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95" w:lineRule="exact"/>
        <w:rPr>
          <w:sz w:val="24"/>
          <w:szCs w:val="24"/>
          <w:color w:val="auto"/>
        </w:rPr>
      </w:pPr>
    </w:p>
    <w:p>
      <w:pPr>
        <w:ind w:left="480"/>
        <w:spacing w:after="0"/>
        <w:rPr>
          <w:sz w:val="20"/>
          <w:szCs w:val="20"/>
          <w:color w:val="auto"/>
        </w:rPr>
      </w:pPr>
      <w:r>
        <w:rPr>
          <w:rFonts w:ascii="Arial" w:cs="Arial" w:eastAsia="Arial" w:hAnsi="Arial"/>
          <w:sz w:val="14"/>
          <w:szCs w:val="14"/>
          <w:b w:val="1"/>
          <w:bCs w:val="1"/>
          <w:color w:val="auto"/>
        </w:rPr>
        <w:t>For the quarterly period ended September 30, 2023</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47" w:lineRule="exact"/>
        <w:rPr>
          <w:sz w:val="24"/>
          <w:szCs w:val="24"/>
          <w:color w:val="auto"/>
        </w:rPr>
      </w:pPr>
    </w:p>
    <w:p>
      <w:pPr>
        <w:ind w:left="540" w:right="3480" w:hanging="354"/>
        <w:spacing w:after="0" w:line="297" w:lineRule="auto"/>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__________________ TO __________________</w:t>
      </w:r>
    </w:p>
    <w:p>
      <w:pPr>
        <w:spacing w:after="0" w:line="3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1-31447</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CenterPoint Energy, Inc.</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62" w:lineRule="exact"/>
        <w:rPr>
          <w:sz w:val="24"/>
          <w:szCs w:val="24"/>
          <w:color w:val="auto"/>
        </w:rPr>
      </w:pPr>
    </w:p>
    <w:tbl>
      <w:tblPr>
        <w:tblLayout w:type="fixed"/>
        <w:tblInd w:w="460" w:type="dxa"/>
        <w:tblCellMar>
          <w:top w:w="0" w:type="dxa"/>
          <w:left w:w="0" w:type="dxa"/>
          <w:bottom w:w="0" w:type="dxa"/>
          <w:right w:w="0" w:type="dxa"/>
        </w:tblCellMar>
      </w:tblPr>
      <w:tr>
        <w:trPr>
          <w:trHeight w:val="208"/>
        </w:trPr>
        <w:tc>
          <w:tcPr>
            <w:tcW w:w="3400" w:type="dxa"/>
            <w:vAlign w:val="bottom"/>
          </w:tcPr>
          <w:p>
            <w:pPr>
              <w:jc w:val="center"/>
              <w:spacing w:after="0"/>
              <w:rPr>
                <w:sz w:val="20"/>
                <w:szCs w:val="20"/>
                <w:color w:val="auto"/>
              </w:rPr>
            </w:pPr>
            <w:r>
              <w:rPr>
                <w:rFonts w:ascii="Arial" w:cs="Arial" w:eastAsia="Arial" w:hAnsi="Arial"/>
                <w:sz w:val="16"/>
                <w:szCs w:val="16"/>
                <w:b w:val="1"/>
                <w:bCs w:val="1"/>
                <w:color w:val="auto"/>
                <w:w w:val="83"/>
              </w:rPr>
              <w:t>Texas</w:t>
            </w:r>
          </w:p>
        </w:tc>
        <w:tc>
          <w:tcPr>
            <w:tcW w:w="1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60" w:type="dxa"/>
            <w:vAlign w:val="bottom"/>
          </w:tcPr>
          <w:p>
            <w:pPr>
              <w:jc w:val="center"/>
              <w:ind w:left="125"/>
              <w:spacing w:after="0"/>
              <w:rPr>
                <w:sz w:val="20"/>
                <w:szCs w:val="20"/>
                <w:color w:val="auto"/>
              </w:rPr>
            </w:pPr>
            <w:r>
              <w:rPr>
                <w:rFonts w:ascii="Arial" w:cs="Arial" w:eastAsia="Arial" w:hAnsi="Arial"/>
                <w:sz w:val="16"/>
                <w:szCs w:val="16"/>
                <w:b w:val="1"/>
                <w:bCs w:val="1"/>
                <w:color w:val="auto"/>
                <w:w w:val="91"/>
              </w:rPr>
              <w:t>74-0694415</w:t>
            </w:r>
          </w:p>
        </w:tc>
      </w:tr>
      <w:tr>
        <w:trPr>
          <w:trHeight w:val="193"/>
        </w:trPr>
        <w:tc>
          <w:tcPr>
            <w:tcW w:w="3400" w:type="dxa"/>
            <w:vAlign w:val="bottom"/>
          </w:tcPr>
          <w:p>
            <w:pPr>
              <w:jc w:val="center"/>
              <w:spacing w:after="0"/>
              <w:rPr>
                <w:sz w:val="20"/>
                <w:szCs w:val="20"/>
                <w:color w:val="auto"/>
              </w:rPr>
            </w:pPr>
            <w:r>
              <w:rPr>
                <w:rFonts w:ascii="Arial" w:cs="Arial" w:eastAsia="Arial" w:hAnsi="Arial"/>
                <w:sz w:val="14"/>
                <w:szCs w:val="14"/>
                <w:color w:val="auto"/>
                <w:w w:val="93"/>
              </w:rPr>
              <w:t>(State or other jurisdiction of incorporation or organization)</w:t>
            </w:r>
          </w:p>
        </w:tc>
        <w:tc>
          <w:tcPr>
            <w:tcW w:w="1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260" w:type="dxa"/>
            <w:vAlign w:val="bottom"/>
          </w:tcPr>
          <w:p>
            <w:pPr>
              <w:jc w:val="center"/>
              <w:ind w:left="125"/>
              <w:spacing w:after="0"/>
              <w:rPr>
                <w:sz w:val="20"/>
                <w:szCs w:val="20"/>
                <w:color w:val="auto"/>
              </w:rPr>
            </w:pPr>
            <w:r>
              <w:rPr>
                <w:rFonts w:ascii="Arial" w:cs="Arial" w:eastAsia="Arial" w:hAnsi="Arial"/>
                <w:sz w:val="14"/>
                <w:szCs w:val="14"/>
                <w:color w:val="auto"/>
                <w:w w:val="95"/>
              </w:rPr>
              <w:t>(I.R.S. Employer Identification No.)</w:t>
            </w:r>
          </w:p>
        </w:tc>
      </w:tr>
      <w:tr>
        <w:trPr>
          <w:trHeight w:val="299"/>
        </w:trPr>
        <w:tc>
          <w:tcPr>
            <w:tcW w:w="3400" w:type="dxa"/>
            <w:vAlign w:val="bottom"/>
          </w:tcPr>
          <w:p>
            <w:pPr>
              <w:jc w:val="center"/>
              <w:spacing w:after="0"/>
              <w:rPr>
                <w:sz w:val="20"/>
                <w:szCs w:val="20"/>
                <w:color w:val="auto"/>
              </w:rPr>
            </w:pPr>
            <w:r>
              <w:rPr>
                <w:rFonts w:ascii="Arial" w:cs="Arial" w:eastAsia="Arial" w:hAnsi="Arial"/>
                <w:sz w:val="16"/>
                <w:szCs w:val="16"/>
                <w:b w:val="1"/>
                <w:bCs w:val="1"/>
                <w:color w:val="auto"/>
                <w:w w:val="88"/>
              </w:rPr>
              <w:t>1111 Louisiana</w:t>
            </w:r>
          </w:p>
        </w:tc>
        <w:tc>
          <w:tcPr>
            <w:tcW w:w="1260" w:type="dxa"/>
            <w:vAlign w:val="bottom"/>
          </w:tcPr>
          <w:p>
            <w:pPr>
              <w:ind w:left="660"/>
              <w:spacing w:after="0"/>
              <w:rPr>
                <w:sz w:val="20"/>
                <w:szCs w:val="20"/>
                <w:color w:val="auto"/>
              </w:rPr>
            </w:pPr>
            <w:r>
              <w:rPr>
                <w:rFonts w:ascii="Arial" w:cs="Arial" w:eastAsia="Arial" w:hAnsi="Arial"/>
                <w:sz w:val="16"/>
                <w:szCs w:val="16"/>
                <w:b w:val="1"/>
                <w:bCs w:val="1"/>
                <w:color w:val="auto"/>
                <w:w w:val="89"/>
              </w:rPr>
              <w:t>Houston</w:t>
            </w:r>
          </w:p>
        </w:tc>
        <w:tc>
          <w:tcPr>
            <w:tcW w:w="2460" w:type="dxa"/>
            <w:vAlign w:val="bottom"/>
          </w:tcPr>
          <w:p>
            <w:pPr>
              <w:ind w:left="560"/>
              <w:spacing w:after="0"/>
              <w:rPr>
                <w:sz w:val="20"/>
                <w:szCs w:val="20"/>
                <w:color w:val="auto"/>
              </w:rPr>
            </w:pPr>
            <w:r>
              <w:rPr>
                <w:rFonts w:ascii="Arial" w:cs="Arial" w:eastAsia="Arial" w:hAnsi="Arial"/>
                <w:sz w:val="16"/>
                <w:szCs w:val="16"/>
                <w:b w:val="1"/>
                <w:bCs w:val="1"/>
                <w:color w:val="auto"/>
              </w:rPr>
              <w:t>Texas</w:t>
            </w:r>
          </w:p>
        </w:tc>
        <w:tc>
          <w:tcPr>
            <w:tcW w:w="2260" w:type="dxa"/>
            <w:vAlign w:val="bottom"/>
          </w:tcPr>
          <w:p>
            <w:pPr>
              <w:jc w:val="center"/>
              <w:ind w:left="145"/>
              <w:spacing w:after="0"/>
              <w:rPr>
                <w:sz w:val="20"/>
                <w:szCs w:val="20"/>
                <w:color w:val="auto"/>
              </w:rPr>
            </w:pPr>
            <w:r>
              <w:rPr>
                <w:rFonts w:ascii="Arial" w:cs="Arial" w:eastAsia="Arial" w:hAnsi="Arial"/>
                <w:sz w:val="16"/>
                <w:szCs w:val="16"/>
                <w:b w:val="1"/>
                <w:bCs w:val="1"/>
                <w:color w:val="auto"/>
                <w:w w:val="89"/>
              </w:rPr>
              <w:t>77002</w:t>
            </w:r>
          </w:p>
        </w:tc>
      </w:tr>
      <w:tr>
        <w:trPr>
          <w:trHeight w:val="193"/>
        </w:trPr>
        <w:tc>
          <w:tcPr>
            <w:tcW w:w="3400" w:type="dxa"/>
            <w:vAlign w:val="bottom"/>
          </w:tcPr>
          <w:p>
            <w:pPr>
              <w:jc w:val="center"/>
              <w:spacing w:after="0"/>
              <w:rPr>
                <w:sz w:val="20"/>
                <w:szCs w:val="20"/>
                <w:color w:val="auto"/>
              </w:rPr>
            </w:pPr>
            <w:r>
              <w:rPr>
                <w:rFonts w:ascii="Arial" w:cs="Arial" w:eastAsia="Arial" w:hAnsi="Arial"/>
                <w:sz w:val="14"/>
                <w:szCs w:val="14"/>
                <w:color w:val="auto"/>
                <w:w w:val="93"/>
              </w:rPr>
              <w:t>(Address of Principal Executive Offices)</w:t>
            </w:r>
          </w:p>
        </w:tc>
        <w:tc>
          <w:tcPr>
            <w:tcW w:w="1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260" w:type="dxa"/>
            <w:vAlign w:val="bottom"/>
          </w:tcPr>
          <w:p>
            <w:pPr>
              <w:jc w:val="center"/>
              <w:ind w:left="125"/>
              <w:spacing w:after="0"/>
              <w:rPr>
                <w:sz w:val="20"/>
                <w:szCs w:val="20"/>
                <w:color w:val="auto"/>
              </w:rPr>
            </w:pPr>
            <w:r>
              <w:rPr>
                <w:rFonts w:ascii="Arial" w:cs="Arial" w:eastAsia="Arial" w:hAnsi="Arial"/>
                <w:sz w:val="14"/>
                <w:szCs w:val="14"/>
                <w:color w:val="auto"/>
                <w:w w:val="93"/>
              </w:rPr>
              <w:t>(Zip Code)</w:t>
            </w:r>
          </w:p>
        </w:tc>
      </w:tr>
      <w:tr>
        <w:trPr>
          <w:trHeight w:val="325"/>
        </w:trPr>
        <w:tc>
          <w:tcPr>
            <w:tcW w:w="3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60" w:type="dxa"/>
            <w:vAlign w:val="bottom"/>
          </w:tcPr>
          <w:p>
            <w:pPr>
              <w:jc w:val="center"/>
              <w:ind w:right="1380"/>
              <w:spacing w:after="0"/>
              <w:rPr>
                <w:sz w:val="20"/>
                <w:szCs w:val="20"/>
                <w:color w:val="auto"/>
              </w:rPr>
            </w:pPr>
            <w:r>
              <w:rPr>
                <w:rFonts w:ascii="Arial" w:cs="Arial" w:eastAsia="Arial" w:hAnsi="Arial"/>
                <w:sz w:val="16"/>
                <w:szCs w:val="16"/>
                <w:b w:val="1"/>
                <w:bCs w:val="1"/>
                <w:color w:val="auto"/>
                <w:w w:val="87"/>
              </w:rPr>
              <w:t>(713) 207-1111</w:t>
            </w:r>
          </w:p>
        </w:tc>
        <w:tc>
          <w:tcPr>
            <w:tcW w:w="2260" w:type="dxa"/>
            <w:vAlign w:val="bottom"/>
          </w:tcPr>
          <w:p>
            <w:pPr>
              <w:spacing w:after="0"/>
              <w:rPr>
                <w:sz w:val="24"/>
                <w:szCs w:val="24"/>
                <w:color w:val="auto"/>
              </w:rPr>
            </w:pPr>
          </w:p>
        </w:tc>
      </w:tr>
      <w:tr>
        <w:trPr>
          <w:trHeight w:val="180"/>
        </w:trPr>
        <w:tc>
          <w:tcPr>
            <w:tcW w:w="3400" w:type="dxa"/>
            <w:vAlign w:val="bottom"/>
          </w:tcPr>
          <w:p>
            <w:pPr>
              <w:spacing w:after="0"/>
              <w:rPr>
                <w:sz w:val="15"/>
                <w:szCs w:val="15"/>
                <w:color w:val="auto"/>
              </w:rPr>
            </w:pPr>
          </w:p>
        </w:tc>
        <w:tc>
          <w:tcPr>
            <w:tcW w:w="372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Registrant's telephone number, including area code</w:t>
            </w:r>
          </w:p>
        </w:tc>
        <w:tc>
          <w:tcPr>
            <w:tcW w:w="2260" w:type="dxa"/>
            <w:vAlign w:val="bottom"/>
          </w:tcPr>
          <w:p>
            <w:pPr>
              <w:spacing w:after="0"/>
              <w:rPr>
                <w:sz w:val="15"/>
                <w:szCs w:val="15"/>
                <w:color w:val="auto"/>
              </w:rPr>
            </w:pPr>
          </w:p>
        </w:tc>
      </w:tr>
      <w:tr>
        <w:trPr>
          <w:trHeight w:val="445"/>
        </w:trPr>
        <w:tc>
          <w:tcPr>
            <w:tcW w:w="3400" w:type="dxa"/>
            <w:vAlign w:val="bottom"/>
          </w:tcPr>
          <w:p>
            <w:pPr>
              <w:spacing w:after="0"/>
              <w:rPr>
                <w:sz w:val="24"/>
                <w:szCs w:val="24"/>
                <w:color w:val="auto"/>
              </w:rPr>
            </w:pPr>
          </w:p>
        </w:tc>
        <w:tc>
          <w:tcPr>
            <w:tcW w:w="3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Commission file number 1-3187</w:t>
            </w:r>
          </w:p>
        </w:tc>
        <w:tc>
          <w:tcPr>
            <w:tcW w:w="2260" w:type="dxa"/>
            <w:vAlign w:val="bottom"/>
          </w:tcPr>
          <w:p>
            <w:pPr>
              <w:spacing w:after="0"/>
              <w:rPr>
                <w:sz w:val="24"/>
                <w:szCs w:val="24"/>
                <w:color w:val="auto"/>
              </w:rPr>
            </w:pPr>
          </w:p>
        </w:tc>
      </w:tr>
      <w:tr>
        <w:trPr>
          <w:trHeight w:val="395"/>
        </w:trPr>
        <w:tc>
          <w:tcPr>
            <w:tcW w:w="9380" w:type="dxa"/>
            <w:vAlign w:val="bottom"/>
            <w:gridSpan w:val="4"/>
          </w:tcPr>
          <w:p>
            <w:pPr>
              <w:jc w:val="center"/>
              <w:ind w:left="855"/>
              <w:spacing w:after="0"/>
              <w:rPr>
                <w:sz w:val="20"/>
                <w:szCs w:val="20"/>
                <w:color w:val="auto"/>
              </w:rPr>
            </w:pPr>
            <w:r>
              <w:rPr>
                <w:rFonts w:ascii="Arial" w:cs="Arial" w:eastAsia="Arial" w:hAnsi="Arial"/>
                <w:sz w:val="28"/>
                <w:szCs w:val="28"/>
                <w:b w:val="1"/>
                <w:bCs w:val="1"/>
                <w:color w:val="auto"/>
                <w:w w:val="94"/>
              </w:rPr>
              <w:t>CenterPoint Energy Houston Electric, LLC</w:t>
            </w:r>
          </w:p>
        </w:tc>
      </w:tr>
      <w:tr>
        <w:trPr>
          <w:trHeight w:val="243"/>
        </w:trPr>
        <w:tc>
          <w:tcPr>
            <w:tcW w:w="3400" w:type="dxa"/>
            <w:vAlign w:val="bottom"/>
          </w:tcPr>
          <w:p>
            <w:pPr>
              <w:spacing w:after="0"/>
              <w:rPr>
                <w:sz w:val="21"/>
                <w:szCs w:val="21"/>
                <w:color w:val="auto"/>
              </w:rPr>
            </w:pPr>
          </w:p>
        </w:tc>
        <w:tc>
          <w:tcPr>
            <w:tcW w:w="3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(Exact name of registrant as specified in its charter)</w:t>
            </w:r>
          </w:p>
        </w:tc>
        <w:tc>
          <w:tcPr>
            <w:tcW w:w="2260" w:type="dxa"/>
            <w:vAlign w:val="bottom"/>
          </w:tcPr>
          <w:p>
            <w:pPr>
              <w:spacing w:after="0"/>
              <w:rPr>
                <w:sz w:val="21"/>
                <w:szCs w:val="21"/>
                <w:color w:val="auto"/>
              </w:rPr>
            </w:pPr>
          </w:p>
        </w:tc>
      </w:tr>
      <w:tr>
        <w:trPr>
          <w:trHeight w:val="346"/>
        </w:trPr>
        <w:tc>
          <w:tcPr>
            <w:tcW w:w="3400" w:type="dxa"/>
            <w:vAlign w:val="bottom"/>
          </w:tcPr>
          <w:p>
            <w:pPr>
              <w:jc w:val="center"/>
              <w:spacing w:after="0"/>
              <w:rPr>
                <w:sz w:val="20"/>
                <w:szCs w:val="20"/>
                <w:color w:val="auto"/>
              </w:rPr>
            </w:pPr>
            <w:r>
              <w:rPr>
                <w:rFonts w:ascii="Arial" w:cs="Arial" w:eastAsia="Arial" w:hAnsi="Arial"/>
                <w:sz w:val="16"/>
                <w:szCs w:val="16"/>
                <w:b w:val="1"/>
                <w:bCs w:val="1"/>
                <w:color w:val="auto"/>
                <w:w w:val="83"/>
              </w:rPr>
              <w:t>Texas</w:t>
            </w:r>
          </w:p>
        </w:tc>
        <w:tc>
          <w:tcPr>
            <w:tcW w:w="12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260" w:type="dxa"/>
            <w:vAlign w:val="bottom"/>
          </w:tcPr>
          <w:p>
            <w:pPr>
              <w:jc w:val="center"/>
              <w:ind w:left="125"/>
              <w:spacing w:after="0"/>
              <w:rPr>
                <w:sz w:val="20"/>
                <w:szCs w:val="20"/>
                <w:color w:val="auto"/>
              </w:rPr>
            </w:pPr>
            <w:r>
              <w:rPr>
                <w:rFonts w:ascii="Arial" w:cs="Arial" w:eastAsia="Arial" w:hAnsi="Arial"/>
                <w:sz w:val="16"/>
                <w:szCs w:val="16"/>
                <w:b w:val="1"/>
                <w:bCs w:val="1"/>
                <w:color w:val="auto"/>
                <w:w w:val="91"/>
              </w:rPr>
              <w:t>22-3865106</w:t>
            </w:r>
          </w:p>
        </w:tc>
      </w:tr>
      <w:tr>
        <w:trPr>
          <w:trHeight w:val="193"/>
        </w:trPr>
        <w:tc>
          <w:tcPr>
            <w:tcW w:w="3400" w:type="dxa"/>
            <w:vAlign w:val="bottom"/>
          </w:tcPr>
          <w:p>
            <w:pPr>
              <w:jc w:val="center"/>
              <w:spacing w:after="0"/>
              <w:rPr>
                <w:sz w:val="20"/>
                <w:szCs w:val="20"/>
                <w:color w:val="auto"/>
              </w:rPr>
            </w:pPr>
            <w:r>
              <w:rPr>
                <w:rFonts w:ascii="Arial" w:cs="Arial" w:eastAsia="Arial" w:hAnsi="Arial"/>
                <w:sz w:val="14"/>
                <w:szCs w:val="14"/>
                <w:color w:val="auto"/>
                <w:w w:val="93"/>
              </w:rPr>
              <w:t>(State or other jurisdiction of incorporation or organization)</w:t>
            </w:r>
          </w:p>
        </w:tc>
        <w:tc>
          <w:tcPr>
            <w:tcW w:w="1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260" w:type="dxa"/>
            <w:vAlign w:val="bottom"/>
          </w:tcPr>
          <w:p>
            <w:pPr>
              <w:jc w:val="center"/>
              <w:ind w:left="125"/>
              <w:spacing w:after="0"/>
              <w:rPr>
                <w:sz w:val="20"/>
                <w:szCs w:val="20"/>
                <w:color w:val="auto"/>
              </w:rPr>
            </w:pPr>
            <w:r>
              <w:rPr>
                <w:rFonts w:ascii="Arial" w:cs="Arial" w:eastAsia="Arial" w:hAnsi="Arial"/>
                <w:sz w:val="14"/>
                <w:szCs w:val="14"/>
                <w:color w:val="auto"/>
                <w:w w:val="95"/>
              </w:rPr>
              <w:t>(I.R.S. Employer Identification No.)</w:t>
            </w:r>
          </w:p>
        </w:tc>
      </w:tr>
      <w:tr>
        <w:trPr>
          <w:trHeight w:val="299"/>
        </w:trPr>
        <w:tc>
          <w:tcPr>
            <w:tcW w:w="3400" w:type="dxa"/>
            <w:vAlign w:val="bottom"/>
          </w:tcPr>
          <w:p>
            <w:pPr>
              <w:jc w:val="center"/>
              <w:spacing w:after="0"/>
              <w:rPr>
                <w:sz w:val="20"/>
                <w:szCs w:val="20"/>
                <w:color w:val="auto"/>
              </w:rPr>
            </w:pPr>
            <w:r>
              <w:rPr>
                <w:rFonts w:ascii="Arial" w:cs="Arial" w:eastAsia="Arial" w:hAnsi="Arial"/>
                <w:sz w:val="16"/>
                <w:szCs w:val="16"/>
                <w:b w:val="1"/>
                <w:bCs w:val="1"/>
                <w:color w:val="auto"/>
                <w:w w:val="88"/>
              </w:rPr>
              <w:t>1111 Louisiana</w:t>
            </w:r>
          </w:p>
        </w:tc>
        <w:tc>
          <w:tcPr>
            <w:tcW w:w="1260" w:type="dxa"/>
            <w:vAlign w:val="bottom"/>
          </w:tcPr>
          <w:p>
            <w:pPr>
              <w:ind w:left="660"/>
              <w:spacing w:after="0"/>
              <w:rPr>
                <w:sz w:val="20"/>
                <w:szCs w:val="20"/>
                <w:color w:val="auto"/>
              </w:rPr>
            </w:pPr>
            <w:r>
              <w:rPr>
                <w:rFonts w:ascii="Arial" w:cs="Arial" w:eastAsia="Arial" w:hAnsi="Arial"/>
                <w:sz w:val="16"/>
                <w:szCs w:val="16"/>
                <w:b w:val="1"/>
                <w:bCs w:val="1"/>
                <w:color w:val="auto"/>
                <w:w w:val="89"/>
              </w:rPr>
              <w:t>Houston</w:t>
            </w:r>
          </w:p>
        </w:tc>
        <w:tc>
          <w:tcPr>
            <w:tcW w:w="2460" w:type="dxa"/>
            <w:vAlign w:val="bottom"/>
          </w:tcPr>
          <w:p>
            <w:pPr>
              <w:ind w:left="560"/>
              <w:spacing w:after="0"/>
              <w:rPr>
                <w:sz w:val="20"/>
                <w:szCs w:val="20"/>
                <w:color w:val="auto"/>
              </w:rPr>
            </w:pPr>
            <w:r>
              <w:rPr>
                <w:rFonts w:ascii="Arial" w:cs="Arial" w:eastAsia="Arial" w:hAnsi="Arial"/>
                <w:sz w:val="16"/>
                <w:szCs w:val="16"/>
                <w:b w:val="1"/>
                <w:bCs w:val="1"/>
                <w:color w:val="auto"/>
              </w:rPr>
              <w:t>Texas</w:t>
            </w:r>
          </w:p>
        </w:tc>
        <w:tc>
          <w:tcPr>
            <w:tcW w:w="2260" w:type="dxa"/>
            <w:vAlign w:val="bottom"/>
          </w:tcPr>
          <w:p>
            <w:pPr>
              <w:jc w:val="center"/>
              <w:ind w:left="145"/>
              <w:spacing w:after="0"/>
              <w:rPr>
                <w:sz w:val="20"/>
                <w:szCs w:val="20"/>
                <w:color w:val="auto"/>
              </w:rPr>
            </w:pPr>
            <w:r>
              <w:rPr>
                <w:rFonts w:ascii="Arial" w:cs="Arial" w:eastAsia="Arial" w:hAnsi="Arial"/>
                <w:sz w:val="16"/>
                <w:szCs w:val="16"/>
                <w:b w:val="1"/>
                <w:bCs w:val="1"/>
                <w:color w:val="auto"/>
                <w:w w:val="89"/>
              </w:rPr>
              <w:t>77002</w:t>
            </w:r>
          </w:p>
        </w:tc>
      </w:tr>
      <w:tr>
        <w:trPr>
          <w:trHeight w:val="193"/>
        </w:trPr>
        <w:tc>
          <w:tcPr>
            <w:tcW w:w="3400" w:type="dxa"/>
            <w:vAlign w:val="bottom"/>
          </w:tcPr>
          <w:p>
            <w:pPr>
              <w:jc w:val="center"/>
              <w:spacing w:after="0"/>
              <w:rPr>
                <w:sz w:val="20"/>
                <w:szCs w:val="20"/>
                <w:color w:val="auto"/>
              </w:rPr>
            </w:pPr>
            <w:r>
              <w:rPr>
                <w:rFonts w:ascii="Arial" w:cs="Arial" w:eastAsia="Arial" w:hAnsi="Arial"/>
                <w:sz w:val="14"/>
                <w:szCs w:val="14"/>
                <w:color w:val="auto"/>
                <w:w w:val="93"/>
              </w:rPr>
              <w:t>(Address of Principal Executive Offices)</w:t>
            </w:r>
          </w:p>
        </w:tc>
        <w:tc>
          <w:tcPr>
            <w:tcW w:w="1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260" w:type="dxa"/>
            <w:vAlign w:val="bottom"/>
          </w:tcPr>
          <w:p>
            <w:pPr>
              <w:jc w:val="center"/>
              <w:ind w:left="125"/>
              <w:spacing w:after="0"/>
              <w:rPr>
                <w:sz w:val="20"/>
                <w:szCs w:val="20"/>
                <w:color w:val="auto"/>
              </w:rPr>
            </w:pPr>
            <w:r>
              <w:rPr>
                <w:rFonts w:ascii="Arial" w:cs="Arial" w:eastAsia="Arial" w:hAnsi="Arial"/>
                <w:sz w:val="14"/>
                <w:szCs w:val="14"/>
                <w:color w:val="auto"/>
                <w:w w:val="93"/>
              </w:rPr>
              <w:t>(Zip Code)</w:t>
            </w:r>
          </w:p>
        </w:tc>
      </w:tr>
      <w:tr>
        <w:trPr>
          <w:trHeight w:val="338"/>
        </w:trPr>
        <w:tc>
          <w:tcPr>
            <w:tcW w:w="3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60" w:type="dxa"/>
            <w:vAlign w:val="bottom"/>
          </w:tcPr>
          <w:p>
            <w:pPr>
              <w:jc w:val="center"/>
              <w:ind w:right="1380"/>
              <w:spacing w:after="0"/>
              <w:rPr>
                <w:sz w:val="20"/>
                <w:szCs w:val="20"/>
                <w:color w:val="auto"/>
              </w:rPr>
            </w:pPr>
            <w:r>
              <w:rPr>
                <w:rFonts w:ascii="Arial" w:cs="Arial" w:eastAsia="Arial" w:hAnsi="Arial"/>
                <w:sz w:val="16"/>
                <w:szCs w:val="16"/>
                <w:b w:val="1"/>
                <w:bCs w:val="1"/>
                <w:color w:val="auto"/>
                <w:w w:val="87"/>
              </w:rPr>
              <w:t>(713) 207-1111</w:t>
            </w:r>
          </w:p>
        </w:tc>
        <w:tc>
          <w:tcPr>
            <w:tcW w:w="2260" w:type="dxa"/>
            <w:vAlign w:val="bottom"/>
          </w:tcPr>
          <w:p>
            <w:pPr>
              <w:spacing w:after="0"/>
              <w:rPr>
                <w:sz w:val="24"/>
                <w:szCs w:val="24"/>
                <w:color w:val="auto"/>
              </w:rPr>
            </w:pPr>
          </w:p>
        </w:tc>
      </w:tr>
      <w:tr>
        <w:trPr>
          <w:trHeight w:val="180"/>
        </w:trPr>
        <w:tc>
          <w:tcPr>
            <w:tcW w:w="3400" w:type="dxa"/>
            <w:vAlign w:val="bottom"/>
          </w:tcPr>
          <w:p>
            <w:pPr>
              <w:spacing w:after="0"/>
              <w:rPr>
                <w:sz w:val="15"/>
                <w:szCs w:val="15"/>
                <w:color w:val="auto"/>
              </w:rPr>
            </w:pPr>
          </w:p>
        </w:tc>
        <w:tc>
          <w:tcPr>
            <w:tcW w:w="372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Registrant's telephone number, including area code</w:t>
            </w:r>
          </w:p>
        </w:tc>
        <w:tc>
          <w:tcPr>
            <w:tcW w:w="2260" w:type="dxa"/>
            <w:vAlign w:val="bottom"/>
          </w:tcPr>
          <w:p>
            <w:pPr>
              <w:spacing w:after="0"/>
              <w:rPr>
                <w:sz w:val="15"/>
                <w:szCs w:val="15"/>
                <w:color w:val="auto"/>
              </w:rPr>
            </w:pPr>
          </w:p>
        </w:tc>
      </w:tr>
      <w:tr>
        <w:trPr>
          <w:trHeight w:val="445"/>
        </w:trPr>
        <w:tc>
          <w:tcPr>
            <w:tcW w:w="3400" w:type="dxa"/>
            <w:vAlign w:val="bottom"/>
          </w:tcPr>
          <w:p>
            <w:pPr>
              <w:spacing w:after="0"/>
              <w:rPr>
                <w:sz w:val="24"/>
                <w:szCs w:val="24"/>
                <w:color w:val="auto"/>
              </w:rPr>
            </w:pPr>
          </w:p>
        </w:tc>
        <w:tc>
          <w:tcPr>
            <w:tcW w:w="3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Commission file number 1-13265</w:t>
            </w:r>
          </w:p>
        </w:tc>
        <w:tc>
          <w:tcPr>
            <w:tcW w:w="2260" w:type="dxa"/>
            <w:vAlign w:val="bottom"/>
          </w:tcPr>
          <w:p>
            <w:pPr>
              <w:spacing w:after="0"/>
              <w:rPr>
                <w:sz w:val="24"/>
                <w:szCs w:val="24"/>
                <w:color w:val="auto"/>
              </w:rPr>
            </w:pPr>
          </w:p>
        </w:tc>
      </w:tr>
      <w:tr>
        <w:trPr>
          <w:trHeight w:val="395"/>
        </w:trPr>
        <w:tc>
          <w:tcPr>
            <w:tcW w:w="9380" w:type="dxa"/>
            <w:vAlign w:val="bottom"/>
            <w:gridSpan w:val="4"/>
          </w:tcPr>
          <w:p>
            <w:pPr>
              <w:jc w:val="center"/>
              <w:ind w:left="875"/>
              <w:spacing w:after="0"/>
              <w:rPr>
                <w:sz w:val="20"/>
                <w:szCs w:val="20"/>
                <w:color w:val="auto"/>
              </w:rPr>
            </w:pPr>
            <w:r>
              <w:rPr>
                <w:rFonts w:ascii="Arial" w:cs="Arial" w:eastAsia="Arial" w:hAnsi="Arial"/>
                <w:sz w:val="28"/>
                <w:szCs w:val="28"/>
                <w:b w:val="1"/>
                <w:bCs w:val="1"/>
                <w:color w:val="auto"/>
                <w:w w:val="91"/>
              </w:rPr>
              <w:t>CenterPoint Energy Resources Corp.</w:t>
            </w:r>
          </w:p>
        </w:tc>
      </w:tr>
      <w:tr>
        <w:trPr>
          <w:trHeight w:val="243"/>
        </w:trPr>
        <w:tc>
          <w:tcPr>
            <w:tcW w:w="3400" w:type="dxa"/>
            <w:vAlign w:val="bottom"/>
          </w:tcPr>
          <w:p>
            <w:pPr>
              <w:spacing w:after="0"/>
              <w:rPr>
                <w:sz w:val="21"/>
                <w:szCs w:val="21"/>
                <w:color w:val="auto"/>
              </w:rPr>
            </w:pPr>
          </w:p>
        </w:tc>
        <w:tc>
          <w:tcPr>
            <w:tcW w:w="3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(Exact name of registrant as specified in its charter)</w:t>
            </w:r>
          </w:p>
        </w:tc>
        <w:tc>
          <w:tcPr>
            <w:tcW w:w="2260" w:type="dxa"/>
            <w:vAlign w:val="bottom"/>
          </w:tcPr>
          <w:p>
            <w:pPr>
              <w:spacing w:after="0"/>
              <w:rPr>
                <w:sz w:val="21"/>
                <w:szCs w:val="21"/>
                <w:color w:val="auto"/>
              </w:rPr>
            </w:pPr>
          </w:p>
        </w:tc>
      </w:tr>
      <w:tr>
        <w:trPr>
          <w:trHeight w:val="346"/>
        </w:trPr>
        <w:tc>
          <w:tcPr>
            <w:tcW w:w="3400" w:type="dxa"/>
            <w:vAlign w:val="bottom"/>
          </w:tcPr>
          <w:p>
            <w:pPr>
              <w:jc w:val="center"/>
              <w:spacing w:after="0"/>
              <w:rPr>
                <w:sz w:val="20"/>
                <w:szCs w:val="20"/>
                <w:color w:val="auto"/>
              </w:rPr>
            </w:pPr>
            <w:r>
              <w:rPr>
                <w:rFonts w:ascii="Arial" w:cs="Arial" w:eastAsia="Arial" w:hAnsi="Arial"/>
                <w:sz w:val="16"/>
                <w:szCs w:val="16"/>
                <w:b w:val="1"/>
                <w:bCs w:val="1"/>
                <w:color w:val="auto"/>
                <w:w w:val="91"/>
              </w:rPr>
              <w:t>Delaware</w:t>
            </w:r>
          </w:p>
        </w:tc>
        <w:tc>
          <w:tcPr>
            <w:tcW w:w="12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260" w:type="dxa"/>
            <w:vAlign w:val="bottom"/>
          </w:tcPr>
          <w:p>
            <w:pPr>
              <w:jc w:val="center"/>
              <w:ind w:left="145"/>
              <w:spacing w:after="0"/>
              <w:rPr>
                <w:sz w:val="20"/>
                <w:szCs w:val="20"/>
                <w:color w:val="auto"/>
              </w:rPr>
            </w:pPr>
            <w:r>
              <w:rPr>
                <w:rFonts w:ascii="Arial" w:cs="Arial" w:eastAsia="Arial" w:hAnsi="Arial"/>
                <w:sz w:val="16"/>
                <w:szCs w:val="16"/>
                <w:b w:val="1"/>
                <w:bCs w:val="1"/>
                <w:color w:val="auto"/>
                <w:w w:val="88"/>
              </w:rPr>
              <w:t>76-0511406</w:t>
            </w:r>
          </w:p>
        </w:tc>
      </w:tr>
      <w:tr>
        <w:trPr>
          <w:trHeight w:val="193"/>
        </w:trPr>
        <w:tc>
          <w:tcPr>
            <w:tcW w:w="3400" w:type="dxa"/>
            <w:vAlign w:val="bottom"/>
          </w:tcPr>
          <w:p>
            <w:pPr>
              <w:jc w:val="center"/>
              <w:spacing w:after="0"/>
              <w:rPr>
                <w:sz w:val="20"/>
                <w:szCs w:val="20"/>
                <w:color w:val="auto"/>
              </w:rPr>
            </w:pPr>
            <w:r>
              <w:rPr>
                <w:rFonts w:ascii="Arial" w:cs="Arial" w:eastAsia="Arial" w:hAnsi="Arial"/>
                <w:sz w:val="14"/>
                <w:szCs w:val="14"/>
                <w:color w:val="auto"/>
                <w:w w:val="93"/>
              </w:rPr>
              <w:t>(State or other jurisdiction of incorporation or organization)</w:t>
            </w:r>
          </w:p>
        </w:tc>
        <w:tc>
          <w:tcPr>
            <w:tcW w:w="1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260" w:type="dxa"/>
            <w:vAlign w:val="bottom"/>
          </w:tcPr>
          <w:p>
            <w:pPr>
              <w:jc w:val="center"/>
              <w:ind w:left="125"/>
              <w:spacing w:after="0"/>
              <w:rPr>
                <w:sz w:val="20"/>
                <w:szCs w:val="20"/>
                <w:color w:val="auto"/>
              </w:rPr>
            </w:pPr>
            <w:r>
              <w:rPr>
                <w:rFonts w:ascii="Arial" w:cs="Arial" w:eastAsia="Arial" w:hAnsi="Arial"/>
                <w:sz w:val="14"/>
                <w:szCs w:val="14"/>
                <w:color w:val="auto"/>
                <w:w w:val="95"/>
              </w:rPr>
              <w:t>(I.R.S. Employer Identification No.)</w:t>
            </w:r>
          </w:p>
        </w:tc>
      </w:tr>
      <w:tr>
        <w:trPr>
          <w:trHeight w:val="299"/>
        </w:trPr>
        <w:tc>
          <w:tcPr>
            <w:tcW w:w="3400" w:type="dxa"/>
            <w:vAlign w:val="bottom"/>
          </w:tcPr>
          <w:p>
            <w:pPr>
              <w:jc w:val="center"/>
              <w:spacing w:after="0"/>
              <w:rPr>
                <w:sz w:val="20"/>
                <w:szCs w:val="20"/>
                <w:color w:val="auto"/>
              </w:rPr>
            </w:pPr>
            <w:r>
              <w:rPr>
                <w:rFonts w:ascii="Arial" w:cs="Arial" w:eastAsia="Arial" w:hAnsi="Arial"/>
                <w:sz w:val="16"/>
                <w:szCs w:val="16"/>
                <w:b w:val="1"/>
                <w:bCs w:val="1"/>
                <w:color w:val="auto"/>
                <w:w w:val="88"/>
              </w:rPr>
              <w:t>1111 Louisiana</w:t>
            </w:r>
          </w:p>
        </w:tc>
        <w:tc>
          <w:tcPr>
            <w:tcW w:w="1260" w:type="dxa"/>
            <w:vAlign w:val="bottom"/>
          </w:tcPr>
          <w:p>
            <w:pPr>
              <w:ind w:left="660"/>
              <w:spacing w:after="0"/>
              <w:rPr>
                <w:sz w:val="20"/>
                <w:szCs w:val="20"/>
                <w:color w:val="auto"/>
              </w:rPr>
            </w:pPr>
            <w:r>
              <w:rPr>
                <w:rFonts w:ascii="Arial" w:cs="Arial" w:eastAsia="Arial" w:hAnsi="Arial"/>
                <w:sz w:val="16"/>
                <w:szCs w:val="16"/>
                <w:b w:val="1"/>
                <w:bCs w:val="1"/>
                <w:color w:val="auto"/>
                <w:w w:val="89"/>
              </w:rPr>
              <w:t>Houston</w:t>
            </w:r>
          </w:p>
        </w:tc>
        <w:tc>
          <w:tcPr>
            <w:tcW w:w="2460" w:type="dxa"/>
            <w:vAlign w:val="bottom"/>
          </w:tcPr>
          <w:p>
            <w:pPr>
              <w:ind w:left="560"/>
              <w:spacing w:after="0"/>
              <w:rPr>
                <w:sz w:val="20"/>
                <w:szCs w:val="20"/>
                <w:color w:val="auto"/>
              </w:rPr>
            </w:pPr>
            <w:r>
              <w:rPr>
                <w:rFonts w:ascii="Arial" w:cs="Arial" w:eastAsia="Arial" w:hAnsi="Arial"/>
                <w:sz w:val="16"/>
                <w:szCs w:val="16"/>
                <w:b w:val="1"/>
                <w:bCs w:val="1"/>
                <w:color w:val="auto"/>
              </w:rPr>
              <w:t>Texas</w:t>
            </w:r>
          </w:p>
        </w:tc>
        <w:tc>
          <w:tcPr>
            <w:tcW w:w="2260" w:type="dxa"/>
            <w:vAlign w:val="bottom"/>
          </w:tcPr>
          <w:p>
            <w:pPr>
              <w:jc w:val="center"/>
              <w:ind w:left="145"/>
              <w:spacing w:after="0"/>
              <w:rPr>
                <w:sz w:val="20"/>
                <w:szCs w:val="20"/>
                <w:color w:val="auto"/>
              </w:rPr>
            </w:pPr>
            <w:r>
              <w:rPr>
                <w:rFonts w:ascii="Arial" w:cs="Arial" w:eastAsia="Arial" w:hAnsi="Arial"/>
                <w:sz w:val="16"/>
                <w:szCs w:val="16"/>
                <w:b w:val="1"/>
                <w:bCs w:val="1"/>
                <w:color w:val="auto"/>
                <w:w w:val="89"/>
              </w:rPr>
              <w:t>77002</w:t>
            </w:r>
          </w:p>
        </w:tc>
      </w:tr>
      <w:tr>
        <w:trPr>
          <w:trHeight w:val="193"/>
        </w:trPr>
        <w:tc>
          <w:tcPr>
            <w:tcW w:w="3400" w:type="dxa"/>
            <w:vAlign w:val="bottom"/>
          </w:tcPr>
          <w:p>
            <w:pPr>
              <w:jc w:val="center"/>
              <w:spacing w:after="0"/>
              <w:rPr>
                <w:sz w:val="20"/>
                <w:szCs w:val="20"/>
                <w:color w:val="auto"/>
              </w:rPr>
            </w:pPr>
            <w:r>
              <w:rPr>
                <w:rFonts w:ascii="Arial" w:cs="Arial" w:eastAsia="Arial" w:hAnsi="Arial"/>
                <w:sz w:val="14"/>
                <w:szCs w:val="14"/>
                <w:color w:val="auto"/>
                <w:w w:val="93"/>
              </w:rPr>
              <w:t>(Address of Principal Executive Offices)</w:t>
            </w:r>
          </w:p>
        </w:tc>
        <w:tc>
          <w:tcPr>
            <w:tcW w:w="1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260" w:type="dxa"/>
            <w:vAlign w:val="bottom"/>
          </w:tcPr>
          <w:p>
            <w:pPr>
              <w:jc w:val="center"/>
              <w:ind w:left="125"/>
              <w:spacing w:after="0"/>
              <w:rPr>
                <w:sz w:val="20"/>
                <w:szCs w:val="20"/>
                <w:color w:val="auto"/>
              </w:rPr>
            </w:pPr>
            <w:r>
              <w:rPr>
                <w:rFonts w:ascii="Arial" w:cs="Arial" w:eastAsia="Arial" w:hAnsi="Arial"/>
                <w:sz w:val="14"/>
                <w:szCs w:val="14"/>
                <w:color w:val="auto"/>
                <w:w w:val="93"/>
              </w:rPr>
              <w:t>(Zip Code)</w:t>
            </w:r>
          </w:p>
        </w:tc>
      </w:tr>
      <w:tr>
        <w:trPr>
          <w:trHeight w:val="325"/>
        </w:trPr>
        <w:tc>
          <w:tcPr>
            <w:tcW w:w="3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60" w:type="dxa"/>
            <w:vAlign w:val="bottom"/>
          </w:tcPr>
          <w:p>
            <w:pPr>
              <w:jc w:val="center"/>
              <w:ind w:right="1380"/>
              <w:spacing w:after="0"/>
              <w:rPr>
                <w:sz w:val="20"/>
                <w:szCs w:val="20"/>
                <w:color w:val="auto"/>
              </w:rPr>
            </w:pPr>
            <w:r>
              <w:rPr>
                <w:rFonts w:ascii="Arial" w:cs="Arial" w:eastAsia="Arial" w:hAnsi="Arial"/>
                <w:sz w:val="16"/>
                <w:szCs w:val="16"/>
                <w:b w:val="1"/>
                <w:bCs w:val="1"/>
                <w:color w:val="auto"/>
                <w:w w:val="87"/>
              </w:rPr>
              <w:t>(713) 207-1111</w:t>
            </w:r>
          </w:p>
        </w:tc>
        <w:tc>
          <w:tcPr>
            <w:tcW w:w="2260" w:type="dxa"/>
            <w:vAlign w:val="bottom"/>
          </w:tcPr>
          <w:p>
            <w:pPr>
              <w:spacing w:after="0"/>
              <w:rPr>
                <w:sz w:val="24"/>
                <w:szCs w:val="24"/>
                <w:color w:val="auto"/>
              </w:rPr>
            </w:pPr>
          </w:p>
        </w:tc>
      </w:tr>
      <w:tr>
        <w:trPr>
          <w:trHeight w:val="193"/>
        </w:trPr>
        <w:tc>
          <w:tcPr>
            <w:tcW w:w="3400" w:type="dxa"/>
            <w:vAlign w:val="bottom"/>
          </w:tcPr>
          <w:p>
            <w:pPr>
              <w:spacing w:after="0"/>
              <w:rPr>
                <w:sz w:val="16"/>
                <w:szCs w:val="16"/>
                <w:color w:val="auto"/>
              </w:rPr>
            </w:pPr>
          </w:p>
        </w:tc>
        <w:tc>
          <w:tcPr>
            <w:tcW w:w="372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Registrant's telephone number, including area code</w:t>
            </w:r>
          </w:p>
        </w:tc>
        <w:tc>
          <w:tcPr>
            <w:tcW w:w="2260" w:type="dxa"/>
            <w:vAlign w:val="bottom"/>
          </w:tcPr>
          <w:p>
            <w:pPr>
              <w:spacing w:after="0"/>
              <w:rPr>
                <w:sz w:val="16"/>
                <w:szCs w:val="16"/>
                <w:color w:val="auto"/>
              </w:rPr>
            </w:pPr>
          </w:p>
        </w:tc>
      </w:tr>
    </w:tbl>
    <w:p>
      <w:pPr>
        <w:spacing w:after="0" w:line="25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1480" w:type="dxa"/>
            <w:vAlign w:val="bottom"/>
          </w:tcPr>
          <w:p>
            <w:pPr>
              <w:spacing w:after="0"/>
              <w:rPr>
                <w:sz w:val="10"/>
                <w:szCs w:val="10"/>
                <w:color w:val="auto"/>
              </w:rPr>
            </w:pPr>
          </w:p>
        </w:tc>
        <w:tc>
          <w:tcPr>
            <w:tcW w:w="2060" w:type="dxa"/>
            <w:vAlign w:val="bottom"/>
            <w:gridSpan w:val="2"/>
          </w:tcPr>
          <w:p>
            <w:pPr>
              <w:jc w:val="center"/>
              <w:ind w:right="1580"/>
              <w:spacing w:after="0"/>
              <w:rPr>
                <w:sz w:val="20"/>
                <w:szCs w:val="20"/>
                <w:color w:val="auto"/>
              </w:rPr>
            </w:pPr>
            <w:r>
              <w:rPr>
                <w:rFonts w:ascii="Arial" w:cs="Arial" w:eastAsia="Arial" w:hAnsi="Arial"/>
                <w:sz w:val="11"/>
                <w:szCs w:val="11"/>
                <w:b w:val="1"/>
                <w:bCs w:val="1"/>
                <w:color w:val="auto"/>
                <w:w w:val="88"/>
              </w:rPr>
              <w:t>Registrant</w:t>
            </w:r>
          </w:p>
        </w:tc>
        <w:tc>
          <w:tcPr>
            <w:tcW w:w="3480" w:type="dxa"/>
            <w:vAlign w:val="bottom"/>
            <w:gridSpan w:val="3"/>
          </w:tcPr>
          <w:p>
            <w:pPr>
              <w:jc w:val="center"/>
              <w:ind w:left="14"/>
              <w:spacing w:after="0"/>
              <w:rPr>
                <w:sz w:val="20"/>
                <w:szCs w:val="20"/>
                <w:color w:val="auto"/>
              </w:rPr>
            </w:pPr>
            <w:r>
              <w:rPr>
                <w:rFonts w:ascii="Arial" w:cs="Arial" w:eastAsia="Arial" w:hAnsi="Arial"/>
                <w:sz w:val="11"/>
                <w:szCs w:val="11"/>
                <w:b w:val="1"/>
                <w:bCs w:val="1"/>
                <w:color w:val="auto"/>
                <w:w w:val="84"/>
              </w:rPr>
              <w:t>Title of each class</w:t>
            </w:r>
          </w:p>
        </w:tc>
        <w:tc>
          <w:tcPr>
            <w:tcW w:w="1340" w:type="dxa"/>
            <w:vAlign w:val="bottom"/>
            <w:gridSpan w:val="2"/>
          </w:tcPr>
          <w:p>
            <w:pPr>
              <w:jc w:val="center"/>
              <w:ind w:left="427"/>
              <w:spacing w:after="0"/>
              <w:rPr>
                <w:sz w:val="20"/>
                <w:szCs w:val="20"/>
                <w:color w:val="auto"/>
              </w:rPr>
            </w:pPr>
            <w:r>
              <w:rPr>
                <w:rFonts w:ascii="Arial" w:cs="Arial" w:eastAsia="Arial" w:hAnsi="Arial"/>
                <w:sz w:val="11"/>
                <w:szCs w:val="11"/>
                <w:b w:val="1"/>
                <w:bCs w:val="1"/>
                <w:color w:val="auto"/>
                <w:w w:val="89"/>
              </w:rPr>
              <w:t>Trading Symbol(s)</w:t>
            </w:r>
          </w:p>
        </w:tc>
        <w:tc>
          <w:tcPr>
            <w:tcW w:w="2880" w:type="dxa"/>
            <w:vAlign w:val="bottom"/>
            <w:gridSpan w:val="3"/>
          </w:tcPr>
          <w:p>
            <w:pPr>
              <w:jc w:val="center"/>
              <w:ind w:left="267"/>
              <w:spacing w:after="0"/>
              <w:rPr>
                <w:sz w:val="20"/>
                <w:szCs w:val="20"/>
                <w:color w:val="auto"/>
              </w:rPr>
            </w:pPr>
            <w:r>
              <w:rPr>
                <w:rFonts w:ascii="Arial" w:cs="Arial" w:eastAsia="Arial" w:hAnsi="Arial"/>
                <w:sz w:val="11"/>
                <w:szCs w:val="11"/>
                <w:b w:val="1"/>
                <w:bCs w:val="1"/>
                <w:color w:val="auto"/>
                <w:w w:val="84"/>
              </w:rPr>
              <w:t>Name of each exchange on which registered</w:t>
            </w:r>
          </w:p>
        </w:tc>
      </w:tr>
      <w:tr>
        <w:trPr>
          <w:trHeight w:val="20"/>
        </w:trPr>
        <w:tc>
          <w:tcPr>
            <w:tcW w:w="14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5"/>
        </w:trPr>
        <w:tc>
          <w:tcPr>
            <w:tcW w:w="3540" w:type="dxa"/>
            <w:vAlign w:val="bottom"/>
            <w:gridSpan w:val="3"/>
          </w:tcPr>
          <w:p>
            <w:pPr>
              <w:jc w:val="center"/>
              <w:ind w:right="100"/>
              <w:spacing w:after="0"/>
              <w:rPr>
                <w:sz w:val="20"/>
                <w:szCs w:val="20"/>
                <w:color w:val="auto"/>
              </w:rPr>
            </w:pPr>
            <w:r>
              <w:rPr>
                <w:rFonts w:ascii="Arial" w:cs="Arial" w:eastAsia="Arial" w:hAnsi="Arial"/>
                <w:sz w:val="14"/>
                <w:szCs w:val="14"/>
                <w:color w:val="auto"/>
                <w:w w:val="91"/>
              </w:rPr>
              <w:t>CenterPoint Energy, Inc.</w:t>
            </w:r>
          </w:p>
        </w:tc>
        <w:tc>
          <w:tcPr>
            <w:tcW w:w="3480" w:type="dxa"/>
            <w:vAlign w:val="bottom"/>
            <w:gridSpan w:val="3"/>
          </w:tcPr>
          <w:p>
            <w:pPr>
              <w:jc w:val="center"/>
              <w:ind w:left="14"/>
              <w:spacing w:after="0"/>
              <w:rPr>
                <w:sz w:val="20"/>
                <w:szCs w:val="20"/>
                <w:color w:val="auto"/>
              </w:rPr>
            </w:pPr>
            <w:r>
              <w:rPr>
                <w:rFonts w:ascii="Arial" w:cs="Arial" w:eastAsia="Arial" w:hAnsi="Arial"/>
                <w:sz w:val="14"/>
                <w:szCs w:val="14"/>
                <w:color w:val="auto"/>
                <w:w w:val="91"/>
              </w:rPr>
              <w:t>Common Stock, $0.01 par value</w:t>
            </w:r>
          </w:p>
        </w:tc>
        <w:tc>
          <w:tcPr>
            <w:tcW w:w="4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87"/>
              </w:rPr>
              <w:t>CNP</w:t>
            </w:r>
          </w:p>
        </w:tc>
        <w:tc>
          <w:tcPr>
            <w:tcW w:w="620" w:type="dxa"/>
            <w:vAlign w:val="bottom"/>
          </w:tcPr>
          <w:p>
            <w:pPr>
              <w:spacing w:after="0"/>
              <w:rPr>
                <w:sz w:val="16"/>
                <w:szCs w:val="16"/>
                <w:color w:val="auto"/>
              </w:rPr>
            </w:pPr>
          </w:p>
        </w:tc>
        <w:tc>
          <w:tcPr>
            <w:tcW w:w="226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The New York Stock Exchange</w:t>
            </w:r>
          </w:p>
        </w:tc>
      </w:tr>
      <w:tr>
        <w:trPr>
          <w:trHeight w:val="199"/>
        </w:trPr>
        <w:tc>
          <w:tcPr>
            <w:tcW w:w="1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6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NYSE Chicago</w:t>
            </w:r>
          </w:p>
        </w:tc>
      </w:tr>
      <w:tr>
        <w:trPr>
          <w:trHeight w:val="199"/>
        </w:trPr>
        <w:tc>
          <w:tcPr>
            <w:tcW w:w="3540" w:type="dxa"/>
            <w:vAlign w:val="bottom"/>
            <w:gridSpan w:val="3"/>
          </w:tcPr>
          <w:p>
            <w:pPr>
              <w:jc w:val="center"/>
              <w:ind w:right="80"/>
              <w:spacing w:after="0"/>
              <w:rPr>
                <w:sz w:val="20"/>
                <w:szCs w:val="20"/>
                <w:color w:val="auto"/>
              </w:rPr>
            </w:pPr>
            <w:r>
              <w:rPr>
                <w:rFonts w:ascii="Arial" w:cs="Arial" w:eastAsia="Arial" w:hAnsi="Arial"/>
                <w:sz w:val="14"/>
                <w:szCs w:val="14"/>
                <w:color w:val="auto"/>
                <w:w w:val="94"/>
              </w:rPr>
              <w:t>CenterPoint Energy Houston Electric, LLC</w:t>
            </w:r>
          </w:p>
        </w:tc>
        <w:tc>
          <w:tcPr>
            <w:tcW w:w="3480" w:type="dxa"/>
            <w:vAlign w:val="bottom"/>
            <w:gridSpan w:val="3"/>
          </w:tcPr>
          <w:p>
            <w:pPr>
              <w:jc w:val="center"/>
              <w:ind w:left="14"/>
              <w:spacing w:after="0"/>
              <w:rPr>
                <w:sz w:val="20"/>
                <w:szCs w:val="20"/>
                <w:color w:val="auto"/>
              </w:rPr>
            </w:pPr>
            <w:r>
              <w:rPr>
                <w:rFonts w:ascii="Arial" w:cs="Arial" w:eastAsia="Arial" w:hAnsi="Arial"/>
                <w:sz w:val="14"/>
                <w:szCs w:val="14"/>
                <w:color w:val="auto"/>
                <w:w w:val="91"/>
              </w:rPr>
              <w:t>6.95% General Mortgage Bonds due 2033</w:t>
            </w:r>
          </w:p>
        </w:tc>
        <w:tc>
          <w:tcPr>
            <w:tcW w:w="4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2"/>
              </w:rPr>
              <w:t>n/a</w:t>
            </w:r>
          </w:p>
        </w:tc>
        <w:tc>
          <w:tcPr>
            <w:tcW w:w="620" w:type="dxa"/>
            <w:vAlign w:val="bottom"/>
          </w:tcPr>
          <w:p>
            <w:pPr>
              <w:spacing w:after="0"/>
              <w:rPr>
                <w:sz w:val="17"/>
                <w:szCs w:val="17"/>
                <w:color w:val="auto"/>
              </w:rPr>
            </w:pPr>
          </w:p>
        </w:tc>
        <w:tc>
          <w:tcPr>
            <w:tcW w:w="226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The New York Stock Exchange</w:t>
            </w:r>
          </w:p>
        </w:tc>
      </w:tr>
      <w:tr>
        <w:trPr>
          <w:trHeight w:val="199"/>
        </w:trPr>
        <w:tc>
          <w:tcPr>
            <w:tcW w:w="3540" w:type="dxa"/>
            <w:vAlign w:val="bottom"/>
            <w:gridSpan w:val="3"/>
          </w:tcPr>
          <w:p>
            <w:pPr>
              <w:jc w:val="center"/>
              <w:ind w:right="80"/>
              <w:spacing w:after="0"/>
              <w:rPr>
                <w:sz w:val="20"/>
                <w:szCs w:val="20"/>
                <w:color w:val="auto"/>
              </w:rPr>
            </w:pPr>
            <w:r>
              <w:rPr>
                <w:rFonts w:ascii="Arial" w:cs="Arial" w:eastAsia="Arial" w:hAnsi="Arial"/>
                <w:sz w:val="14"/>
                <w:szCs w:val="14"/>
                <w:color w:val="auto"/>
                <w:w w:val="90"/>
              </w:rPr>
              <w:t>CenterPoint Energy Resources Corp.</w:t>
            </w:r>
          </w:p>
        </w:tc>
        <w:tc>
          <w:tcPr>
            <w:tcW w:w="3480" w:type="dxa"/>
            <w:vAlign w:val="bottom"/>
            <w:gridSpan w:val="3"/>
          </w:tcPr>
          <w:p>
            <w:pPr>
              <w:jc w:val="center"/>
              <w:ind w:left="14"/>
              <w:spacing w:after="0"/>
              <w:rPr>
                <w:sz w:val="20"/>
                <w:szCs w:val="20"/>
                <w:color w:val="auto"/>
              </w:rPr>
            </w:pPr>
            <w:r>
              <w:rPr>
                <w:rFonts w:ascii="Arial" w:cs="Arial" w:eastAsia="Arial" w:hAnsi="Arial"/>
                <w:sz w:val="14"/>
                <w:szCs w:val="14"/>
                <w:color w:val="auto"/>
                <w:w w:val="90"/>
              </w:rPr>
              <w:t>6.625% Senior Notes due 2037</w:t>
            </w:r>
          </w:p>
        </w:tc>
        <w:tc>
          <w:tcPr>
            <w:tcW w:w="4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2"/>
              </w:rPr>
              <w:t>n/a</w:t>
            </w:r>
          </w:p>
        </w:tc>
        <w:tc>
          <w:tcPr>
            <w:tcW w:w="620" w:type="dxa"/>
            <w:vAlign w:val="bottom"/>
          </w:tcPr>
          <w:p>
            <w:pPr>
              <w:spacing w:after="0"/>
              <w:rPr>
                <w:sz w:val="17"/>
                <w:szCs w:val="17"/>
                <w:color w:val="auto"/>
              </w:rPr>
            </w:pPr>
          </w:p>
        </w:tc>
        <w:tc>
          <w:tcPr>
            <w:tcW w:w="226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The New York Stock Exchange</w:t>
            </w:r>
          </w:p>
        </w:tc>
      </w:tr>
      <w:tr>
        <w:trPr>
          <w:trHeight w:val="1108"/>
        </w:trPr>
        <w:tc>
          <w:tcPr>
            <w:tcW w:w="1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7" w:right="339" w:bottom="1440" w:gutter="0" w:footer="0" w:header="0"/>
        </w:sectPr>
      </w:pPr>
    </w:p>
    <w:bookmarkStart w:id="1" w:name="page2"/>
    <w:bookmarkEnd w:id="1"/>
    <w:p>
      <w:pPr>
        <w:ind w:right="20"/>
        <w:spacing w:after="0" w:line="341"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0" w:lineRule="exact"/>
        <w:rPr>
          <w:sz w:val="20"/>
          <w:szCs w:val="20"/>
          <w:color w:val="auto"/>
        </w:rPr>
      </w:pPr>
    </w:p>
    <w:tbl>
      <w:tblPr>
        <w:tblLayout w:type="fixed"/>
        <w:tblInd w:w="860" w:type="dxa"/>
        <w:tblCellMar>
          <w:top w:w="0" w:type="dxa"/>
          <w:left w:w="0" w:type="dxa"/>
          <w:bottom w:w="0" w:type="dxa"/>
          <w:right w:w="0" w:type="dxa"/>
        </w:tblCellMar>
      </w:tblPr>
      <w:tr>
        <w:trPr>
          <w:trHeight w:val="213"/>
        </w:trPr>
        <w:tc>
          <w:tcPr>
            <w:tcW w:w="4460" w:type="dxa"/>
            <w:vAlign w:val="bottom"/>
          </w:tcPr>
          <w:p>
            <w:pPr>
              <w:spacing w:after="0"/>
              <w:rPr>
                <w:sz w:val="20"/>
                <w:szCs w:val="20"/>
                <w:color w:val="auto"/>
              </w:rPr>
            </w:pPr>
            <w:r>
              <w:rPr>
                <w:rFonts w:ascii="Arial" w:cs="Arial" w:eastAsia="Arial" w:hAnsi="Arial"/>
                <w:sz w:val="14"/>
                <w:szCs w:val="14"/>
                <w:color w:val="auto"/>
              </w:rPr>
              <w:t>CenterPoint Energy, Inc.</w:t>
            </w:r>
          </w:p>
        </w:tc>
        <w:tc>
          <w:tcPr>
            <w:tcW w:w="2520" w:type="dxa"/>
            <w:vAlign w:val="bottom"/>
          </w:tcPr>
          <w:p>
            <w:pPr>
              <w:ind w:left="2020"/>
              <w:spacing w:after="0"/>
              <w:rPr>
                <w:sz w:val="20"/>
                <w:szCs w:val="20"/>
                <w:color w:val="auto"/>
              </w:rPr>
            </w:pPr>
            <w:r>
              <w:rPr>
                <w:rFonts w:ascii="Arial" w:cs="Arial" w:eastAsia="Arial" w:hAnsi="Arial"/>
                <w:sz w:val="14"/>
                <w:szCs w:val="14"/>
                <w:color w:val="auto"/>
              </w:rPr>
              <w:t>Yes</w:t>
            </w:r>
          </w:p>
        </w:tc>
        <w:tc>
          <w:tcPr>
            <w:tcW w:w="8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80"/>
              <w:spacing w:after="0"/>
              <w:rPr>
                <w:sz w:val="20"/>
                <w:szCs w:val="20"/>
                <w:color w:val="auto"/>
              </w:rPr>
            </w:pPr>
            <w:r>
              <w:rPr>
                <w:rFonts w:ascii="Arial" w:cs="Arial" w:eastAsia="Arial" w:hAnsi="Arial"/>
                <w:sz w:val="14"/>
                <w:szCs w:val="14"/>
                <w:color w:val="auto"/>
              </w:rPr>
              <w:t>No</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o</w:t>
            </w:r>
          </w:p>
        </w:tc>
      </w:tr>
      <w:tr>
        <w:trPr>
          <w:trHeight w:val="213"/>
        </w:trPr>
        <w:tc>
          <w:tcPr>
            <w:tcW w:w="4460" w:type="dxa"/>
            <w:vAlign w:val="bottom"/>
          </w:tcPr>
          <w:p>
            <w:pPr>
              <w:spacing w:after="0"/>
              <w:rPr>
                <w:sz w:val="20"/>
                <w:szCs w:val="20"/>
                <w:color w:val="auto"/>
              </w:rPr>
            </w:pPr>
            <w:r>
              <w:rPr>
                <w:rFonts w:ascii="Arial" w:cs="Arial" w:eastAsia="Arial" w:hAnsi="Arial"/>
                <w:sz w:val="14"/>
                <w:szCs w:val="14"/>
                <w:color w:val="auto"/>
              </w:rPr>
              <w:t>CenterPoint Energy Houston Electric, LLC</w:t>
            </w:r>
          </w:p>
        </w:tc>
        <w:tc>
          <w:tcPr>
            <w:tcW w:w="2520" w:type="dxa"/>
            <w:vAlign w:val="bottom"/>
          </w:tcPr>
          <w:p>
            <w:pPr>
              <w:ind w:left="2020"/>
              <w:spacing w:after="0"/>
              <w:rPr>
                <w:sz w:val="20"/>
                <w:szCs w:val="20"/>
                <w:color w:val="auto"/>
              </w:rPr>
            </w:pPr>
            <w:r>
              <w:rPr>
                <w:rFonts w:ascii="Arial" w:cs="Arial" w:eastAsia="Arial" w:hAnsi="Arial"/>
                <w:sz w:val="14"/>
                <w:szCs w:val="14"/>
                <w:color w:val="auto"/>
              </w:rPr>
              <w:t>Yes</w:t>
            </w:r>
          </w:p>
        </w:tc>
        <w:tc>
          <w:tcPr>
            <w:tcW w:w="8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80"/>
              <w:spacing w:after="0"/>
              <w:rPr>
                <w:sz w:val="20"/>
                <w:szCs w:val="20"/>
                <w:color w:val="auto"/>
              </w:rPr>
            </w:pPr>
            <w:r>
              <w:rPr>
                <w:rFonts w:ascii="Arial" w:cs="Arial" w:eastAsia="Arial" w:hAnsi="Arial"/>
                <w:sz w:val="14"/>
                <w:szCs w:val="14"/>
                <w:color w:val="auto"/>
              </w:rPr>
              <w:t>No</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o</w:t>
            </w:r>
          </w:p>
        </w:tc>
      </w:tr>
      <w:tr>
        <w:trPr>
          <w:trHeight w:val="238"/>
        </w:trPr>
        <w:tc>
          <w:tcPr>
            <w:tcW w:w="4460" w:type="dxa"/>
            <w:vAlign w:val="bottom"/>
          </w:tcPr>
          <w:p>
            <w:pPr>
              <w:spacing w:after="0"/>
              <w:rPr>
                <w:sz w:val="20"/>
                <w:szCs w:val="20"/>
                <w:color w:val="auto"/>
              </w:rPr>
            </w:pPr>
            <w:r>
              <w:rPr>
                <w:rFonts w:ascii="Arial" w:cs="Arial" w:eastAsia="Arial" w:hAnsi="Arial"/>
                <w:sz w:val="14"/>
                <w:szCs w:val="14"/>
                <w:color w:val="auto"/>
              </w:rPr>
              <w:t>CenterPoint Energy Resources Corp.</w:t>
            </w:r>
          </w:p>
        </w:tc>
        <w:tc>
          <w:tcPr>
            <w:tcW w:w="2520" w:type="dxa"/>
            <w:vAlign w:val="bottom"/>
          </w:tcPr>
          <w:p>
            <w:pPr>
              <w:ind w:left="2020"/>
              <w:spacing w:after="0"/>
              <w:rPr>
                <w:sz w:val="20"/>
                <w:szCs w:val="20"/>
                <w:color w:val="auto"/>
              </w:rPr>
            </w:pPr>
            <w:r>
              <w:rPr>
                <w:rFonts w:ascii="Arial" w:cs="Arial" w:eastAsia="Arial" w:hAnsi="Arial"/>
                <w:sz w:val="14"/>
                <w:szCs w:val="14"/>
                <w:color w:val="auto"/>
              </w:rPr>
              <w:t>Yes</w:t>
            </w:r>
          </w:p>
        </w:tc>
        <w:tc>
          <w:tcPr>
            <w:tcW w:w="8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80"/>
              <w:spacing w:after="0"/>
              <w:rPr>
                <w:sz w:val="20"/>
                <w:szCs w:val="20"/>
                <w:color w:val="auto"/>
              </w:rPr>
            </w:pPr>
            <w:r>
              <w:rPr>
                <w:rFonts w:ascii="Arial" w:cs="Arial" w:eastAsia="Arial" w:hAnsi="Arial"/>
                <w:sz w:val="14"/>
                <w:szCs w:val="14"/>
                <w:color w:val="auto"/>
              </w:rPr>
              <w:t>No</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o</w:t>
            </w:r>
          </w:p>
        </w:tc>
      </w:tr>
    </w:tbl>
    <w:p>
      <w:pPr>
        <w:spacing w:after="0" w:line="312"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460" w:type="dxa"/>
            <w:vAlign w:val="bottom"/>
          </w:tcPr>
          <w:p>
            <w:pPr>
              <w:spacing w:after="0"/>
              <w:rPr>
                <w:sz w:val="20"/>
                <w:szCs w:val="20"/>
                <w:color w:val="auto"/>
              </w:rPr>
            </w:pPr>
            <w:r>
              <w:rPr>
                <w:rFonts w:ascii="Arial" w:cs="Arial" w:eastAsia="Arial" w:hAnsi="Arial"/>
                <w:sz w:val="14"/>
                <w:szCs w:val="14"/>
                <w:color w:val="auto"/>
              </w:rPr>
              <w:t>CenterPoint Energy, Inc.</w:t>
            </w:r>
          </w:p>
        </w:tc>
        <w:tc>
          <w:tcPr>
            <w:tcW w:w="2520" w:type="dxa"/>
            <w:vAlign w:val="bottom"/>
          </w:tcPr>
          <w:p>
            <w:pPr>
              <w:ind w:left="2020"/>
              <w:spacing w:after="0"/>
              <w:rPr>
                <w:sz w:val="20"/>
                <w:szCs w:val="20"/>
                <w:color w:val="auto"/>
              </w:rPr>
            </w:pPr>
            <w:r>
              <w:rPr>
                <w:rFonts w:ascii="Arial" w:cs="Arial" w:eastAsia="Arial" w:hAnsi="Arial"/>
                <w:sz w:val="14"/>
                <w:szCs w:val="14"/>
                <w:color w:val="auto"/>
              </w:rPr>
              <w:t>Yes</w:t>
            </w:r>
          </w:p>
        </w:tc>
        <w:tc>
          <w:tcPr>
            <w:tcW w:w="8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80"/>
              <w:spacing w:after="0"/>
              <w:rPr>
                <w:sz w:val="20"/>
                <w:szCs w:val="20"/>
                <w:color w:val="auto"/>
              </w:rPr>
            </w:pPr>
            <w:r>
              <w:rPr>
                <w:rFonts w:ascii="Arial" w:cs="Arial" w:eastAsia="Arial" w:hAnsi="Arial"/>
                <w:sz w:val="14"/>
                <w:szCs w:val="14"/>
                <w:color w:val="auto"/>
              </w:rPr>
              <w:t>No</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o</w:t>
            </w:r>
          </w:p>
        </w:tc>
      </w:tr>
      <w:tr>
        <w:trPr>
          <w:trHeight w:val="213"/>
        </w:trPr>
        <w:tc>
          <w:tcPr>
            <w:tcW w:w="4460" w:type="dxa"/>
            <w:vAlign w:val="bottom"/>
          </w:tcPr>
          <w:p>
            <w:pPr>
              <w:spacing w:after="0"/>
              <w:rPr>
                <w:sz w:val="20"/>
                <w:szCs w:val="20"/>
                <w:color w:val="auto"/>
              </w:rPr>
            </w:pPr>
            <w:r>
              <w:rPr>
                <w:rFonts w:ascii="Arial" w:cs="Arial" w:eastAsia="Arial" w:hAnsi="Arial"/>
                <w:sz w:val="14"/>
                <w:szCs w:val="14"/>
                <w:color w:val="auto"/>
              </w:rPr>
              <w:t>CenterPoint Energy Houston Electric, LLC</w:t>
            </w:r>
          </w:p>
        </w:tc>
        <w:tc>
          <w:tcPr>
            <w:tcW w:w="2520" w:type="dxa"/>
            <w:vAlign w:val="bottom"/>
          </w:tcPr>
          <w:p>
            <w:pPr>
              <w:ind w:left="2020"/>
              <w:spacing w:after="0"/>
              <w:rPr>
                <w:sz w:val="20"/>
                <w:szCs w:val="20"/>
                <w:color w:val="auto"/>
              </w:rPr>
            </w:pPr>
            <w:r>
              <w:rPr>
                <w:rFonts w:ascii="Arial" w:cs="Arial" w:eastAsia="Arial" w:hAnsi="Arial"/>
                <w:sz w:val="14"/>
                <w:szCs w:val="14"/>
                <w:color w:val="auto"/>
              </w:rPr>
              <w:t>Yes</w:t>
            </w:r>
          </w:p>
        </w:tc>
        <w:tc>
          <w:tcPr>
            <w:tcW w:w="8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80"/>
              <w:spacing w:after="0"/>
              <w:rPr>
                <w:sz w:val="20"/>
                <w:szCs w:val="20"/>
                <w:color w:val="auto"/>
              </w:rPr>
            </w:pPr>
            <w:r>
              <w:rPr>
                <w:rFonts w:ascii="Arial" w:cs="Arial" w:eastAsia="Arial" w:hAnsi="Arial"/>
                <w:sz w:val="14"/>
                <w:szCs w:val="14"/>
                <w:color w:val="auto"/>
              </w:rPr>
              <w:t>No</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o</w:t>
            </w:r>
          </w:p>
        </w:tc>
      </w:tr>
      <w:tr>
        <w:trPr>
          <w:trHeight w:val="238"/>
        </w:trPr>
        <w:tc>
          <w:tcPr>
            <w:tcW w:w="4460" w:type="dxa"/>
            <w:vAlign w:val="bottom"/>
          </w:tcPr>
          <w:p>
            <w:pPr>
              <w:spacing w:after="0"/>
              <w:rPr>
                <w:sz w:val="20"/>
                <w:szCs w:val="20"/>
                <w:color w:val="auto"/>
              </w:rPr>
            </w:pPr>
            <w:r>
              <w:rPr>
                <w:rFonts w:ascii="Arial" w:cs="Arial" w:eastAsia="Arial" w:hAnsi="Arial"/>
                <w:sz w:val="14"/>
                <w:szCs w:val="14"/>
                <w:color w:val="auto"/>
              </w:rPr>
              <w:t>CenterPoint Energy Resources Corp.</w:t>
            </w:r>
          </w:p>
        </w:tc>
        <w:tc>
          <w:tcPr>
            <w:tcW w:w="2520" w:type="dxa"/>
            <w:vAlign w:val="bottom"/>
          </w:tcPr>
          <w:p>
            <w:pPr>
              <w:ind w:left="2020"/>
              <w:spacing w:after="0"/>
              <w:rPr>
                <w:sz w:val="20"/>
                <w:szCs w:val="20"/>
                <w:color w:val="auto"/>
              </w:rPr>
            </w:pPr>
            <w:r>
              <w:rPr>
                <w:rFonts w:ascii="Arial" w:cs="Arial" w:eastAsia="Arial" w:hAnsi="Arial"/>
                <w:sz w:val="14"/>
                <w:szCs w:val="14"/>
                <w:color w:val="auto"/>
              </w:rPr>
              <w:t>Yes</w:t>
            </w:r>
          </w:p>
        </w:tc>
        <w:tc>
          <w:tcPr>
            <w:tcW w:w="8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80"/>
              <w:spacing w:after="0"/>
              <w:rPr>
                <w:sz w:val="20"/>
                <w:szCs w:val="20"/>
                <w:color w:val="auto"/>
              </w:rPr>
            </w:pPr>
            <w:r>
              <w:rPr>
                <w:rFonts w:ascii="Arial" w:cs="Arial" w:eastAsia="Arial" w:hAnsi="Arial"/>
                <w:sz w:val="14"/>
                <w:szCs w:val="14"/>
                <w:color w:val="auto"/>
              </w:rPr>
              <w:t>No</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o</w:t>
            </w:r>
          </w:p>
        </w:tc>
      </w:tr>
    </w:tbl>
    <w:p>
      <w:pPr>
        <w:spacing w:after="0" w:line="298" w:lineRule="exact"/>
        <w:rPr>
          <w:sz w:val="20"/>
          <w:szCs w:val="20"/>
          <w:color w:val="auto"/>
        </w:rPr>
      </w:pPr>
    </w:p>
    <w:p>
      <w:pPr>
        <w:ind w:right="20"/>
        <w:spacing w:after="0" w:line="321"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2480" w:type="dxa"/>
            <w:vAlign w:val="bottom"/>
          </w:tcPr>
          <w:p>
            <w:pPr>
              <w:jc w:val="center"/>
              <w:ind w:left="1129"/>
              <w:spacing w:after="0"/>
              <w:rPr>
                <w:sz w:val="20"/>
                <w:szCs w:val="20"/>
                <w:color w:val="auto"/>
              </w:rPr>
            </w:pPr>
            <w:r>
              <w:rPr>
                <w:rFonts w:ascii="Arial" w:cs="Arial" w:eastAsia="Arial" w:hAnsi="Arial"/>
                <w:sz w:val="14"/>
                <w:szCs w:val="14"/>
                <w:b w:val="1"/>
                <w:bCs w:val="1"/>
                <w:color w:val="auto"/>
                <w:w w:val="90"/>
              </w:rPr>
              <w:t>Large accelerated</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Accelerated filer</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9"/>
              </w:rPr>
              <w:t>Non-accelerated</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Smaller reporting</w:t>
            </w:r>
          </w:p>
        </w:tc>
        <w:tc>
          <w:tcPr>
            <w:tcW w:w="1140" w:type="dxa"/>
            <w:vAlign w:val="bottom"/>
          </w:tcPr>
          <w:p>
            <w:pPr>
              <w:jc w:val="center"/>
              <w:ind w:left="9"/>
              <w:spacing w:after="0"/>
              <w:rPr>
                <w:sz w:val="20"/>
                <w:szCs w:val="20"/>
                <w:color w:val="auto"/>
              </w:rPr>
            </w:pPr>
            <w:r>
              <w:rPr>
                <w:rFonts w:ascii="Arial" w:cs="Arial" w:eastAsia="Arial" w:hAnsi="Arial"/>
                <w:sz w:val="14"/>
                <w:szCs w:val="14"/>
                <w:b w:val="1"/>
                <w:bCs w:val="1"/>
                <w:color w:val="auto"/>
                <w:w w:val="92"/>
              </w:rPr>
              <w:t>Emerging growth</w:t>
            </w:r>
          </w:p>
        </w:tc>
        <w:tc>
          <w:tcPr>
            <w:tcW w:w="0" w:type="dxa"/>
            <w:vAlign w:val="bottom"/>
          </w:tcPr>
          <w:p>
            <w:pPr>
              <w:spacing w:after="0"/>
              <w:rPr>
                <w:sz w:val="1"/>
                <w:szCs w:val="1"/>
                <w:color w:val="auto"/>
              </w:rPr>
            </w:pPr>
          </w:p>
        </w:tc>
      </w:tr>
      <w:tr>
        <w:trPr>
          <w:trHeight w:val="184"/>
        </w:trPr>
        <w:tc>
          <w:tcPr>
            <w:tcW w:w="3760" w:type="dxa"/>
            <w:vAlign w:val="bottom"/>
          </w:tcPr>
          <w:p>
            <w:pPr>
              <w:spacing w:after="0"/>
              <w:rPr>
                <w:sz w:val="16"/>
                <w:szCs w:val="16"/>
                <w:color w:val="auto"/>
              </w:rPr>
            </w:pPr>
          </w:p>
        </w:tc>
        <w:tc>
          <w:tcPr>
            <w:tcW w:w="2480" w:type="dxa"/>
            <w:vAlign w:val="bottom"/>
          </w:tcPr>
          <w:p>
            <w:pPr>
              <w:jc w:val="center"/>
              <w:ind w:left="1129"/>
              <w:spacing w:after="0"/>
              <w:rPr>
                <w:sz w:val="20"/>
                <w:szCs w:val="20"/>
                <w:color w:val="auto"/>
              </w:rPr>
            </w:pPr>
            <w:r>
              <w:rPr>
                <w:rFonts w:ascii="Arial" w:cs="Arial" w:eastAsia="Arial" w:hAnsi="Arial"/>
                <w:sz w:val="14"/>
                <w:szCs w:val="14"/>
                <w:b w:val="1"/>
                <w:bCs w:val="1"/>
                <w:color w:val="auto"/>
                <w:w w:val="93"/>
              </w:rPr>
              <w:t>filer</w:t>
            </w:r>
          </w:p>
        </w:tc>
        <w:tc>
          <w:tcPr>
            <w:tcW w:w="1240" w:type="dxa"/>
            <w:vAlign w:val="bottom"/>
            <w:vMerge w:val="continue"/>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filer</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7"/>
              </w:rPr>
              <w:t>company</w:t>
            </w:r>
          </w:p>
        </w:tc>
        <w:tc>
          <w:tcPr>
            <w:tcW w:w="1140" w:type="dxa"/>
            <w:vAlign w:val="bottom"/>
          </w:tcPr>
          <w:p>
            <w:pPr>
              <w:jc w:val="center"/>
              <w:ind w:left="29"/>
              <w:spacing w:after="0"/>
              <w:rPr>
                <w:sz w:val="20"/>
                <w:szCs w:val="20"/>
                <w:color w:val="auto"/>
              </w:rPr>
            </w:pPr>
            <w:r>
              <w:rPr>
                <w:rFonts w:ascii="Arial" w:cs="Arial" w:eastAsia="Arial" w:hAnsi="Arial"/>
                <w:sz w:val="14"/>
                <w:szCs w:val="14"/>
                <w:b w:val="1"/>
                <w:bCs w:val="1"/>
                <w:color w:val="auto"/>
                <w:w w:val="91"/>
              </w:rPr>
              <w:t>company</w:t>
            </w:r>
          </w:p>
        </w:tc>
        <w:tc>
          <w:tcPr>
            <w:tcW w:w="0" w:type="dxa"/>
            <w:vAlign w:val="bottom"/>
          </w:tcPr>
          <w:p>
            <w:pPr>
              <w:spacing w:after="0"/>
              <w:rPr>
                <w:sz w:val="1"/>
                <w:szCs w:val="1"/>
                <w:color w:val="auto"/>
              </w:rPr>
            </w:pPr>
          </w:p>
        </w:tc>
      </w:tr>
      <w:tr>
        <w:trPr>
          <w:trHeight w:val="332"/>
        </w:trPr>
        <w:tc>
          <w:tcPr>
            <w:tcW w:w="3760" w:type="dxa"/>
            <w:vAlign w:val="bottom"/>
          </w:tcPr>
          <w:p>
            <w:pPr>
              <w:spacing w:after="0"/>
              <w:rPr>
                <w:sz w:val="20"/>
                <w:szCs w:val="20"/>
                <w:color w:val="auto"/>
              </w:rPr>
            </w:pPr>
            <w:r>
              <w:rPr>
                <w:rFonts w:ascii="Arial" w:cs="Arial" w:eastAsia="Arial" w:hAnsi="Arial"/>
                <w:sz w:val="14"/>
                <w:szCs w:val="14"/>
                <w:color w:val="auto"/>
              </w:rPr>
              <w:t>CenterPoint Energy, Inc.</w:t>
            </w:r>
          </w:p>
        </w:tc>
        <w:tc>
          <w:tcPr>
            <w:tcW w:w="2480" w:type="dxa"/>
            <w:vAlign w:val="bottom"/>
          </w:tcPr>
          <w:p>
            <w:pPr>
              <w:jc w:val="center"/>
              <w:ind w:left="1129"/>
              <w:spacing w:after="0" w:line="141" w:lineRule="exact"/>
              <w:rPr>
                <w:sz w:val="20"/>
                <w:szCs w:val="20"/>
                <w:color w:val="auto"/>
              </w:rPr>
            </w:pPr>
            <w:r>
              <w:rPr>
                <w:rFonts w:ascii="MS PGothic" w:cs="MS PGothic" w:eastAsia="MS PGothic" w:hAnsi="MS PGothic"/>
                <w:sz w:val="14"/>
                <w:szCs w:val="14"/>
                <w:color w:val="auto"/>
                <w:w w:val="85"/>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o</w:t>
            </w:r>
          </w:p>
        </w:tc>
        <w:tc>
          <w:tcPr>
            <w:tcW w:w="1220" w:type="dxa"/>
            <w:vAlign w:val="bottom"/>
          </w:tcPr>
          <w:p>
            <w:pPr>
              <w:jc w:val="center"/>
              <w:spacing w:after="0"/>
              <w:rPr>
                <w:sz w:val="20"/>
                <w:szCs w:val="20"/>
                <w:color w:val="auto"/>
              </w:rPr>
            </w:pPr>
            <w:r>
              <w:rPr>
                <w:rFonts w:ascii="Arial" w:cs="Arial" w:eastAsia="Arial" w:hAnsi="Arial"/>
                <w:sz w:val="14"/>
                <w:szCs w:val="14"/>
                <w:color w:val="auto"/>
              </w:rPr>
              <w:t>o</w:t>
            </w:r>
          </w:p>
        </w:tc>
        <w:tc>
          <w:tcPr>
            <w:tcW w:w="12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140" w:type="dxa"/>
            <w:vAlign w:val="bottom"/>
          </w:tcPr>
          <w:p>
            <w:pPr>
              <w:jc w:val="center"/>
              <w:ind w:left="29"/>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306"/>
        </w:trPr>
        <w:tc>
          <w:tcPr>
            <w:tcW w:w="3760" w:type="dxa"/>
            <w:vAlign w:val="bottom"/>
          </w:tcPr>
          <w:p>
            <w:pPr>
              <w:spacing w:after="0"/>
              <w:rPr>
                <w:sz w:val="20"/>
                <w:szCs w:val="20"/>
                <w:color w:val="auto"/>
              </w:rPr>
            </w:pPr>
            <w:r>
              <w:rPr>
                <w:rFonts w:ascii="Arial" w:cs="Arial" w:eastAsia="Arial" w:hAnsi="Arial"/>
                <w:sz w:val="14"/>
                <w:szCs w:val="14"/>
                <w:color w:val="auto"/>
              </w:rPr>
              <w:t>CenterPoint Energy Houston Electric, LLC</w:t>
            </w:r>
          </w:p>
        </w:tc>
        <w:tc>
          <w:tcPr>
            <w:tcW w:w="2480" w:type="dxa"/>
            <w:vAlign w:val="bottom"/>
          </w:tcPr>
          <w:p>
            <w:pPr>
              <w:jc w:val="center"/>
              <w:ind w:left="1129"/>
              <w:spacing w:after="0"/>
              <w:rPr>
                <w:sz w:val="20"/>
                <w:szCs w:val="20"/>
                <w:color w:val="auto"/>
              </w:rPr>
            </w:pPr>
            <w:r>
              <w:rPr>
                <w:rFonts w:ascii="Arial" w:cs="Arial" w:eastAsia="Arial" w:hAnsi="Arial"/>
                <w:sz w:val="14"/>
                <w:szCs w:val="14"/>
                <w:color w:val="auto"/>
              </w:rPr>
              <w:t>o</w:t>
            </w:r>
          </w:p>
        </w:tc>
        <w:tc>
          <w:tcPr>
            <w:tcW w:w="1240" w:type="dxa"/>
            <w:vAlign w:val="bottom"/>
          </w:tcPr>
          <w:p>
            <w:pPr>
              <w:jc w:val="center"/>
              <w:spacing w:after="0"/>
              <w:rPr>
                <w:sz w:val="20"/>
                <w:szCs w:val="20"/>
                <w:color w:val="auto"/>
              </w:rPr>
            </w:pPr>
            <w:r>
              <w:rPr>
                <w:rFonts w:ascii="Arial" w:cs="Arial" w:eastAsia="Arial" w:hAnsi="Arial"/>
                <w:sz w:val="14"/>
                <w:szCs w:val="14"/>
                <w:color w:val="auto"/>
              </w:rPr>
              <w:t>o</w:t>
            </w:r>
          </w:p>
        </w:tc>
        <w:tc>
          <w:tcPr>
            <w:tcW w:w="12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2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140" w:type="dxa"/>
            <w:vAlign w:val="bottom"/>
          </w:tcPr>
          <w:p>
            <w:pPr>
              <w:jc w:val="center"/>
              <w:ind w:left="29"/>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306"/>
        </w:trPr>
        <w:tc>
          <w:tcPr>
            <w:tcW w:w="3760" w:type="dxa"/>
            <w:vAlign w:val="bottom"/>
          </w:tcPr>
          <w:p>
            <w:pPr>
              <w:spacing w:after="0"/>
              <w:rPr>
                <w:sz w:val="20"/>
                <w:szCs w:val="20"/>
                <w:color w:val="auto"/>
              </w:rPr>
            </w:pPr>
            <w:r>
              <w:rPr>
                <w:rFonts w:ascii="Arial" w:cs="Arial" w:eastAsia="Arial" w:hAnsi="Arial"/>
                <w:sz w:val="14"/>
                <w:szCs w:val="14"/>
                <w:color w:val="auto"/>
              </w:rPr>
              <w:t>CenterPoint Energy Resources Corp.</w:t>
            </w:r>
          </w:p>
        </w:tc>
        <w:tc>
          <w:tcPr>
            <w:tcW w:w="2480" w:type="dxa"/>
            <w:vAlign w:val="bottom"/>
          </w:tcPr>
          <w:p>
            <w:pPr>
              <w:jc w:val="center"/>
              <w:ind w:left="1129"/>
              <w:spacing w:after="0"/>
              <w:rPr>
                <w:sz w:val="20"/>
                <w:szCs w:val="20"/>
                <w:color w:val="auto"/>
              </w:rPr>
            </w:pPr>
            <w:r>
              <w:rPr>
                <w:rFonts w:ascii="Arial" w:cs="Arial" w:eastAsia="Arial" w:hAnsi="Arial"/>
                <w:sz w:val="14"/>
                <w:szCs w:val="14"/>
                <w:color w:val="auto"/>
              </w:rPr>
              <w:t>o</w:t>
            </w:r>
          </w:p>
        </w:tc>
        <w:tc>
          <w:tcPr>
            <w:tcW w:w="1240" w:type="dxa"/>
            <w:vAlign w:val="bottom"/>
          </w:tcPr>
          <w:p>
            <w:pPr>
              <w:jc w:val="center"/>
              <w:spacing w:after="0"/>
              <w:rPr>
                <w:sz w:val="20"/>
                <w:szCs w:val="20"/>
                <w:color w:val="auto"/>
              </w:rPr>
            </w:pPr>
            <w:r>
              <w:rPr>
                <w:rFonts w:ascii="Arial" w:cs="Arial" w:eastAsia="Arial" w:hAnsi="Arial"/>
                <w:sz w:val="14"/>
                <w:szCs w:val="14"/>
                <w:color w:val="auto"/>
              </w:rPr>
              <w:t>o</w:t>
            </w:r>
          </w:p>
        </w:tc>
        <w:tc>
          <w:tcPr>
            <w:tcW w:w="12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2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140" w:type="dxa"/>
            <w:vAlign w:val="bottom"/>
          </w:tcPr>
          <w:p>
            <w:pPr>
              <w:jc w:val="center"/>
              <w:ind w:left="29"/>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bl>
    <w:p>
      <w:pPr>
        <w:spacing w:after="0" w:line="29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480" w:type="dxa"/>
            <w:vAlign w:val="bottom"/>
          </w:tcPr>
          <w:p>
            <w:pPr>
              <w:spacing w:after="0"/>
              <w:rPr>
                <w:sz w:val="20"/>
                <w:szCs w:val="20"/>
                <w:color w:val="auto"/>
              </w:rPr>
            </w:pPr>
            <w:r>
              <w:rPr>
                <w:rFonts w:ascii="Arial" w:cs="Arial" w:eastAsia="Arial" w:hAnsi="Arial"/>
                <w:sz w:val="14"/>
                <w:szCs w:val="14"/>
                <w:color w:val="auto"/>
              </w:rPr>
              <w:t>CenterPoint Energy, Inc.</w:t>
            </w:r>
          </w:p>
        </w:tc>
        <w:tc>
          <w:tcPr>
            <w:tcW w:w="2520" w:type="dxa"/>
            <w:vAlign w:val="bottom"/>
          </w:tcPr>
          <w:p>
            <w:pPr>
              <w:ind w:left="2040"/>
              <w:spacing w:after="0"/>
              <w:rPr>
                <w:sz w:val="20"/>
                <w:szCs w:val="20"/>
                <w:color w:val="auto"/>
              </w:rPr>
            </w:pPr>
            <w:r>
              <w:rPr>
                <w:rFonts w:ascii="Arial" w:cs="Arial" w:eastAsia="Arial" w:hAnsi="Arial"/>
                <w:sz w:val="14"/>
                <w:szCs w:val="14"/>
                <w:color w:val="auto"/>
              </w:rPr>
              <w:t>Yes</w:t>
            </w:r>
          </w:p>
        </w:tc>
        <w:tc>
          <w:tcPr>
            <w:tcW w:w="88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940" w:type="dxa"/>
            <w:vAlign w:val="bottom"/>
          </w:tcPr>
          <w:p>
            <w:pPr>
              <w:ind w:left="460"/>
              <w:spacing w:after="0"/>
              <w:rPr>
                <w:sz w:val="20"/>
                <w:szCs w:val="20"/>
                <w:color w:val="auto"/>
              </w:rPr>
            </w:pPr>
            <w:r>
              <w:rPr>
                <w:rFonts w:ascii="Arial" w:cs="Arial" w:eastAsia="Arial" w:hAnsi="Arial"/>
                <w:sz w:val="14"/>
                <w:szCs w:val="14"/>
                <w:color w:val="auto"/>
              </w:rPr>
              <w:t>No</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3"/>
        </w:trPr>
        <w:tc>
          <w:tcPr>
            <w:tcW w:w="4480" w:type="dxa"/>
            <w:vAlign w:val="bottom"/>
          </w:tcPr>
          <w:p>
            <w:pPr>
              <w:spacing w:after="0"/>
              <w:rPr>
                <w:sz w:val="20"/>
                <w:szCs w:val="20"/>
                <w:color w:val="auto"/>
              </w:rPr>
            </w:pPr>
            <w:r>
              <w:rPr>
                <w:rFonts w:ascii="Arial" w:cs="Arial" w:eastAsia="Arial" w:hAnsi="Arial"/>
                <w:sz w:val="14"/>
                <w:szCs w:val="14"/>
                <w:color w:val="auto"/>
              </w:rPr>
              <w:t>CenterPoint Energy Houston Electric, LLC</w:t>
            </w:r>
          </w:p>
        </w:tc>
        <w:tc>
          <w:tcPr>
            <w:tcW w:w="2520" w:type="dxa"/>
            <w:vAlign w:val="bottom"/>
          </w:tcPr>
          <w:p>
            <w:pPr>
              <w:ind w:left="2040"/>
              <w:spacing w:after="0"/>
              <w:rPr>
                <w:sz w:val="20"/>
                <w:szCs w:val="20"/>
                <w:color w:val="auto"/>
              </w:rPr>
            </w:pPr>
            <w:r>
              <w:rPr>
                <w:rFonts w:ascii="Arial" w:cs="Arial" w:eastAsia="Arial" w:hAnsi="Arial"/>
                <w:sz w:val="14"/>
                <w:szCs w:val="14"/>
                <w:color w:val="auto"/>
              </w:rPr>
              <w:t>Yes</w:t>
            </w:r>
          </w:p>
        </w:tc>
        <w:tc>
          <w:tcPr>
            <w:tcW w:w="88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940" w:type="dxa"/>
            <w:vAlign w:val="bottom"/>
          </w:tcPr>
          <w:p>
            <w:pPr>
              <w:ind w:left="460"/>
              <w:spacing w:after="0"/>
              <w:rPr>
                <w:sz w:val="20"/>
                <w:szCs w:val="20"/>
                <w:color w:val="auto"/>
              </w:rPr>
            </w:pPr>
            <w:r>
              <w:rPr>
                <w:rFonts w:ascii="Arial" w:cs="Arial" w:eastAsia="Arial" w:hAnsi="Arial"/>
                <w:sz w:val="14"/>
                <w:szCs w:val="14"/>
                <w:color w:val="auto"/>
              </w:rPr>
              <w:t>No</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68"/>
        </w:trPr>
        <w:tc>
          <w:tcPr>
            <w:tcW w:w="4480" w:type="dxa"/>
            <w:vAlign w:val="bottom"/>
          </w:tcPr>
          <w:p>
            <w:pPr>
              <w:spacing w:after="0"/>
              <w:rPr>
                <w:sz w:val="20"/>
                <w:szCs w:val="20"/>
                <w:color w:val="auto"/>
              </w:rPr>
            </w:pPr>
            <w:r>
              <w:rPr>
                <w:rFonts w:ascii="Arial" w:cs="Arial" w:eastAsia="Arial" w:hAnsi="Arial"/>
                <w:sz w:val="14"/>
                <w:szCs w:val="14"/>
                <w:color w:val="auto"/>
              </w:rPr>
              <w:t>CenterPoint Energy Resources Corp.</w:t>
            </w:r>
          </w:p>
        </w:tc>
        <w:tc>
          <w:tcPr>
            <w:tcW w:w="2520" w:type="dxa"/>
            <w:vAlign w:val="bottom"/>
          </w:tcPr>
          <w:p>
            <w:pPr>
              <w:ind w:left="2040"/>
              <w:spacing w:after="0"/>
              <w:rPr>
                <w:sz w:val="20"/>
                <w:szCs w:val="20"/>
                <w:color w:val="auto"/>
              </w:rPr>
            </w:pPr>
            <w:r>
              <w:rPr>
                <w:rFonts w:ascii="Arial" w:cs="Arial" w:eastAsia="Arial" w:hAnsi="Arial"/>
                <w:sz w:val="14"/>
                <w:szCs w:val="14"/>
                <w:color w:val="auto"/>
              </w:rPr>
              <w:t>Yes</w:t>
            </w:r>
          </w:p>
        </w:tc>
        <w:tc>
          <w:tcPr>
            <w:tcW w:w="88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940" w:type="dxa"/>
            <w:vAlign w:val="bottom"/>
          </w:tcPr>
          <w:p>
            <w:pPr>
              <w:ind w:left="460"/>
              <w:spacing w:after="0"/>
              <w:rPr>
                <w:sz w:val="20"/>
                <w:szCs w:val="20"/>
                <w:color w:val="auto"/>
              </w:rPr>
            </w:pPr>
            <w:r>
              <w:rPr>
                <w:rFonts w:ascii="Arial" w:cs="Arial" w:eastAsia="Arial" w:hAnsi="Arial"/>
                <w:sz w:val="14"/>
                <w:szCs w:val="14"/>
                <w:color w:val="auto"/>
              </w:rPr>
              <w:t>No</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October 18, 2023:</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Arial" w:cs="Arial" w:eastAsia="Arial" w:hAnsi="Arial"/>
                <w:sz w:val="16"/>
                <w:szCs w:val="16"/>
                <w:color w:val="auto"/>
              </w:rPr>
              <w:t>CenterPoint Energy, Inc.</w:t>
            </w:r>
          </w:p>
        </w:tc>
        <w:tc>
          <w:tcPr>
            <w:tcW w:w="1520" w:type="dxa"/>
            <w:vAlign w:val="bottom"/>
          </w:tcPr>
          <w:p>
            <w:pPr>
              <w:jc w:val="center"/>
              <w:ind w:left="320"/>
              <w:spacing w:after="0"/>
              <w:rPr>
                <w:sz w:val="20"/>
                <w:szCs w:val="20"/>
                <w:color w:val="auto"/>
              </w:rPr>
            </w:pPr>
            <w:r>
              <w:rPr>
                <w:rFonts w:ascii="Arial" w:cs="Arial" w:eastAsia="Arial" w:hAnsi="Arial"/>
                <w:sz w:val="16"/>
                <w:szCs w:val="16"/>
                <w:color w:val="auto"/>
                <w:w w:val="89"/>
              </w:rPr>
              <w:t>631,223,560</w:t>
            </w:r>
          </w:p>
        </w:tc>
        <w:tc>
          <w:tcPr>
            <w:tcW w:w="6080" w:type="dxa"/>
            <w:vAlign w:val="bottom"/>
          </w:tcPr>
          <w:p>
            <w:pPr>
              <w:ind w:left="160"/>
              <w:spacing w:after="0"/>
              <w:rPr>
                <w:sz w:val="20"/>
                <w:szCs w:val="20"/>
                <w:color w:val="auto"/>
              </w:rPr>
            </w:pPr>
            <w:r>
              <w:rPr>
                <w:rFonts w:ascii="Arial" w:cs="Arial" w:eastAsia="Arial" w:hAnsi="Arial"/>
                <w:sz w:val="16"/>
                <w:szCs w:val="16"/>
                <w:color w:val="auto"/>
              </w:rPr>
              <w:t>shares of common stock outstanding, excluding 166 shares held as treasury stock</w:t>
            </w:r>
          </w:p>
        </w:tc>
        <w:tc>
          <w:tcPr>
            <w:tcW w:w="0" w:type="dxa"/>
            <w:vAlign w:val="bottom"/>
          </w:tcPr>
          <w:p>
            <w:pPr>
              <w:spacing w:after="0"/>
              <w:rPr>
                <w:sz w:val="1"/>
                <w:szCs w:val="1"/>
                <w:color w:val="auto"/>
              </w:rPr>
            </w:pPr>
          </w:p>
        </w:tc>
      </w:tr>
      <w:tr>
        <w:trPr>
          <w:trHeight w:val="168"/>
        </w:trPr>
        <w:tc>
          <w:tcPr>
            <w:tcW w:w="3320" w:type="dxa"/>
            <w:vAlign w:val="bottom"/>
            <w:vMerge w:val="restart"/>
          </w:tcPr>
          <w:p>
            <w:pPr>
              <w:spacing w:after="0"/>
              <w:rPr>
                <w:sz w:val="20"/>
                <w:szCs w:val="20"/>
                <w:color w:val="auto"/>
              </w:rPr>
            </w:pPr>
            <w:r>
              <w:rPr>
                <w:rFonts w:ascii="Arial" w:cs="Arial" w:eastAsia="Arial" w:hAnsi="Arial"/>
                <w:sz w:val="16"/>
                <w:szCs w:val="16"/>
                <w:color w:val="auto"/>
              </w:rPr>
              <w:t>CenterPoint Energy Houston Electric, LLC</w:t>
            </w:r>
          </w:p>
        </w:tc>
        <w:tc>
          <w:tcPr>
            <w:tcW w:w="1520" w:type="dxa"/>
            <w:vAlign w:val="bottom"/>
            <w:vMerge w:val="restart"/>
          </w:tcPr>
          <w:p>
            <w:pPr>
              <w:jc w:val="center"/>
              <w:ind w:left="320"/>
              <w:spacing w:after="0"/>
              <w:rPr>
                <w:sz w:val="20"/>
                <w:szCs w:val="20"/>
                <w:color w:val="auto"/>
              </w:rPr>
            </w:pPr>
            <w:r>
              <w:rPr>
                <w:rFonts w:ascii="Arial" w:cs="Arial" w:eastAsia="Arial" w:hAnsi="Arial"/>
                <w:sz w:val="16"/>
                <w:szCs w:val="16"/>
                <w:color w:val="auto"/>
                <w:w w:val="89"/>
              </w:rPr>
              <w:t>1,000</w:t>
            </w:r>
          </w:p>
        </w:tc>
        <w:tc>
          <w:tcPr>
            <w:tcW w:w="6080" w:type="dxa"/>
            <w:vAlign w:val="bottom"/>
          </w:tcPr>
          <w:p>
            <w:pPr>
              <w:ind w:left="160"/>
              <w:spacing w:after="0" w:line="168" w:lineRule="exact"/>
              <w:rPr>
                <w:sz w:val="20"/>
                <w:szCs w:val="20"/>
                <w:color w:val="auto"/>
              </w:rPr>
            </w:pPr>
            <w:r>
              <w:rPr>
                <w:rFonts w:ascii="Arial" w:cs="Arial" w:eastAsia="Arial" w:hAnsi="Arial"/>
                <w:sz w:val="16"/>
                <w:szCs w:val="16"/>
                <w:color w:val="auto"/>
                <w:w w:val="92"/>
              </w:rPr>
              <w:t>common shares outstanding, all held by Utility Holding, LLC, a wholly-owned subsidiary of</w:t>
            </w:r>
          </w:p>
        </w:tc>
        <w:tc>
          <w:tcPr>
            <w:tcW w:w="0" w:type="dxa"/>
            <w:vAlign w:val="bottom"/>
          </w:tcPr>
          <w:p>
            <w:pPr>
              <w:spacing w:after="0"/>
              <w:rPr>
                <w:sz w:val="1"/>
                <w:szCs w:val="1"/>
                <w:color w:val="auto"/>
              </w:rPr>
            </w:pPr>
          </w:p>
        </w:tc>
      </w:tr>
      <w:tr>
        <w:trPr>
          <w:trHeight w:val="204"/>
        </w:trPr>
        <w:tc>
          <w:tcPr>
            <w:tcW w:w="332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6080" w:type="dxa"/>
            <w:vAlign w:val="bottom"/>
          </w:tcPr>
          <w:p>
            <w:pPr>
              <w:ind w:left="160"/>
              <w:spacing w:after="0"/>
              <w:rPr>
                <w:sz w:val="20"/>
                <w:szCs w:val="20"/>
                <w:color w:val="auto"/>
              </w:rPr>
            </w:pPr>
            <w:r>
              <w:rPr>
                <w:rFonts w:ascii="Arial" w:cs="Arial" w:eastAsia="Arial" w:hAnsi="Arial"/>
                <w:sz w:val="16"/>
                <w:szCs w:val="16"/>
                <w:color w:val="auto"/>
              </w:rPr>
              <w:t>CenterPoint Energy, Inc.</w:t>
            </w:r>
          </w:p>
        </w:tc>
        <w:tc>
          <w:tcPr>
            <w:tcW w:w="0" w:type="dxa"/>
            <w:vAlign w:val="bottom"/>
          </w:tcPr>
          <w:p>
            <w:pPr>
              <w:spacing w:after="0"/>
              <w:rPr>
                <w:sz w:val="1"/>
                <w:szCs w:val="1"/>
                <w:color w:val="auto"/>
              </w:rPr>
            </w:pPr>
          </w:p>
        </w:tc>
      </w:tr>
      <w:tr>
        <w:trPr>
          <w:trHeight w:val="168"/>
        </w:trPr>
        <w:tc>
          <w:tcPr>
            <w:tcW w:w="3320" w:type="dxa"/>
            <w:vAlign w:val="bottom"/>
            <w:vMerge w:val="restart"/>
          </w:tcPr>
          <w:p>
            <w:pPr>
              <w:spacing w:after="0"/>
              <w:rPr>
                <w:sz w:val="20"/>
                <w:szCs w:val="20"/>
                <w:color w:val="auto"/>
              </w:rPr>
            </w:pPr>
            <w:r>
              <w:rPr>
                <w:rFonts w:ascii="Arial" w:cs="Arial" w:eastAsia="Arial" w:hAnsi="Arial"/>
                <w:sz w:val="16"/>
                <w:szCs w:val="16"/>
                <w:color w:val="auto"/>
              </w:rPr>
              <w:t>CenterPoint Energy Resources Corp.</w:t>
            </w:r>
          </w:p>
        </w:tc>
        <w:tc>
          <w:tcPr>
            <w:tcW w:w="1520" w:type="dxa"/>
            <w:vAlign w:val="bottom"/>
            <w:vMerge w:val="restart"/>
          </w:tcPr>
          <w:p>
            <w:pPr>
              <w:jc w:val="center"/>
              <w:ind w:left="320"/>
              <w:spacing w:after="0"/>
              <w:rPr>
                <w:sz w:val="20"/>
                <w:szCs w:val="20"/>
                <w:color w:val="auto"/>
              </w:rPr>
            </w:pPr>
            <w:r>
              <w:rPr>
                <w:rFonts w:ascii="Arial" w:cs="Arial" w:eastAsia="Arial" w:hAnsi="Arial"/>
                <w:sz w:val="16"/>
                <w:szCs w:val="16"/>
                <w:color w:val="auto"/>
                <w:w w:val="89"/>
              </w:rPr>
              <w:t>1,000</w:t>
            </w:r>
          </w:p>
        </w:tc>
        <w:tc>
          <w:tcPr>
            <w:tcW w:w="6080" w:type="dxa"/>
            <w:vAlign w:val="bottom"/>
          </w:tcPr>
          <w:p>
            <w:pPr>
              <w:ind w:left="160"/>
              <w:spacing w:after="0" w:line="168" w:lineRule="exact"/>
              <w:rPr>
                <w:sz w:val="20"/>
                <w:szCs w:val="20"/>
                <w:color w:val="auto"/>
              </w:rPr>
            </w:pPr>
            <w:r>
              <w:rPr>
                <w:rFonts w:ascii="Arial" w:cs="Arial" w:eastAsia="Arial" w:hAnsi="Arial"/>
                <w:sz w:val="16"/>
                <w:szCs w:val="16"/>
                <w:color w:val="auto"/>
                <w:w w:val="98"/>
              </w:rPr>
              <w:t>shares of common stock outstanding, all held by Utility Holding, LLC, a wholly-owned</w:t>
            </w:r>
          </w:p>
        </w:tc>
        <w:tc>
          <w:tcPr>
            <w:tcW w:w="0" w:type="dxa"/>
            <w:vAlign w:val="bottom"/>
          </w:tcPr>
          <w:p>
            <w:pPr>
              <w:spacing w:after="0"/>
              <w:rPr>
                <w:sz w:val="1"/>
                <w:szCs w:val="1"/>
                <w:color w:val="auto"/>
              </w:rPr>
            </w:pPr>
          </w:p>
        </w:tc>
      </w:tr>
      <w:tr>
        <w:trPr>
          <w:trHeight w:val="204"/>
        </w:trPr>
        <w:tc>
          <w:tcPr>
            <w:tcW w:w="332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6080" w:type="dxa"/>
            <w:vAlign w:val="bottom"/>
          </w:tcPr>
          <w:p>
            <w:pPr>
              <w:ind w:left="160"/>
              <w:spacing w:after="0"/>
              <w:rPr>
                <w:sz w:val="20"/>
                <w:szCs w:val="20"/>
                <w:color w:val="auto"/>
              </w:rPr>
            </w:pPr>
            <w:r>
              <w:rPr>
                <w:rFonts w:ascii="Arial" w:cs="Arial" w:eastAsia="Arial" w:hAnsi="Arial"/>
                <w:sz w:val="16"/>
                <w:szCs w:val="16"/>
                <w:color w:val="auto"/>
              </w:rPr>
              <w:t>subsidiary of CenterPoint Energy, Inc.</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CenterPoint Energy Houston Electric, LLC and CenterPoint Energy Resources Corp. meet the conditions set forth in General Instructions H(1)(a) and (b) of Form 10-Q and are therefore filing this form with the reduced disclosure format specified in General Instruction H(2) of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558800</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31750</wp:posOffset>
            </wp:positionV>
            <wp:extent cx="71342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60" w:type="dxa"/>
            <w:vAlign w:val="bottom"/>
            <w:gridSpan w:val="10"/>
          </w:tcPr>
          <w:p>
            <w:pPr>
              <w:ind w:left="2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53"/>
        </w:trPr>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PART I.</w:t>
            </w:r>
          </w:p>
        </w:tc>
        <w:tc>
          <w:tcPr>
            <w:tcW w:w="9920" w:type="dxa"/>
            <w:vAlign w:val="bottom"/>
            <w:gridSpan w:val="34"/>
          </w:tcPr>
          <w:p>
            <w:pPr>
              <w:ind w:left="220"/>
              <w:spacing w:after="0"/>
              <w:rPr>
                <w:sz w:val="20"/>
                <w:szCs w:val="20"/>
                <w:color w:val="auto"/>
              </w:rPr>
            </w:pPr>
            <w:r>
              <w:rPr>
                <w:rFonts w:ascii="Arial" w:cs="Arial" w:eastAsia="Arial" w:hAnsi="Arial"/>
                <w:sz w:val="18"/>
                <w:szCs w:val="18"/>
                <w:b w:val="1"/>
                <w:bCs w:val="1"/>
                <w:color w:val="auto"/>
              </w:rPr>
              <w:t>FINANCIAL INFORMATION</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187"/>
        </w:trPr>
        <w:tc>
          <w:tcPr>
            <w:tcW w:w="1000" w:type="dxa"/>
            <w:vAlign w:val="bottom"/>
            <w:shd w:val="clear" w:color="auto" w:fill="CCEEFF"/>
          </w:tcPr>
          <w:p>
            <w:pPr>
              <w:ind w:left="280"/>
              <w:spacing w:after="0" w:line="187" w:lineRule="exact"/>
              <w:rPr>
                <w:sz w:val="20"/>
                <w:szCs w:val="20"/>
                <w:color w:val="auto"/>
              </w:rPr>
            </w:pPr>
            <w:r>
              <w:rPr>
                <w:rFonts w:ascii="Arial" w:cs="Arial" w:eastAsia="Arial" w:hAnsi="Arial"/>
                <w:sz w:val="18"/>
                <w:szCs w:val="18"/>
                <w:color w:val="auto"/>
              </w:rPr>
              <w:t>Item 1.</w:t>
            </w:r>
          </w:p>
        </w:tc>
        <w:tc>
          <w:tcPr>
            <w:tcW w:w="220" w:type="dxa"/>
            <w:vAlign w:val="bottom"/>
            <w:shd w:val="clear" w:color="auto" w:fill="CCEEFF"/>
          </w:tcPr>
          <w:p>
            <w:pPr>
              <w:spacing w:after="0"/>
              <w:rPr>
                <w:sz w:val="16"/>
                <w:szCs w:val="16"/>
                <w:color w:val="auto"/>
              </w:rPr>
            </w:pPr>
          </w:p>
        </w:tc>
        <w:tc>
          <w:tcPr>
            <w:tcW w:w="9700" w:type="dxa"/>
            <w:vAlign w:val="bottom"/>
            <w:tcBorders>
              <w:right w:val="single" w:sz="8" w:color="CCEEFF"/>
            </w:tcBorders>
            <w:gridSpan w:val="33"/>
            <w:shd w:val="clear" w:color="auto" w:fill="CCEEFF"/>
          </w:tcPr>
          <w:p>
            <w:pPr>
              <w:spacing w:after="0" w:line="187" w:lineRule="exact"/>
              <w:rPr>
                <w:sz w:val="20"/>
                <w:szCs w:val="20"/>
                <w:color w:val="auto"/>
              </w:rPr>
            </w:pPr>
            <w:r>
              <w:rPr>
                <w:rFonts w:ascii="Arial" w:cs="Arial" w:eastAsia="Arial" w:hAnsi="Arial"/>
                <w:sz w:val="18"/>
                <w:szCs w:val="18"/>
                <w:color w:val="0000FF"/>
              </w:rPr>
              <w:t>Financial Statements</w:t>
            </w:r>
          </w:p>
        </w:tc>
        <w:tc>
          <w:tcPr>
            <w:tcW w:w="100" w:type="dxa"/>
            <w:vAlign w:val="bottom"/>
            <w:shd w:val="clear" w:color="auto" w:fill="CCEEFF"/>
          </w:tcPr>
          <w:p>
            <w:pPr>
              <w:jc w:val="center"/>
              <w:spacing w:after="0" w:line="187" w:lineRule="exact"/>
              <w:rPr>
                <w:sz w:val="20"/>
                <w:szCs w:val="20"/>
                <w:color w:val="auto"/>
              </w:rPr>
            </w:pPr>
            <w:r>
              <w:rPr>
                <w:rFonts w:ascii="Arial" w:cs="Arial" w:eastAsia="Arial" w:hAnsi="Arial"/>
                <w:sz w:val="18"/>
                <w:szCs w:val="18"/>
                <w:color w:val="0000FF"/>
                <w:w w:val="99"/>
              </w:rPr>
              <w:t>1</w:t>
            </w:r>
          </w:p>
        </w:tc>
        <w:tc>
          <w:tcPr>
            <w:tcW w:w="220" w:type="dxa"/>
            <w:vAlign w:val="bottom"/>
            <w:tcBorders>
              <w:left w:val="single" w:sz="8" w:color="CCEEFF"/>
            </w:tcBorders>
            <w:shd w:val="clear" w:color="auto" w:fill="CCEEFF"/>
          </w:tcPr>
          <w:p>
            <w:pPr>
              <w:spacing w:after="0"/>
              <w:rPr>
                <w:sz w:val="16"/>
                <w:szCs w:val="16"/>
                <w:color w:val="auto"/>
              </w:rPr>
            </w:pPr>
          </w:p>
        </w:tc>
      </w:tr>
      <w:tr>
        <w:trPr>
          <w:trHeight w:val="40"/>
        </w:trPr>
        <w:tc>
          <w:tcPr>
            <w:tcW w:w="10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20" w:type="dxa"/>
            <w:vAlign w:val="bottom"/>
            <w:tcBorders>
              <w:right w:val="single" w:sz="8" w:color="CCEE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334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r>
      <w:tr>
        <w:trPr>
          <w:trHeight w:val="186"/>
        </w:trPr>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700" w:type="dxa"/>
            <w:vAlign w:val="bottom"/>
            <w:gridSpan w:val="33"/>
          </w:tcPr>
          <w:p>
            <w:pPr>
              <w:spacing w:after="0" w:line="186" w:lineRule="exact"/>
              <w:rPr>
                <w:sz w:val="20"/>
                <w:szCs w:val="20"/>
                <w:color w:val="auto"/>
              </w:rPr>
            </w:pPr>
            <w:r>
              <w:rPr>
                <w:rFonts w:ascii="Arial" w:cs="Arial" w:eastAsia="Arial" w:hAnsi="Arial"/>
                <w:sz w:val="18"/>
                <w:szCs w:val="18"/>
                <w:color w:val="0000FF"/>
              </w:rPr>
              <w:t xml:space="preserve">CenterPoint Energy, Inc. Financial Statements </w:t>
            </w:r>
            <w:r>
              <w:rPr>
                <w:rFonts w:ascii="Arial" w:cs="Arial" w:eastAsia="Arial" w:hAnsi="Arial"/>
                <w:sz w:val="18"/>
                <w:szCs w:val="18"/>
                <w:color w:val="000000"/>
              </w:rPr>
              <w:t>(unaudited)</w:t>
            </w:r>
          </w:p>
        </w:tc>
        <w:tc>
          <w:tcPr>
            <w:tcW w:w="100" w:type="dxa"/>
            <w:vAlign w:val="bottom"/>
          </w:tcPr>
          <w:p>
            <w:pPr>
              <w:jc w:val="center"/>
              <w:spacing w:after="0" w:line="186" w:lineRule="exact"/>
              <w:rPr>
                <w:sz w:val="20"/>
                <w:szCs w:val="20"/>
                <w:color w:val="auto"/>
              </w:rPr>
            </w:pPr>
            <w:r>
              <w:rPr>
                <w:rFonts w:ascii="Arial" w:cs="Arial" w:eastAsia="Arial" w:hAnsi="Arial"/>
                <w:sz w:val="18"/>
                <w:szCs w:val="18"/>
                <w:color w:val="0000FF"/>
                <w:w w:val="99"/>
              </w:rPr>
              <w:t>1</w:t>
            </w:r>
          </w:p>
        </w:tc>
        <w:tc>
          <w:tcPr>
            <w:tcW w:w="220" w:type="dxa"/>
            <w:vAlign w:val="bottom"/>
          </w:tcPr>
          <w:p>
            <w:pPr>
              <w:spacing w:after="0"/>
              <w:rPr>
                <w:sz w:val="16"/>
                <w:szCs w:val="16"/>
                <w:color w:val="auto"/>
              </w:rPr>
            </w:pPr>
          </w:p>
        </w:tc>
      </w:tr>
      <w:tr>
        <w:trPr>
          <w:trHeight w:val="30"/>
        </w:trPr>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r>
      <w:tr>
        <w:trPr>
          <w:trHeight w:val="196"/>
        </w:trPr>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700" w:type="dxa"/>
            <w:vAlign w:val="bottom"/>
            <w:tcBorders>
              <w:right w:val="single" w:sz="8" w:color="CCEEFF"/>
            </w:tcBorders>
            <w:gridSpan w:val="33"/>
            <w:shd w:val="clear" w:color="auto" w:fill="CCEEFF"/>
          </w:tcPr>
          <w:p>
            <w:pPr>
              <w:spacing w:after="0" w:line="196" w:lineRule="exact"/>
              <w:rPr>
                <w:sz w:val="20"/>
                <w:szCs w:val="20"/>
                <w:color w:val="auto"/>
              </w:rPr>
            </w:pPr>
            <w:r>
              <w:rPr>
                <w:rFonts w:ascii="Arial" w:cs="Arial" w:eastAsia="Arial" w:hAnsi="Arial"/>
                <w:sz w:val="18"/>
                <w:szCs w:val="18"/>
                <w:color w:val="0000FF"/>
              </w:rPr>
              <w:t xml:space="preserve">CenterPoint Energy Houston Electric, LLC Financial Statements </w:t>
            </w:r>
            <w:r>
              <w:rPr>
                <w:rFonts w:ascii="Arial" w:cs="Arial" w:eastAsia="Arial" w:hAnsi="Arial"/>
                <w:sz w:val="18"/>
                <w:szCs w:val="18"/>
                <w:color w:val="000000"/>
              </w:rPr>
              <w:t>(unaudited)</w:t>
            </w:r>
          </w:p>
        </w:tc>
        <w:tc>
          <w:tcPr>
            <w:tcW w:w="1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0000FF"/>
                <w:w w:val="99"/>
              </w:rPr>
              <w:t>7</w:t>
            </w:r>
          </w:p>
        </w:tc>
        <w:tc>
          <w:tcPr>
            <w:tcW w:w="220" w:type="dxa"/>
            <w:vAlign w:val="bottom"/>
            <w:tcBorders>
              <w:left w:val="single" w:sz="8" w:color="CCEEFF"/>
            </w:tcBorders>
            <w:shd w:val="clear" w:color="auto" w:fill="CCEEFF"/>
          </w:tcPr>
          <w:p>
            <w:pPr>
              <w:spacing w:after="0"/>
              <w:rPr>
                <w:sz w:val="17"/>
                <w:szCs w:val="17"/>
                <w:color w:val="auto"/>
              </w:rPr>
            </w:pPr>
          </w:p>
        </w:tc>
      </w:tr>
      <w:tr>
        <w:trPr>
          <w:trHeight w:val="40"/>
        </w:trPr>
        <w:tc>
          <w:tcPr>
            <w:tcW w:w="10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334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r>
      <w:tr>
        <w:trPr>
          <w:trHeight w:val="186"/>
        </w:trPr>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700" w:type="dxa"/>
            <w:vAlign w:val="bottom"/>
            <w:gridSpan w:val="33"/>
          </w:tcPr>
          <w:p>
            <w:pPr>
              <w:spacing w:after="0" w:line="186" w:lineRule="exact"/>
              <w:rPr>
                <w:sz w:val="20"/>
                <w:szCs w:val="20"/>
                <w:color w:val="auto"/>
              </w:rPr>
            </w:pPr>
            <w:r>
              <w:rPr>
                <w:rFonts w:ascii="Arial" w:cs="Arial" w:eastAsia="Arial" w:hAnsi="Arial"/>
                <w:sz w:val="18"/>
                <w:szCs w:val="18"/>
                <w:color w:val="0000FF"/>
              </w:rPr>
              <w:t xml:space="preserve">CenterPoint Energy Resources Corp. Financial Statements </w:t>
            </w:r>
            <w:r>
              <w:rPr>
                <w:rFonts w:ascii="Arial" w:cs="Arial" w:eastAsia="Arial" w:hAnsi="Arial"/>
                <w:sz w:val="18"/>
                <w:szCs w:val="18"/>
                <w:color w:val="000000"/>
              </w:rPr>
              <w:t>(unaudited)</w:t>
            </w:r>
          </w:p>
        </w:tc>
        <w:tc>
          <w:tcPr>
            <w:tcW w:w="320" w:type="dxa"/>
            <w:vAlign w:val="bottom"/>
            <w:gridSpan w:val="2"/>
          </w:tcPr>
          <w:p>
            <w:pPr>
              <w:jc w:val="center"/>
              <w:ind w:right="180"/>
              <w:spacing w:after="0" w:line="186" w:lineRule="exact"/>
              <w:rPr>
                <w:sz w:val="20"/>
                <w:szCs w:val="20"/>
                <w:color w:val="auto"/>
              </w:rPr>
            </w:pPr>
            <w:r>
              <w:rPr>
                <w:rFonts w:ascii="Arial" w:cs="Arial" w:eastAsia="Arial" w:hAnsi="Arial"/>
                <w:sz w:val="17"/>
                <w:szCs w:val="17"/>
                <w:color w:val="0000FF"/>
                <w:w w:val="73"/>
              </w:rPr>
              <w:t>13</w:t>
            </w:r>
          </w:p>
        </w:tc>
      </w:tr>
      <w:tr>
        <w:trPr>
          <w:trHeight w:val="30"/>
        </w:trPr>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34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left w:val="single" w:sz="8" w:color="0000FF"/>
            </w:tcBorders>
          </w:tcPr>
          <w:p>
            <w:pPr>
              <w:spacing w:after="0"/>
              <w:rPr>
                <w:sz w:val="2"/>
                <w:szCs w:val="2"/>
                <w:color w:val="auto"/>
              </w:rPr>
            </w:pPr>
          </w:p>
        </w:tc>
      </w:tr>
      <w:tr>
        <w:trPr>
          <w:trHeight w:val="216"/>
        </w:trPr>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700" w:type="dxa"/>
            <w:vAlign w:val="bottom"/>
            <w:tcBorders>
              <w:right w:val="single" w:sz="8" w:color="CCEEFF"/>
            </w:tcBorders>
            <w:gridSpan w:val="33"/>
            <w:shd w:val="clear" w:color="auto" w:fill="CCEEFF"/>
          </w:tcPr>
          <w:p>
            <w:pPr>
              <w:spacing w:after="0" w:line="196" w:lineRule="exact"/>
              <w:rPr>
                <w:sz w:val="20"/>
                <w:szCs w:val="20"/>
                <w:color w:val="auto"/>
              </w:rPr>
            </w:pPr>
            <w:r>
              <w:rPr>
                <w:rFonts w:ascii="Arial" w:cs="Arial" w:eastAsia="Arial" w:hAnsi="Arial"/>
                <w:sz w:val="18"/>
                <w:szCs w:val="18"/>
                <w:color w:val="0000FF"/>
              </w:rPr>
              <w:t xml:space="preserve">Combined Notes to Interim Condensed Financial Statements </w:t>
            </w:r>
            <w:r>
              <w:rPr>
                <w:rFonts w:ascii="Arial" w:cs="Arial" w:eastAsia="Arial" w:hAnsi="Arial"/>
                <w:sz w:val="18"/>
                <w:szCs w:val="18"/>
                <w:color w:val="000000"/>
              </w:rPr>
              <w:t>(unaudited)</w:t>
            </w:r>
          </w:p>
        </w:tc>
        <w:tc>
          <w:tcPr>
            <w:tcW w:w="32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0000FF"/>
                <w:w w:val="73"/>
              </w:rPr>
              <w:t>19</w:t>
            </w:r>
          </w:p>
        </w:tc>
      </w:tr>
      <w:tr>
        <w:trPr>
          <w:trHeight w:val="196"/>
        </w:trPr>
        <w:tc>
          <w:tcPr>
            <w:tcW w:w="10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20" w:type="dxa"/>
            <w:vAlign w:val="bottom"/>
            <w:tcBorders>
              <w:top w:val="single" w:sz="8" w:color="0000FF"/>
              <w:bottom w:val="single" w:sz="8" w:color="0000FF"/>
            </w:tcBorders>
          </w:tcPr>
          <w:p>
            <w:pPr>
              <w:spacing w:after="0" w:line="186" w:lineRule="exact"/>
              <w:rPr>
                <w:sz w:val="20"/>
                <w:szCs w:val="20"/>
                <w:color w:val="auto"/>
              </w:rPr>
            </w:pPr>
            <w:r>
              <w:rPr>
                <w:rFonts w:ascii="Arial" w:cs="Arial" w:eastAsia="Arial" w:hAnsi="Arial"/>
                <w:sz w:val="18"/>
                <w:szCs w:val="18"/>
                <w:color w:val="0000FF"/>
                <w:w w:val="90"/>
              </w:rPr>
              <w:t>(1)</w:t>
            </w:r>
          </w:p>
        </w:tc>
        <w:tc>
          <w:tcPr>
            <w:tcW w:w="2740" w:type="dxa"/>
            <w:vAlign w:val="bottom"/>
            <w:tcBorders>
              <w:top w:val="single" w:sz="8" w:color="0000FF"/>
              <w:bottom w:val="single" w:sz="8" w:color="0000FF"/>
            </w:tcBorders>
            <w:gridSpan w:val="18"/>
          </w:tcPr>
          <w:p>
            <w:pPr>
              <w:ind w:left="40"/>
              <w:spacing w:after="0" w:line="186" w:lineRule="exact"/>
              <w:rPr>
                <w:sz w:val="20"/>
                <w:szCs w:val="20"/>
                <w:color w:val="auto"/>
              </w:rPr>
            </w:pPr>
            <w:r>
              <w:rPr>
                <w:rFonts w:ascii="Arial" w:cs="Arial" w:eastAsia="Arial" w:hAnsi="Arial"/>
                <w:sz w:val="18"/>
                <w:szCs w:val="18"/>
                <w:color w:val="0000FF"/>
                <w:w w:val="87"/>
              </w:rPr>
              <w:t>Background and Basis of Presentation</w:t>
            </w:r>
          </w:p>
        </w:tc>
        <w:tc>
          <w:tcPr>
            <w:tcW w:w="1140" w:type="dxa"/>
            <w:vAlign w:val="bottom"/>
            <w:tcBorders>
              <w:top w:val="single" w:sz="8" w:color="0000FF"/>
            </w:tcBorders>
            <w:gridSpan w:val="8"/>
          </w:tcPr>
          <w:p>
            <w:pPr>
              <w:spacing w:after="0"/>
              <w:rPr>
                <w:sz w:val="17"/>
                <w:szCs w:val="17"/>
                <w:color w:val="auto"/>
              </w:rPr>
            </w:pPr>
          </w:p>
        </w:tc>
        <w:tc>
          <w:tcPr>
            <w:tcW w:w="5400" w:type="dxa"/>
            <w:vAlign w:val="bottom"/>
            <w:tcBorders>
              <w:top w:val="single" w:sz="8" w:color="CCEEFF"/>
            </w:tcBorders>
            <w:gridSpan w:val="5"/>
          </w:tcPr>
          <w:p>
            <w:pPr>
              <w:spacing w:after="0"/>
              <w:rPr>
                <w:sz w:val="17"/>
                <w:szCs w:val="17"/>
                <w:color w:val="auto"/>
              </w:rPr>
            </w:pPr>
          </w:p>
        </w:tc>
        <w:tc>
          <w:tcPr>
            <w:tcW w:w="100" w:type="dxa"/>
            <w:vAlign w:val="bottom"/>
            <w:tcBorders>
              <w:top w:val="single" w:sz="8" w:color="0000FF"/>
              <w:bottom w:val="single" w:sz="8" w:color="0000FF"/>
            </w:tcBorders>
          </w:tcPr>
          <w:p>
            <w:pPr>
              <w:jc w:val="center"/>
              <w:spacing w:after="0" w:line="186" w:lineRule="exact"/>
              <w:rPr>
                <w:sz w:val="20"/>
                <w:szCs w:val="20"/>
                <w:color w:val="auto"/>
              </w:rPr>
            </w:pPr>
            <w:r>
              <w:rPr>
                <w:rFonts w:ascii="Arial" w:cs="Arial" w:eastAsia="Arial" w:hAnsi="Arial"/>
                <w:sz w:val="17"/>
                <w:szCs w:val="17"/>
                <w:color w:val="0000FF"/>
                <w:w w:val="73"/>
              </w:rPr>
              <w:t>19</w:t>
            </w:r>
          </w:p>
        </w:tc>
        <w:tc>
          <w:tcPr>
            <w:tcW w:w="220" w:type="dxa"/>
            <w:vAlign w:val="bottom"/>
            <w:tcBorders>
              <w:top w:val="single" w:sz="8" w:color="CCEEFF"/>
            </w:tcBorders>
          </w:tcPr>
          <w:p>
            <w:pPr>
              <w:spacing w:after="0"/>
              <w:rPr>
                <w:sz w:val="17"/>
                <w:szCs w:val="17"/>
                <w:color w:val="auto"/>
              </w:rPr>
            </w:pPr>
          </w:p>
        </w:tc>
      </w:tr>
      <w:tr>
        <w:trPr>
          <w:trHeight w:val="216"/>
        </w:trPr>
        <w:tc>
          <w:tcPr>
            <w:tcW w:w="10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0000FF"/>
                <w:w w:val="90"/>
              </w:rPr>
              <w:t>(2)</w:t>
            </w:r>
          </w:p>
        </w:tc>
        <w:tc>
          <w:tcPr>
            <w:tcW w:w="9280" w:type="dxa"/>
            <w:vAlign w:val="bottom"/>
            <w:tcBorders>
              <w:right w:val="single" w:sz="8" w:color="CCEEFF"/>
            </w:tcBorders>
            <w:gridSpan w:val="31"/>
            <w:shd w:val="clear" w:color="auto" w:fill="CCEEFF"/>
          </w:tcPr>
          <w:p>
            <w:pPr>
              <w:ind w:left="40"/>
              <w:spacing w:after="0" w:line="196" w:lineRule="exact"/>
              <w:rPr>
                <w:sz w:val="20"/>
                <w:szCs w:val="20"/>
                <w:color w:val="auto"/>
              </w:rPr>
            </w:pPr>
            <w:r>
              <w:rPr>
                <w:rFonts w:ascii="Arial" w:cs="Arial" w:eastAsia="Arial" w:hAnsi="Arial"/>
                <w:sz w:val="18"/>
                <w:szCs w:val="18"/>
                <w:color w:val="0000FF"/>
              </w:rPr>
              <w:t>New Accounting Pronouncements</w:t>
            </w:r>
          </w:p>
        </w:tc>
        <w:tc>
          <w:tcPr>
            <w:tcW w:w="32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0000FF"/>
                <w:w w:val="73"/>
              </w:rPr>
              <w:t>20</w:t>
            </w:r>
          </w:p>
        </w:tc>
      </w:tr>
      <w:tr>
        <w:trPr>
          <w:trHeight w:val="186"/>
        </w:trPr>
        <w:tc>
          <w:tcPr>
            <w:tcW w:w="100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gridSpan w:val="2"/>
          </w:tcPr>
          <w:p>
            <w:pPr>
              <w:spacing w:after="0"/>
              <w:rPr>
                <w:sz w:val="16"/>
                <w:szCs w:val="16"/>
                <w:color w:val="auto"/>
              </w:rPr>
            </w:pPr>
          </w:p>
        </w:tc>
        <w:tc>
          <w:tcPr>
            <w:tcW w:w="220" w:type="dxa"/>
            <w:vAlign w:val="bottom"/>
            <w:tcBorders>
              <w:top w:val="single" w:sz="8" w:color="0000FF"/>
            </w:tcBorders>
          </w:tcPr>
          <w:p>
            <w:pPr>
              <w:spacing w:after="0" w:line="186" w:lineRule="exact"/>
              <w:rPr>
                <w:sz w:val="20"/>
                <w:szCs w:val="20"/>
                <w:color w:val="auto"/>
              </w:rPr>
            </w:pPr>
            <w:r>
              <w:rPr>
                <w:rFonts w:ascii="Arial" w:cs="Arial" w:eastAsia="Arial" w:hAnsi="Arial"/>
                <w:sz w:val="18"/>
                <w:szCs w:val="18"/>
                <w:color w:val="0000FF"/>
                <w:w w:val="90"/>
              </w:rPr>
              <w:t>(3)</w:t>
            </w:r>
          </w:p>
        </w:tc>
        <w:tc>
          <w:tcPr>
            <w:tcW w:w="2460" w:type="dxa"/>
            <w:vAlign w:val="bottom"/>
            <w:tcBorders>
              <w:top w:val="single" w:sz="8" w:color="0000FF"/>
            </w:tcBorders>
            <w:gridSpan w:val="16"/>
          </w:tcPr>
          <w:p>
            <w:pPr>
              <w:ind w:left="40"/>
              <w:spacing w:after="0" w:line="186" w:lineRule="exact"/>
              <w:rPr>
                <w:sz w:val="20"/>
                <w:szCs w:val="20"/>
                <w:color w:val="auto"/>
              </w:rPr>
            </w:pPr>
            <w:r>
              <w:rPr>
                <w:rFonts w:ascii="Arial" w:cs="Arial" w:eastAsia="Arial" w:hAnsi="Arial"/>
                <w:sz w:val="18"/>
                <w:szCs w:val="18"/>
                <w:color w:val="0000FF"/>
              </w:rPr>
              <w:t>Divestitures</w:t>
            </w:r>
          </w:p>
        </w:tc>
        <w:tc>
          <w:tcPr>
            <w:tcW w:w="6820" w:type="dxa"/>
            <w:vAlign w:val="bottom"/>
            <w:tcBorders>
              <w:top w:val="single" w:sz="8" w:color="CCEEFF"/>
            </w:tcBorders>
            <w:gridSpan w:val="15"/>
          </w:tcPr>
          <w:p>
            <w:pPr>
              <w:spacing w:after="0"/>
              <w:rPr>
                <w:sz w:val="16"/>
                <w:szCs w:val="16"/>
                <w:color w:val="auto"/>
              </w:rPr>
            </w:pPr>
          </w:p>
        </w:tc>
        <w:tc>
          <w:tcPr>
            <w:tcW w:w="100" w:type="dxa"/>
            <w:vAlign w:val="bottom"/>
            <w:tcBorders>
              <w:top w:val="single" w:sz="8" w:color="0000FF"/>
            </w:tcBorders>
          </w:tcPr>
          <w:p>
            <w:pPr>
              <w:jc w:val="center"/>
              <w:spacing w:after="0" w:line="186" w:lineRule="exact"/>
              <w:rPr>
                <w:sz w:val="20"/>
                <w:szCs w:val="20"/>
                <w:color w:val="auto"/>
              </w:rPr>
            </w:pPr>
            <w:r>
              <w:rPr>
                <w:rFonts w:ascii="Arial" w:cs="Arial" w:eastAsia="Arial" w:hAnsi="Arial"/>
                <w:sz w:val="17"/>
                <w:szCs w:val="17"/>
                <w:color w:val="0000FF"/>
                <w:w w:val="73"/>
              </w:rPr>
              <w:t>20</w:t>
            </w:r>
          </w:p>
        </w:tc>
        <w:tc>
          <w:tcPr>
            <w:tcW w:w="220" w:type="dxa"/>
            <w:vAlign w:val="bottom"/>
            <w:tcBorders>
              <w:top w:val="single" w:sz="8" w:color="CCEEFF"/>
            </w:tcBorders>
          </w:tcPr>
          <w:p>
            <w:pPr>
              <w:spacing w:after="0"/>
              <w:rPr>
                <w:sz w:val="16"/>
                <w:szCs w:val="16"/>
                <w:color w:val="auto"/>
              </w:rPr>
            </w:pPr>
          </w:p>
        </w:tc>
      </w:tr>
      <w:tr>
        <w:trPr>
          <w:trHeight w:val="30"/>
        </w:trPr>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34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left w:val="single" w:sz="8" w:color="0000FF"/>
            </w:tcBorders>
          </w:tcPr>
          <w:p>
            <w:pPr>
              <w:spacing w:after="0"/>
              <w:rPr>
                <w:sz w:val="2"/>
                <w:szCs w:val="2"/>
                <w:color w:val="auto"/>
              </w:rPr>
            </w:pPr>
          </w:p>
        </w:tc>
      </w:tr>
      <w:tr>
        <w:trPr>
          <w:trHeight w:val="216"/>
        </w:trPr>
        <w:tc>
          <w:tcPr>
            <w:tcW w:w="10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gridSpan w:val="2"/>
            <w:shd w:val="clear" w:color="auto" w:fill="CCEEFF"/>
          </w:tcPr>
          <w:p>
            <w:pPr>
              <w:spacing w:after="0"/>
              <w:rPr>
                <w:sz w:val="18"/>
                <w:szCs w:val="18"/>
                <w:color w:val="auto"/>
              </w:rPr>
            </w:pPr>
          </w:p>
        </w:tc>
        <w:tc>
          <w:tcPr>
            <w:tcW w:w="220" w:type="dxa"/>
            <w:vAlign w:val="bottom"/>
            <w:tcBorders>
              <w:bottom w:val="single" w:sz="8" w:color="0000FF"/>
            </w:tcBorders>
            <w:shd w:val="clear" w:color="auto" w:fill="CCEEFF"/>
          </w:tcPr>
          <w:p>
            <w:pPr>
              <w:spacing w:after="0" w:line="196" w:lineRule="exact"/>
              <w:rPr>
                <w:sz w:val="20"/>
                <w:szCs w:val="20"/>
                <w:color w:val="auto"/>
              </w:rPr>
            </w:pPr>
            <w:r>
              <w:rPr>
                <w:rFonts w:ascii="Arial" w:cs="Arial" w:eastAsia="Arial" w:hAnsi="Arial"/>
                <w:sz w:val="18"/>
                <w:szCs w:val="18"/>
                <w:color w:val="0000FF"/>
                <w:w w:val="90"/>
              </w:rPr>
              <w:t>(4)</w:t>
            </w:r>
          </w:p>
        </w:tc>
        <w:tc>
          <w:tcPr>
            <w:tcW w:w="3940" w:type="dxa"/>
            <w:vAlign w:val="bottom"/>
            <w:tcBorders>
              <w:bottom w:val="single" w:sz="8" w:color="0000FF"/>
            </w:tcBorders>
            <w:gridSpan w:val="27"/>
            <w:shd w:val="clear" w:color="auto" w:fill="CCEEFF"/>
          </w:tcPr>
          <w:p>
            <w:pPr>
              <w:ind w:left="40"/>
              <w:spacing w:after="0" w:line="196" w:lineRule="exact"/>
              <w:rPr>
                <w:sz w:val="20"/>
                <w:szCs w:val="20"/>
                <w:color w:val="auto"/>
              </w:rPr>
            </w:pPr>
            <w:r>
              <w:rPr>
                <w:rFonts w:ascii="Arial" w:cs="Arial" w:eastAsia="Arial" w:hAnsi="Arial"/>
                <w:sz w:val="18"/>
                <w:szCs w:val="18"/>
                <w:color w:val="0000FF"/>
                <w:w w:val="89"/>
              </w:rPr>
              <w:t>Revenue Recognition and Allowance for Credit Losses</w:t>
            </w:r>
          </w:p>
        </w:tc>
        <w:tc>
          <w:tcPr>
            <w:tcW w:w="5340" w:type="dxa"/>
            <w:vAlign w:val="bottom"/>
            <w:tcBorders>
              <w:bottom w:val="single" w:sz="8" w:color="CCEEFF"/>
              <w:right w:val="single" w:sz="8" w:color="CCEEFF"/>
            </w:tcBorders>
            <w:gridSpan w:val="4"/>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rPr>
                <w:sz w:val="20"/>
                <w:szCs w:val="20"/>
                <w:color w:val="auto"/>
              </w:rPr>
            </w:pPr>
            <w:r>
              <w:rPr>
                <w:rFonts w:ascii="Arial" w:cs="Arial" w:eastAsia="Arial" w:hAnsi="Arial"/>
                <w:sz w:val="17"/>
                <w:szCs w:val="17"/>
                <w:color w:val="0000FF"/>
                <w:w w:val="73"/>
              </w:rPr>
              <w:t>21</w:t>
            </w:r>
          </w:p>
        </w:tc>
        <w:tc>
          <w:tcPr>
            <w:tcW w:w="220" w:type="dxa"/>
            <w:vAlign w:val="bottom"/>
            <w:tcBorders>
              <w:left w:val="single" w:sz="8" w:color="CCEEFF"/>
              <w:bottom w:val="single" w:sz="8" w:color="CCEEFF"/>
            </w:tcBorders>
            <w:shd w:val="clear" w:color="auto" w:fill="CCEEFF"/>
          </w:tcPr>
          <w:p>
            <w:pPr>
              <w:spacing w:after="0"/>
              <w:rPr>
                <w:sz w:val="18"/>
                <w:szCs w:val="18"/>
                <w:color w:val="auto"/>
              </w:rPr>
            </w:pPr>
          </w:p>
        </w:tc>
      </w:tr>
      <w:tr>
        <w:trPr>
          <w:trHeight w:val="196"/>
        </w:trPr>
        <w:tc>
          <w:tcPr>
            <w:tcW w:w="100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220" w:type="dxa"/>
            <w:vAlign w:val="bottom"/>
          </w:tcPr>
          <w:p>
            <w:pPr>
              <w:spacing w:after="0" w:line="186" w:lineRule="exact"/>
              <w:rPr>
                <w:sz w:val="20"/>
                <w:szCs w:val="20"/>
                <w:color w:val="auto"/>
              </w:rPr>
            </w:pPr>
            <w:r>
              <w:rPr>
                <w:rFonts w:ascii="Arial" w:cs="Arial" w:eastAsia="Arial" w:hAnsi="Arial"/>
                <w:sz w:val="18"/>
                <w:szCs w:val="18"/>
                <w:color w:val="0000FF"/>
                <w:w w:val="90"/>
              </w:rPr>
              <w:t>(5)</w:t>
            </w:r>
          </w:p>
        </w:tc>
        <w:tc>
          <w:tcPr>
            <w:tcW w:w="9280" w:type="dxa"/>
            <w:vAlign w:val="bottom"/>
            <w:gridSpan w:val="31"/>
          </w:tcPr>
          <w:p>
            <w:pPr>
              <w:ind w:left="40"/>
              <w:spacing w:after="0" w:line="186" w:lineRule="exact"/>
              <w:rPr>
                <w:sz w:val="20"/>
                <w:szCs w:val="20"/>
                <w:color w:val="auto"/>
              </w:rPr>
            </w:pPr>
            <w:r>
              <w:rPr>
                <w:rFonts w:ascii="Arial" w:cs="Arial" w:eastAsia="Arial" w:hAnsi="Arial"/>
                <w:sz w:val="18"/>
                <w:szCs w:val="18"/>
                <w:color w:val="0000FF"/>
              </w:rPr>
              <w:t>Employee Benefit Plans</w:t>
            </w:r>
          </w:p>
        </w:tc>
        <w:tc>
          <w:tcPr>
            <w:tcW w:w="320" w:type="dxa"/>
            <w:vAlign w:val="bottom"/>
            <w:gridSpan w:val="2"/>
          </w:tcPr>
          <w:p>
            <w:pPr>
              <w:jc w:val="center"/>
              <w:ind w:right="180"/>
              <w:spacing w:after="0" w:line="186" w:lineRule="exact"/>
              <w:rPr>
                <w:sz w:val="20"/>
                <w:szCs w:val="20"/>
                <w:color w:val="auto"/>
              </w:rPr>
            </w:pPr>
            <w:r>
              <w:rPr>
                <w:rFonts w:ascii="Arial" w:cs="Arial" w:eastAsia="Arial" w:hAnsi="Arial"/>
                <w:sz w:val="17"/>
                <w:szCs w:val="17"/>
                <w:color w:val="0000FF"/>
                <w:w w:val="73"/>
              </w:rPr>
              <w:t>25</w:t>
            </w:r>
          </w:p>
        </w:tc>
      </w:tr>
      <w:tr>
        <w:trPr>
          <w:trHeight w:val="196"/>
        </w:trPr>
        <w:tc>
          <w:tcPr>
            <w:tcW w:w="10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line="196" w:lineRule="exact"/>
              <w:rPr>
                <w:sz w:val="20"/>
                <w:szCs w:val="20"/>
                <w:color w:val="auto"/>
              </w:rPr>
            </w:pPr>
            <w:r>
              <w:rPr>
                <w:rFonts w:ascii="Arial" w:cs="Arial" w:eastAsia="Arial" w:hAnsi="Arial"/>
                <w:sz w:val="18"/>
                <w:szCs w:val="18"/>
                <w:color w:val="0000FF"/>
                <w:w w:val="90"/>
              </w:rPr>
              <w:t>(6)</w:t>
            </w:r>
          </w:p>
        </w:tc>
        <w:tc>
          <w:tcPr>
            <w:tcW w:w="1740" w:type="dxa"/>
            <w:vAlign w:val="bottom"/>
            <w:tcBorders>
              <w:top w:val="single" w:sz="8" w:color="0000FF"/>
            </w:tcBorders>
            <w:gridSpan w:val="11"/>
            <w:shd w:val="clear" w:color="auto" w:fill="CCEEFF"/>
          </w:tcPr>
          <w:p>
            <w:pPr>
              <w:ind w:left="40"/>
              <w:spacing w:after="0" w:line="196" w:lineRule="exact"/>
              <w:rPr>
                <w:sz w:val="20"/>
                <w:szCs w:val="20"/>
                <w:color w:val="auto"/>
              </w:rPr>
            </w:pPr>
            <w:r>
              <w:rPr>
                <w:rFonts w:ascii="Arial" w:cs="Arial" w:eastAsia="Arial" w:hAnsi="Arial"/>
                <w:sz w:val="18"/>
                <w:szCs w:val="18"/>
                <w:color w:val="0000FF"/>
              </w:rPr>
              <w:t>Regulatory Matters</w:t>
            </w:r>
          </w:p>
        </w:tc>
        <w:tc>
          <w:tcPr>
            <w:tcW w:w="7540" w:type="dxa"/>
            <w:vAlign w:val="bottom"/>
            <w:tcBorders>
              <w:right w:val="single" w:sz="8" w:color="CCEEFF"/>
            </w:tcBorders>
            <w:gridSpan w:val="20"/>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jc w:val="center"/>
              <w:spacing w:after="0"/>
              <w:rPr>
                <w:sz w:val="20"/>
                <w:szCs w:val="20"/>
                <w:color w:val="auto"/>
              </w:rPr>
            </w:pPr>
            <w:r>
              <w:rPr>
                <w:rFonts w:ascii="Arial" w:cs="Arial" w:eastAsia="Arial" w:hAnsi="Arial"/>
                <w:sz w:val="17"/>
                <w:szCs w:val="17"/>
                <w:color w:val="0000FF"/>
                <w:w w:val="73"/>
              </w:rPr>
              <w:t>26</w:t>
            </w:r>
          </w:p>
        </w:tc>
        <w:tc>
          <w:tcPr>
            <w:tcW w:w="220" w:type="dxa"/>
            <w:vAlign w:val="bottom"/>
            <w:tcBorders>
              <w:left w:val="single" w:sz="8" w:color="CCEEFF"/>
            </w:tcBorders>
            <w:shd w:val="clear" w:color="auto" w:fill="CCEEFF"/>
          </w:tcPr>
          <w:p>
            <w:pPr>
              <w:spacing w:after="0"/>
              <w:rPr>
                <w:sz w:val="17"/>
                <w:szCs w:val="17"/>
                <w:color w:val="auto"/>
              </w:rPr>
            </w:pPr>
          </w:p>
        </w:tc>
      </w:tr>
      <w:tr>
        <w:trPr>
          <w:trHeight w:val="40"/>
        </w:trPr>
        <w:tc>
          <w:tcPr>
            <w:tcW w:w="10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334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CCEEFF"/>
          </w:tcPr>
          <w:p>
            <w:pPr>
              <w:spacing w:after="0"/>
              <w:rPr>
                <w:sz w:val="3"/>
                <w:szCs w:val="3"/>
                <w:color w:val="auto"/>
              </w:rPr>
            </w:pPr>
          </w:p>
        </w:tc>
      </w:tr>
      <w:tr>
        <w:trPr>
          <w:trHeight w:val="196"/>
        </w:trPr>
        <w:tc>
          <w:tcPr>
            <w:tcW w:w="100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220" w:type="dxa"/>
            <w:vAlign w:val="bottom"/>
            <w:tcBorders>
              <w:bottom w:val="single" w:sz="8" w:color="0000FF"/>
            </w:tcBorders>
          </w:tcPr>
          <w:p>
            <w:pPr>
              <w:spacing w:after="0" w:line="186" w:lineRule="exact"/>
              <w:rPr>
                <w:sz w:val="20"/>
                <w:szCs w:val="20"/>
                <w:color w:val="auto"/>
              </w:rPr>
            </w:pPr>
            <w:r>
              <w:rPr>
                <w:rFonts w:ascii="Arial" w:cs="Arial" w:eastAsia="Arial" w:hAnsi="Arial"/>
                <w:sz w:val="18"/>
                <w:szCs w:val="18"/>
                <w:color w:val="0000FF"/>
                <w:w w:val="90"/>
              </w:rPr>
              <w:t>(7)</w:t>
            </w:r>
          </w:p>
        </w:tc>
        <w:tc>
          <w:tcPr>
            <w:tcW w:w="1660" w:type="dxa"/>
            <w:vAlign w:val="bottom"/>
            <w:tcBorders>
              <w:bottom w:val="single" w:sz="8" w:color="0000FF"/>
            </w:tcBorders>
            <w:gridSpan w:val="10"/>
          </w:tcPr>
          <w:p>
            <w:pPr>
              <w:ind w:left="40"/>
              <w:spacing w:after="0" w:line="186" w:lineRule="exact"/>
              <w:rPr>
                <w:sz w:val="20"/>
                <w:szCs w:val="20"/>
                <w:color w:val="auto"/>
              </w:rPr>
            </w:pPr>
            <w:r>
              <w:rPr>
                <w:rFonts w:ascii="Arial" w:cs="Arial" w:eastAsia="Arial" w:hAnsi="Arial"/>
                <w:sz w:val="18"/>
                <w:szCs w:val="18"/>
                <w:color w:val="0000FF"/>
                <w:w w:val="89"/>
              </w:rPr>
              <w:t>Derivative Instruments</w:t>
            </w:r>
          </w:p>
        </w:tc>
        <w:tc>
          <w:tcPr>
            <w:tcW w:w="7620" w:type="dxa"/>
            <w:vAlign w:val="bottom"/>
            <w:gridSpan w:val="21"/>
          </w:tcPr>
          <w:p>
            <w:pPr>
              <w:spacing w:after="0"/>
              <w:rPr>
                <w:sz w:val="17"/>
                <w:szCs w:val="17"/>
                <w:color w:val="auto"/>
              </w:rPr>
            </w:pPr>
          </w:p>
        </w:tc>
        <w:tc>
          <w:tcPr>
            <w:tcW w:w="100" w:type="dxa"/>
            <w:vAlign w:val="bottom"/>
            <w:tcBorders>
              <w:bottom w:val="single" w:sz="8" w:color="0000FF"/>
            </w:tcBorders>
          </w:tcPr>
          <w:p>
            <w:pPr>
              <w:jc w:val="center"/>
              <w:spacing w:after="0" w:line="186" w:lineRule="exact"/>
              <w:rPr>
                <w:sz w:val="20"/>
                <w:szCs w:val="20"/>
                <w:color w:val="auto"/>
              </w:rPr>
            </w:pPr>
            <w:r>
              <w:rPr>
                <w:rFonts w:ascii="Arial" w:cs="Arial" w:eastAsia="Arial" w:hAnsi="Arial"/>
                <w:sz w:val="17"/>
                <w:szCs w:val="17"/>
                <w:color w:val="0000FF"/>
                <w:w w:val="73"/>
              </w:rPr>
              <w:t>29</w:t>
            </w:r>
          </w:p>
        </w:tc>
        <w:tc>
          <w:tcPr>
            <w:tcW w:w="220" w:type="dxa"/>
            <w:vAlign w:val="bottom"/>
          </w:tcPr>
          <w:p>
            <w:pPr>
              <w:spacing w:after="0"/>
              <w:rPr>
                <w:sz w:val="17"/>
                <w:szCs w:val="17"/>
                <w:color w:val="auto"/>
              </w:rPr>
            </w:pPr>
          </w:p>
        </w:tc>
      </w:tr>
      <w:tr>
        <w:trPr>
          <w:trHeight w:val="196"/>
        </w:trPr>
        <w:tc>
          <w:tcPr>
            <w:tcW w:w="10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0000FF"/>
                <w:w w:val="90"/>
              </w:rPr>
              <w:t>(8)</w:t>
            </w:r>
          </w:p>
        </w:tc>
        <w:tc>
          <w:tcPr>
            <w:tcW w:w="9280" w:type="dxa"/>
            <w:vAlign w:val="bottom"/>
            <w:tcBorders>
              <w:right w:val="single" w:sz="8" w:color="CCEEFF"/>
            </w:tcBorders>
            <w:gridSpan w:val="31"/>
            <w:shd w:val="clear" w:color="auto" w:fill="CCEEFF"/>
          </w:tcPr>
          <w:p>
            <w:pPr>
              <w:ind w:left="40"/>
              <w:spacing w:after="0" w:line="196" w:lineRule="exact"/>
              <w:rPr>
                <w:sz w:val="20"/>
                <w:szCs w:val="20"/>
                <w:color w:val="auto"/>
              </w:rPr>
            </w:pPr>
            <w:r>
              <w:rPr>
                <w:rFonts w:ascii="Arial" w:cs="Arial" w:eastAsia="Arial" w:hAnsi="Arial"/>
                <w:sz w:val="18"/>
                <w:szCs w:val="18"/>
                <w:color w:val="0000FF"/>
              </w:rPr>
              <w:t>Fair Value Measurements</w:t>
            </w:r>
          </w:p>
        </w:tc>
        <w:tc>
          <w:tcPr>
            <w:tcW w:w="32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0000FF"/>
                <w:w w:val="73"/>
              </w:rPr>
              <w:t>31</w:t>
            </w:r>
          </w:p>
        </w:tc>
      </w:tr>
      <w:tr>
        <w:trPr>
          <w:trHeight w:val="40"/>
        </w:trPr>
        <w:tc>
          <w:tcPr>
            <w:tcW w:w="10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334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CCEEFF"/>
          </w:tcPr>
          <w:p>
            <w:pPr>
              <w:spacing w:after="0"/>
              <w:rPr>
                <w:sz w:val="3"/>
                <w:szCs w:val="3"/>
                <w:color w:val="auto"/>
              </w:rPr>
            </w:pPr>
          </w:p>
        </w:tc>
      </w:tr>
      <w:tr>
        <w:trPr>
          <w:trHeight w:val="196"/>
        </w:trPr>
        <w:tc>
          <w:tcPr>
            <w:tcW w:w="100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220" w:type="dxa"/>
            <w:vAlign w:val="bottom"/>
            <w:tcBorders>
              <w:bottom w:val="single" w:sz="8" w:color="0000FF"/>
            </w:tcBorders>
          </w:tcPr>
          <w:p>
            <w:pPr>
              <w:spacing w:after="0" w:line="186" w:lineRule="exact"/>
              <w:rPr>
                <w:sz w:val="20"/>
                <w:szCs w:val="20"/>
                <w:color w:val="auto"/>
              </w:rPr>
            </w:pPr>
            <w:r>
              <w:rPr>
                <w:rFonts w:ascii="Arial" w:cs="Arial" w:eastAsia="Arial" w:hAnsi="Arial"/>
                <w:sz w:val="18"/>
                <w:szCs w:val="18"/>
                <w:color w:val="0000FF"/>
                <w:w w:val="90"/>
              </w:rPr>
              <w:t>(9)</w:t>
            </w:r>
          </w:p>
        </w:tc>
        <w:tc>
          <w:tcPr>
            <w:tcW w:w="2280" w:type="dxa"/>
            <w:vAlign w:val="bottom"/>
            <w:tcBorders>
              <w:bottom w:val="single" w:sz="8" w:color="0000FF"/>
            </w:tcBorders>
            <w:gridSpan w:val="14"/>
          </w:tcPr>
          <w:p>
            <w:pPr>
              <w:ind w:left="40"/>
              <w:spacing w:after="0" w:line="186" w:lineRule="exact"/>
              <w:rPr>
                <w:sz w:val="20"/>
                <w:szCs w:val="20"/>
                <w:color w:val="auto"/>
              </w:rPr>
            </w:pPr>
            <w:r>
              <w:rPr>
                <w:rFonts w:ascii="Arial" w:cs="Arial" w:eastAsia="Arial" w:hAnsi="Arial"/>
                <w:sz w:val="18"/>
                <w:szCs w:val="18"/>
                <w:color w:val="0000FF"/>
                <w:w w:val="90"/>
              </w:rPr>
              <w:t>Goodwill and Other Intangibles</w:t>
            </w:r>
          </w:p>
        </w:tc>
        <w:tc>
          <w:tcPr>
            <w:tcW w:w="7000" w:type="dxa"/>
            <w:vAlign w:val="bottom"/>
            <w:gridSpan w:val="17"/>
          </w:tcPr>
          <w:p>
            <w:pPr>
              <w:spacing w:after="0"/>
              <w:rPr>
                <w:sz w:val="17"/>
                <w:szCs w:val="17"/>
                <w:color w:val="auto"/>
              </w:rPr>
            </w:pPr>
          </w:p>
        </w:tc>
        <w:tc>
          <w:tcPr>
            <w:tcW w:w="100" w:type="dxa"/>
            <w:vAlign w:val="bottom"/>
            <w:tcBorders>
              <w:bottom w:val="single" w:sz="8" w:color="0000FF"/>
            </w:tcBorders>
          </w:tcPr>
          <w:p>
            <w:pPr>
              <w:jc w:val="center"/>
              <w:spacing w:after="0" w:line="186" w:lineRule="exact"/>
              <w:rPr>
                <w:sz w:val="20"/>
                <w:szCs w:val="20"/>
                <w:color w:val="auto"/>
              </w:rPr>
            </w:pPr>
            <w:r>
              <w:rPr>
                <w:rFonts w:ascii="Arial" w:cs="Arial" w:eastAsia="Arial" w:hAnsi="Arial"/>
                <w:sz w:val="17"/>
                <w:szCs w:val="17"/>
                <w:color w:val="0000FF"/>
                <w:w w:val="73"/>
              </w:rPr>
              <w:t>33</w:t>
            </w:r>
          </w:p>
        </w:tc>
        <w:tc>
          <w:tcPr>
            <w:tcW w:w="220" w:type="dxa"/>
            <w:vAlign w:val="bottom"/>
          </w:tcPr>
          <w:p>
            <w:pPr>
              <w:spacing w:after="0"/>
              <w:rPr>
                <w:sz w:val="17"/>
                <w:szCs w:val="17"/>
                <w:color w:val="auto"/>
              </w:rPr>
            </w:pPr>
          </w:p>
        </w:tc>
      </w:tr>
      <w:tr>
        <w:trPr>
          <w:trHeight w:val="216"/>
        </w:trPr>
        <w:tc>
          <w:tcPr>
            <w:tcW w:w="10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0000FF"/>
                <w:w w:val="93"/>
              </w:rPr>
              <w:t>(10)</w:t>
            </w:r>
          </w:p>
        </w:tc>
        <w:tc>
          <w:tcPr>
            <w:tcW w:w="9180" w:type="dxa"/>
            <w:vAlign w:val="bottom"/>
            <w:tcBorders>
              <w:right w:val="single" w:sz="8" w:color="CCEEFF"/>
            </w:tcBorders>
            <w:gridSpan w:val="30"/>
            <w:shd w:val="clear" w:color="auto" w:fill="CCEEFF"/>
          </w:tcPr>
          <w:p>
            <w:pPr>
              <w:ind w:left="20"/>
              <w:spacing w:after="0" w:line="196" w:lineRule="exact"/>
              <w:rPr>
                <w:sz w:val="20"/>
                <w:szCs w:val="20"/>
                <w:color w:val="auto"/>
              </w:rPr>
            </w:pPr>
            <w:r>
              <w:rPr>
                <w:rFonts w:ascii="Arial" w:cs="Arial" w:eastAsia="Arial" w:hAnsi="Arial"/>
                <w:sz w:val="18"/>
                <w:szCs w:val="18"/>
                <w:color w:val="0000FF"/>
              </w:rPr>
              <w:t>Equity Securities and Indexed Debt Securities (ZENS)</w:t>
            </w:r>
          </w:p>
        </w:tc>
        <w:tc>
          <w:tcPr>
            <w:tcW w:w="32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0000FF"/>
                <w:w w:val="73"/>
              </w:rPr>
              <w:t>34</w:t>
            </w:r>
          </w:p>
        </w:tc>
      </w:tr>
      <w:tr>
        <w:trPr>
          <w:trHeight w:val="196"/>
        </w:trPr>
        <w:tc>
          <w:tcPr>
            <w:tcW w:w="10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480" w:type="dxa"/>
            <w:vAlign w:val="bottom"/>
            <w:tcBorders>
              <w:top w:val="single" w:sz="8" w:color="0000FF"/>
              <w:bottom w:val="single" w:sz="8" w:color="0000FF"/>
            </w:tcBorders>
            <w:gridSpan w:val="23"/>
          </w:tcPr>
          <w:p>
            <w:pPr>
              <w:spacing w:after="0" w:line="186" w:lineRule="exact"/>
              <w:rPr>
                <w:sz w:val="20"/>
                <w:szCs w:val="20"/>
                <w:color w:val="auto"/>
              </w:rPr>
            </w:pPr>
            <w:r>
              <w:rPr>
                <w:rFonts w:ascii="Arial" w:cs="Arial" w:eastAsia="Arial" w:hAnsi="Arial"/>
                <w:sz w:val="18"/>
                <w:szCs w:val="18"/>
                <w:color w:val="0000FF"/>
                <w:w w:val="90"/>
              </w:rPr>
              <w:t>(11) Short-term Borrowings and Long-term Debt</w:t>
            </w:r>
          </w:p>
        </w:tc>
        <w:tc>
          <w:tcPr>
            <w:tcW w:w="720" w:type="dxa"/>
            <w:vAlign w:val="bottom"/>
            <w:tcBorders>
              <w:top w:val="single" w:sz="8" w:color="0000FF"/>
            </w:tcBorders>
            <w:gridSpan w:val="6"/>
          </w:tcPr>
          <w:p>
            <w:pPr>
              <w:spacing w:after="0"/>
              <w:rPr>
                <w:sz w:val="17"/>
                <w:szCs w:val="17"/>
                <w:color w:val="auto"/>
              </w:rPr>
            </w:pPr>
          </w:p>
        </w:tc>
        <w:tc>
          <w:tcPr>
            <w:tcW w:w="5300" w:type="dxa"/>
            <w:vAlign w:val="bottom"/>
            <w:tcBorders>
              <w:top w:val="single" w:sz="8" w:color="CCEEFF"/>
            </w:tcBorders>
            <w:gridSpan w:val="3"/>
          </w:tcPr>
          <w:p>
            <w:pPr>
              <w:spacing w:after="0"/>
              <w:rPr>
                <w:sz w:val="17"/>
                <w:szCs w:val="17"/>
                <w:color w:val="auto"/>
              </w:rPr>
            </w:pPr>
          </w:p>
        </w:tc>
        <w:tc>
          <w:tcPr>
            <w:tcW w:w="100" w:type="dxa"/>
            <w:vAlign w:val="bottom"/>
            <w:tcBorders>
              <w:top w:val="single" w:sz="8" w:color="0000FF"/>
              <w:bottom w:val="single" w:sz="8" w:color="0000FF"/>
            </w:tcBorders>
          </w:tcPr>
          <w:p>
            <w:pPr>
              <w:jc w:val="center"/>
              <w:spacing w:after="0" w:line="186" w:lineRule="exact"/>
              <w:rPr>
                <w:sz w:val="20"/>
                <w:szCs w:val="20"/>
                <w:color w:val="auto"/>
              </w:rPr>
            </w:pPr>
            <w:r>
              <w:rPr>
                <w:rFonts w:ascii="Arial" w:cs="Arial" w:eastAsia="Arial" w:hAnsi="Arial"/>
                <w:sz w:val="17"/>
                <w:szCs w:val="17"/>
                <w:color w:val="0000FF"/>
                <w:w w:val="73"/>
              </w:rPr>
              <w:t>35</w:t>
            </w:r>
          </w:p>
        </w:tc>
        <w:tc>
          <w:tcPr>
            <w:tcW w:w="220" w:type="dxa"/>
            <w:vAlign w:val="bottom"/>
            <w:tcBorders>
              <w:top w:val="single" w:sz="8" w:color="CCEEFF"/>
            </w:tcBorders>
          </w:tcPr>
          <w:p>
            <w:pPr>
              <w:spacing w:after="0"/>
              <w:rPr>
                <w:sz w:val="17"/>
                <w:szCs w:val="17"/>
                <w:color w:val="auto"/>
              </w:rPr>
            </w:pPr>
          </w:p>
        </w:tc>
      </w:tr>
      <w:tr>
        <w:trPr>
          <w:trHeight w:val="196"/>
        </w:trPr>
        <w:tc>
          <w:tcPr>
            <w:tcW w:w="10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3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0000FF"/>
                <w:w w:val="93"/>
              </w:rPr>
              <w:t>(12)</w:t>
            </w:r>
          </w:p>
        </w:tc>
        <w:tc>
          <w:tcPr>
            <w:tcW w:w="9180" w:type="dxa"/>
            <w:vAlign w:val="bottom"/>
            <w:tcBorders>
              <w:right w:val="single" w:sz="8" w:color="CCEEFF"/>
            </w:tcBorders>
            <w:gridSpan w:val="30"/>
            <w:shd w:val="clear" w:color="auto" w:fill="CCEEFF"/>
          </w:tcPr>
          <w:p>
            <w:pPr>
              <w:ind w:left="20"/>
              <w:spacing w:after="0" w:line="196" w:lineRule="exact"/>
              <w:rPr>
                <w:sz w:val="20"/>
                <w:szCs w:val="20"/>
                <w:color w:val="auto"/>
              </w:rPr>
            </w:pPr>
            <w:r>
              <w:rPr>
                <w:rFonts w:ascii="Arial" w:cs="Arial" w:eastAsia="Arial" w:hAnsi="Arial"/>
                <w:sz w:val="18"/>
                <w:szCs w:val="18"/>
                <w:color w:val="0000FF"/>
              </w:rPr>
              <w:t>Income Taxes</w:t>
            </w:r>
          </w:p>
        </w:tc>
        <w:tc>
          <w:tcPr>
            <w:tcW w:w="32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0000FF"/>
                <w:w w:val="73"/>
              </w:rPr>
              <w:t>39</w:t>
            </w:r>
          </w:p>
        </w:tc>
      </w:tr>
      <w:tr>
        <w:trPr>
          <w:trHeight w:val="40"/>
        </w:trPr>
        <w:tc>
          <w:tcPr>
            <w:tcW w:w="10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334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CCEEFF"/>
          </w:tcPr>
          <w:p>
            <w:pPr>
              <w:spacing w:after="0"/>
              <w:rPr>
                <w:sz w:val="3"/>
                <w:szCs w:val="3"/>
                <w:color w:val="auto"/>
              </w:rPr>
            </w:pPr>
          </w:p>
        </w:tc>
      </w:tr>
      <w:tr>
        <w:trPr>
          <w:trHeight w:val="196"/>
        </w:trPr>
        <w:tc>
          <w:tcPr>
            <w:tcW w:w="100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320" w:type="dxa"/>
            <w:vAlign w:val="bottom"/>
            <w:gridSpan w:val="2"/>
          </w:tcPr>
          <w:p>
            <w:pPr>
              <w:spacing w:after="0" w:line="186" w:lineRule="exact"/>
              <w:rPr>
                <w:sz w:val="20"/>
                <w:szCs w:val="20"/>
                <w:color w:val="auto"/>
              </w:rPr>
            </w:pPr>
            <w:r>
              <w:rPr>
                <w:rFonts w:ascii="Arial" w:cs="Arial" w:eastAsia="Arial" w:hAnsi="Arial"/>
                <w:sz w:val="18"/>
                <w:szCs w:val="18"/>
                <w:color w:val="0000FF"/>
                <w:w w:val="93"/>
              </w:rPr>
              <w:t>(13)</w:t>
            </w:r>
          </w:p>
        </w:tc>
        <w:tc>
          <w:tcPr>
            <w:tcW w:w="9180" w:type="dxa"/>
            <w:vAlign w:val="bottom"/>
            <w:gridSpan w:val="30"/>
          </w:tcPr>
          <w:p>
            <w:pPr>
              <w:ind w:left="20"/>
              <w:spacing w:after="0" w:line="186" w:lineRule="exact"/>
              <w:rPr>
                <w:sz w:val="20"/>
                <w:szCs w:val="20"/>
                <w:color w:val="auto"/>
              </w:rPr>
            </w:pPr>
            <w:r>
              <w:rPr>
                <w:rFonts w:ascii="Arial" w:cs="Arial" w:eastAsia="Arial" w:hAnsi="Arial"/>
                <w:sz w:val="18"/>
                <w:szCs w:val="18"/>
                <w:color w:val="0000FF"/>
              </w:rPr>
              <w:t>Commitments and Contingencies</w:t>
            </w:r>
          </w:p>
        </w:tc>
        <w:tc>
          <w:tcPr>
            <w:tcW w:w="320" w:type="dxa"/>
            <w:vAlign w:val="bottom"/>
            <w:gridSpan w:val="2"/>
          </w:tcPr>
          <w:p>
            <w:pPr>
              <w:jc w:val="center"/>
              <w:ind w:right="180"/>
              <w:spacing w:after="0" w:line="186" w:lineRule="exact"/>
              <w:rPr>
                <w:sz w:val="20"/>
                <w:szCs w:val="20"/>
                <w:color w:val="auto"/>
              </w:rPr>
            </w:pPr>
            <w:r>
              <w:rPr>
                <w:rFonts w:ascii="Arial" w:cs="Arial" w:eastAsia="Arial" w:hAnsi="Arial"/>
                <w:sz w:val="17"/>
                <w:szCs w:val="17"/>
                <w:color w:val="0000FF"/>
                <w:w w:val="73"/>
              </w:rPr>
              <w:t>40</w:t>
            </w:r>
          </w:p>
        </w:tc>
      </w:tr>
      <w:tr>
        <w:trPr>
          <w:trHeight w:val="216"/>
        </w:trPr>
        <w:tc>
          <w:tcPr>
            <w:tcW w:w="10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gridSpan w:val="2"/>
            <w:shd w:val="clear" w:color="auto" w:fill="CCEEFF"/>
          </w:tcPr>
          <w:p>
            <w:pPr>
              <w:spacing w:after="0"/>
              <w:rPr>
                <w:sz w:val="18"/>
                <w:szCs w:val="18"/>
                <w:color w:val="auto"/>
              </w:rPr>
            </w:pPr>
          </w:p>
        </w:tc>
        <w:tc>
          <w:tcPr>
            <w:tcW w:w="320" w:type="dxa"/>
            <w:vAlign w:val="bottom"/>
            <w:tcBorders>
              <w:top w:val="single" w:sz="8" w:color="0000FF"/>
              <w:bottom w:val="single" w:sz="8" w:color="0000FF"/>
            </w:tcBorders>
            <w:gridSpan w:val="2"/>
            <w:shd w:val="clear" w:color="auto" w:fill="CCEEFF"/>
          </w:tcPr>
          <w:p>
            <w:pPr>
              <w:spacing w:after="0" w:line="196" w:lineRule="exact"/>
              <w:rPr>
                <w:sz w:val="20"/>
                <w:szCs w:val="20"/>
                <w:color w:val="auto"/>
              </w:rPr>
            </w:pPr>
            <w:r>
              <w:rPr>
                <w:rFonts w:ascii="Arial" w:cs="Arial" w:eastAsia="Arial" w:hAnsi="Arial"/>
                <w:sz w:val="18"/>
                <w:szCs w:val="18"/>
                <w:color w:val="0000FF"/>
                <w:w w:val="93"/>
              </w:rPr>
              <w:t>(14)</w:t>
            </w:r>
          </w:p>
        </w:tc>
        <w:tc>
          <w:tcPr>
            <w:tcW w:w="1380" w:type="dxa"/>
            <w:vAlign w:val="bottom"/>
            <w:tcBorders>
              <w:top w:val="single" w:sz="8" w:color="0000FF"/>
              <w:bottom w:val="single" w:sz="8" w:color="0000FF"/>
            </w:tcBorders>
            <w:gridSpan w:val="7"/>
            <w:shd w:val="clear" w:color="auto" w:fill="CCEEFF"/>
          </w:tcPr>
          <w:p>
            <w:pPr>
              <w:ind w:left="20"/>
              <w:spacing w:after="0" w:line="196" w:lineRule="exact"/>
              <w:rPr>
                <w:sz w:val="20"/>
                <w:szCs w:val="20"/>
                <w:color w:val="auto"/>
              </w:rPr>
            </w:pPr>
            <w:r>
              <w:rPr>
                <w:rFonts w:ascii="Arial" w:cs="Arial" w:eastAsia="Arial" w:hAnsi="Arial"/>
                <w:sz w:val="18"/>
                <w:szCs w:val="18"/>
                <w:color w:val="0000FF"/>
                <w:w w:val="85"/>
              </w:rPr>
              <w:t>Earnings Per Share</w:t>
            </w:r>
          </w:p>
        </w:tc>
        <w:tc>
          <w:tcPr>
            <w:tcW w:w="1000" w:type="dxa"/>
            <w:vAlign w:val="bottom"/>
            <w:tcBorders>
              <w:top w:val="single" w:sz="8" w:color="0000FF"/>
              <w:bottom w:val="single" w:sz="8" w:color="CCEEFF"/>
            </w:tcBorders>
            <w:gridSpan w:val="9"/>
            <w:shd w:val="clear" w:color="auto" w:fill="CCEEFF"/>
          </w:tcPr>
          <w:p>
            <w:pPr>
              <w:spacing w:after="0"/>
              <w:rPr>
                <w:sz w:val="18"/>
                <w:szCs w:val="18"/>
                <w:color w:val="auto"/>
              </w:rPr>
            </w:pPr>
          </w:p>
        </w:tc>
        <w:tc>
          <w:tcPr>
            <w:tcW w:w="6800" w:type="dxa"/>
            <w:vAlign w:val="bottom"/>
            <w:tcBorders>
              <w:bottom w:val="single" w:sz="8" w:color="CCEEFF"/>
              <w:right w:val="single" w:sz="8" w:color="CCEEFF"/>
            </w:tcBorders>
            <w:gridSpan w:val="14"/>
            <w:shd w:val="clear" w:color="auto" w:fill="CCEEFF"/>
          </w:tcPr>
          <w:p>
            <w:pPr>
              <w:spacing w:after="0"/>
              <w:rPr>
                <w:sz w:val="18"/>
                <w:szCs w:val="18"/>
                <w:color w:val="auto"/>
              </w:rPr>
            </w:pPr>
          </w:p>
        </w:tc>
        <w:tc>
          <w:tcPr>
            <w:tcW w:w="100" w:type="dxa"/>
            <w:vAlign w:val="bottom"/>
            <w:tcBorders>
              <w:top w:val="single" w:sz="8" w:color="0000FF"/>
              <w:bottom w:val="single" w:sz="8" w:color="0000FF"/>
            </w:tcBorders>
            <w:shd w:val="clear" w:color="auto" w:fill="CCEEFF"/>
          </w:tcPr>
          <w:p>
            <w:pPr>
              <w:jc w:val="center"/>
              <w:spacing w:after="0"/>
              <w:rPr>
                <w:sz w:val="20"/>
                <w:szCs w:val="20"/>
                <w:color w:val="auto"/>
              </w:rPr>
            </w:pPr>
            <w:r>
              <w:rPr>
                <w:rFonts w:ascii="Arial" w:cs="Arial" w:eastAsia="Arial" w:hAnsi="Arial"/>
                <w:sz w:val="17"/>
                <w:szCs w:val="17"/>
                <w:color w:val="0000FF"/>
                <w:w w:val="73"/>
              </w:rPr>
              <w:t>45</w:t>
            </w:r>
          </w:p>
        </w:tc>
        <w:tc>
          <w:tcPr>
            <w:tcW w:w="220" w:type="dxa"/>
            <w:vAlign w:val="bottom"/>
            <w:tcBorders>
              <w:left w:val="single" w:sz="8" w:color="CCEEFF"/>
              <w:bottom w:val="single" w:sz="8" w:color="CCEEFF"/>
            </w:tcBorders>
            <w:shd w:val="clear" w:color="auto" w:fill="CCEEFF"/>
          </w:tcPr>
          <w:p>
            <w:pPr>
              <w:spacing w:after="0"/>
              <w:rPr>
                <w:sz w:val="18"/>
                <w:szCs w:val="18"/>
                <w:color w:val="auto"/>
              </w:rPr>
            </w:pPr>
          </w:p>
        </w:tc>
      </w:tr>
      <w:tr>
        <w:trPr>
          <w:trHeight w:val="196"/>
        </w:trPr>
        <w:tc>
          <w:tcPr>
            <w:tcW w:w="100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320" w:type="dxa"/>
            <w:vAlign w:val="bottom"/>
            <w:tcBorders>
              <w:bottom w:val="single" w:sz="8" w:color="0000FF"/>
            </w:tcBorders>
            <w:gridSpan w:val="2"/>
          </w:tcPr>
          <w:p>
            <w:pPr>
              <w:spacing w:after="0" w:line="186" w:lineRule="exact"/>
              <w:rPr>
                <w:sz w:val="20"/>
                <w:szCs w:val="20"/>
                <w:color w:val="auto"/>
              </w:rPr>
            </w:pPr>
            <w:r>
              <w:rPr>
                <w:rFonts w:ascii="Arial" w:cs="Arial" w:eastAsia="Arial" w:hAnsi="Arial"/>
                <w:sz w:val="18"/>
                <w:szCs w:val="18"/>
                <w:color w:val="0000FF"/>
                <w:w w:val="93"/>
              </w:rPr>
              <w:t>(15)</w:t>
            </w:r>
          </w:p>
        </w:tc>
        <w:tc>
          <w:tcPr>
            <w:tcW w:w="1540" w:type="dxa"/>
            <w:vAlign w:val="bottom"/>
            <w:tcBorders>
              <w:bottom w:val="single" w:sz="8" w:color="0000FF"/>
            </w:tcBorders>
            <w:gridSpan w:val="8"/>
          </w:tcPr>
          <w:p>
            <w:pPr>
              <w:ind w:left="20"/>
              <w:spacing w:after="0" w:line="186" w:lineRule="exact"/>
              <w:rPr>
                <w:sz w:val="20"/>
                <w:szCs w:val="20"/>
                <w:color w:val="auto"/>
              </w:rPr>
            </w:pPr>
            <w:r>
              <w:rPr>
                <w:rFonts w:ascii="Arial" w:cs="Arial" w:eastAsia="Arial" w:hAnsi="Arial"/>
                <w:sz w:val="18"/>
                <w:szCs w:val="18"/>
                <w:color w:val="0000FF"/>
                <w:w w:val="86"/>
              </w:rPr>
              <w:t>Reportable Segments</w:t>
            </w:r>
          </w:p>
        </w:tc>
        <w:tc>
          <w:tcPr>
            <w:tcW w:w="7640" w:type="dxa"/>
            <w:vAlign w:val="bottom"/>
            <w:gridSpan w:val="22"/>
          </w:tcPr>
          <w:p>
            <w:pPr>
              <w:spacing w:after="0"/>
              <w:rPr>
                <w:sz w:val="17"/>
                <w:szCs w:val="17"/>
                <w:color w:val="auto"/>
              </w:rPr>
            </w:pPr>
          </w:p>
        </w:tc>
        <w:tc>
          <w:tcPr>
            <w:tcW w:w="100" w:type="dxa"/>
            <w:vAlign w:val="bottom"/>
            <w:tcBorders>
              <w:bottom w:val="single" w:sz="8" w:color="0000FF"/>
            </w:tcBorders>
          </w:tcPr>
          <w:p>
            <w:pPr>
              <w:jc w:val="center"/>
              <w:spacing w:after="0" w:line="186" w:lineRule="exact"/>
              <w:rPr>
                <w:sz w:val="20"/>
                <w:szCs w:val="20"/>
                <w:color w:val="auto"/>
              </w:rPr>
            </w:pPr>
            <w:r>
              <w:rPr>
                <w:rFonts w:ascii="Arial" w:cs="Arial" w:eastAsia="Arial" w:hAnsi="Arial"/>
                <w:sz w:val="17"/>
                <w:szCs w:val="17"/>
                <w:color w:val="0000FF"/>
                <w:w w:val="73"/>
              </w:rPr>
              <w:t>46</w:t>
            </w:r>
          </w:p>
        </w:tc>
        <w:tc>
          <w:tcPr>
            <w:tcW w:w="220" w:type="dxa"/>
            <w:vAlign w:val="bottom"/>
          </w:tcPr>
          <w:p>
            <w:pPr>
              <w:spacing w:after="0"/>
              <w:rPr>
                <w:sz w:val="17"/>
                <w:szCs w:val="17"/>
                <w:color w:val="auto"/>
              </w:rPr>
            </w:pPr>
          </w:p>
        </w:tc>
      </w:tr>
      <w:tr>
        <w:trPr>
          <w:trHeight w:val="216"/>
        </w:trPr>
        <w:tc>
          <w:tcPr>
            <w:tcW w:w="10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0000FF"/>
                <w:w w:val="93"/>
              </w:rPr>
              <w:t>(16)</w:t>
            </w:r>
          </w:p>
        </w:tc>
        <w:tc>
          <w:tcPr>
            <w:tcW w:w="9180" w:type="dxa"/>
            <w:vAlign w:val="bottom"/>
            <w:tcBorders>
              <w:right w:val="single" w:sz="8" w:color="CCEEFF"/>
            </w:tcBorders>
            <w:gridSpan w:val="30"/>
            <w:shd w:val="clear" w:color="auto" w:fill="CCEEFF"/>
          </w:tcPr>
          <w:p>
            <w:pPr>
              <w:ind w:left="20"/>
              <w:spacing w:after="0" w:line="196" w:lineRule="exact"/>
              <w:rPr>
                <w:sz w:val="20"/>
                <w:szCs w:val="20"/>
                <w:color w:val="auto"/>
              </w:rPr>
            </w:pPr>
            <w:r>
              <w:rPr>
                <w:rFonts w:ascii="Arial" w:cs="Arial" w:eastAsia="Arial" w:hAnsi="Arial"/>
                <w:sz w:val="18"/>
                <w:szCs w:val="18"/>
                <w:color w:val="0000FF"/>
              </w:rPr>
              <w:t>Supplemental Disclosure of Cash Flow Information</w:t>
            </w:r>
          </w:p>
        </w:tc>
        <w:tc>
          <w:tcPr>
            <w:tcW w:w="32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0000FF"/>
                <w:w w:val="73"/>
              </w:rPr>
              <w:t>48</w:t>
            </w:r>
          </w:p>
        </w:tc>
      </w:tr>
      <w:tr>
        <w:trPr>
          <w:trHeight w:val="196"/>
        </w:trPr>
        <w:tc>
          <w:tcPr>
            <w:tcW w:w="100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gridSpan w:val="2"/>
          </w:tcPr>
          <w:p>
            <w:pPr>
              <w:spacing w:after="0"/>
              <w:rPr>
                <w:sz w:val="17"/>
                <w:szCs w:val="17"/>
                <w:color w:val="auto"/>
              </w:rPr>
            </w:pPr>
          </w:p>
        </w:tc>
        <w:tc>
          <w:tcPr>
            <w:tcW w:w="320" w:type="dxa"/>
            <w:vAlign w:val="bottom"/>
            <w:tcBorders>
              <w:top w:val="single" w:sz="8" w:color="0000FF"/>
            </w:tcBorders>
            <w:gridSpan w:val="2"/>
          </w:tcPr>
          <w:p>
            <w:pPr>
              <w:spacing w:after="0" w:line="186" w:lineRule="exact"/>
              <w:rPr>
                <w:sz w:val="20"/>
                <w:szCs w:val="20"/>
                <w:color w:val="auto"/>
              </w:rPr>
            </w:pPr>
            <w:r>
              <w:rPr>
                <w:rFonts w:ascii="Arial" w:cs="Arial" w:eastAsia="Arial" w:hAnsi="Arial"/>
                <w:sz w:val="18"/>
                <w:szCs w:val="18"/>
                <w:color w:val="0000FF"/>
                <w:w w:val="93"/>
              </w:rPr>
              <w:t>(17)</w:t>
            </w:r>
          </w:p>
        </w:tc>
        <w:tc>
          <w:tcPr>
            <w:tcW w:w="3680" w:type="dxa"/>
            <w:vAlign w:val="bottom"/>
            <w:tcBorders>
              <w:top w:val="single" w:sz="8" w:color="0000FF"/>
            </w:tcBorders>
            <w:gridSpan w:val="23"/>
          </w:tcPr>
          <w:p>
            <w:pPr>
              <w:ind w:left="20"/>
              <w:spacing w:after="0" w:line="186" w:lineRule="exact"/>
              <w:rPr>
                <w:sz w:val="20"/>
                <w:szCs w:val="20"/>
                <w:color w:val="auto"/>
              </w:rPr>
            </w:pPr>
            <w:r>
              <w:rPr>
                <w:rFonts w:ascii="Arial" w:cs="Arial" w:eastAsia="Arial" w:hAnsi="Arial"/>
                <w:sz w:val="18"/>
                <w:szCs w:val="18"/>
                <w:color w:val="0000FF"/>
              </w:rPr>
              <w:t>Related Party Transactions</w:t>
            </w:r>
          </w:p>
        </w:tc>
        <w:tc>
          <w:tcPr>
            <w:tcW w:w="5500" w:type="dxa"/>
            <w:vAlign w:val="bottom"/>
            <w:tcBorders>
              <w:top w:val="single" w:sz="8" w:color="CCEEFF"/>
            </w:tcBorders>
            <w:gridSpan w:val="7"/>
          </w:tcPr>
          <w:p>
            <w:pPr>
              <w:spacing w:after="0"/>
              <w:rPr>
                <w:sz w:val="17"/>
                <w:szCs w:val="17"/>
                <w:color w:val="auto"/>
              </w:rPr>
            </w:pPr>
          </w:p>
        </w:tc>
        <w:tc>
          <w:tcPr>
            <w:tcW w:w="100" w:type="dxa"/>
            <w:vAlign w:val="bottom"/>
            <w:tcBorders>
              <w:top w:val="single" w:sz="8" w:color="0000FF"/>
            </w:tcBorders>
          </w:tcPr>
          <w:p>
            <w:pPr>
              <w:jc w:val="center"/>
              <w:spacing w:after="0" w:line="186" w:lineRule="exact"/>
              <w:rPr>
                <w:sz w:val="20"/>
                <w:szCs w:val="20"/>
                <w:color w:val="auto"/>
              </w:rPr>
            </w:pPr>
            <w:r>
              <w:rPr>
                <w:rFonts w:ascii="Arial" w:cs="Arial" w:eastAsia="Arial" w:hAnsi="Arial"/>
                <w:sz w:val="17"/>
                <w:szCs w:val="17"/>
                <w:color w:val="0000FF"/>
                <w:w w:val="73"/>
              </w:rPr>
              <w:t>48</w:t>
            </w:r>
          </w:p>
        </w:tc>
        <w:tc>
          <w:tcPr>
            <w:tcW w:w="220" w:type="dxa"/>
            <w:vAlign w:val="bottom"/>
            <w:tcBorders>
              <w:top w:val="single" w:sz="8" w:color="CCEEFF"/>
            </w:tcBorders>
          </w:tcPr>
          <w:p>
            <w:pPr>
              <w:spacing w:after="0"/>
              <w:rPr>
                <w:sz w:val="17"/>
                <w:szCs w:val="17"/>
                <w:color w:val="auto"/>
              </w:rPr>
            </w:pPr>
          </w:p>
        </w:tc>
      </w:tr>
      <w:tr>
        <w:trPr>
          <w:trHeight w:val="216"/>
        </w:trPr>
        <w:tc>
          <w:tcPr>
            <w:tcW w:w="10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gridSpan w:val="2"/>
            <w:shd w:val="clear" w:color="auto" w:fill="CCEEFF"/>
          </w:tcPr>
          <w:p>
            <w:pPr>
              <w:spacing w:after="0"/>
              <w:rPr>
                <w:sz w:val="18"/>
                <w:szCs w:val="18"/>
                <w:color w:val="auto"/>
              </w:rPr>
            </w:pPr>
          </w:p>
        </w:tc>
        <w:tc>
          <w:tcPr>
            <w:tcW w:w="320" w:type="dxa"/>
            <w:vAlign w:val="bottom"/>
            <w:tcBorders>
              <w:top w:val="single" w:sz="8" w:color="0000FF"/>
              <w:bottom w:val="single" w:sz="8" w:color="0000FF"/>
            </w:tcBorders>
            <w:gridSpan w:val="2"/>
            <w:shd w:val="clear" w:color="auto" w:fill="CCEEFF"/>
          </w:tcPr>
          <w:p>
            <w:pPr>
              <w:spacing w:after="0" w:line="196" w:lineRule="exact"/>
              <w:rPr>
                <w:sz w:val="20"/>
                <w:szCs w:val="20"/>
                <w:color w:val="auto"/>
              </w:rPr>
            </w:pPr>
            <w:r>
              <w:rPr>
                <w:rFonts w:ascii="Arial" w:cs="Arial" w:eastAsia="Arial" w:hAnsi="Arial"/>
                <w:sz w:val="18"/>
                <w:szCs w:val="18"/>
                <w:color w:val="0000FF"/>
                <w:w w:val="93"/>
              </w:rPr>
              <w:t>(18)</w:t>
            </w:r>
          </w:p>
        </w:tc>
        <w:tc>
          <w:tcPr>
            <w:tcW w:w="500" w:type="dxa"/>
            <w:vAlign w:val="bottom"/>
            <w:tcBorders>
              <w:top w:val="single" w:sz="8" w:color="0000FF"/>
              <w:bottom w:val="single" w:sz="8" w:color="0000FF"/>
            </w:tcBorders>
            <w:shd w:val="clear" w:color="auto" w:fill="CCEEFF"/>
          </w:tcPr>
          <w:p>
            <w:pPr>
              <w:ind w:left="20"/>
              <w:spacing w:after="0" w:line="196" w:lineRule="exact"/>
              <w:rPr>
                <w:sz w:val="20"/>
                <w:szCs w:val="20"/>
                <w:color w:val="auto"/>
              </w:rPr>
            </w:pPr>
            <w:r>
              <w:rPr>
                <w:rFonts w:ascii="Arial" w:cs="Arial" w:eastAsia="Arial" w:hAnsi="Arial"/>
                <w:sz w:val="18"/>
                <w:szCs w:val="18"/>
                <w:color w:val="0000FF"/>
                <w:w w:val="91"/>
              </w:rPr>
              <w:t>Equity</w:t>
            </w:r>
          </w:p>
        </w:tc>
        <w:tc>
          <w:tcPr>
            <w:tcW w:w="1460" w:type="dxa"/>
            <w:vAlign w:val="bottom"/>
            <w:tcBorders>
              <w:top w:val="single" w:sz="8" w:color="0000FF"/>
              <w:bottom w:val="single" w:sz="8" w:color="CCEEFF"/>
              <w:right w:val="single" w:sz="8" w:color="CCEEFF"/>
            </w:tcBorders>
            <w:gridSpan w:val="11"/>
            <w:shd w:val="clear" w:color="auto" w:fill="CCEEFF"/>
          </w:tcPr>
          <w:p>
            <w:pPr>
              <w:spacing w:after="0"/>
              <w:rPr>
                <w:sz w:val="18"/>
                <w:szCs w:val="18"/>
                <w:color w:val="auto"/>
              </w:rPr>
            </w:pPr>
          </w:p>
        </w:tc>
        <w:tc>
          <w:tcPr>
            <w:tcW w:w="7220" w:type="dxa"/>
            <w:vAlign w:val="bottom"/>
            <w:tcBorders>
              <w:bottom w:val="single" w:sz="8" w:color="CCEEFF"/>
              <w:right w:val="single" w:sz="8" w:color="CCEEFF"/>
            </w:tcBorders>
            <w:gridSpan w:val="18"/>
            <w:shd w:val="clear" w:color="auto" w:fill="CCEEFF"/>
          </w:tcPr>
          <w:p>
            <w:pPr>
              <w:spacing w:after="0"/>
              <w:rPr>
                <w:sz w:val="18"/>
                <w:szCs w:val="18"/>
                <w:color w:val="auto"/>
              </w:rPr>
            </w:pPr>
          </w:p>
        </w:tc>
        <w:tc>
          <w:tcPr>
            <w:tcW w:w="100" w:type="dxa"/>
            <w:vAlign w:val="bottom"/>
            <w:tcBorders>
              <w:top w:val="single" w:sz="8" w:color="0000FF"/>
              <w:bottom w:val="single" w:sz="8" w:color="0000FF"/>
            </w:tcBorders>
            <w:shd w:val="clear" w:color="auto" w:fill="CCEEFF"/>
          </w:tcPr>
          <w:p>
            <w:pPr>
              <w:jc w:val="center"/>
              <w:spacing w:after="0"/>
              <w:rPr>
                <w:sz w:val="20"/>
                <w:szCs w:val="20"/>
                <w:color w:val="auto"/>
              </w:rPr>
            </w:pPr>
            <w:r>
              <w:rPr>
                <w:rFonts w:ascii="Arial" w:cs="Arial" w:eastAsia="Arial" w:hAnsi="Arial"/>
                <w:sz w:val="17"/>
                <w:szCs w:val="17"/>
                <w:color w:val="0000FF"/>
                <w:w w:val="73"/>
              </w:rPr>
              <w:t>49</w:t>
            </w:r>
          </w:p>
        </w:tc>
        <w:tc>
          <w:tcPr>
            <w:tcW w:w="220" w:type="dxa"/>
            <w:vAlign w:val="bottom"/>
            <w:tcBorders>
              <w:left w:val="single" w:sz="8" w:color="CCEEFF"/>
              <w:bottom w:val="single" w:sz="8" w:color="CCEEFF"/>
            </w:tcBorders>
            <w:shd w:val="clear" w:color="auto" w:fill="CCEEFF"/>
          </w:tcPr>
          <w:p>
            <w:pPr>
              <w:spacing w:after="0"/>
              <w:rPr>
                <w:sz w:val="18"/>
                <w:szCs w:val="18"/>
                <w:color w:val="auto"/>
              </w:rPr>
            </w:pPr>
          </w:p>
        </w:tc>
      </w:tr>
      <w:tr>
        <w:trPr>
          <w:trHeight w:val="186"/>
        </w:trPr>
        <w:tc>
          <w:tcPr>
            <w:tcW w:w="1000" w:type="dxa"/>
            <w:vAlign w:val="bottom"/>
          </w:tcPr>
          <w:p>
            <w:pPr>
              <w:spacing w:after="0"/>
              <w:rPr>
                <w:sz w:val="16"/>
                <w:szCs w:val="16"/>
                <w:color w:val="auto"/>
              </w:rPr>
            </w:pPr>
          </w:p>
        </w:tc>
        <w:tc>
          <w:tcPr>
            <w:tcW w:w="420" w:type="dxa"/>
            <w:vAlign w:val="bottom"/>
            <w:gridSpan w:val="2"/>
          </w:tcPr>
          <w:p>
            <w:pPr>
              <w:spacing w:after="0"/>
              <w:rPr>
                <w:sz w:val="16"/>
                <w:szCs w:val="16"/>
                <w:color w:val="auto"/>
              </w:rPr>
            </w:pPr>
          </w:p>
        </w:tc>
        <w:tc>
          <w:tcPr>
            <w:tcW w:w="320" w:type="dxa"/>
            <w:vAlign w:val="bottom"/>
            <w:gridSpan w:val="2"/>
          </w:tcPr>
          <w:p>
            <w:pPr>
              <w:spacing w:after="0" w:line="186" w:lineRule="exact"/>
              <w:rPr>
                <w:sz w:val="20"/>
                <w:szCs w:val="20"/>
                <w:color w:val="auto"/>
              </w:rPr>
            </w:pPr>
            <w:r>
              <w:rPr>
                <w:rFonts w:ascii="Arial" w:cs="Arial" w:eastAsia="Arial" w:hAnsi="Arial"/>
                <w:sz w:val="18"/>
                <w:szCs w:val="18"/>
                <w:color w:val="0000FF"/>
                <w:w w:val="93"/>
              </w:rPr>
              <w:t>(19)</w:t>
            </w:r>
          </w:p>
        </w:tc>
        <w:tc>
          <w:tcPr>
            <w:tcW w:w="9180" w:type="dxa"/>
            <w:vAlign w:val="bottom"/>
            <w:gridSpan w:val="30"/>
          </w:tcPr>
          <w:p>
            <w:pPr>
              <w:ind w:left="20"/>
              <w:spacing w:after="0" w:line="186" w:lineRule="exact"/>
              <w:rPr>
                <w:sz w:val="20"/>
                <w:szCs w:val="20"/>
                <w:color w:val="auto"/>
              </w:rPr>
            </w:pPr>
            <w:r>
              <w:rPr>
                <w:rFonts w:ascii="Arial" w:cs="Arial" w:eastAsia="Arial" w:hAnsi="Arial"/>
                <w:sz w:val="18"/>
                <w:szCs w:val="18"/>
                <w:color w:val="0000FF"/>
              </w:rPr>
              <w:t>Leases</w:t>
            </w:r>
          </w:p>
        </w:tc>
        <w:tc>
          <w:tcPr>
            <w:tcW w:w="320" w:type="dxa"/>
            <w:vAlign w:val="bottom"/>
            <w:gridSpan w:val="2"/>
          </w:tcPr>
          <w:p>
            <w:pPr>
              <w:jc w:val="center"/>
              <w:ind w:right="180"/>
              <w:spacing w:after="0" w:line="186" w:lineRule="exact"/>
              <w:rPr>
                <w:sz w:val="20"/>
                <w:szCs w:val="20"/>
                <w:color w:val="auto"/>
              </w:rPr>
            </w:pPr>
            <w:r>
              <w:rPr>
                <w:rFonts w:ascii="Arial" w:cs="Arial" w:eastAsia="Arial" w:hAnsi="Arial"/>
                <w:sz w:val="17"/>
                <w:szCs w:val="17"/>
                <w:color w:val="0000FF"/>
                <w:w w:val="73"/>
              </w:rPr>
              <w:t>51</w:t>
            </w:r>
          </w:p>
        </w:tc>
      </w:tr>
      <w:tr>
        <w:trPr>
          <w:trHeight w:val="30"/>
        </w:trPr>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34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left w:val="single" w:sz="8" w:color="0000FF"/>
            </w:tcBorders>
          </w:tcPr>
          <w:p>
            <w:pPr>
              <w:spacing w:after="0"/>
              <w:rPr>
                <w:sz w:val="2"/>
                <w:szCs w:val="2"/>
                <w:color w:val="auto"/>
              </w:rPr>
            </w:pPr>
          </w:p>
        </w:tc>
      </w:tr>
      <w:tr>
        <w:trPr>
          <w:trHeight w:val="216"/>
        </w:trPr>
        <w:tc>
          <w:tcPr>
            <w:tcW w:w="1000" w:type="dxa"/>
            <w:vAlign w:val="bottom"/>
            <w:tcBorders>
              <w:bottom w:val="single" w:sz="8" w:color="CCEEFF"/>
            </w:tcBorders>
            <w:shd w:val="clear" w:color="auto" w:fill="CCEEFF"/>
          </w:tcPr>
          <w:p>
            <w:pPr>
              <w:ind w:left="280"/>
              <w:spacing w:after="0" w:line="196" w:lineRule="exact"/>
              <w:rPr>
                <w:sz w:val="20"/>
                <w:szCs w:val="20"/>
                <w:color w:val="auto"/>
              </w:rPr>
            </w:pPr>
            <w:r>
              <w:rPr>
                <w:rFonts w:ascii="Arial" w:cs="Arial" w:eastAsia="Arial" w:hAnsi="Arial"/>
                <w:sz w:val="18"/>
                <w:szCs w:val="18"/>
                <w:color w:val="auto"/>
              </w:rPr>
              <w:t>Item 2.</w:t>
            </w:r>
          </w:p>
        </w:tc>
        <w:tc>
          <w:tcPr>
            <w:tcW w:w="220" w:type="dxa"/>
            <w:vAlign w:val="bottom"/>
            <w:tcBorders>
              <w:bottom w:val="single" w:sz="8" w:color="CCEEFF"/>
            </w:tcBorders>
            <w:shd w:val="clear" w:color="auto" w:fill="CCEEFF"/>
          </w:tcPr>
          <w:p>
            <w:pPr>
              <w:spacing w:after="0"/>
              <w:rPr>
                <w:sz w:val="18"/>
                <w:szCs w:val="18"/>
                <w:color w:val="auto"/>
              </w:rPr>
            </w:pPr>
          </w:p>
        </w:tc>
        <w:tc>
          <w:tcPr>
            <w:tcW w:w="6360" w:type="dxa"/>
            <w:vAlign w:val="bottom"/>
            <w:tcBorders>
              <w:bottom w:val="single" w:sz="8" w:color="0000FF"/>
            </w:tcBorders>
            <w:gridSpan w:val="32"/>
            <w:shd w:val="clear" w:color="auto" w:fill="CCEEFF"/>
          </w:tcPr>
          <w:p>
            <w:pPr>
              <w:spacing w:after="0" w:line="196" w:lineRule="exact"/>
              <w:rPr>
                <w:sz w:val="20"/>
                <w:szCs w:val="20"/>
                <w:color w:val="auto"/>
              </w:rPr>
            </w:pPr>
            <w:r>
              <w:rPr>
                <w:rFonts w:ascii="Arial" w:cs="Arial" w:eastAsia="Arial" w:hAnsi="Arial"/>
                <w:sz w:val="18"/>
                <w:szCs w:val="18"/>
                <w:color w:val="0000FF"/>
                <w:w w:val="89"/>
              </w:rPr>
              <w:t>Management’s Discussion and Analysis of Financial Condition and Results of Operations</w:t>
            </w:r>
          </w:p>
        </w:tc>
        <w:tc>
          <w:tcPr>
            <w:tcW w:w="334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rPr>
                <w:sz w:val="20"/>
                <w:szCs w:val="20"/>
                <w:color w:val="auto"/>
              </w:rPr>
            </w:pPr>
            <w:r>
              <w:rPr>
                <w:rFonts w:ascii="Arial" w:cs="Arial" w:eastAsia="Arial" w:hAnsi="Arial"/>
                <w:sz w:val="17"/>
                <w:szCs w:val="17"/>
                <w:color w:val="0000FF"/>
                <w:w w:val="73"/>
              </w:rPr>
              <w:t>55</w:t>
            </w:r>
          </w:p>
        </w:tc>
        <w:tc>
          <w:tcPr>
            <w:tcW w:w="220" w:type="dxa"/>
            <w:vAlign w:val="bottom"/>
            <w:tcBorders>
              <w:left w:val="single" w:sz="8" w:color="CCEEFF"/>
              <w:bottom w:val="single" w:sz="8" w:color="CCEEFF"/>
            </w:tcBorders>
            <w:shd w:val="clear" w:color="auto" w:fill="CCEEFF"/>
          </w:tcPr>
          <w:p>
            <w:pPr>
              <w:spacing w:after="0"/>
              <w:rPr>
                <w:sz w:val="18"/>
                <w:szCs w:val="18"/>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Borders>
              <w:bottom w:val="single" w:sz="8" w:color="0000FF"/>
            </w:tcBorders>
            <w:gridSpan w:val="4"/>
          </w:tcPr>
          <w:p>
            <w:pPr>
              <w:spacing w:after="0" w:line="186" w:lineRule="exact"/>
              <w:rPr>
                <w:sz w:val="20"/>
                <w:szCs w:val="20"/>
                <w:color w:val="auto"/>
              </w:rPr>
            </w:pPr>
            <w:r>
              <w:rPr>
                <w:rFonts w:ascii="Arial" w:cs="Arial" w:eastAsia="Arial" w:hAnsi="Arial"/>
                <w:sz w:val="18"/>
                <w:szCs w:val="18"/>
                <w:color w:val="0000FF"/>
                <w:w w:val="85"/>
              </w:rPr>
              <w:t>Recent Events</w:t>
            </w:r>
          </w:p>
        </w:tc>
        <w:tc>
          <w:tcPr>
            <w:tcW w:w="8480" w:type="dxa"/>
            <w:vAlign w:val="bottom"/>
            <w:gridSpan w:val="28"/>
          </w:tcPr>
          <w:p>
            <w:pPr>
              <w:spacing w:after="0"/>
              <w:rPr>
                <w:sz w:val="17"/>
                <w:szCs w:val="17"/>
                <w:color w:val="auto"/>
              </w:rPr>
            </w:pPr>
          </w:p>
        </w:tc>
        <w:tc>
          <w:tcPr>
            <w:tcW w:w="100" w:type="dxa"/>
            <w:vAlign w:val="bottom"/>
            <w:tcBorders>
              <w:bottom w:val="single" w:sz="8" w:color="0000FF"/>
            </w:tcBorders>
          </w:tcPr>
          <w:p>
            <w:pPr>
              <w:jc w:val="center"/>
              <w:spacing w:after="0" w:line="186" w:lineRule="exact"/>
              <w:rPr>
                <w:sz w:val="20"/>
                <w:szCs w:val="20"/>
                <w:color w:val="auto"/>
              </w:rPr>
            </w:pPr>
            <w:r>
              <w:rPr>
                <w:rFonts w:ascii="Arial" w:cs="Arial" w:eastAsia="Arial" w:hAnsi="Arial"/>
                <w:sz w:val="17"/>
                <w:szCs w:val="17"/>
                <w:color w:val="0000FF"/>
                <w:w w:val="73"/>
              </w:rPr>
              <w:t>55</w:t>
            </w:r>
          </w:p>
        </w:tc>
        <w:tc>
          <w:tcPr>
            <w:tcW w:w="220" w:type="dxa"/>
            <w:vAlign w:val="bottom"/>
          </w:tcPr>
          <w:p>
            <w:pPr>
              <w:spacing w:after="0"/>
              <w:rPr>
                <w:sz w:val="17"/>
                <w:szCs w:val="17"/>
                <w:color w:val="auto"/>
              </w:rPr>
            </w:pPr>
          </w:p>
        </w:tc>
      </w:tr>
      <w:tr>
        <w:trPr>
          <w:trHeight w:val="216"/>
        </w:trPr>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520" w:type="dxa"/>
            <w:vAlign w:val="bottom"/>
            <w:tcBorders>
              <w:bottom w:val="single" w:sz="8" w:color="0000FF"/>
            </w:tcBorders>
            <w:gridSpan w:val="16"/>
            <w:shd w:val="clear" w:color="auto" w:fill="CCEEFF"/>
          </w:tcPr>
          <w:p>
            <w:pPr>
              <w:spacing w:after="0" w:line="196" w:lineRule="exact"/>
              <w:rPr>
                <w:sz w:val="20"/>
                <w:szCs w:val="20"/>
                <w:color w:val="auto"/>
              </w:rPr>
            </w:pPr>
            <w:r>
              <w:rPr>
                <w:rFonts w:ascii="Arial" w:cs="Arial" w:eastAsia="Arial" w:hAnsi="Arial"/>
                <w:sz w:val="18"/>
                <w:szCs w:val="18"/>
                <w:color w:val="0000FF"/>
                <w:w w:val="88"/>
              </w:rPr>
              <w:t>Consolidated Results of Operations</w:t>
            </w:r>
          </w:p>
        </w:tc>
        <w:tc>
          <w:tcPr>
            <w:tcW w:w="6980" w:type="dxa"/>
            <w:vAlign w:val="bottom"/>
            <w:tcBorders>
              <w:bottom w:val="single" w:sz="8" w:color="CCEEFF"/>
              <w:right w:val="single" w:sz="8" w:color="CCEEFF"/>
            </w:tcBorders>
            <w:gridSpan w:val="16"/>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rPr>
                <w:sz w:val="20"/>
                <w:szCs w:val="20"/>
                <w:color w:val="auto"/>
              </w:rPr>
            </w:pPr>
            <w:r>
              <w:rPr>
                <w:rFonts w:ascii="Arial" w:cs="Arial" w:eastAsia="Arial" w:hAnsi="Arial"/>
                <w:sz w:val="17"/>
                <w:szCs w:val="17"/>
                <w:color w:val="0000FF"/>
                <w:w w:val="73"/>
              </w:rPr>
              <w:t>56</w:t>
            </w:r>
          </w:p>
        </w:tc>
        <w:tc>
          <w:tcPr>
            <w:tcW w:w="220" w:type="dxa"/>
            <w:vAlign w:val="bottom"/>
            <w:tcBorders>
              <w:left w:val="single" w:sz="8" w:color="CCEEFF"/>
              <w:bottom w:val="single" w:sz="8" w:color="CCEEFF"/>
            </w:tcBorders>
            <w:shd w:val="clear" w:color="auto" w:fill="CCEEFF"/>
          </w:tcPr>
          <w:p>
            <w:pPr>
              <w:spacing w:after="0"/>
              <w:rPr>
                <w:sz w:val="18"/>
                <w:szCs w:val="18"/>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500" w:type="dxa"/>
            <w:vAlign w:val="bottom"/>
            <w:gridSpan w:val="32"/>
          </w:tcPr>
          <w:p>
            <w:pPr>
              <w:spacing w:after="0" w:line="186" w:lineRule="exact"/>
              <w:rPr>
                <w:sz w:val="20"/>
                <w:szCs w:val="20"/>
                <w:color w:val="auto"/>
              </w:rPr>
            </w:pPr>
            <w:r>
              <w:rPr>
                <w:rFonts w:ascii="Arial" w:cs="Arial" w:eastAsia="Arial" w:hAnsi="Arial"/>
                <w:sz w:val="18"/>
                <w:szCs w:val="18"/>
                <w:color w:val="0000FF"/>
              </w:rPr>
              <w:t>Results of Operations by Reportable Segment</w:t>
            </w:r>
          </w:p>
        </w:tc>
        <w:tc>
          <w:tcPr>
            <w:tcW w:w="320" w:type="dxa"/>
            <w:vAlign w:val="bottom"/>
            <w:gridSpan w:val="2"/>
          </w:tcPr>
          <w:p>
            <w:pPr>
              <w:jc w:val="center"/>
              <w:ind w:right="180"/>
              <w:spacing w:after="0" w:line="186" w:lineRule="exact"/>
              <w:rPr>
                <w:sz w:val="20"/>
                <w:szCs w:val="20"/>
                <w:color w:val="auto"/>
              </w:rPr>
            </w:pPr>
            <w:r>
              <w:rPr>
                <w:rFonts w:ascii="Arial" w:cs="Arial" w:eastAsia="Arial" w:hAnsi="Arial"/>
                <w:sz w:val="17"/>
                <w:szCs w:val="17"/>
                <w:color w:val="0000FF"/>
                <w:w w:val="73"/>
              </w:rPr>
              <w:t>57</w:t>
            </w:r>
          </w:p>
        </w:tc>
      </w:tr>
      <w:tr>
        <w:trPr>
          <w:trHeight w:val="216"/>
        </w:trPr>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40" w:type="dxa"/>
            <w:vAlign w:val="bottom"/>
            <w:tcBorders>
              <w:top w:val="single" w:sz="8" w:color="0000FF"/>
            </w:tcBorders>
            <w:gridSpan w:val="22"/>
            <w:shd w:val="clear" w:color="auto" w:fill="CCEEFF"/>
          </w:tcPr>
          <w:p>
            <w:pPr>
              <w:spacing w:after="0" w:line="196" w:lineRule="exact"/>
              <w:rPr>
                <w:sz w:val="20"/>
                <w:szCs w:val="20"/>
                <w:color w:val="auto"/>
              </w:rPr>
            </w:pPr>
            <w:r>
              <w:rPr>
                <w:rFonts w:ascii="Arial" w:cs="Arial" w:eastAsia="Arial" w:hAnsi="Arial"/>
                <w:sz w:val="18"/>
                <w:szCs w:val="18"/>
                <w:color w:val="0000FF"/>
                <w:w w:val="97"/>
              </w:rPr>
              <w:t>Certain Factors Affecting Future Earnings</w:t>
            </w:r>
          </w:p>
        </w:tc>
        <w:tc>
          <w:tcPr>
            <w:tcW w:w="6260" w:type="dxa"/>
            <w:vAlign w:val="bottom"/>
            <w:tcBorders>
              <w:right w:val="single" w:sz="8" w:color="CCEEFF"/>
            </w:tcBorders>
            <w:gridSpan w:val="10"/>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jc w:val="center"/>
              <w:spacing w:after="0"/>
              <w:rPr>
                <w:sz w:val="20"/>
                <w:szCs w:val="20"/>
                <w:color w:val="auto"/>
              </w:rPr>
            </w:pPr>
            <w:r>
              <w:rPr>
                <w:rFonts w:ascii="Arial" w:cs="Arial" w:eastAsia="Arial" w:hAnsi="Arial"/>
                <w:sz w:val="17"/>
                <w:szCs w:val="17"/>
                <w:color w:val="0000FF"/>
                <w:w w:val="73"/>
              </w:rPr>
              <w:t>65</w:t>
            </w:r>
          </w:p>
        </w:tc>
        <w:tc>
          <w:tcPr>
            <w:tcW w:w="220" w:type="dxa"/>
            <w:vAlign w:val="bottom"/>
            <w:tcBorders>
              <w:left w:val="single" w:sz="8" w:color="CCEEFF"/>
            </w:tcBorders>
            <w:shd w:val="clear" w:color="auto" w:fill="CCEEFF"/>
          </w:tcPr>
          <w:p>
            <w:pPr>
              <w:spacing w:after="0"/>
              <w:rPr>
                <w:sz w:val="18"/>
                <w:szCs w:val="18"/>
                <w:color w:val="auto"/>
              </w:rPr>
            </w:pPr>
          </w:p>
        </w:tc>
      </w:tr>
      <w:tr>
        <w:trPr>
          <w:trHeight w:val="186"/>
        </w:trPr>
        <w:tc>
          <w:tcPr>
            <w:tcW w:w="10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980" w:type="dxa"/>
            <w:vAlign w:val="bottom"/>
            <w:tcBorders>
              <w:top w:val="single" w:sz="8" w:color="0000FF"/>
            </w:tcBorders>
            <w:gridSpan w:val="20"/>
          </w:tcPr>
          <w:p>
            <w:pPr>
              <w:spacing w:after="0" w:line="186" w:lineRule="exact"/>
              <w:rPr>
                <w:sz w:val="20"/>
                <w:szCs w:val="20"/>
                <w:color w:val="auto"/>
              </w:rPr>
            </w:pPr>
            <w:r>
              <w:rPr>
                <w:rFonts w:ascii="Arial" w:cs="Arial" w:eastAsia="Arial" w:hAnsi="Arial"/>
                <w:sz w:val="18"/>
                <w:szCs w:val="18"/>
                <w:color w:val="0000FF"/>
              </w:rPr>
              <w:t>Liquidity and Capital Resources</w:t>
            </w:r>
          </w:p>
        </w:tc>
        <w:tc>
          <w:tcPr>
            <w:tcW w:w="6520" w:type="dxa"/>
            <w:vAlign w:val="bottom"/>
            <w:tcBorders>
              <w:top w:val="single" w:sz="8" w:color="CCEEFF"/>
            </w:tcBorders>
            <w:gridSpan w:val="12"/>
          </w:tcPr>
          <w:p>
            <w:pPr>
              <w:spacing w:after="0"/>
              <w:rPr>
                <w:sz w:val="16"/>
                <w:szCs w:val="16"/>
                <w:color w:val="auto"/>
              </w:rPr>
            </w:pPr>
          </w:p>
        </w:tc>
        <w:tc>
          <w:tcPr>
            <w:tcW w:w="100" w:type="dxa"/>
            <w:vAlign w:val="bottom"/>
            <w:tcBorders>
              <w:top w:val="single" w:sz="8" w:color="0000FF"/>
            </w:tcBorders>
          </w:tcPr>
          <w:p>
            <w:pPr>
              <w:jc w:val="center"/>
              <w:spacing w:after="0" w:line="186" w:lineRule="exact"/>
              <w:rPr>
                <w:sz w:val="20"/>
                <w:szCs w:val="20"/>
                <w:color w:val="auto"/>
              </w:rPr>
            </w:pPr>
            <w:r>
              <w:rPr>
                <w:rFonts w:ascii="Arial" w:cs="Arial" w:eastAsia="Arial" w:hAnsi="Arial"/>
                <w:sz w:val="17"/>
                <w:szCs w:val="17"/>
                <w:color w:val="0000FF"/>
                <w:w w:val="73"/>
              </w:rPr>
              <w:t>65</w:t>
            </w:r>
          </w:p>
        </w:tc>
        <w:tc>
          <w:tcPr>
            <w:tcW w:w="220" w:type="dxa"/>
            <w:vAlign w:val="bottom"/>
            <w:tcBorders>
              <w:top w:val="single" w:sz="8" w:color="CCEEFF"/>
            </w:tcBorders>
          </w:tcPr>
          <w:p>
            <w:pPr>
              <w:spacing w:after="0"/>
              <w:rPr>
                <w:sz w:val="16"/>
                <w:szCs w:val="16"/>
                <w:color w:val="auto"/>
              </w:rPr>
            </w:pPr>
          </w:p>
        </w:tc>
      </w:tr>
      <w:tr>
        <w:trPr>
          <w:trHeight w:val="30"/>
        </w:trPr>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34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left w:val="single" w:sz="8" w:color="0000FF"/>
            </w:tcBorders>
          </w:tcPr>
          <w:p>
            <w:pPr>
              <w:spacing w:after="0"/>
              <w:rPr>
                <w:sz w:val="2"/>
                <w:szCs w:val="2"/>
                <w:color w:val="auto"/>
              </w:rPr>
            </w:pPr>
          </w:p>
        </w:tc>
      </w:tr>
      <w:tr>
        <w:trPr>
          <w:trHeight w:val="216"/>
        </w:trPr>
        <w:tc>
          <w:tcPr>
            <w:tcW w:w="1000" w:type="dxa"/>
            <w:vAlign w:val="bottom"/>
            <w:shd w:val="clear" w:color="auto" w:fill="CCEEFF"/>
          </w:tcPr>
          <w:p>
            <w:pPr>
              <w:ind w:left="280"/>
              <w:spacing w:after="0" w:line="196" w:lineRule="exact"/>
              <w:rPr>
                <w:sz w:val="20"/>
                <w:szCs w:val="20"/>
                <w:color w:val="auto"/>
              </w:rPr>
            </w:pPr>
            <w:r>
              <w:rPr>
                <w:rFonts w:ascii="Arial" w:cs="Arial" w:eastAsia="Arial" w:hAnsi="Arial"/>
                <w:sz w:val="18"/>
                <w:szCs w:val="18"/>
                <w:color w:val="auto"/>
              </w:rPr>
              <w:t>Item 3.</w:t>
            </w:r>
          </w:p>
        </w:tc>
        <w:tc>
          <w:tcPr>
            <w:tcW w:w="220" w:type="dxa"/>
            <w:vAlign w:val="bottom"/>
            <w:shd w:val="clear" w:color="auto" w:fill="CCEEFF"/>
          </w:tcPr>
          <w:p>
            <w:pPr>
              <w:spacing w:after="0"/>
              <w:rPr>
                <w:sz w:val="18"/>
                <w:szCs w:val="18"/>
                <w:color w:val="auto"/>
              </w:rPr>
            </w:pPr>
          </w:p>
        </w:tc>
        <w:tc>
          <w:tcPr>
            <w:tcW w:w="9700" w:type="dxa"/>
            <w:vAlign w:val="bottom"/>
            <w:tcBorders>
              <w:right w:val="single" w:sz="8" w:color="CCEEFF"/>
            </w:tcBorders>
            <w:gridSpan w:val="33"/>
            <w:shd w:val="clear" w:color="auto" w:fill="CCEEFF"/>
          </w:tcPr>
          <w:p>
            <w:pPr>
              <w:spacing w:after="0" w:line="196" w:lineRule="exact"/>
              <w:rPr>
                <w:sz w:val="20"/>
                <w:szCs w:val="20"/>
                <w:color w:val="auto"/>
              </w:rPr>
            </w:pPr>
            <w:r>
              <w:rPr>
                <w:rFonts w:ascii="Arial" w:cs="Arial" w:eastAsia="Arial" w:hAnsi="Arial"/>
                <w:sz w:val="18"/>
                <w:szCs w:val="18"/>
                <w:color w:val="0000FF"/>
              </w:rPr>
              <w:t>Quantitative and Qualitative Disclosures about Market Risk</w:t>
            </w:r>
          </w:p>
        </w:tc>
        <w:tc>
          <w:tcPr>
            <w:tcW w:w="32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0000FF"/>
                <w:w w:val="73"/>
              </w:rPr>
              <w:t>81</w:t>
            </w:r>
          </w:p>
        </w:tc>
      </w:tr>
      <w:tr>
        <w:trPr>
          <w:trHeight w:val="196"/>
        </w:trPr>
        <w:tc>
          <w:tcPr>
            <w:tcW w:w="1000" w:type="dxa"/>
            <w:vAlign w:val="bottom"/>
            <w:tcBorders>
              <w:top w:val="single" w:sz="8" w:color="CCEEFF"/>
            </w:tcBorders>
          </w:tcPr>
          <w:p>
            <w:pPr>
              <w:ind w:left="280"/>
              <w:spacing w:after="0" w:line="186" w:lineRule="exact"/>
              <w:rPr>
                <w:sz w:val="20"/>
                <w:szCs w:val="20"/>
                <w:color w:val="auto"/>
              </w:rPr>
            </w:pPr>
            <w:r>
              <w:rPr>
                <w:rFonts w:ascii="Arial" w:cs="Arial" w:eastAsia="Arial" w:hAnsi="Arial"/>
                <w:sz w:val="18"/>
                <w:szCs w:val="18"/>
                <w:color w:val="auto"/>
              </w:rPr>
              <w:t>Item 4.</w:t>
            </w:r>
          </w:p>
        </w:tc>
        <w:tc>
          <w:tcPr>
            <w:tcW w:w="220" w:type="dxa"/>
            <w:vAlign w:val="bottom"/>
            <w:tcBorders>
              <w:top w:val="single" w:sz="8" w:color="CCEEFF"/>
            </w:tcBorders>
          </w:tcPr>
          <w:p>
            <w:pPr>
              <w:spacing w:after="0"/>
              <w:rPr>
                <w:sz w:val="17"/>
                <w:szCs w:val="17"/>
                <w:color w:val="auto"/>
              </w:rPr>
            </w:pPr>
          </w:p>
        </w:tc>
        <w:tc>
          <w:tcPr>
            <w:tcW w:w="4240" w:type="dxa"/>
            <w:vAlign w:val="bottom"/>
            <w:tcBorders>
              <w:top w:val="single" w:sz="8" w:color="0000FF"/>
            </w:tcBorders>
            <w:gridSpan w:val="27"/>
          </w:tcPr>
          <w:p>
            <w:pPr>
              <w:spacing w:after="0" w:line="186" w:lineRule="exact"/>
              <w:rPr>
                <w:sz w:val="20"/>
                <w:szCs w:val="20"/>
                <w:color w:val="auto"/>
              </w:rPr>
            </w:pPr>
            <w:r>
              <w:rPr>
                <w:rFonts w:ascii="Arial" w:cs="Arial" w:eastAsia="Arial" w:hAnsi="Arial"/>
                <w:sz w:val="18"/>
                <w:szCs w:val="18"/>
                <w:color w:val="0000FF"/>
              </w:rPr>
              <w:t>Controls and Procedures</w:t>
            </w:r>
          </w:p>
        </w:tc>
        <w:tc>
          <w:tcPr>
            <w:tcW w:w="5460" w:type="dxa"/>
            <w:vAlign w:val="bottom"/>
            <w:tcBorders>
              <w:top w:val="single" w:sz="8" w:color="CCEEFF"/>
            </w:tcBorders>
            <w:gridSpan w:val="6"/>
          </w:tcPr>
          <w:p>
            <w:pPr>
              <w:spacing w:after="0"/>
              <w:rPr>
                <w:sz w:val="17"/>
                <w:szCs w:val="17"/>
                <w:color w:val="auto"/>
              </w:rPr>
            </w:pPr>
          </w:p>
        </w:tc>
        <w:tc>
          <w:tcPr>
            <w:tcW w:w="100" w:type="dxa"/>
            <w:vAlign w:val="bottom"/>
            <w:tcBorders>
              <w:top w:val="single" w:sz="8" w:color="0000FF"/>
            </w:tcBorders>
          </w:tcPr>
          <w:p>
            <w:pPr>
              <w:jc w:val="center"/>
              <w:spacing w:after="0" w:line="186" w:lineRule="exact"/>
              <w:rPr>
                <w:sz w:val="20"/>
                <w:szCs w:val="20"/>
                <w:color w:val="auto"/>
              </w:rPr>
            </w:pPr>
            <w:r>
              <w:rPr>
                <w:rFonts w:ascii="Arial" w:cs="Arial" w:eastAsia="Arial" w:hAnsi="Arial"/>
                <w:sz w:val="17"/>
                <w:szCs w:val="17"/>
                <w:color w:val="0000FF"/>
                <w:w w:val="73"/>
              </w:rPr>
              <w:t>82</w:t>
            </w:r>
          </w:p>
        </w:tc>
        <w:tc>
          <w:tcPr>
            <w:tcW w:w="220" w:type="dxa"/>
            <w:vAlign w:val="bottom"/>
            <w:tcBorders>
              <w:top w:val="single" w:sz="8" w:color="CCEEFF"/>
            </w:tcBorders>
          </w:tcPr>
          <w:p>
            <w:pPr>
              <w:spacing w:after="0"/>
              <w:rPr>
                <w:sz w:val="17"/>
                <w:szCs w:val="17"/>
                <w:color w:val="auto"/>
              </w:rPr>
            </w:pPr>
          </w:p>
        </w:tc>
      </w:tr>
      <w:tr>
        <w:trPr>
          <w:trHeight w:val="236"/>
        </w:trPr>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tcBorders>
              <w:top w:val="single" w:sz="8" w:color="0000FF"/>
            </w:tcBorders>
            <w:shd w:val="clear" w:color="auto" w:fill="CCEEFF"/>
          </w:tcPr>
          <w:p>
            <w:pPr>
              <w:spacing w:after="0"/>
              <w:rPr>
                <w:sz w:val="20"/>
                <w:szCs w:val="20"/>
                <w:color w:val="auto"/>
              </w:rPr>
            </w:pPr>
          </w:p>
        </w:tc>
        <w:tc>
          <w:tcPr>
            <w:tcW w:w="220" w:type="dxa"/>
            <w:vAlign w:val="bottom"/>
            <w:tcBorders>
              <w:top w:val="single" w:sz="8" w:color="0000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500" w:type="dxa"/>
            <w:vAlign w:val="bottom"/>
            <w:tcBorders>
              <w:top w:val="single" w:sz="8" w:color="0000FF"/>
            </w:tcBorders>
            <w:shd w:val="clear" w:color="auto" w:fill="CCEEFF"/>
          </w:tcPr>
          <w:p>
            <w:pPr>
              <w:spacing w:after="0"/>
              <w:rPr>
                <w:sz w:val="20"/>
                <w:szCs w:val="20"/>
                <w:color w:val="auto"/>
              </w:rPr>
            </w:pPr>
          </w:p>
        </w:tc>
        <w:tc>
          <w:tcPr>
            <w:tcW w:w="20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220" w:type="dxa"/>
            <w:vAlign w:val="bottom"/>
            <w:tcBorders>
              <w:top w:val="single" w:sz="8" w:color="0000FF"/>
              <w:right w:val="single" w:sz="8" w:color="CCEEFF"/>
            </w:tcBorders>
            <w:shd w:val="clear" w:color="auto" w:fill="CCEEFF"/>
          </w:tcPr>
          <w:p>
            <w:pPr>
              <w:spacing w:after="0"/>
              <w:rPr>
                <w:sz w:val="20"/>
                <w:szCs w:val="20"/>
                <w:color w:val="auto"/>
              </w:rPr>
            </w:pPr>
          </w:p>
        </w:tc>
        <w:tc>
          <w:tcPr>
            <w:tcW w:w="220" w:type="dxa"/>
            <w:vAlign w:val="bottom"/>
            <w:tcBorders>
              <w:top w:val="single" w:sz="8" w:color="0000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334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220" w:type="dxa"/>
            <w:vAlign w:val="bottom"/>
            <w:tcBorders>
              <w:left w:val="single" w:sz="8" w:color="CCEEFF"/>
            </w:tcBorders>
            <w:shd w:val="clear" w:color="auto" w:fill="CCEEFF"/>
          </w:tcPr>
          <w:p>
            <w:pPr>
              <w:spacing w:after="0"/>
              <w:rPr>
                <w:sz w:val="20"/>
                <w:szCs w:val="20"/>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4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9840" w:type="dxa"/>
            <w:vAlign w:val="bottom"/>
            <w:gridSpan w:val="7"/>
          </w:tcPr>
          <w:p>
            <w:pPr>
              <w:ind w:left="180"/>
              <w:spacing w:after="0"/>
              <w:rPr>
                <w:sz w:val="20"/>
                <w:szCs w:val="20"/>
                <w:color w:val="auto"/>
              </w:rPr>
            </w:pPr>
            <w:r>
              <w:rPr>
                <w:rFonts w:ascii="Arial" w:cs="Arial" w:eastAsia="Arial" w:hAnsi="Arial"/>
                <w:sz w:val="18"/>
                <w:szCs w:val="18"/>
                <w:b w:val="1"/>
                <w:bCs w:val="1"/>
                <w:color w:val="auto"/>
              </w:rPr>
              <w:t>OTHER INFORMATION</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6"/>
        </w:trPr>
        <w:tc>
          <w:tcPr>
            <w:tcW w:w="1040" w:type="dxa"/>
            <w:vAlign w:val="bottom"/>
            <w:tcBorders>
              <w:bottom w:val="single" w:sz="8" w:color="CCEEFF"/>
            </w:tcBorders>
            <w:shd w:val="clear" w:color="auto" w:fill="CCEEFF"/>
          </w:tcPr>
          <w:p>
            <w:pPr>
              <w:jc w:val="center"/>
              <w:spacing w:after="0" w:line="186" w:lineRule="exact"/>
              <w:rPr>
                <w:sz w:val="20"/>
                <w:szCs w:val="20"/>
                <w:color w:val="auto"/>
              </w:rPr>
            </w:pPr>
            <w:r>
              <w:rPr>
                <w:rFonts w:ascii="Arial" w:cs="Arial" w:eastAsia="Arial" w:hAnsi="Arial"/>
                <w:sz w:val="18"/>
                <w:szCs w:val="18"/>
                <w:color w:val="auto"/>
                <w:w w:val="90"/>
              </w:rPr>
              <w:t>Item 1.</w:t>
            </w: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0000FF"/>
            </w:tcBorders>
            <w:gridSpan w:val="5"/>
            <w:shd w:val="clear" w:color="auto" w:fill="CCEEFF"/>
          </w:tcPr>
          <w:p>
            <w:pPr>
              <w:spacing w:after="0" w:line="186" w:lineRule="exact"/>
              <w:rPr>
                <w:sz w:val="20"/>
                <w:szCs w:val="20"/>
                <w:color w:val="auto"/>
              </w:rPr>
            </w:pPr>
            <w:r>
              <w:rPr>
                <w:rFonts w:ascii="Arial" w:cs="Arial" w:eastAsia="Arial" w:hAnsi="Arial"/>
                <w:sz w:val="18"/>
                <w:szCs w:val="18"/>
                <w:color w:val="0000FF"/>
                <w:w w:val="87"/>
              </w:rPr>
              <w:t>Legal Proceedings</w:t>
            </w:r>
          </w:p>
        </w:tc>
        <w:tc>
          <w:tcPr>
            <w:tcW w:w="8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FF"/>
            </w:tcBorders>
            <w:shd w:val="clear" w:color="auto" w:fill="CCEEFF"/>
          </w:tcPr>
          <w:p>
            <w:pPr>
              <w:jc w:val="right"/>
              <w:spacing w:after="0" w:line="186" w:lineRule="exact"/>
              <w:rPr>
                <w:sz w:val="20"/>
                <w:szCs w:val="20"/>
                <w:color w:val="auto"/>
              </w:rPr>
            </w:pPr>
            <w:r>
              <w:rPr>
                <w:rFonts w:ascii="Arial" w:cs="Arial" w:eastAsia="Arial" w:hAnsi="Arial"/>
                <w:sz w:val="18"/>
                <w:szCs w:val="18"/>
                <w:color w:val="0000FF"/>
                <w:w w:val="79"/>
              </w:rPr>
              <w:t>82</w:t>
            </w:r>
          </w:p>
        </w:tc>
        <w:tc>
          <w:tcPr>
            <w:tcW w:w="180" w:type="dxa"/>
            <w:vAlign w:val="bottom"/>
            <w:tcBorders>
              <w:bottom w:val="single" w:sz="8" w:color="CCEEFF"/>
            </w:tcBorders>
            <w:shd w:val="clear" w:color="auto" w:fill="CCEEFF"/>
          </w:tcPr>
          <w:p>
            <w:pPr>
              <w:spacing w:after="0"/>
              <w:rPr>
                <w:sz w:val="17"/>
                <w:szCs w:val="17"/>
                <w:color w:val="auto"/>
              </w:rPr>
            </w:pPr>
          </w:p>
        </w:tc>
      </w:tr>
      <w:tr>
        <w:trPr>
          <w:trHeight w:val="196"/>
        </w:trPr>
        <w:tc>
          <w:tcPr>
            <w:tcW w:w="1040" w:type="dxa"/>
            <w:vAlign w:val="bottom"/>
          </w:tcPr>
          <w:p>
            <w:pPr>
              <w:jc w:val="center"/>
              <w:spacing w:after="0" w:line="186" w:lineRule="exact"/>
              <w:rPr>
                <w:sz w:val="20"/>
                <w:szCs w:val="20"/>
                <w:color w:val="auto"/>
              </w:rPr>
            </w:pPr>
            <w:r>
              <w:rPr>
                <w:rFonts w:ascii="Arial" w:cs="Arial" w:eastAsia="Arial" w:hAnsi="Arial"/>
                <w:sz w:val="18"/>
                <w:szCs w:val="18"/>
                <w:color w:val="auto"/>
                <w:w w:val="92"/>
              </w:rPr>
              <w:t>Item 1A.</w:t>
            </w:r>
          </w:p>
        </w:tc>
        <w:tc>
          <w:tcPr>
            <w:tcW w:w="180" w:type="dxa"/>
            <w:vAlign w:val="bottom"/>
          </w:tcPr>
          <w:p>
            <w:pPr>
              <w:spacing w:after="0"/>
              <w:rPr>
                <w:sz w:val="17"/>
                <w:szCs w:val="17"/>
                <w:color w:val="auto"/>
              </w:rPr>
            </w:pPr>
          </w:p>
        </w:tc>
        <w:tc>
          <w:tcPr>
            <w:tcW w:w="900" w:type="dxa"/>
            <w:vAlign w:val="bottom"/>
            <w:tcBorders>
              <w:bottom w:val="single" w:sz="8" w:color="0000FF"/>
            </w:tcBorders>
            <w:gridSpan w:val="3"/>
          </w:tcPr>
          <w:p>
            <w:pPr>
              <w:spacing w:after="0" w:line="186" w:lineRule="exact"/>
              <w:rPr>
                <w:sz w:val="20"/>
                <w:szCs w:val="20"/>
                <w:color w:val="auto"/>
              </w:rPr>
            </w:pPr>
            <w:r>
              <w:rPr>
                <w:rFonts w:ascii="Arial" w:cs="Arial" w:eastAsia="Arial" w:hAnsi="Arial"/>
                <w:sz w:val="18"/>
                <w:szCs w:val="18"/>
                <w:color w:val="0000FF"/>
                <w:w w:val="87"/>
              </w:rPr>
              <w:t>Risk Factors</w:t>
            </w:r>
          </w:p>
        </w:tc>
        <w:tc>
          <w:tcPr>
            <w:tcW w:w="8760" w:type="dxa"/>
            <w:vAlign w:val="bottom"/>
            <w:gridSpan w:val="3"/>
          </w:tcPr>
          <w:p>
            <w:pPr>
              <w:spacing w:after="0"/>
              <w:rPr>
                <w:sz w:val="17"/>
                <w:szCs w:val="17"/>
                <w:color w:val="auto"/>
              </w:rPr>
            </w:pPr>
          </w:p>
        </w:tc>
        <w:tc>
          <w:tcPr>
            <w:tcW w:w="180" w:type="dxa"/>
            <w:vAlign w:val="bottom"/>
            <w:tcBorders>
              <w:bottom w:val="single" w:sz="8" w:color="0000FF"/>
            </w:tcBorders>
          </w:tcPr>
          <w:p>
            <w:pPr>
              <w:jc w:val="right"/>
              <w:spacing w:after="0" w:line="186" w:lineRule="exact"/>
              <w:rPr>
                <w:sz w:val="20"/>
                <w:szCs w:val="20"/>
                <w:color w:val="auto"/>
              </w:rPr>
            </w:pPr>
            <w:r>
              <w:rPr>
                <w:rFonts w:ascii="Arial" w:cs="Arial" w:eastAsia="Arial" w:hAnsi="Arial"/>
                <w:sz w:val="18"/>
                <w:szCs w:val="18"/>
                <w:color w:val="0000FF"/>
                <w:w w:val="79"/>
              </w:rPr>
              <w:t>82</w:t>
            </w:r>
          </w:p>
        </w:tc>
        <w:tc>
          <w:tcPr>
            <w:tcW w:w="180" w:type="dxa"/>
            <w:vAlign w:val="bottom"/>
          </w:tcPr>
          <w:p>
            <w:pPr>
              <w:spacing w:after="0"/>
              <w:rPr>
                <w:sz w:val="17"/>
                <w:szCs w:val="17"/>
                <w:color w:val="auto"/>
              </w:rPr>
            </w:pPr>
          </w:p>
        </w:tc>
      </w:tr>
      <w:tr>
        <w:trPr>
          <w:trHeight w:val="216"/>
        </w:trPr>
        <w:tc>
          <w:tcPr>
            <w:tcW w:w="104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Item 5.</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0000FF"/>
            </w:tcBorders>
            <w:gridSpan w:val="4"/>
            <w:shd w:val="clear" w:color="auto" w:fill="CCEEFF"/>
          </w:tcPr>
          <w:p>
            <w:pPr>
              <w:spacing w:after="0" w:line="196" w:lineRule="exact"/>
              <w:rPr>
                <w:sz w:val="20"/>
                <w:szCs w:val="20"/>
                <w:color w:val="auto"/>
              </w:rPr>
            </w:pPr>
            <w:r>
              <w:rPr>
                <w:rFonts w:ascii="Arial" w:cs="Arial" w:eastAsia="Arial" w:hAnsi="Arial"/>
                <w:sz w:val="18"/>
                <w:szCs w:val="18"/>
                <w:color w:val="0000FF"/>
                <w:w w:val="91"/>
              </w:rPr>
              <w:t>Other Information</w:t>
            </w:r>
          </w:p>
        </w:tc>
        <w:tc>
          <w:tcPr>
            <w:tcW w:w="836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96" w:lineRule="exact"/>
              <w:rPr>
                <w:sz w:val="20"/>
                <w:szCs w:val="20"/>
                <w:color w:val="auto"/>
              </w:rPr>
            </w:pPr>
            <w:r>
              <w:rPr>
                <w:rFonts w:ascii="Arial" w:cs="Arial" w:eastAsia="Arial" w:hAnsi="Arial"/>
                <w:sz w:val="18"/>
                <w:szCs w:val="18"/>
                <w:color w:val="0000FF"/>
                <w:w w:val="79"/>
              </w:rPr>
              <w:t>83</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196"/>
        </w:trPr>
        <w:tc>
          <w:tcPr>
            <w:tcW w:w="1040" w:type="dxa"/>
            <w:vAlign w:val="bottom"/>
          </w:tcPr>
          <w:p>
            <w:pPr>
              <w:jc w:val="center"/>
              <w:spacing w:after="0" w:line="186" w:lineRule="exact"/>
              <w:rPr>
                <w:sz w:val="20"/>
                <w:szCs w:val="20"/>
                <w:color w:val="auto"/>
              </w:rPr>
            </w:pPr>
            <w:r>
              <w:rPr>
                <w:rFonts w:ascii="Arial" w:cs="Arial" w:eastAsia="Arial" w:hAnsi="Arial"/>
                <w:sz w:val="18"/>
                <w:szCs w:val="18"/>
                <w:color w:val="auto"/>
                <w:w w:val="90"/>
              </w:rPr>
              <w:t>Item 6.</w:t>
            </w:r>
          </w:p>
        </w:tc>
        <w:tc>
          <w:tcPr>
            <w:tcW w:w="180" w:type="dxa"/>
            <w:vAlign w:val="bottom"/>
          </w:tcPr>
          <w:p>
            <w:pPr>
              <w:spacing w:after="0"/>
              <w:rPr>
                <w:sz w:val="17"/>
                <w:szCs w:val="17"/>
                <w:color w:val="auto"/>
              </w:rPr>
            </w:pPr>
          </w:p>
        </w:tc>
        <w:tc>
          <w:tcPr>
            <w:tcW w:w="600" w:type="dxa"/>
            <w:vAlign w:val="bottom"/>
            <w:tcBorders>
              <w:bottom w:val="single" w:sz="8" w:color="0000FF"/>
            </w:tcBorders>
          </w:tcPr>
          <w:p>
            <w:pPr>
              <w:spacing w:after="0" w:line="186" w:lineRule="exact"/>
              <w:rPr>
                <w:sz w:val="20"/>
                <w:szCs w:val="20"/>
                <w:color w:val="auto"/>
              </w:rPr>
            </w:pPr>
            <w:r>
              <w:rPr>
                <w:rFonts w:ascii="Arial" w:cs="Arial" w:eastAsia="Arial" w:hAnsi="Arial"/>
                <w:sz w:val="18"/>
                <w:szCs w:val="18"/>
                <w:color w:val="0000FF"/>
                <w:w w:val="91"/>
              </w:rPr>
              <w:t>Exhibits</w:t>
            </w:r>
          </w:p>
        </w:tc>
        <w:tc>
          <w:tcPr>
            <w:tcW w:w="9060" w:type="dxa"/>
            <w:vAlign w:val="bottom"/>
            <w:gridSpan w:val="5"/>
          </w:tcPr>
          <w:p>
            <w:pPr>
              <w:spacing w:after="0"/>
              <w:rPr>
                <w:sz w:val="17"/>
                <w:szCs w:val="17"/>
                <w:color w:val="auto"/>
              </w:rPr>
            </w:pPr>
          </w:p>
        </w:tc>
        <w:tc>
          <w:tcPr>
            <w:tcW w:w="180" w:type="dxa"/>
            <w:vAlign w:val="bottom"/>
            <w:tcBorders>
              <w:bottom w:val="single" w:sz="8" w:color="0000FF"/>
            </w:tcBorders>
          </w:tcPr>
          <w:p>
            <w:pPr>
              <w:jc w:val="right"/>
              <w:spacing w:after="0" w:line="186" w:lineRule="exact"/>
              <w:rPr>
                <w:sz w:val="20"/>
                <w:szCs w:val="20"/>
                <w:color w:val="auto"/>
              </w:rPr>
            </w:pPr>
            <w:r>
              <w:rPr>
                <w:rFonts w:ascii="Arial" w:cs="Arial" w:eastAsia="Arial" w:hAnsi="Arial"/>
                <w:sz w:val="18"/>
                <w:szCs w:val="18"/>
                <w:color w:val="0000FF"/>
                <w:w w:val="79"/>
              </w:rPr>
              <w:t>83</w:t>
            </w:r>
          </w:p>
        </w:tc>
        <w:tc>
          <w:tcPr>
            <w:tcW w:w="180" w:type="dxa"/>
            <w:vAlign w:val="bottom"/>
          </w:tcPr>
          <w:p>
            <w:pPr>
              <w:spacing w:after="0"/>
              <w:rPr>
                <w:sz w:val="17"/>
                <w:szCs w:val="17"/>
                <w:color w:val="auto"/>
              </w:rPr>
            </w:pPr>
          </w:p>
        </w:tc>
      </w:tr>
      <w:tr>
        <w:trPr>
          <w:trHeight w:val="196"/>
        </w:trPr>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60" w:type="dxa"/>
            <w:vAlign w:val="bottom"/>
            <w:gridSpan w:val="6"/>
            <w:shd w:val="clear" w:color="auto" w:fill="CCEEFF"/>
          </w:tcPr>
          <w:p>
            <w:pPr>
              <w:spacing w:after="0" w:line="196" w:lineRule="exact"/>
              <w:rPr>
                <w:sz w:val="20"/>
                <w:szCs w:val="20"/>
                <w:color w:val="auto"/>
              </w:rPr>
            </w:pPr>
            <w:r>
              <w:rPr>
                <w:rFonts w:ascii="Arial" w:cs="Arial" w:eastAsia="Arial" w:hAnsi="Arial"/>
                <w:sz w:val="18"/>
                <w:szCs w:val="18"/>
                <w:color w:val="0000FF"/>
              </w:rPr>
              <w:t>Signatures</w:t>
            </w:r>
          </w:p>
        </w:tc>
        <w:tc>
          <w:tcPr>
            <w:tcW w:w="36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0000FF"/>
                <w:w w:val="79"/>
              </w:rPr>
              <w:t>86</w:t>
            </w:r>
          </w:p>
        </w:tc>
      </w:tr>
      <w:tr>
        <w:trPr>
          <w:trHeight w:val="40"/>
        </w:trPr>
        <w:tc>
          <w:tcPr>
            <w:tcW w:w="10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34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5"/>
        </w:trPr>
        <w:tc>
          <w:tcPr>
            <w:tcW w:w="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7840" w:type="dxa"/>
            <w:vAlign w:val="bottom"/>
            <w:gridSpan w:val="2"/>
          </w:tcPr>
          <w:p>
            <w:pPr>
              <w:ind w:left="1780"/>
              <w:spacing w:after="0"/>
              <w:rPr>
                <w:sz w:val="20"/>
                <w:szCs w:val="20"/>
                <w:color w:val="auto"/>
              </w:rPr>
            </w:pPr>
            <w:r>
              <w:rPr>
                <w:rFonts w:ascii="Arial" w:cs="Arial" w:eastAsia="Arial" w:hAnsi="Arial"/>
                <w:sz w:val="18"/>
                <w:szCs w:val="18"/>
                <w:b w:val="1"/>
                <w:bCs w:val="1"/>
                <w:i w:val="1"/>
                <w:iCs w:val="1"/>
                <w:color w:val="auto"/>
              </w:rPr>
              <w:t>GLOSSARY</w:t>
            </w:r>
          </w:p>
        </w:tc>
      </w:tr>
      <w:tr>
        <w:trPr>
          <w:trHeight w:val="220"/>
        </w:trPr>
        <w:tc>
          <w:tcPr>
            <w:tcW w:w="40" w:type="dxa"/>
            <w:vAlign w:val="bottom"/>
          </w:tcPr>
          <w:p>
            <w:pPr>
              <w:spacing w:after="0"/>
              <w:rPr>
                <w:sz w:val="19"/>
                <w:szCs w:val="19"/>
                <w:color w:val="auto"/>
              </w:rPr>
            </w:pPr>
          </w:p>
        </w:tc>
        <w:tc>
          <w:tcPr>
            <w:tcW w:w="3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ACE</w:t>
            </w:r>
          </w:p>
        </w:tc>
        <w:tc>
          <w:tcPr>
            <w:tcW w:w="7820" w:type="dxa"/>
            <w:vAlign w:val="bottom"/>
            <w:tcBorders>
              <w:top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Affordable Clean Energy</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AFSI</w:t>
            </w:r>
          </w:p>
        </w:tc>
        <w:tc>
          <w:tcPr>
            <w:tcW w:w="7840" w:type="dxa"/>
            <w:vAlign w:val="bottom"/>
            <w:gridSpan w:val="2"/>
          </w:tcPr>
          <w:p>
            <w:pPr>
              <w:ind w:left="1280"/>
              <w:spacing w:after="0"/>
              <w:rPr>
                <w:sz w:val="20"/>
                <w:szCs w:val="20"/>
                <w:color w:val="auto"/>
              </w:rPr>
            </w:pPr>
            <w:r>
              <w:rPr>
                <w:rFonts w:ascii="Arial" w:cs="Arial" w:eastAsia="Arial" w:hAnsi="Arial"/>
                <w:sz w:val="18"/>
                <w:szCs w:val="18"/>
                <w:color w:val="auto"/>
              </w:rPr>
              <w:t>Adjusted financial statement income</w:t>
            </w:r>
          </w:p>
        </w:tc>
      </w:tr>
      <w:tr>
        <w:trPr>
          <w:trHeight w:val="227"/>
        </w:trPr>
        <w:tc>
          <w:tcPr>
            <w:tcW w:w="40" w:type="dxa"/>
            <w:vAlign w:val="bottom"/>
          </w:tcPr>
          <w:p>
            <w:pPr>
              <w:spacing w:after="0"/>
              <w:rPr>
                <w:sz w:val="19"/>
                <w:szCs w:val="19"/>
                <w:color w:val="auto"/>
              </w:rPr>
            </w:pPr>
          </w:p>
        </w:tc>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AFUDC</w:t>
            </w:r>
          </w:p>
        </w:tc>
        <w:tc>
          <w:tcPr>
            <w:tcW w:w="78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Allowance for funds used during construction</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AMA</w:t>
            </w:r>
          </w:p>
        </w:tc>
        <w:tc>
          <w:tcPr>
            <w:tcW w:w="7840" w:type="dxa"/>
            <w:vAlign w:val="bottom"/>
            <w:gridSpan w:val="2"/>
          </w:tcPr>
          <w:p>
            <w:pPr>
              <w:ind w:left="1280"/>
              <w:spacing w:after="0"/>
              <w:rPr>
                <w:sz w:val="20"/>
                <w:szCs w:val="20"/>
                <w:color w:val="auto"/>
              </w:rPr>
            </w:pPr>
            <w:r>
              <w:rPr>
                <w:rFonts w:ascii="Arial" w:cs="Arial" w:eastAsia="Arial" w:hAnsi="Arial"/>
                <w:sz w:val="18"/>
                <w:szCs w:val="18"/>
                <w:color w:val="auto"/>
              </w:rPr>
              <w:t>Asset Management Agreement</w:t>
            </w:r>
          </w:p>
        </w:tc>
      </w:tr>
      <w:tr>
        <w:trPr>
          <w:trHeight w:val="174"/>
        </w:trPr>
        <w:tc>
          <w:tcPr>
            <w:tcW w:w="40" w:type="dxa"/>
            <w:vAlign w:val="bottom"/>
          </w:tcPr>
          <w:p>
            <w:pPr>
              <w:spacing w:after="0"/>
              <w:rPr>
                <w:sz w:val="15"/>
                <w:szCs w:val="15"/>
                <w:color w:val="auto"/>
              </w:rPr>
            </w:pPr>
          </w:p>
        </w:tc>
        <w:tc>
          <w:tcPr>
            <w:tcW w:w="336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b w:val="1"/>
                <w:bCs w:val="1"/>
                <w:i w:val="1"/>
                <w:iCs w:val="1"/>
                <w:color w:val="auto"/>
              </w:rPr>
              <w:t>Arevon</w:t>
            </w:r>
          </w:p>
        </w:tc>
        <w:tc>
          <w:tcPr>
            <w:tcW w:w="7820" w:type="dxa"/>
            <w:vAlign w:val="bottom"/>
            <w:shd w:val="clear" w:color="auto" w:fill="CCEEFF"/>
          </w:tcPr>
          <w:p>
            <w:pPr>
              <w:ind w:left="1280"/>
              <w:spacing w:after="0" w:line="175" w:lineRule="exact"/>
              <w:rPr>
                <w:sz w:val="20"/>
                <w:szCs w:val="20"/>
                <w:color w:val="auto"/>
              </w:rPr>
            </w:pPr>
            <w:r>
              <w:rPr>
                <w:rFonts w:ascii="Arial" w:cs="Arial" w:eastAsia="Arial" w:hAnsi="Arial"/>
                <w:sz w:val="18"/>
                <w:szCs w:val="18"/>
                <w:color w:val="auto"/>
                <w:w w:val="95"/>
              </w:rPr>
              <w:t>Arevon Energy, Inc., which was formed through the combination of Capital Dynamics,</w:t>
            </w:r>
          </w:p>
        </w:tc>
        <w:tc>
          <w:tcPr>
            <w:tcW w:w="2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3360" w:type="dxa"/>
            <w:vAlign w:val="bottom"/>
            <w:shd w:val="clear" w:color="auto" w:fill="CCEEFF"/>
          </w:tcPr>
          <w:p>
            <w:pPr>
              <w:spacing w:after="0"/>
              <w:rPr>
                <w:sz w:val="20"/>
                <w:szCs w:val="20"/>
                <w:color w:val="auto"/>
              </w:rPr>
            </w:pPr>
          </w:p>
        </w:tc>
        <w:tc>
          <w:tcPr>
            <w:tcW w:w="782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6"/>
              </w:rPr>
              <w:t>Inc.’s U.S. Clean Energy Infrastructure business unit and Arevon Asset Management</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3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ARO</w:t>
            </w:r>
          </w:p>
        </w:tc>
        <w:tc>
          <w:tcPr>
            <w:tcW w:w="7840" w:type="dxa"/>
            <w:vAlign w:val="bottom"/>
            <w:gridSpan w:val="2"/>
          </w:tcPr>
          <w:p>
            <w:pPr>
              <w:ind w:left="1280"/>
              <w:spacing w:after="0"/>
              <w:rPr>
                <w:sz w:val="20"/>
                <w:szCs w:val="20"/>
                <w:color w:val="auto"/>
              </w:rPr>
            </w:pPr>
            <w:r>
              <w:rPr>
                <w:rFonts w:ascii="Arial" w:cs="Arial" w:eastAsia="Arial" w:hAnsi="Arial"/>
                <w:sz w:val="18"/>
                <w:szCs w:val="18"/>
                <w:color w:val="auto"/>
              </w:rPr>
              <w:t>Asset retirement obligation</w:t>
            </w:r>
          </w:p>
        </w:tc>
      </w:tr>
      <w:tr>
        <w:trPr>
          <w:trHeight w:val="227"/>
        </w:trPr>
        <w:tc>
          <w:tcPr>
            <w:tcW w:w="40" w:type="dxa"/>
            <w:vAlign w:val="bottom"/>
          </w:tcPr>
          <w:p>
            <w:pPr>
              <w:spacing w:after="0"/>
              <w:rPr>
                <w:sz w:val="19"/>
                <w:szCs w:val="19"/>
                <w:color w:val="auto"/>
              </w:rPr>
            </w:pPr>
          </w:p>
        </w:tc>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ARP</w:t>
            </w:r>
          </w:p>
        </w:tc>
        <w:tc>
          <w:tcPr>
            <w:tcW w:w="78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Alternative revenue program</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ASC</w:t>
            </w:r>
          </w:p>
        </w:tc>
        <w:tc>
          <w:tcPr>
            <w:tcW w:w="7840" w:type="dxa"/>
            <w:vAlign w:val="bottom"/>
            <w:gridSpan w:val="2"/>
          </w:tcPr>
          <w:p>
            <w:pPr>
              <w:ind w:left="1280"/>
              <w:spacing w:after="0"/>
              <w:rPr>
                <w:sz w:val="20"/>
                <w:szCs w:val="20"/>
                <w:color w:val="auto"/>
              </w:rPr>
            </w:pPr>
            <w:r>
              <w:rPr>
                <w:rFonts w:ascii="Arial" w:cs="Arial" w:eastAsia="Arial" w:hAnsi="Arial"/>
                <w:sz w:val="18"/>
                <w:szCs w:val="18"/>
                <w:color w:val="auto"/>
              </w:rPr>
              <w:t>Accounting Standards Codification</w:t>
            </w:r>
          </w:p>
        </w:tc>
      </w:tr>
      <w:tr>
        <w:trPr>
          <w:trHeight w:val="174"/>
        </w:trPr>
        <w:tc>
          <w:tcPr>
            <w:tcW w:w="40" w:type="dxa"/>
            <w:vAlign w:val="bottom"/>
          </w:tcPr>
          <w:p>
            <w:pPr>
              <w:spacing w:after="0"/>
              <w:rPr>
                <w:sz w:val="15"/>
                <w:szCs w:val="15"/>
                <w:color w:val="auto"/>
              </w:rPr>
            </w:pPr>
          </w:p>
        </w:tc>
        <w:tc>
          <w:tcPr>
            <w:tcW w:w="336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b w:val="1"/>
                <w:bCs w:val="1"/>
                <w:i w:val="1"/>
                <w:iCs w:val="1"/>
                <w:color w:val="auto"/>
              </w:rPr>
              <w:t>Asset Purchase Agreement</w:t>
            </w:r>
          </w:p>
        </w:tc>
        <w:tc>
          <w:tcPr>
            <w:tcW w:w="7820" w:type="dxa"/>
            <w:vAlign w:val="bottom"/>
            <w:shd w:val="clear" w:color="auto" w:fill="CCEEFF"/>
          </w:tcPr>
          <w:p>
            <w:pPr>
              <w:ind w:left="1280"/>
              <w:spacing w:after="0" w:line="175" w:lineRule="exact"/>
              <w:rPr>
                <w:sz w:val="20"/>
                <w:szCs w:val="20"/>
                <w:color w:val="auto"/>
              </w:rPr>
            </w:pPr>
            <w:r>
              <w:rPr>
                <w:rFonts w:ascii="Arial" w:cs="Arial" w:eastAsia="Arial" w:hAnsi="Arial"/>
                <w:sz w:val="18"/>
                <w:szCs w:val="18"/>
                <w:color w:val="auto"/>
                <w:w w:val="91"/>
              </w:rPr>
              <w:t>Asset Purchase Agreement, dated as of April 29, 2021, by and between CERC Corp. and</w:t>
            </w:r>
          </w:p>
        </w:tc>
        <w:tc>
          <w:tcPr>
            <w:tcW w:w="2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3360" w:type="dxa"/>
            <w:vAlign w:val="bottom"/>
            <w:shd w:val="clear" w:color="auto" w:fill="CCEEFF"/>
          </w:tcPr>
          <w:p>
            <w:pPr>
              <w:spacing w:after="0"/>
              <w:rPr>
                <w:sz w:val="20"/>
                <w:szCs w:val="20"/>
                <w:color w:val="auto"/>
              </w:rPr>
            </w:pPr>
          </w:p>
        </w:tc>
        <w:tc>
          <w:tcPr>
            <w:tcW w:w="78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Southern Col Midco</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3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AT&amp;T Common</w:t>
            </w:r>
          </w:p>
        </w:tc>
        <w:tc>
          <w:tcPr>
            <w:tcW w:w="7840" w:type="dxa"/>
            <w:vAlign w:val="bottom"/>
            <w:gridSpan w:val="2"/>
          </w:tcPr>
          <w:p>
            <w:pPr>
              <w:ind w:left="1280"/>
              <w:spacing w:after="0"/>
              <w:rPr>
                <w:sz w:val="20"/>
                <w:szCs w:val="20"/>
                <w:color w:val="auto"/>
              </w:rPr>
            </w:pPr>
            <w:r>
              <w:rPr>
                <w:rFonts w:ascii="Arial" w:cs="Arial" w:eastAsia="Arial" w:hAnsi="Arial"/>
                <w:sz w:val="18"/>
                <w:szCs w:val="18"/>
                <w:color w:val="auto"/>
              </w:rPr>
              <w:t>AT&amp;T Inc. common stock</w:t>
            </w:r>
          </w:p>
        </w:tc>
      </w:tr>
      <w:tr>
        <w:trPr>
          <w:trHeight w:val="227"/>
        </w:trPr>
        <w:tc>
          <w:tcPr>
            <w:tcW w:w="40" w:type="dxa"/>
            <w:vAlign w:val="bottom"/>
          </w:tcPr>
          <w:p>
            <w:pPr>
              <w:spacing w:after="0"/>
              <w:rPr>
                <w:sz w:val="19"/>
                <w:szCs w:val="19"/>
                <w:color w:val="auto"/>
              </w:rPr>
            </w:pPr>
          </w:p>
        </w:tc>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Bcf</w:t>
            </w:r>
          </w:p>
        </w:tc>
        <w:tc>
          <w:tcPr>
            <w:tcW w:w="78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Billion cubic feet</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Board</w:t>
            </w:r>
          </w:p>
        </w:tc>
        <w:tc>
          <w:tcPr>
            <w:tcW w:w="7840" w:type="dxa"/>
            <w:vAlign w:val="bottom"/>
            <w:gridSpan w:val="2"/>
          </w:tcPr>
          <w:p>
            <w:pPr>
              <w:ind w:left="1280"/>
              <w:spacing w:after="0"/>
              <w:rPr>
                <w:sz w:val="20"/>
                <w:szCs w:val="20"/>
                <w:color w:val="auto"/>
              </w:rPr>
            </w:pPr>
            <w:r>
              <w:rPr>
                <w:rFonts w:ascii="Arial" w:cs="Arial" w:eastAsia="Arial" w:hAnsi="Arial"/>
                <w:sz w:val="18"/>
                <w:szCs w:val="18"/>
                <w:color w:val="auto"/>
              </w:rPr>
              <w:t>Board of Directors of CenterPoint Energy, Inc.</w:t>
            </w:r>
          </w:p>
        </w:tc>
      </w:tr>
      <w:tr>
        <w:trPr>
          <w:trHeight w:val="174"/>
        </w:trPr>
        <w:tc>
          <w:tcPr>
            <w:tcW w:w="40" w:type="dxa"/>
            <w:vAlign w:val="bottom"/>
          </w:tcPr>
          <w:p>
            <w:pPr>
              <w:spacing w:after="0"/>
              <w:rPr>
                <w:sz w:val="15"/>
                <w:szCs w:val="15"/>
                <w:color w:val="auto"/>
              </w:rPr>
            </w:pPr>
          </w:p>
        </w:tc>
        <w:tc>
          <w:tcPr>
            <w:tcW w:w="336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b w:val="1"/>
                <w:bCs w:val="1"/>
                <w:i w:val="1"/>
                <w:iCs w:val="1"/>
                <w:color w:val="auto"/>
              </w:rPr>
              <w:t>Bond Companies</w:t>
            </w:r>
          </w:p>
        </w:tc>
        <w:tc>
          <w:tcPr>
            <w:tcW w:w="7820" w:type="dxa"/>
            <w:vAlign w:val="bottom"/>
            <w:shd w:val="clear" w:color="auto" w:fill="CCEEFF"/>
          </w:tcPr>
          <w:p>
            <w:pPr>
              <w:ind w:left="1280"/>
              <w:spacing w:after="0" w:line="175" w:lineRule="exact"/>
              <w:rPr>
                <w:sz w:val="20"/>
                <w:szCs w:val="20"/>
                <w:color w:val="auto"/>
              </w:rPr>
            </w:pPr>
            <w:r>
              <w:rPr>
                <w:rFonts w:ascii="Arial" w:cs="Arial" w:eastAsia="Arial" w:hAnsi="Arial"/>
                <w:sz w:val="18"/>
                <w:szCs w:val="18"/>
                <w:color w:val="auto"/>
                <w:w w:val="95"/>
              </w:rPr>
              <w:t>Bond Company IV and Restoration Bond Company, each a wholly-owned, bankruptcy</w:t>
            </w:r>
          </w:p>
        </w:tc>
        <w:tc>
          <w:tcPr>
            <w:tcW w:w="20" w:type="dxa"/>
            <w:vAlign w:val="bottom"/>
          </w:tcPr>
          <w:p>
            <w:pPr>
              <w:spacing w:after="0"/>
              <w:rPr>
                <w:sz w:val="15"/>
                <w:szCs w:val="15"/>
                <w:color w:val="auto"/>
              </w:rPr>
            </w:pPr>
          </w:p>
        </w:tc>
      </w:tr>
      <w:tr>
        <w:trPr>
          <w:trHeight w:val="186"/>
        </w:trPr>
        <w:tc>
          <w:tcPr>
            <w:tcW w:w="40" w:type="dxa"/>
            <w:vAlign w:val="bottom"/>
          </w:tcPr>
          <w:p>
            <w:pPr>
              <w:spacing w:after="0"/>
              <w:rPr>
                <w:sz w:val="16"/>
                <w:szCs w:val="16"/>
                <w:color w:val="auto"/>
              </w:rPr>
            </w:pPr>
          </w:p>
        </w:tc>
        <w:tc>
          <w:tcPr>
            <w:tcW w:w="3360" w:type="dxa"/>
            <w:vAlign w:val="bottom"/>
            <w:shd w:val="clear" w:color="auto" w:fill="CCEEFF"/>
          </w:tcPr>
          <w:p>
            <w:pPr>
              <w:spacing w:after="0"/>
              <w:rPr>
                <w:sz w:val="16"/>
                <w:szCs w:val="16"/>
                <w:color w:val="auto"/>
              </w:rPr>
            </w:pPr>
          </w:p>
        </w:tc>
        <w:tc>
          <w:tcPr>
            <w:tcW w:w="7820" w:type="dxa"/>
            <w:vAlign w:val="bottom"/>
            <w:shd w:val="clear" w:color="auto" w:fill="CCEEFF"/>
          </w:tcPr>
          <w:p>
            <w:pPr>
              <w:ind w:left="1280"/>
              <w:spacing w:after="0" w:line="186" w:lineRule="exact"/>
              <w:rPr>
                <w:sz w:val="20"/>
                <w:szCs w:val="20"/>
                <w:color w:val="auto"/>
              </w:rPr>
            </w:pPr>
            <w:r>
              <w:rPr>
                <w:rFonts w:ascii="Arial" w:cs="Arial" w:eastAsia="Arial" w:hAnsi="Arial"/>
                <w:sz w:val="18"/>
                <w:szCs w:val="18"/>
                <w:color w:val="auto"/>
                <w:w w:val="91"/>
              </w:rPr>
              <w:t>remote entity formed solely for the purpose of purchasing and owning transition or system</w:t>
            </w:r>
          </w:p>
        </w:tc>
        <w:tc>
          <w:tcPr>
            <w:tcW w:w="20" w:type="dxa"/>
            <w:vAlign w:val="bottom"/>
          </w:tcPr>
          <w:p>
            <w:pPr>
              <w:spacing w:after="0"/>
              <w:rPr>
                <w:sz w:val="16"/>
                <w:szCs w:val="16"/>
                <w:color w:val="auto"/>
              </w:rPr>
            </w:pPr>
          </w:p>
        </w:tc>
      </w:tr>
      <w:tr>
        <w:trPr>
          <w:trHeight w:val="225"/>
        </w:trPr>
        <w:tc>
          <w:tcPr>
            <w:tcW w:w="40" w:type="dxa"/>
            <w:vAlign w:val="bottom"/>
          </w:tcPr>
          <w:p>
            <w:pPr>
              <w:spacing w:after="0"/>
              <w:rPr>
                <w:sz w:val="19"/>
                <w:szCs w:val="19"/>
                <w:color w:val="auto"/>
              </w:rPr>
            </w:pPr>
          </w:p>
        </w:tc>
        <w:tc>
          <w:tcPr>
            <w:tcW w:w="3360" w:type="dxa"/>
            <w:vAlign w:val="bottom"/>
            <w:shd w:val="clear" w:color="auto" w:fill="CCEEFF"/>
          </w:tcPr>
          <w:p>
            <w:pPr>
              <w:spacing w:after="0"/>
              <w:rPr>
                <w:sz w:val="19"/>
                <w:szCs w:val="19"/>
                <w:color w:val="auto"/>
              </w:rPr>
            </w:pPr>
          </w:p>
        </w:tc>
        <w:tc>
          <w:tcPr>
            <w:tcW w:w="78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restoration property through the issuance of Securitization Bonds</w:t>
            </w:r>
          </w:p>
        </w:tc>
        <w:tc>
          <w:tcPr>
            <w:tcW w:w="20" w:type="dxa"/>
            <w:vAlign w:val="bottom"/>
          </w:tcPr>
          <w:p>
            <w:pPr>
              <w:spacing w:after="0"/>
              <w:rPr>
                <w:sz w:val="19"/>
                <w:szCs w:val="19"/>
                <w:color w:val="auto"/>
              </w:rPr>
            </w:pPr>
          </w:p>
        </w:tc>
      </w:tr>
      <w:tr>
        <w:trPr>
          <w:trHeight w:val="174"/>
        </w:trPr>
        <w:tc>
          <w:tcPr>
            <w:tcW w:w="40" w:type="dxa"/>
            <w:vAlign w:val="bottom"/>
          </w:tcPr>
          <w:p>
            <w:pPr>
              <w:spacing w:after="0"/>
              <w:rPr>
                <w:sz w:val="15"/>
                <w:szCs w:val="15"/>
                <w:color w:val="auto"/>
              </w:rPr>
            </w:pPr>
          </w:p>
        </w:tc>
        <w:tc>
          <w:tcPr>
            <w:tcW w:w="336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Bond Company IV</w:t>
            </w:r>
          </w:p>
        </w:tc>
        <w:tc>
          <w:tcPr>
            <w:tcW w:w="7840" w:type="dxa"/>
            <w:vAlign w:val="bottom"/>
            <w:gridSpan w:val="2"/>
          </w:tcPr>
          <w:p>
            <w:pPr>
              <w:ind w:left="1280"/>
              <w:spacing w:after="0" w:line="174" w:lineRule="exact"/>
              <w:rPr>
                <w:sz w:val="20"/>
                <w:szCs w:val="20"/>
                <w:color w:val="auto"/>
              </w:rPr>
            </w:pPr>
            <w:r>
              <w:rPr>
                <w:rFonts w:ascii="Arial" w:cs="Arial" w:eastAsia="Arial" w:hAnsi="Arial"/>
                <w:sz w:val="18"/>
                <w:szCs w:val="18"/>
                <w:color w:val="auto"/>
                <w:w w:val="96"/>
              </w:rPr>
              <w:t>CenterPoint Energy Transition Bond Company IV, LLC, a wholly-owned subsidiary of</w:t>
            </w:r>
          </w:p>
        </w:tc>
      </w:tr>
      <w:tr>
        <w:trPr>
          <w:trHeight w:val="231"/>
        </w:trPr>
        <w:tc>
          <w:tcPr>
            <w:tcW w:w="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7840" w:type="dxa"/>
            <w:vAlign w:val="bottom"/>
            <w:gridSpan w:val="2"/>
          </w:tcPr>
          <w:p>
            <w:pPr>
              <w:ind w:left="1280"/>
              <w:spacing w:after="0"/>
              <w:rPr>
                <w:sz w:val="20"/>
                <w:szCs w:val="20"/>
                <w:color w:val="auto"/>
              </w:rPr>
            </w:pPr>
            <w:r>
              <w:rPr>
                <w:rFonts w:ascii="Arial" w:cs="Arial" w:eastAsia="Arial" w:hAnsi="Arial"/>
                <w:sz w:val="18"/>
                <w:szCs w:val="18"/>
                <w:color w:val="auto"/>
              </w:rPr>
              <w:t>Houston Electric</w:t>
            </w:r>
          </w:p>
        </w:tc>
      </w:tr>
      <w:tr>
        <w:trPr>
          <w:trHeight w:val="233"/>
        </w:trPr>
        <w:tc>
          <w:tcPr>
            <w:tcW w:w="40" w:type="dxa"/>
            <w:vAlign w:val="bottom"/>
          </w:tcPr>
          <w:p>
            <w:pPr>
              <w:spacing w:after="0"/>
              <w:rPr>
                <w:sz w:val="20"/>
                <w:szCs w:val="20"/>
                <w:color w:val="auto"/>
              </w:rPr>
            </w:pPr>
          </w:p>
        </w:tc>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BTA</w:t>
            </w:r>
          </w:p>
        </w:tc>
        <w:tc>
          <w:tcPr>
            <w:tcW w:w="78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Build Transfer Agreement</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3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CAMT</w:t>
            </w:r>
          </w:p>
        </w:tc>
        <w:tc>
          <w:tcPr>
            <w:tcW w:w="7840" w:type="dxa"/>
            <w:vAlign w:val="bottom"/>
            <w:gridSpan w:val="2"/>
          </w:tcPr>
          <w:p>
            <w:pPr>
              <w:ind w:left="1280"/>
              <w:spacing w:after="0"/>
              <w:rPr>
                <w:sz w:val="20"/>
                <w:szCs w:val="20"/>
                <w:color w:val="auto"/>
              </w:rPr>
            </w:pPr>
            <w:r>
              <w:rPr>
                <w:rFonts w:ascii="Arial" w:cs="Arial" w:eastAsia="Arial" w:hAnsi="Arial"/>
                <w:sz w:val="18"/>
                <w:szCs w:val="18"/>
                <w:color w:val="auto"/>
              </w:rPr>
              <w:t>Corporate Alternative Minimum Tax</w:t>
            </w:r>
          </w:p>
        </w:tc>
      </w:tr>
      <w:tr>
        <w:trPr>
          <w:trHeight w:val="227"/>
        </w:trPr>
        <w:tc>
          <w:tcPr>
            <w:tcW w:w="40" w:type="dxa"/>
            <w:vAlign w:val="bottom"/>
          </w:tcPr>
          <w:p>
            <w:pPr>
              <w:spacing w:after="0"/>
              <w:rPr>
                <w:sz w:val="19"/>
                <w:szCs w:val="19"/>
                <w:color w:val="auto"/>
              </w:rPr>
            </w:pPr>
          </w:p>
        </w:tc>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CARES Act</w:t>
            </w:r>
          </w:p>
        </w:tc>
        <w:tc>
          <w:tcPr>
            <w:tcW w:w="78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Coronavirus Aid, Relief, and Economic Security Act</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CCN</w:t>
            </w:r>
          </w:p>
        </w:tc>
        <w:tc>
          <w:tcPr>
            <w:tcW w:w="7840" w:type="dxa"/>
            <w:vAlign w:val="bottom"/>
            <w:gridSpan w:val="2"/>
          </w:tcPr>
          <w:p>
            <w:pPr>
              <w:ind w:left="1280"/>
              <w:spacing w:after="0"/>
              <w:rPr>
                <w:sz w:val="20"/>
                <w:szCs w:val="20"/>
                <w:color w:val="auto"/>
              </w:rPr>
            </w:pPr>
            <w:r>
              <w:rPr>
                <w:rFonts w:ascii="Arial" w:cs="Arial" w:eastAsia="Arial" w:hAnsi="Arial"/>
                <w:sz w:val="18"/>
                <w:szCs w:val="18"/>
                <w:color w:val="auto"/>
              </w:rPr>
              <w:t>Certificate of Convenience and Necessity</w:t>
            </w:r>
          </w:p>
        </w:tc>
      </w:tr>
      <w:tr>
        <w:trPr>
          <w:trHeight w:val="227"/>
        </w:trPr>
        <w:tc>
          <w:tcPr>
            <w:tcW w:w="40" w:type="dxa"/>
            <w:vAlign w:val="bottom"/>
          </w:tcPr>
          <w:p>
            <w:pPr>
              <w:spacing w:after="0"/>
              <w:rPr>
                <w:sz w:val="19"/>
                <w:szCs w:val="19"/>
                <w:color w:val="auto"/>
              </w:rPr>
            </w:pPr>
          </w:p>
        </w:tc>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CCR</w:t>
            </w:r>
          </w:p>
        </w:tc>
        <w:tc>
          <w:tcPr>
            <w:tcW w:w="78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Coal Combustion Residuals</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CECA</w:t>
            </w:r>
          </w:p>
        </w:tc>
        <w:tc>
          <w:tcPr>
            <w:tcW w:w="7840" w:type="dxa"/>
            <w:vAlign w:val="bottom"/>
            <w:gridSpan w:val="2"/>
          </w:tcPr>
          <w:p>
            <w:pPr>
              <w:ind w:left="1280"/>
              <w:spacing w:after="0"/>
              <w:rPr>
                <w:sz w:val="20"/>
                <w:szCs w:val="20"/>
                <w:color w:val="auto"/>
              </w:rPr>
            </w:pPr>
            <w:r>
              <w:rPr>
                <w:rFonts w:ascii="Arial" w:cs="Arial" w:eastAsia="Arial" w:hAnsi="Arial"/>
                <w:sz w:val="18"/>
                <w:szCs w:val="18"/>
                <w:color w:val="auto"/>
              </w:rPr>
              <w:t>Clean Energy Cost Adjustment</w:t>
            </w:r>
          </w:p>
        </w:tc>
      </w:tr>
      <w:tr>
        <w:trPr>
          <w:trHeight w:val="227"/>
        </w:trPr>
        <w:tc>
          <w:tcPr>
            <w:tcW w:w="40" w:type="dxa"/>
            <w:vAlign w:val="bottom"/>
          </w:tcPr>
          <w:p>
            <w:pPr>
              <w:spacing w:after="0"/>
              <w:rPr>
                <w:sz w:val="19"/>
                <w:szCs w:val="19"/>
                <w:color w:val="auto"/>
              </w:rPr>
            </w:pPr>
          </w:p>
        </w:tc>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CEIP</w:t>
            </w:r>
          </w:p>
        </w:tc>
        <w:tc>
          <w:tcPr>
            <w:tcW w:w="782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2"/>
              </w:rPr>
              <w:t>CenterPoint Energy Intrastate Pipelines, LLC, a wholly-owned subsidiary of CERC Corp.</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CenterPoint Energy</w:t>
            </w:r>
          </w:p>
        </w:tc>
        <w:tc>
          <w:tcPr>
            <w:tcW w:w="7840" w:type="dxa"/>
            <w:vAlign w:val="bottom"/>
            <w:gridSpan w:val="2"/>
          </w:tcPr>
          <w:p>
            <w:pPr>
              <w:ind w:left="1280"/>
              <w:spacing w:after="0"/>
              <w:rPr>
                <w:sz w:val="20"/>
                <w:szCs w:val="20"/>
                <w:color w:val="auto"/>
              </w:rPr>
            </w:pPr>
            <w:r>
              <w:rPr>
                <w:rFonts w:ascii="Arial" w:cs="Arial" w:eastAsia="Arial" w:hAnsi="Arial"/>
                <w:sz w:val="18"/>
                <w:szCs w:val="18"/>
                <w:color w:val="auto"/>
              </w:rPr>
              <w:t>CenterPoint Energy, Inc., and its subsidiaries</w:t>
            </w:r>
          </w:p>
        </w:tc>
      </w:tr>
      <w:tr>
        <w:trPr>
          <w:trHeight w:val="227"/>
        </w:trPr>
        <w:tc>
          <w:tcPr>
            <w:tcW w:w="40" w:type="dxa"/>
            <w:vAlign w:val="bottom"/>
          </w:tcPr>
          <w:p>
            <w:pPr>
              <w:spacing w:after="0"/>
              <w:rPr>
                <w:sz w:val="19"/>
                <w:szCs w:val="19"/>
                <w:color w:val="auto"/>
              </w:rPr>
            </w:pPr>
          </w:p>
        </w:tc>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CERC</w:t>
            </w:r>
          </w:p>
        </w:tc>
        <w:tc>
          <w:tcPr>
            <w:tcW w:w="78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CERC Corp., together with its subsidiaries</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CERC Corp.</w:t>
            </w:r>
          </w:p>
        </w:tc>
        <w:tc>
          <w:tcPr>
            <w:tcW w:w="7840" w:type="dxa"/>
            <w:vAlign w:val="bottom"/>
            <w:gridSpan w:val="2"/>
          </w:tcPr>
          <w:p>
            <w:pPr>
              <w:ind w:left="1280"/>
              <w:spacing w:after="0"/>
              <w:rPr>
                <w:sz w:val="20"/>
                <w:szCs w:val="20"/>
                <w:color w:val="auto"/>
              </w:rPr>
            </w:pPr>
            <w:r>
              <w:rPr>
                <w:rFonts w:ascii="Arial" w:cs="Arial" w:eastAsia="Arial" w:hAnsi="Arial"/>
                <w:sz w:val="18"/>
                <w:szCs w:val="18"/>
                <w:color w:val="auto"/>
              </w:rPr>
              <w:t>CenterPoint Energy Resources Corp.</w:t>
            </w:r>
          </w:p>
        </w:tc>
      </w:tr>
      <w:tr>
        <w:trPr>
          <w:trHeight w:val="174"/>
        </w:trPr>
        <w:tc>
          <w:tcPr>
            <w:tcW w:w="40" w:type="dxa"/>
            <w:vAlign w:val="bottom"/>
          </w:tcPr>
          <w:p>
            <w:pPr>
              <w:spacing w:after="0"/>
              <w:rPr>
                <w:sz w:val="15"/>
                <w:szCs w:val="15"/>
                <w:color w:val="auto"/>
              </w:rPr>
            </w:pPr>
          </w:p>
        </w:tc>
        <w:tc>
          <w:tcPr>
            <w:tcW w:w="336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b w:val="1"/>
                <w:bCs w:val="1"/>
                <w:i w:val="1"/>
                <w:iCs w:val="1"/>
                <w:color w:val="auto"/>
              </w:rPr>
              <w:t>CES</w:t>
            </w:r>
          </w:p>
        </w:tc>
        <w:tc>
          <w:tcPr>
            <w:tcW w:w="7820" w:type="dxa"/>
            <w:vAlign w:val="bottom"/>
            <w:shd w:val="clear" w:color="auto" w:fill="CCEEFF"/>
          </w:tcPr>
          <w:p>
            <w:pPr>
              <w:ind w:left="1280"/>
              <w:spacing w:after="0" w:line="175" w:lineRule="exact"/>
              <w:rPr>
                <w:sz w:val="20"/>
                <w:szCs w:val="20"/>
                <w:color w:val="auto"/>
              </w:rPr>
            </w:pPr>
            <w:r>
              <w:rPr>
                <w:rFonts w:ascii="Arial" w:cs="Arial" w:eastAsia="Arial" w:hAnsi="Arial"/>
                <w:sz w:val="18"/>
                <w:szCs w:val="18"/>
                <w:color w:val="auto"/>
                <w:w w:val="96"/>
              </w:rPr>
              <w:t>CenterPoint Energy Services, Inc. (now known as Symmetry Energy Solutions, LLC),</w:t>
            </w:r>
          </w:p>
        </w:tc>
        <w:tc>
          <w:tcPr>
            <w:tcW w:w="2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3360" w:type="dxa"/>
            <w:vAlign w:val="bottom"/>
            <w:shd w:val="clear" w:color="auto" w:fill="CCEEFF"/>
          </w:tcPr>
          <w:p>
            <w:pPr>
              <w:spacing w:after="0"/>
              <w:rPr>
                <w:sz w:val="20"/>
                <w:szCs w:val="20"/>
                <w:color w:val="auto"/>
              </w:rPr>
            </w:pPr>
          </w:p>
        </w:tc>
        <w:tc>
          <w:tcPr>
            <w:tcW w:w="78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previously a wholly-owned subsidiary of CERC Corp.</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3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Charter Common</w:t>
            </w:r>
          </w:p>
        </w:tc>
        <w:tc>
          <w:tcPr>
            <w:tcW w:w="7840" w:type="dxa"/>
            <w:vAlign w:val="bottom"/>
            <w:gridSpan w:val="2"/>
          </w:tcPr>
          <w:p>
            <w:pPr>
              <w:ind w:left="1280"/>
              <w:spacing w:after="0"/>
              <w:rPr>
                <w:sz w:val="20"/>
                <w:szCs w:val="20"/>
                <w:color w:val="auto"/>
              </w:rPr>
            </w:pPr>
            <w:r>
              <w:rPr>
                <w:rFonts w:ascii="Arial" w:cs="Arial" w:eastAsia="Arial" w:hAnsi="Arial"/>
                <w:sz w:val="18"/>
                <w:szCs w:val="18"/>
                <w:color w:val="auto"/>
              </w:rPr>
              <w:t>Charter Communications, Inc. common stock</w:t>
            </w:r>
          </w:p>
        </w:tc>
      </w:tr>
      <w:tr>
        <w:trPr>
          <w:trHeight w:val="227"/>
        </w:trPr>
        <w:tc>
          <w:tcPr>
            <w:tcW w:w="40" w:type="dxa"/>
            <w:vAlign w:val="bottom"/>
          </w:tcPr>
          <w:p>
            <w:pPr>
              <w:spacing w:after="0"/>
              <w:rPr>
                <w:sz w:val="19"/>
                <w:szCs w:val="19"/>
                <w:color w:val="auto"/>
              </w:rPr>
            </w:pPr>
          </w:p>
        </w:tc>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CIP</w:t>
            </w:r>
          </w:p>
        </w:tc>
        <w:tc>
          <w:tcPr>
            <w:tcW w:w="78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Conservation Improvement Program</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CODM</w:t>
            </w:r>
          </w:p>
        </w:tc>
        <w:tc>
          <w:tcPr>
            <w:tcW w:w="7840" w:type="dxa"/>
            <w:vAlign w:val="bottom"/>
            <w:gridSpan w:val="2"/>
          </w:tcPr>
          <w:p>
            <w:pPr>
              <w:ind w:left="1280"/>
              <w:spacing w:after="0"/>
              <w:rPr>
                <w:sz w:val="20"/>
                <w:szCs w:val="20"/>
                <w:color w:val="auto"/>
              </w:rPr>
            </w:pPr>
            <w:r>
              <w:rPr>
                <w:rFonts w:ascii="Arial" w:cs="Arial" w:eastAsia="Arial" w:hAnsi="Arial"/>
                <w:sz w:val="18"/>
                <w:szCs w:val="18"/>
                <w:color w:val="auto"/>
                <w:w w:val="96"/>
              </w:rPr>
              <w:t>Chief Operating Decision Maker, who is each Registrant’s Chief Operating Executive</w:t>
            </w:r>
          </w:p>
        </w:tc>
      </w:tr>
      <w:tr>
        <w:trPr>
          <w:trHeight w:val="227"/>
        </w:trPr>
        <w:tc>
          <w:tcPr>
            <w:tcW w:w="40" w:type="dxa"/>
            <w:vAlign w:val="bottom"/>
          </w:tcPr>
          <w:p>
            <w:pPr>
              <w:spacing w:after="0"/>
              <w:rPr>
                <w:sz w:val="19"/>
                <w:szCs w:val="19"/>
                <w:color w:val="auto"/>
              </w:rPr>
            </w:pPr>
          </w:p>
        </w:tc>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Common Stock</w:t>
            </w:r>
          </w:p>
        </w:tc>
        <w:tc>
          <w:tcPr>
            <w:tcW w:w="78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CenterPoint Energy, Inc. common stock, par value $0.01 per share</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Compensation Committee</w:t>
            </w:r>
          </w:p>
        </w:tc>
        <w:tc>
          <w:tcPr>
            <w:tcW w:w="7840" w:type="dxa"/>
            <w:vAlign w:val="bottom"/>
            <w:gridSpan w:val="2"/>
          </w:tcPr>
          <w:p>
            <w:pPr>
              <w:ind w:left="1280"/>
              <w:spacing w:after="0"/>
              <w:rPr>
                <w:sz w:val="20"/>
                <w:szCs w:val="20"/>
                <w:color w:val="auto"/>
              </w:rPr>
            </w:pPr>
            <w:r>
              <w:rPr>
                <w:rFonts w:ascii="Arial" w:cs="Arial" w:eastAsia="Arial" w:hAnsi="Arial"/>
                <w:sz w:val="18"/>
                <w:szCs w:val="18"/>
                <w:color w:val="auto"/>
              </w:rPr>
              <w:t>Compensation Committee of the Board</w:t>
            </w:r>
          </w:p>
        </w:tc>
      </w:tr>
      <w:tr>
        <w:trPr>
          <w:trHeight w:val="227"/>
        </w:trPr>
        <w:tc>
          <w:tcPr>
            <w:tcW w:w="40" w:type="dxa"/>
            <w:vAlign w:val="bottom"/>
          </w:tcPr>
          <w:p>
            <w:pPr>
              <w:spacing w:after="0"/>
              <w:rPr>
                <w:sz w:val="19"/>
                <w:szCs w:val="19"/>
                <w:color w:val="auto"/>
              </w:rPr>
            </w:pPr>
          </w:p>
        </w:tc>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Convertible Notes</w:t>
            </w:r>
          </w:p>
        </w:tc>
        <w:tc>
          <w:tcPr>
            <w:tcW w:w="78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CenterPoint Energy’s 4.25% Convertible Senior Notes due 2026</w:t>
            </w:r>
          </w:p>
        </w:tc>
        <w:tc>
          <w:tcPr>
            <w:tcW w:w="20" w:type="dxa"/>
            <w:vAlign w:val="bottom"/>
          </w:tcPr>
          <w:p>
            <w:pPr>
              <w:spacing w:after="0"/>
              <w:rPr>
                <w:sz w:val="19"/>
                <w:szCs w:val="19"/>
                <w:color w:val="auto"/>
              </w:rPr>
            </w:pPr>
          </w:p>
        </w:tc>
      </w:tr>
      <w:tr>
        <w:trPr>
          <w:trHeight w:val="174"/>
        </w:trPr>
        <w:tc>
          <w:tcPr>
            <w:tcW w:w="40" w:type="dxa"/>
            <w:vAlign w:val="bottom"/>
          </w:tcPr>
          <w:p>
            <w:pPr>
              <w:spacing w:after="0"/>
              <w:rPr>
                <w:sz w:val="15"/>
                <w:szCs w:val="15"/>
                <w:color w:val="auto"/>
              </w:rPr>
            </w:pPr>
          </w:p>
        </w:tc>
        <w:tc>
          <w:tcPr>
            <w:tcW w:w="336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Convertible Notes Indenture</w:t>
            </w:r>
          </w:p>
        </w:tc>
        <w:tc>
          <w:tcPr>
            <w:tcW w:w="7840" w:type="dxa"/>
            <w:vAlign w:val="bottom"/>
            <w:gridSpan w:val="2"/>
          </w:tcPr>
          <w:p>
            <w:pPr>
              <w:ind w:left="1280"/>
              <w:spacing w:after="0" w:line="174" w:lineRule="exact"/>
              <w:rPr>
                <w:sz w:val="20"/>
                <w:szCs w:val="20"/>
                <w:color w:val="auto"/>
              </w:rPr>
            </w:pPr>
            <w:r>
              <w:rPr>
                <w:rFonts w:ascii="Arial" w:cs="Arial" w:eastAsia="Arial" w:hAnsi="Arial"/>
                <w:sz w:val="18"/>
                <w:szCs w:val="18"/>
                <w:color w:val="auto"/>
                <w:w w:val="89"/>
              </w:rPr>
              <w:t>Indenture dated as of August 4, 2023 by and between CenterPoint Energy and The Bank of</w:t>
            </w:r>
          </w:p>
        </w:tc>
      </w:tr>
      <w:tr>
        <w:trPr>
          <w:trHeight w:val="231"/>
        </w:trPr>
        <w:tc>
          <w:tcPr>
            <w:tcW w:w="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7840" w:type="dxa"/>
            <w:vAlign w:val="bottom"/>
            <w:gridSpan w:val="2"/>
          </w:tcPr>
          <w:p>
            <w:pPr>
              <w:ind w:left="1280"/>
              <w:spacing w:after="0"/>
              <w:rPr>
                <w:sz w:val="20"/>
                <w:szCs w:val="20"/>
                <w:color w:val="auto"/>
              </w:rPr>
            </w:pPr>
            <w:r>
              <w:rPr>
                <w:rFonts w:ascii="Arial" w:cs="Arial" w:eastAsia="Arial" w:hAnsi="Arial"/>
                <w:sz w:val="18"/>
                <w:szCs w:val="18"/>
                <w:color w:val="auto"/>
              </w:rPr>
              <w:t>New York Mellon Trust Company, National Association, as trustee</w:t>
            </w:r>
          </w:p>
        </w:tc>
      </w:tr>
      <w:tr>
        <w:trPr>
          <w:trHeight w:val="181"/>
        </w:trPr>
        <w:tc>
          <w:tcPr>
            <w:tcW w:w="40" w:type="dxa"/>
            <w:vAlign w:val="bottom"/>
          </w:tcPr>
          <w:p>
            <w:pPr>
              <w:spacing w:after="0"/>
              <w:rPr>
                <w:sz w:val="15"/>
                <w:szCs w:val="15"/>
                <w:color w:val="auto"/>
              </w:rPr>
            </w:pPr>
          </w:p>
        </w:tc>
        <w:tc>
          <w:tcPr>
            <w:tcW w:w="336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b w:val="1"/>
                <w:bCs w:val="1"/>
                <w:i w:val="1"/>
                <w:iCs w:val="1"/>
                <w:color w:val="auto"/>
              </w:rPr>
              <w:t>COVID-19</w:t>
            </w:r>
          </w:p>
        </w:tc>
        <w:tc>
          <w:tcPr>
            <w:tcW w:w="7820" w:type="dxa"/>
            <w:vAlign w:val="bottom"/>
            <w:shd w:val="clear" w:color="auto" w:fill="CCEEFF"/>
          </w:tcPr>
          <w:p>
            <w:pPr>
              <w:ind w:left="1280"/>
              <w:spacing w:after="0" w:line="181" w:lineRule="exact"/>
              <w:rPr>
                <w:sz w:val="20"/>
                <w:szCs w:val="20"/>
                <w:color w:val="auto"/>
              </w:rPr>
            </w:pPr>
            <w:r>
              <w:rPr>
                <w:rFonts w:ascii="Arial" w:cs="Arial" w:eastAsia="Arial" w:hAnsi="Arial"/>
                <w:sz w:val="18"/>
                <w:szCs w:val="18"/>
                <w:color w:val="auto"/>
                <w:w w:val="91"/>
              </w:rPr>
              <w:t>Novel coronavirus disease 2019, and any mutations or variants thereof, and related global</w:t>
            </w:r>
          </w:p>
        </w:tc>
        <w:tc>
          <w:tcPr>
            <w:tcW w:w="2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3360" w:type="dxa"/>
            <w:vAlign w:val="bottom"/>
            <w:shd w:val="clear" w:color="auto" w:fill="CCEEFF"/>
          </w:tcPr>
          <w:p>
            <w:pPr>
              <w:spacing w:after="0"/>
              <w:rPr>
                <w:sz w:val="20"/>
                <w:szCs w:val="20"/>
                <w:color w:val="auto"/>
              </w:rPr>
            </w:pPr>
          </w:p>
        </w:tc>
        <w:tc>
          <w:tcPr>
            <w:tcW w:w="782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3"/>
              </w:rPr>
              <w:t>outbreak that was subsequently declared a pandemic by the World Health Organization</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3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CPCN</w:t>
            </w:r>
          </w:p>
        </w:tc>
        <w:tc>
          <w:tcPr>
            <w:tcW w:w="7840" w:type="dxa"/>
            <w:vAlign w:val="bottom"/>
            <w:gridSpan w:val="2"/>
          </w:tcPr>
          <w:p>
            <w:pPr>
              <w:ind w:left="1280"/>
              <w:spacing w:after="0"/>
              <w:rPr>
                <w:sz w:val="20"/>
                <w:szCs w:val="20"/>
                <w:color w:val="auto"/>
              </w:rPr>
            </w:pPr>
            <w:r>
              <w:rPr>
                <w:rFonts w:ascii="Arial" w:cs="Arial" w:eastAsia="Arial" w:hAnsi="Arial"/>
                <w:sz w:val="18"/>
                <w:szCs w:val="18"/>
                <w:color w:val="auto"/>
              </w:rPr>
              <w:t>Certificate of Public Convenience and Necessity</w:t>
            </w:r>
          </w:p>
        </w:tc>
      </w:tr>
      <w:tr>
        <w:trPr>
          <w:trHeight w:val="227"/>
        </w:trPr>
        <w:tc>
          <w:tcPr>
            <w:tcW w:w="40" w:type="dxa"/>
            <w:vAlign w:val="bottom"/>
          </w:tcPr>
          <w:p>
            <w:pPr>
              <w:spacing w:after="0"/>
              <w:rPr>
                <w:sz w:val="19"/>
                <w:szCs w:val="19"/>
                <w:color w:val="auto"/>
              </w:rPr>
            </w:pPr>
          </w:p>
        </w:tc>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CPP</w:t>
            </w:r>
          </w:p>
        </w:tc>
        <w:tc>
          <w:tcPr>
            <w:tcW w:w="78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Clean Power Plan</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CSIA</w:t>
            </w:r>
          </w:p>
        </w:tc>
        <w:tc>
          <w:tcPr>
            <w:tcW w:w="7840" w:type="dxa"/>
            <w:vAlign w:val="bottom"/>
            <w:gridSpan w:val="2"/>
          </w:tcPr>
          <w:p>
            <w:pPr>
              <w:ind w:left="1280"/>
              <w:spacing w:after="0"/>
              <w:rPr>
                <w:sz w:val="20"/>
                <w:szCs w:val="20"/>
                <w:color w:val="auto"/>
              </w:rPr>
            </w:pPr>
            <w:r>
              <w:rPr>
                <w:rFonts w:ascii="Arial" w:cs="Arial" w:eastAsia="Arial" w:hAnsi="Arial"/>
                <w:sz w:val="18"/>
                <w:szCs w:val="18"/>
                <w:color w:val="auto"/>
              </w:rPr>
              <w:t>Compliance and System Improvement Adjustment</w:t>
            </w:r>
          </w:p>
        </w:tc>
      </w:tr>
      <w:tr>
        <w:trPr>
          <w:trHeight w:val="227"/>
        </w:trPr>
        <w:tc>
          <w:tcPr>
            <w:tcW w:w="40" w:type="dxa"/>
            <w:vAlign w:val="bottom"/>
          </w:tcPr>
          <w:p>
            <w:pPr>
              <w:spacing w:after="0"/>
              <w:rPr>
                <w:sz w:val="19"/>
                <w:szCs w:val="19"/>
                <w:color w:val="auto"/>
              </w:rPr>
            </w:pPr>
          </w:p>
        </w:tc>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DCRF</w:t>
            </w:r>
          </w:p>
        </w:tc>
        <w:tc>
          <w:tcPr>
            <w:tcW w:w="78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Distribution Cost Recovery Factor</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DOC</w:t>
            </w:r>
          </w:p>
        </w:tc>
        <w:tc>
          <w:tcPr>
            <w:tcW w:w="7840" w:type="dxa"/>
            <w:vAlign w:val="bottom"/>
            <w:gridSpan w:val="2"/>
          </w:tcPr>
          <w:p>
            <w:pPr>
              <w:ind w:left="1280"/>
              <w:spacing w:after="0"/>
              <w:rPr>
                <w:sz w:val="20"/>
                <w:szCs w:val="20"/>
                <w:color w:val="auto"/>
              </w:rPr>
            </w:pPr>
            <w:r>
              <w:rPr>
                <w:rFonts w:ascii="Arial" w:cs="Arial" w:eastAsia="Arial" w:hAnsi="Arial"/>
                <w:sz w:val="18"/>
                <w:szCs w:val="18"/>
                <w:color w:val="auto"/>
              </w:rPr>
              <w:t>U.S. Department of Commerce</w:t>
            </w:r>
          </w:p>
        </w:tc>
      </w:tr>
      <w:tr>
        <w:trPr>
          <w:trHeight w:val="227"/>
        </w:trPr>
        <w:tc>
          <w:tcPr>
            <w:tcW w:w="40" w:type="dxa"/>
            <w:vAlign w:val="bottom"/>
          </w:tcPr>
          <w:p>
            <w:pPr>
              <w:spacing w:after="0"/>
              <w:rPr>
                <w:sz w:val="19"/>
                <w:szCs w:val="19"/>
                <w:color w:val="auto"/>
              </w:rPr>
            </w:pPr>
          </w:p>
        </w:tc>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DRR</w:t>
            </w:r>
          </w:p>
        </w:tc>
        <w:tc>
          <w:tcPr>
            <w:tcW w:w="78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Distribution Replacement Rider</w:t>
            </w:r>
          </w:p>
        </w:tc>
        <w:tc>
          <w:tcPr>
            <w:tcW w:w="20" w:type="dxa"/>
            <w:vAlign w:val="bottom"/>
          </w:tcPr>
          <w:p>
            <w:pPr>
              <w:spacing w:after="0"/>
              <w:rPr>
                <w:sz w:val="19"/>
                <w:szCs w:val="19"/>
                <w:color w:val="auto"/>
              </w:rPr>
            </w:pPr>
          </w:p>
        </w:tc>
      </w:tr>
      <w:tr>
        <w:trPr>
          <w:trHeight w:val="730"/>
        </w:trPr>
        <w:tc>
          <w:tcPr>
            <w:tcW w:w="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7840" w:type="dxa"/>
            <w:vAlign w:val="bottom"/>
            <w:gridSpan w:val="2"/>
          </w:tcPr>
          <w:p>
            <w:pPr>
              <w:ind w:left="2180"/>
              <w:spacing w:after="0"/>
              <w:rPr>
                <w:sz w:val="20"/>
                <w:szCs w:val="20"/>
                <w:color w:val="auto"/>
              </w:rPr>
            </w:pPr>
            <w:r>
              <w:rPr>
                <w:rFonts w:ascii="Arial" w:cs="Arial" w:eastAsia="Arial" w:hAnsi="Arial"/>
                <w:sz w:val="18"/>
                <w:szCs w:val="18"/>
                <w:color w:val="auto"/>
              </w:rPr>
              <w:t>ii</w:t>
            </w:r>
          </w:p>
        </w:tc>
      </w:tr>
      <w:tr>
        <w:trPr>
          <w:trHeight w:val="114"/>
        </w:trPr>
        <w:tc>
          <w:tcPr>
            <w:tcW w:w="40" w:type="dxa"/>
            <w:vAlign w:val="bottom"/>
            <w:tcBorders>
              <w:bottom w:val="single" w:sz="8" w:color="9A9A9A"/>
            </w:tcBorders>
          </w:tcPr>
          <w:p>
            <w:pPr>
              <w:spacing w:after="0"/>
              <w:rPr>
                <w:sz w:val="9"/>
                <w:szCs w:val="9"/>
                <w:color w:val="auto"/>
              </w:rPr>
            </w:pPr>
          </w:p>
        </w:tc>
        <w:tc>
          <w:tcPr>
            <w:tcW w:w="3360" w:type="dxa"/>
            <w:vAlign w:val="bottom"/>
            <w:tcBorders>
              <w:bottom w:val="single" w:sz="8" w:color="9A9A9A"/>
            </w:tcBorders>
          </w:tcPr>
          <w:p>
            <w:pPr>
              <w:spacing w:after="0"/>
              <w:rPr>
                <w:sz w:val="9"/>
                <w:szCs w:val="9"/>
                <w:color w:val="auto"/>
              </w:rPr>
            </w:pPr>
          </w:p>
        </w:tc>
        <w:tc>
          <w:tcPr>
            <w:tcW w:w="78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5"/>
        </w:trPr>
        <w:tc>
          <w:tcPr>
            <w:tcW w:w="40" w:type="dxa"/>
            <w:vAlign w:val="bottom"/>
          </w:tcPr>
          <w:p>
            <w:pPr>
              <w:spacing w:after="0"/>
              <w:rPr>
                <w:sz w:val="19"/>
                <w:szCs w:val="19"/>
                <w:color w:val="auto"/>
              </w:rPr>
            </w:pPr>
          </w:p>
        </w:tc>
        <w:tc>
          <w:tcPr>
            <w:tcW w:w="3840" w:type="dxa"/>
            <w:vAlign w:val="bottom"/>
            <w:tcBorders>
              <w:bottom w:val="single" w:sz="8" w:color="auto"/>
            </w:tcBorders>
          </w:tcPr>
          <w:p>
            <w:pPr>
              <w:spacing w:after="0"/>
              <w:rPr>
                <w:sz w:val="19"/>
                <w:szCs w:val="19"/>
                <w:color w:val="auto"/>
              </w:rPr>
            </w:pPr>
          </w:p>
        </w:tc>
        <w:tc>
          <w:tcPr>
            <w:tcW w:w="734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i w:val="1"/>
                <w:iCs w:val="1"/>
                <w:color w:val="auto"/>
              </w:rPr>
              <w:t>GLOSSARY</w:t>
            </w:r>
          </w:p>
        </w:tc>
        <w:tc>
          <w:tcPr>
            <w:tcW w:w="20" w:type="dxa"/>
            <w:vAlign w:val="bottom"/>
          </w:tcPr>
          <w:p>
            <w:pPr>
              <w:spacing w:after="0"/>
              <w:rPr>
                <w:sz w:val="19"/>
                <w:szCs w:val="19"/>
                <w:color w:val="auto"/>
              </w:rPr>
            </w:pPr>
          </w:p>
        </w:tc>
      </w:tr>
      <w:tr>
        <w:trPr>
          <w:trHeight w:val="219"/>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DSMA</w:t>
            </w:r>
          </w:p>
        </w:tc>
        <w:tc>
          <w:tcPr>
            <w:tcW w:w="7360" w:type="dxa"/>
            <w:vAlign w:val="bottom"/>
            <w:gridSpan w:val="2"/>
          </w:tcPr>
          <w:p>
            <w:pPr>
              <w:ind w:left="800"/>
              <w:spacing w:after="0"/>
              <w:rPr>
                <w:sz w:val="20"/>
                <w:szCs w:val="20"/>
                <w:color w:val="auto"/>
              </w:rPr>
            </w:pPr>
            <w:r>
              <w:rPr>
                <w:rFonts w:ascii="Arial" w:cs="Arial" w:eastAsia="Arial" w:hAnsi="Arial"/>
                <w:sz w:val="18"/>
                <w:szCs w:val="18"/>
                <w:color w:val="auto"/>
              </w:rPr>
              <w:t>Demand Side Management Adjustment</w:t>
            </w:r>
          </w:p>
        </w:tc>
      </w:tr>
      <w:tr>
        <w:trPr>
          <w:trHeight w:val="227"/>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ECA</w:t>
            </w: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Environmental Cost Adjustment</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EDIT</w:t>
            </w:r>
          </w:p>
        </w:tc>
        <w:tc>
          <w:tcPr>
            <w:tcW w:w="7360" w:type="dxa"/>
            <w:vAlign w:val="bottom"/>
            <w:gridSpan w:val="2"/>
          </w:tcPr>
          <w:p>
            <w:pPr>
              <w:ind w:left="800"/>
              <w:spacing w:after="0"/>
              <w:rPr>
                <w:sz w:val="20"/>
                <w:szCs w:val="20"/>
                <w:color w:val="auto"/>
              </w:rPr>
            </w:pPr>
            <w:r>
              <w:rPr>
                <w:rFonts w:ascii="Arial" w:cs="Arial" w:eastAsia="Arial" w:hAnsi="Arial"/>
                <w:sz w:val="18"/>
                <w:szCs w:val="18"/>
                <w:color w:val="auto"/>
              </w:rPr>
              <w:t>Excess deferred income taxes</w:t>
            </w:r>
          </w:p>
        </w:tc>
      </w:tr>
      <w:tr>
        <w:trPr>
          <w:trHeight w:val="227"/>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EECR</w:t>
            </w: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Energy Efficiency Cost Recovery</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EECRF</w:t>
            </w:r>
          </w:p>
        </w:tc>
        <w:tc>
          <w:tcPr>
            <w:tcW w:w="7360" w:type="dxa"/>
            <w:vAlign w:val="bottom"/>
            <w:gridSpan w:val="2"/>
          </w:tcPr>
          <w:p>
            <w:pPr>
              <w:ind w:left="800"/>
              <w:spacing w:after="0"/>
              <w:rPr>
                <w:sz w:val="20"/>
                <w:szCs w:val="20"/>
                <w:color w:val="auto"/>
              </w:rPr>
            </w:pPr>
            <w:r>
              <w:rPr>
                <w:rFonts w:ascii="Arial" w:cs="Arial" w:eastAsia="Arial" w:hAnsi="Arial"/>
                <w:sz w:val="18"/>
                <w:szCs w:val="18"/>
                <w:color w:val="auto"/>
              </w:rPr>
              <w:t>Energy Efficiency Cost Recovery Factor</w:t>
            </w:r>
          </w:p>
        </w:tc>
      </w:tr>
      <w:tr>
        <w:trPr>
          <w:trHeight w:val="227"/>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EEFC</w:t>
            </w: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Energy Efficiency Funding Component</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EEFR</w:t>
            </w:r>
          </w:p>
        </w:tc>
        <w:tc>
          <w:tcPr>
            <w:tcW w:w="7360" w:type="dxa"/>
            <w:vAlign w:val="bottom"/>
            <w:gridSpan w:val="2"/>
          </w:tcPr>
          <w:p>
            <w:pPr>
              <w:ind w:left="800"/>
              <w:spacing w:after="0"/>
              <w:rPr>
                <w:sz w:val="20"/>
                <w:szCs w:val="20"/>
                <w:color w:val="auto"/>
              </w:rPr>
            </w:pPr>
            <w:r>
              <w:rPr>
                <w:rFonts w:ascii="Arial" w:cs="Arial" w:eastAsia="Arial" w:hAnsi="Arial"/>
                <w:sz w:val="18"/>
                <w:szCs w:val="18"/>
                <w:color w:val="auto"/>
              </w:rPr>
              <w:t>Energy Efficiency Funding Rider</w:t>
            </w:r>
          </w:p>
        </w:tc>
      </w:tr>
      <w:tr>
        <w:trPr>
          <w:trHeight w:val="227"/>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Energy Systems Group</w:t>
            </w: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Energy Systems Group, LLC, previously a wholly-owned subsidiary of Vectren</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Energy Transfer</w:t>
            </w:r>
          </w:p>
        </w:tc>
        <w:tc>
          <w:tcPr>
            <w:tcW w:w="7360" w:type="dxa"/>
            <w:vAlign w:val="bottom"/>
            <w:gridSpan w:val="2"/>
          </w:tcPr>
          <w:p>
            <w:pPr>
              <w:ind w:left="800"/>
              <w:spacing w:after="0"/>
              <w:rPr>
                <w:sz w:val="20"/>
                <w:szCs w:val="20"/>
                <w:color w:val="auto"/>
              </w:rPr>
            </w:pPr>
            <w:r>
              <w:rPr>
                <w:rFonts w:ascii="Arial" w:cs="Arial" w:eastAsia="Arial" w:hAnsi="Arial"/>
                <w:sz w:val="18"/>
                <w:szCs w:val="18"/>
                <w:color w:val="auto"/>
              </w:rPr>
              <w:t>Energy Transfer LP, a Delaware limited partnership</w:t>
            </w:r>
          </w:p>
        </w:tc>
      </w:tr>
      <w:tr>
        <w:trPr>
          <w:trHeight w:val="227"/>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Energy Transfer Common Units</w:t>
            </w: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2"/>
              </w:rPr>
              <w:t>Energy Transfer common units, representing limited partner interests in Energy Transfer</w:t>
            </w:r>
          </w:p>
        </w:tc>
        <w:tc>
          <w:tcPr>
            <w:tcW w:w="20" w:type="dxa"/>
            <w:vAlign w:val="bottom"/>
          </w:tcPr>
          <w:p>
            <w:pPr>
              <w:spacing w:after="0"/>
              <w:rPr>
                <w:sz w:val="19"/>
                <w:szCs w:val="19"/>
                <w:color w:val="auto"/>
              </w:rPr>
            </w:pPr>
          </w:p>
        </w:tc>
      </w:tr>
      <w:tr>
        <w:trPr>
          <w:trHeight w:val="174"/>
        </w:trPr>
        <w:tc>
          <w:tcPr>
            <w:tcW w:w="40" w:type="dxa"/>
            <w:vAlign w:val="bottom"/>
          </w:tcPr>
          <w:p>
            <w:pPr>
              <w:spacing w:after="0"/>
              <w:rPr>
                <w:sz w:val="15"/>
                <w:szCs w:val="15"/>
                <w:color w:val="auto"/>
              </w:rPr>
            </w:pPr>
          </w:p>
        </w:tc>
        <w:tc>
          <w:tcPr>
            <w:tcW w:w="384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Energy Transfer Series G Preferred Units</w:t>
            </w:r>
          </w:p>
        </w:tc>
        <w:tc>
          <w:tcPr>
            <w:tcW w:w="7360" w:type="dxa"/>
            <w:vAlign w:val="bottom"/>
            <w:gridSpan w:val="2"/>
          </w:tcPr>
          <w:p>
            <w:pPr>
              <w:ind w:left="800"/>
              <w:spacing w:after="0" w:line="174" w:lineRule="exact"/>
              <w:rPr>
                <w:sz w:val="20"/>
                <w:szCs w:val="20"/>
                <w:color w:val="auto"/>
              </w:rPr>
            </w:pPr>
            <w:r>
              <w:rPr>
                <w:rFonts w:ascii="Arial" w:cs="Arial" w:eastAsia="Arial" w:hAnsi="Arial"/>
                <w:sz w:val="18"/>
                <w:szCs w:val="18"/>
                <w:color w:val="auto"/>
                <w:w w:val="91"/>
              </w:rPr>
              <w:t>Energy Transfer Series G Fixed-Rate Reset Cumulative Redeemable Perpetual Preferred</w:t>
            </w:r>
          </w:p>
        </w:tc>
      </w:tr>
      <w:tr>
        <w:trPr>
          <w:trHeight w:val="231"/>
        </w:trPr>
        <w:tc>
          <w:tcPr>
            <w:tcW w:w="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7360" w:type="dxa"/>
            <w:vAlign w:val="bottom"/>
            <w:gridSpan w:val="2"/>
          </w:tcPr>
          <w:p>
            <w:pPr>
              <w:ind w:left="800"/>
              <w:spacing w:after="0"/>
              <w:rPr>
                <w:sz w:val="20"/>
                <w:szCs w:val="20"/>
                <w:color w:val="auto"/>
              </w:rPr>
            </w:pPr>
            <w:r>
              <w:rPr>
                <w:rFonts w:ascii="Arial" w:cs="Arial" w:eastAsia="Arial" w:hAnsi="Arial"/>
                <w:sz w:val="18"/>
                <w:szCs w:val="18"/>
                <w:color w:val="auto"/>
              </w:rPr>
              <w:t>Units, representing limited partner interests in Energy Transfer</w:t>
            </w:r>
          </w:p>
        </w:tc>
      </w:tr>
      <w:tr>
        <w:trPr>
          <w:trHeight w:val="233"/>
        </w:trPr>
        <w:tc>
          <w:tcPr>
            <w:tcW w:w="40" w:type="dxa"/>
            <w:vAlign w:val="bottom"/>
          </w:tcPr>
          <w:p>
            <w:pPr>
              <w:spacing w:after="0"/>
              <w:rPr>
                <w:sz w:val="20"/>
                <w:szCs w:val="20"/>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EPA</w:t>
            </w: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Environmental Protection Agency</w:t>
            </w:r>
          </w:p>
        </w:tc>
        <w:tc>
          <w:tcPr>
            <w:tcW w:w="20" w:type="dxa"/>
            <w:vAlign w:val="bottom"/>
          </w:tcPr>
          <w:p>
            <w:pPr>
              <w:spacing w:after="0"/>
              <w:rPr>
                <w:sz w:val="20"/>
                <w:szCs w:val="20"/>
                <w:color w:val="auto"/>
              </w:rPr>
            </w:pPr>
          </w:p>
        </w:tc>
      </w:tr>
      <w:tr>
        <w:trPr>
          <w:trHeight w:val="174"/>
        </w:trPr>
        <w:tc>
          <w:tcPr>
            <w:tcW w:w="40" w:type="dxa"/>
            <w:vAlign w:val="bottom"/>
          </w:tcPr>
          <w:p>
            <w:pPr>
              <w:spacing w:after="0"/>
              <w:rPr>
                <w:sz w:val="15"/>
                <w:szCs w:val="15"/>
                <w:color w:val="auto"/>
              </w:rPr>
            </w:pPr>
          </w:p>
        </w:tc>
        <w:tc>
          <w:tcPr>
            <w:tcW w:w="384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Equity Purchase Agreement</w:t>
            </w:r>
          </w:p>
        </w:tc>
        <w:tc>
          <w:tcPr>
            <w:tcW w:w="7360" w:type="dxa"/>
            <w:vAlign w:val="bottom"/>
            <w:gridSpan w:val="2"/>
          </w:tcPr>
          <w:p>
            <w:pPr>
              <w:ind w:left="800"/>
              <w:spacing w:after="0" w:line="174" w:lineRule="exact"/>
              <w:rPr>
                <w:sz w:val="20"/>
                <w:szCs w:val="20"/>
                <w:color w:val="auto"/>
              </w:rPr>
            </w:pPr>
            <w:r>
              <w:rPr>
                <w:rFonts w:ascii="Arial" w:cs="Arial" w:eastAsia="Arial" w:hAnsi="Arial"/>
                <w:sz w:val="18"/>
                <w:szCs w:val="18"/>
                <w:color w:val="auto"/>
                <w:w w:val="92"/>
              </w:rPr>
              <w:t>Equity Purchase Agreement, dated as of May 21, 2023, by and between Vectren Energy</w:t>
            </w:r>
          </w:p>
        </w:tc>
      </w:tr>
      <w:tr>
        <w:trPr>
          <w:trHeight w:val="231"/>
        </w:trPr>
        <w:tc>
          <w:tcPr>
            <w:tcW w:w="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7360" w:type="dxa"/>
            <w:vAlign w:val="bottom"/>
            <w:gridSpan w:val="2"/>
          </w:tcPr>
          <w:p>
            <w:pPr>
              <w:ind w:left="800"/>
              <w:spacing w:after="0"/>
              <w:rPr>
                <w:sz w:val="20"/>
                <w:szCs w:val="20"/>
                <w:color w:val="auto"/>
              </w:rPr>
            </w:pPr>
            <w:r>
              <w:rPr>
                <w:rFonts w:ascii="Arial" w:cs="Arial" w:eastAsia="Arial" w:hAnsi="Arial"/>
                <w:sz w:val="18"/>
                <w:szCs w:val="18"/>
                <w:color w:val="auto"/>
              </w:rPr>
              <w:t>Services and ESG Holdings Group</w:t>
            </w:r>
          </w:p>
        </w:tc>
      </w:tr>
      <w:tr>
        <w:trPr>
          <w:trHeight w:val="233"/>
        </w:trPr>
        <w:tc>
          <w:tcPr>
            <w:tcW w:w="40" w:type="dxa"/>
            <w:vAlign w:val="bottom"/>
          </w:tcPr>
          <w:p>
            <w:pPr>
              <w:spacing w:after="0"/>
              <w:rPr>
                <w:sz w:val="20"/>
                <w:szCs w:val="20"/>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ERCOT</w:t>
            </w: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Electric Reliability Council of Texas</w:t>
            </w:r>
          </w:p>
        </w:tc>
        <w:tc>
          <w:tcPr>
            <w:tcW w:w="20" w:type="dxa"/>
            <w:vAlign w:val="bottom"/>
          </w:tcPr>
          <w:p>
            <w:pPr>
              <w:spacing w:after="0"/>
              <w:rPr>
                <w:sz w:val="20"/>
                <w:szCs w:val="20"/>
                <w:color w:val="auto"/>
              </w:rPr>
            </w:pPr>
          </w:p>
        </w:tc>
      </w:tr>
      <w:tr>
        <w:trPr>
          <w:trHeight w:val="174"/>
        </w:trPr>
        <w:tc>
          <w:tcPr>
            <w:tcW w:w="40" w:type="dxa"/>
            <w:vAlign w:val="bottom"/>
          </w:tcPr>
          <w:p>
            <w:pPr>
              <w:spacing w:after="0"/>
              <w:rPr>
                <w:sz w:val="15"/>
                <w:szCs w:val="15"/>
                <w:color w:val="auto"/>
              </w:rPr>
            </w:pPr>
          </w:p>
        </w:tc>
        <w:tc>
          <w:tcPr>
            <w:tcW w:w="384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ESG Holdings Group</w:t>
            </w:r>
          </w:p>
        </w:tc>
        <w:tc>
          <w:tcPr>
            <w:tcW w:w="7360" w:type="dxa"/>
            <w:vAlign w:val="bottom"/>
            <w:gridSpan w:val="2"/>
          </w:tcPr>
          <w:p>
            <w:pPr>
              <w:ind w:left="800"/>
              <w:spacing w:after="0" w:line="174" w:lineRule="exact"/>
              <w:rPr>
                <w:sz w:val="20"/>
                <w:szCs w:val="20"/>
                <w:color w:val="auto"/>
              </w:rPr>
            </w:pPr>
            <w:r>
              <w:rPr>
                <w:rFonts w:ascii="Arial" w:cs="Arial" w:eastAsia="Arial" w:hAnsi="Arial"/>
                <w:sz w:val="18"/>
                <w:szCs w:val="18"/>
                <w:color w:val="auto"/>
              </w:rPr>
              <w:t>ESG Holdings Group, LLC, a Delaware limited liability company, and an affiliate of</w:t>
            </w:r>
          </w:p>
        </w:tc>
      </w:tr>
      <w:tr>
        <w:trPr>
          <w:trHeight w:val="231"/>
        </w:trPr>
        <w:tc>
          <w:tcPr>
            <w:tcW w:w="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7360" w:type="dxa"/>
            <w:vAlign w:val="bottom"/>
            <w:gridSpan w:val="2"/>
          </w:tcPr>
          <w:p>
            <w:pPr>
              <w:ind w:left="800"/>
              <w:spacing w:after="0"/>
              <w:rPr>
                <w:sz w:val="20"/>
                <w:szCs w:val="20"/>
                <w:color w:val="auto"/>
              </w:rPr>
            </w:pPr>
            <w:r>
              <w:rPr>
                <w:rFonts w:ascii="Arial" w:cs="Arial" w:eastAsia="Arial" w:hAnsi="Arial"/>
                <w:sz w:val="18"/>
                <w:szCs w:val="18"/>
                <w:color w:val="auto"/>
              </w:rPr>
              <w:t>Oaktree Capital Management</w:t>
            </w:r>
          </w:p>
        </w:tc>
      </w:tr>
      <w:tr>
        <w:trPr>
          <w:trHeight w:val="233"/>
        </w:trPr>
        <w:tc>
          <w:tcPr>
            <w:tcW w:w="40" w:type="dxa"/>
            <w:vAlign w:val="bottom"/>
          </w:tcPr>
          <w:p>
            <w:pPr>
              <w:spacing w:after="0"/>
              <w:rPr>
                <w:sz w:val="20"/>
                <w:szCs w:val="20"/>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Exchange Act</w:t>
            </w: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The Securities Exchange Act of 1934, as amended</w:t>
            </w:r>
          </w:p>
        </w:tc>
        <w:tc>
          <w:tcPr>
            <w:tcW w:w="20" w:type="dxa"/>
            <w:vAlign w:val="bottom"/>
          </w:tcPr>
          <w:p>
            <w:pPr>
              <w:spacing w:after="0"/>
              <w:rPr>
                <w:sz w:val="20"/>
                <w:szCs w:val="20"/>
                <w:color w:val="auto"/>
              </w:rPr>
            </w:pPr>
          </w:p>
        </w:tc>
      </w:tr>
      <w:tr>
        <w:trPr>
          <w:trHeight w:val="174"/>
        </w:trPr>
        <w:tc>
          <w:tcPr>
            <w:tcW w:w="40" w:type="dxa"/>
            <w:vAlign w:val="bottom"/>
          </w:tcPr>
          <w:p>
            <w:pPr>
              <w:spacing w:after="0"/>
              <w:rPr>
                <w:sz w:val="15"/>
                <w:szCs w:val="15"/>
                <w:color w:val="auto"/>
              </w:rPr>
            </w:pPr>
          </w:p>
        </w:tc>
        <w:tc>
          <w:tcPr>
            <w:tcW w:w="384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February 2021 Winter Storm Event</w:t>
            </w:r>
          </w:p>
        </w:tc>
        <w:tc>
          <w:tcPr>
            <w:tcW w:w="7360" w:type="dxa"/>
            <w:vAlign w:val="bottom"/>
            <w:gridSpan w:val="2"/>
          </w:tcPr>
          <w:p>
            <w:pPr>
              <w:ind w:left="800"/>
              <w:spacing w:after="0" w:line="174" w:lineRule="exact"/>
              <w:rPr>
                <w:sz w:val="20"/>
                <w:szCs w:val="20"/>
                <w:color w:val="auto"/>
              </w:rPr>
            </w:pPr>
            <w:r>
              <w:rPr>
                <w:rFonts w:ascii="Arial" w:cs="Arial" w:eastAsia="Arial" w:hAnsi="Arial"/>
                <w:sz w:val="18"/>
                <w:szCs w:val="18"/>
                <w:color w:val="auto"/>
                <w:w w:val="90"/>
              </w:rPr>
              <w:t>The extreme and unprecedented winter weather event in February 2021 (Winter Storm Uri)</w:t>
            </w:r>
          </w:p>
        </w:tc>
      </w:tr>
      <w:tr>
        <w:trPr>
          <w:trHeight w:val="186"/>
        </w:trPr>
        <w:tc>
          <w:tcPr>
            <w:tcW w:w="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7360" w:type="dxa"/>
            <w:vAlign w:val="bottom"/>
            <w:gridSpan w:val="2"/>
          </w:tcPr>
          <w:p>
            <w:pPr>
              <w:ind w:left="800"/>
              <w:spacing w:after="0" w:line="186" w:lineRule="exact"/>
              <w:rPr>
                <w:sz w:val="20"/>
                <w:szCs w:val="20"/>
                <w:color w:val="auto"/>
              </w:rPr>
            </w:pPr>
            <w:r>
              <w:rPr>
                <w:rFonts w:ascii="Arial" w:cs="Arial" w:eastAsia="Arial" w:hAnsi="Arial"/>
                <w:sz w:val="18"/>
                <w:szCs w:val="18"/>
                <w:color w:val="auto"/>
                <w:w w:val="91"/>
              </w:rPr>
              <w:t>that resulted in electricity generation supply shortages, including in Texas, and natural gas</w:t>
            </w:r>
          </w:p>
        </w:tc>
      </w:tr>
      <w:tr>
        <w:trPr>
          <w:trHeight w:val="173"/>
        </w:trPr>
        <w:tc>
          <w:tcPr>
            <w:tcW w:w="4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7360" w:type="dxa"/>
            <w:vAlign w:val="bottom"/>
            <w:gridSpan w:val="2"/>
          </w:tcPr>
          <w:p>
            <w:pPr>
              <w:ind w:left="800"/>
              <w:spacing w:after="0" w:line="173" w:lineRule="exact"/>
              <w:rPr>
                <w:sz w:val="20"/>
                <w:szCs w:val="20"/>
                <w:color w:val="auto"/>
              </w:rPr>
            </w:pPr>
            <w:r>
              <w:rPr>
                <w:rFonts w:ascii="Arial" w:cs="Arial" w:eastAsia="Arial" w:hAnsi="Arial"/>
                <w:sz w:val="18"/>
                <w:szCs w:val="18"/>
                <w:color w:val="auto"/>
                <w:w w:val="97"/>
              </w:rPr>
              <w:t>supply shortages and increased wholesale prices of natural gas in the United States,</w:t>
            </w:r>
          </w:p>
        </w:tc>
      </w:tr>
      <w:tr>
        <w:trPr>
          <w:trHeight w:val="225"/>
        </w:trPr>
        <w:tc>
          <w:tcPr>
            <w:tcW w:w="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7360" w:type="dxa"/>
            <w:vAlign w:val="bottom"/>
            <w:gridSpan w:val="2"/>
          </w:tcPr>
          <w:p>
            <w:pPr>
              <w:ind w:left="800"/>
              <w:spacing w:after="0"/>
              <w:rPr>
                <w:sz w:val="20"/>
                <w:szCs w:val="20"/>
                <w:color w:val="auto"/>
              </w:rPr>
            </w:pPr>
            <w:r>
              <w:rPr>
                <w:rFonts w:ascii="Arial" w:cs="Arial" w:eastAsia="Arial" w:hAnsi="Arial"/>
                <w:sz w:val="18"/>
                <w:szCs w:val="18"/>
                <w:color w:val="auto"/>
              </w:rPr>
              <w:t>primarily due to prolonged freezing temperatures</w:t>
            </w:r>
          </w:p>
        </w:tc>
      </w:tr>
      <w:tr>
        <w:trPr>
          <w:trHeight w:val="227"/>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FERC</w:t>
            </w: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Federal Energy Regulatory Commission</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Fitch</w:t>
            </w:r>
          </w:p>
        </w:tc>
        <w:tc>
          <w:tcPr>
            <w:tcW w:w="7360" w:type="dxa"/>
            <w:vAlign w:val="bottom"/>
            <w:gridSpan w:val="2"/>
          </w:tcPr>
          <w:p>
            <w:pPr>
              <w:ind w:left="800"/>
              <w:spacing w:after="0"/>
              <w:rPr>
                <w:sz w:val="20"/>
                <w:szCs w:val="20"/>
                <w:color w:val="auto"/>
              </w:rPr>
            </w:pPr>
            <w:r>
              <w:rPr>
                <w:rFonts w:ascii="Arial" w:cs="Arial" w:eastAsia="Arial" w:hAnsi="Arial"/>
                <w:sz w:val="18"/>
                <w:szCs w:val="18"/>
                <w:color w:val="auto"/>
              </w:rPr>
              <w:t>Fitch Ratings, Inc.</w:t>
            </w:r>
          </w:p>
        </w:tc>
      </w:tr>
      <w:tr>
        <w:trPr>
          <w:trHeight w:val="227"/>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Form 10-Q</w:t>
            </w: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Quarterly Report on Form 10-Q</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GHG</w:t>
            </w:r>
          </w:p>
        </w:tc>
        <w:tc>
          <w:tcPr>
            <w:tcW w:w="7360" w:type="dxa"/>
            <w:vAlign w:val="bottom"/>
            <w:gridSpan w:val="2"/>
          </w:tcPr>
          <w:p>
            <w:pPr>
              <w:ind w:left="800"/>
              <w:spacing w:after="0"/>
              <w:rPr>
                <w:sz w:val="20"/>
                <w:szCs w:val="20"/>
                <w:color w:val="auto"/>
              </w:rPr>
            </w:pPr>
            <w:r>
              <w:rPr>
                <w:rFonts w:ascii="Arial" w:cs="Arial" w:eastAsia="Arial" w:hAnsi="Arial"/>
                <w:sz w:val="18"/>
                <w:szCs w:val="18"/>
                <w:color w:val="auto"/>
              </w:rPr>
              <w:t>Greenhouse gases</w:t>
            </w:r>
          </w:p>
        </w:tc>
      </w:tr>
      <w:tr>
        <w:trPr>
          <w:trHeight w:val="227"/>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GRIP</w:t>
            </w: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Gas Reliability Infrastructure Program</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GWh</w:t>
            </w:r>
          </w:p>
        </w:tc>
        <w:tc>
          <w:tcPr>
            <w:tcW w:w="7360" w:type="dxa"/>
            <w:vAlign w:val="bottom"/>
            <w:gridSpan w:val="2"/>
          </w:tcPr>
          <w:p>
            <w:pPr>
              <w:ind w:left="800"/>
              <w:spacing w:after="0"/>
              <w:rPr>
                <w:sz w:val="20"/>
                <w:szCs w:val="20"/>
                <w:color w:val="auto"/>
              </w:rPr>
            </w:pPr>
            <w:r>
              <w:rPr>
                <w:rFonts w:ascii="Arial" w:cs="Arial" w:eastAsia="Arial" w:hAnsi="Arial"/>
                <w:sz w:val="18"/>
                <w:szCs w:val="18"/>
                <w:color w:val="auto"/>
              </w:rPr>
              <w:t>Gigawatt-hours</w:t>
            </w:r>
          </w:p>
        </w:tc>
      </w:tr>
      <w:tr>
        <w:trPr>
          <w:trHeight w:val="227"/>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Houston Electric</w:t>
            </w: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CenterPoint Energy Houston Electric, LLC and its subsidiaries</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IAS</w:t>
            </w:r>
          </w:p>
        </w:tc>
        <w:tc>
          <w:tcPr>
            <w:tcW w:w="7360" w:type="dxa"/>
            <w:vAlign w:val="bottom"/>
            <w:gridSpan w:val="2"/>
          </w:tcPr>
          <w:p>
            <w:pPr>
              <w:ind w:left="800"/>
              <w:spacing w:after="0"/>
              <w:rPr>
                <w:sz w:val="20"/>
                <w:szCs w:val="20"/>
                <w:color w:val="auto"/>
              </w:rPr>
            </w:pPr>
            <w:r>
              <w:rPr>
                <w:rFonts w:ascii="Arial" w:cs="Arial" w:eastAsia="Arial" w:hAnsi="Arial"/>
                <w:sz w:val="18"/>
                <w:szCs w:val="18"/>
                <w:color w:val="auto"/>
              </w:rPr>
              <w:t>International Accounting Standards</w:t>
            </w:r>
          </w:p>
        </w:tc>
      </w:tr>
      <w:tr>
        <w:trPr>
          <w:trHeight w:val="227"/>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IBEW</w:t>
            </w: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International Brotherhood of Electrical Workers</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IDEM</w:t>
            </w:r>
          </w:p>
        </w:tc>
        <w:tc>
          <w:tcPr>
            <w:tcW w:w="7360" w:type="dxa"/>
            <w:vAlign w:val="bottom"/>
            <w:gridSpan w:val="2"/>
          </w:tcPr>
          <w:p>
            <w:pPr>
              <w:ind w:left="800"/>
              <w:spacing w:after="0"/>
              <w:rPr>
                <w:sz w:val="20"/>
                <w:szCs w:val="20"/>
                <w:color w:val="auto"/>
              </w:rPr>
            </w:pPr>
            <w:r>
              <w:rPr>
                <w:rFonts w:ascii="Arial" w:cs="Arial" w:eastAsia="Arial" w:hAnsi="Arial"/>
                <w:sz w:val="18"/>
                <w:szCs w:val="18"/>
                <w:color w:val="auto"/>
              </w:rPr>
              <w:t>Indiana Department of Environmental Management</w:t>
            </w:r>
          </w:p>
        </w:tc>
      </w:tr>
      <w:tr>
        <w:trPr>
          <w:trHeight w:val="174"/>
        </w:trPr>
        <w:tc>
          <w:tcPr>
            <w:tcW w:w="40" w:type="dxa"/>
            <w:vAlign w:val="bottom"/>
          </w:tcPr>
          <w:p>
            <w:pPr>
              <w:spacing w:after="0"/>
              <w:rPr>
                <w:sz w:val="15"/>
                <w:szCs w:val="15"/>
                <w:color w:val="auto"/>
              </w:rPr>
            </w:pPr>
          </w:p>
        </w:tc>
        <w:tc>
          <w:tcPr>
            <w:tcW w:w="384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b w:val="1"/>
                <w:bCs w:val="1"/>
                <w:i w:val="1"/>
                <w:iCs w:val="1"/>
                <w:color w:val="auto"/>
              </w:rPr>
              <w:t>Indiana Electric</w:t>
            </w:r>
          </w:p>
        </w:tc>
        <w:tc>
          <w:tcPr>
            <w:tcW w:w="7340" w:type="dxa"/>
            <w:vAlign w:val="bottom"/>
            <w:shd w:val="clear" w:color="auto" w:fill="CCEEFF"/>
          </w:tcPr>
          <w:p>
            <w:pPr>
              <w:ind w:left="800"/>
              <w:spacing w:after="0" w:line="175" w:lineRule="exact"/>
              <w:rPr>
                <w:sz w:val="20"/>
                <w:szCs w:val="20"/>
                <w:color w:val="auto"/>
              </w:rPr>
            </w:pPr>
            <w:r>
              <w:rPr>
                <w:rFonts w:ascii="Arial" w:cs="Arial" w:eastAsia="Arial" w:hAnsi="Arial"/>
                <w:sz w:val="18"/>
                <w:szCs w:val="18"/>
                <w:color w:val="auto"/>
                <w:w w:val="93"/>
              </w:rPr>
              <w:t>Operations of SIGECO’s electric transmission and distribution services, and includes its</w:t>
            </w:r>
          </w:p>
        </w:tc>
        <w:tc>
          <w:tcPr>
            <w:tcW w:w="2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power generating and wholesale power operations</w:t>
            </w:r>
          </w:p>
        </w:tc>
        <w:tc>
          <w:tcPr>
            <w:tcW w:w="20" w:type="dxa"/>
            <w:vAlign w:val="bottom"/>
          </w:tcPr>
          <w:p>
            <w:pPr>
              <w:spacing w:after="0"/>
              <w:rPr>
                <w:sz w:val="20"/>
                <w:szCs w:val="20"/>
                <w:color w:val="auto"/>
              </w:rPr>
            </w:pPr>
          </w:p>
        </w:tc>
      </w:tr>
      <w:tr>
        <w:trPr>
          <w:trHeight w:val="174"/>
        </w:trPr>
        <w:tc>
          <w:tcPr>
            <w:tcW w:w="40" w:type="dxa"/>
            <w:vAlign w:val="bottom"/>
          </w:tcPr>
          <w:p>
            <w:pPr>
              <w:spacing w:after="0"/>
              <w:rPr>
                <w:sz w:val="15"/>
                <w:szCs w:val="15"/>
                <w:color w:val="auto"/>
              </w:rPr>
            </w:pPr>
          </w:p>
        </w:tc>
        <w:tc>
          <w:tcPr>
            <w:tcW w:w="384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Indiana Gas</w:t>
            </w:r>
          </w:p>
        </w:tc>
        <w:tc>
          <w:tcPr>
            <w:tcW w:w="7360" w:type="dxa"/>
            <w:vAlign w:val="bottom"/>
            <w:gridSpan w:val="2"/>
          </w:tcPr>
          <w:p>
            <w:pPr>
              <w:ind w:left="800"/>
              <w:spacing w:after="0" w:line="174" w:lineRule="exact"/>
              <w:rPr>
                <w:sz w:val="20"/>
                <w:szCs w:val="20"/>
                <w:color w:val="auto"/>
              </w:rPr>
            </w:pPr>
            <w:r>
              <w:rPr>
                <w:rFonts w:ascii="Arial" w:cs="Arial" w:eastAsia="Arial" w:hAnsi="Arial"/>
                <w:sz w:val="18"/>
                <w:szCs w:val="18"/>
                <w:color w:val="auto"/>
                <w:w w:val="93"/>
              </w:rPr>
              <w:t>Indiana Gas Company, Inc., formerly a wholly-owned subsidiary of Vectren, acquired by</w:t>
            </w:r>
          </w:p>
        </w:tc>
      </w:tr>
      <w:tr>
        <w:trPr>
          <w:trHeight w:val="231"/>
        </w:trPr>
        <w:tc>
          <w:tcPr>
            <w:tcW w:w="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7360" w:type="dxa"/>
            <w:vAlign w:val="bottom"/>
            <w:gridSpan w:val="2"/>
          </w:tcPr>
          <w:p>
            <w:pPr>
              <w:ind w:left="800"/>
              <w:spacing w:after="0"/>
              <w:rPr>
                <w:sz w:val="20"/>
                <w:szCs w:val="20"/>
                <w:color w:val="auto"/>
              </w:rPr>
            </w:pPr>
            <w:r>
              <w:rPr>
                <w:rFonts w:ascii="Arial" w:cs="Arial" w:eastAsia="Arial" w:hAnsi="Arial"/>
                <w:sz w:val="18"/>
                <w:szCs w:val="18"/>
                <w:color w:val="auto"/>
              </w:rPr>
              <w:t>CERC on June 30, 2022</w:t>
            </w:r>
          </w:p>
        </w:tc>
      </w:tr>
      <w:tr>
        <w:trPr>
          <w:trHeight w:val="233"/>
        </w:trPr>
        <w:tc>
          <w:tcPr>
            <w:tcW w:w="40" w:type="dxa"/>
            <w:vAlign w:val="bottom"/>
          </w:tcPr>
          <w:p>
            <w:pPr>
              <w:spacing w:after="0"/>
              <w:rPr>
                <w:sz w:val="20"/>
                <w:szCs w:val="20"/>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Indiana North</w:t>
            </w: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Gas operations of Indiana Gas</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Indiana South</w:t>
            </w:r>
          </w:p>
        </w:tc>
        <w:tc>
          <w:tcPr>
            <w:tcW w:w="7360" w:type="dxa"/>
            <w:vAlign w:val="bottom"/>
            <w:gridSpan w:val="2"/>
          </w:tcPr>
          <w:p>
            <w:pPr>
              <w:ind w:left="800"/>
              <w:spacing w:after="0"/>
              <w:rPr>
                <w:sz w:val="20"/>
                <w:szCs w:val="20"/>
                <w:color w:val="auto"/>
              </w:rPr>
            </w:pPr>
            <w:r>
              <w:rPr>
                <w:rFonts w:ascii="Arial" w:cs="Arial" w:eastAsia="Arial" w:hAnsi="Arial"/>
                <w:sz w:val="18"/>
                <w:szCs w:val="18"/>
                <w:color w:val="auto"/>
              </w:rPr>
              <w:t>Gas operations of SIGECO</w:t>
            </w:r>
          </w:p>
        </w:tc>
      </w:tr>
      <w:tr>
        <w:trPr>
          <w:trHeight w:val="227"/>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Indiana Utilities</w:t>
            </w: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The combination of Indiana Electric, Indiana North and Indiana South</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Interim Condensed Financial Statements</w:t>
            </w:r>
          </w:p>
        </w:tc>
        <w:tc>
          <w:tcPr>
            <w:tcW w:w="7360" w:type="dxa"/>
            <w:vAlign w:val="bottom"/>
            <w:gridSpan w:val="2"/>
          </w:tcPr>
          <w:p>
            <w:pPr>
              <w:ind w:left="800"/>
              <w:spacing w:after="0"/>
              <w:rPr>
                <w:sz w:val="20"/>
                <w:szCs w:val="20"/>
                <w:color w:val="auto"/>
              </w:rPr>
            </w:pPr>
            <w:r>
              <w:rPr>
                <w:rFonts w:ascii="Arial" w:cs="Arial" w:eastAsia="Arial" w:hAnsi="Arial"/>
                <w:sz w:val="18"/>
                <w:szCs w:val="18"/>
                <w:color w:val="auto"/>
                <w:w w:val="97"/>
              </w:rPr>
              <w:t>Unaudited condensed consolidated interim financial statements and combined notes</w:t>
            </w:r>
          </w:p>
        </w:tc>
      </w:tr>
      <w:tr>
        <w:trPr>
          <w:trHeight w:val="227"/>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IRA</w:t>
            </w: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Inflation Reduction Act of 2022</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IRP</w:t>
            </w:r>
          </w:p>
        </w:tc>
        <w:tc>
          <w:tcPr>
            <w:tcW w:w="7360" w:type="dxa"/>
            <w:vAlign w:val="bottom"/>
            <w:gridSpan w:val="2"/>
          </w:tcPr>
          <w:p>
            <w:pPr>
              <w:ind w:left="800"/>
              <w:spacing w:after="0"/>
              <w:rPr>
                <w:sz w:val="20"/>
                <w:szCs w:val="20"/>
                <w:color w:val="auto"/>
              </w:rPr>
            </w:pPr>
            <w:r>
              <w:rPr>
                <w:rFonts w:ascii="Arial" w:cs="Arial" w:eastAsia="Arial" w:hAnsi="Arial"/>
                <w:sz w:val="18"/>
                <w:szCs w:val="18"/>
                <w:color w:val="auto"/>
              </w:rPr>
              <w:t>Integrated Resource Plan</w:t>
            </w:r>
          </w:p>
        </w:tc>
      </w:tr>
      <w:tr>
        <w:trPr>
          <w:trHeight w:val="227"/>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IRS</w:t>
            </w: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Internal Revenue Service</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IURC</w:t>
            </w:r>
          </w:p>
        </w:tc>
        <w:tc>
          <w:tcPr>
            <w:tcW w:w="7360" w:type="dxa"/>
            <w:vAlign w:val="bottom"/>
            <w:gridSpan w:val="2"/>
          </w:tcPr>
          <w:p>
            <w:pPr>
              <w:ind w:left="800"/>
              <w:spacing w:after="0"/>
              <w:rPr>
                <w:sz w:val="20"/>
                <w:szCs w:val="20"/>
                <w:color w:val="auto"/>
              </w:rPr>
            </w:pPr>
            <w:r>
              <w:rPr>
                <w:rFonts w:ascii="Arial" w:cs="Arial" w:eastAsia="Arial" w:hAnsi="Arial"/>
                <w:sz w:val="18"/>
                <w:szCs w:val="18"/>
                <w:color w:val="auto"/>
              </w:rPr>
              <w:t>Indiana Utility Regulatory Commission</w:t>
            </w:r>
          </w:p>
        </w:tc>
      </w:tr>
      <w:tr>
        <w:trPr>
          <w:trHeight w:val="227"/>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LIBOR</w:t>
            </w: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London Interbank Offered Rate</w:t>
            </w:r>
          </w:p>
        </w:tc>
        <w:tc>
          <w:tcPr>
            <w:tcW w:w="20" w:type="dxa"/>
            <w:vAlign w:val="bottom"/>
          </w:tcPr>
          <w:p>
            <w:pPr>
              <w:spacing w:after="0"/>
              <w:rPr>
                <w:sz w:val="19"/>
                <w:szCs w:val="19"/>
                <w:color w:val="auto"/>
              </w:rPr>
            </w:pPr>
          </w:p>
        </w:tc>
      </w:tr>
      <w:tr>
        <w:trPr>
          <w:trHeight w:val="730"/>
        </w:trPr>
        <w:tc>
          <w:tcPr>
            <w:tcW w:w="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7360" w:type="dxa"/>
            <w:vAlign w:val="bottom"/>
            <w:gridSpan w:val="2"/>
          </w:tcPr>
          <w:p>
            <w:pPr>
              <w:ind w:left="1680"/>
              <w:spacing w:after="0"/>
              <w:rPr>
                <w:sz w:val="20"/>
                <w:szCs w:val="20"/>
                <w:color w:val="auto"/>
              </w:rPr>
            </w:pPr>
            <w:r>
              <w:rPr>
                <w:rFonts w:ascii="Arial" w:cs="Arial" w:eastAsia="Arial" w:hAnsi="Arial"/>
                <w:sz w:val="18"/>
                <w:szCs w:val="18"/>
                <w:color w:val="auto"/>
              </w:rPr>
              <w:t>iii</w:t>
            </w:r>
          </w:p>
        </w:tc>
      </w:tr>
      <w:tr>
        <w:trPr>
          <w:trHeight w:val="114"/>
        </w:trPr>
        <w:tc>
          <w:tcPr>
            <w:tcW w:w="40" w:type="dxa"/>
            <w:vAlign w:val="bottom"/>
            <w:tcBorders>
              <w:bottom w:val="single" w:sz="8" w:color="9A9A9A"/>
            </w:tcBorders>
          </w:tcPr>
          <w:p>
            <w:pPr>
              <w:spacing w:after="0"/>
              <w:rPr>
                <w:sz w:val="9"/>
                <w:szCs w:val="9"/>
                <w:color w:val="auto"/>
              </w:rPr>
            </w:pPr>
          </w:p>
        </w:tc>
        <w:tc>
          <w:tcPr>
            <w:tcW w:w="3840" w:type="dxa"/>
            <w:vAlign w:val="bottom"/>
            <w:tcBorders>
              <w:bottom w:val="single" w:sz="8" w:color="9A9A9A"/>
            </w:tcBorders>
          </w:tcPr>
          <w:p>
            <w:pPr>
              <w:spacing w:after="0"/>
              <w:rPr>
                <w:sz w:val="9"/>
                <w:szCs w:val="9"/>
                <w:color w:val="auto"/>
              </w:rPr>
            </w:pPr>
          </w:p>
        </w:tc>
        <w:tc>
          <w:tcPr>
            <w:tcW w:w="7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5"/>
        </w:trPr>
        <w:tc>
          <w:tcPr>
            <w:tcW w:w="40" w:type="dxa"/>
            <w:vAlign w:val="bottom"/>
          </w:tcPr>
          <w:p>
            <w:pPr>
              <w:spacing w:after="0"/>
              <w:rPr>
                <w:sz w:val="19"/>
                <w:szCs w:val="19"/>
                <w:color w:val="auto"/>
              </w:rPr>
            </w:pPr>
          </w:p>
        </w:tc>
        <w:tc>
          <w:tcPr>
            <w:tcW w:w="3340" w:type="dxa"/>
            <w:vAlign w:val="bottom"/>
            <w:tcBorders>
              <w:bottom w:val="single" w:sz="8" w:color="auto"/>
            </w:tcBorders>
          </w:tcPr>
          <w:p>
            <w:pPr>
              <w:spacing w:after="0"/>
              <w:rPr>
                <w:sz w:val="19"/>
                <w:szCs w:val="19"/>
                <w:color w:val="auto"/>
              </w:rPr>
            </w:pPr>
          </w:p>
        </w:tc>
        <w:tc>
          <w:tcPr>
            <w:tcW w:w="7840" w:type="dxa"/>
            <w:vAlign w:val="bottom"/>
            <w:tcBorders>
              <w:bottom w:val="single" w:sz="8" w:color="auto"/>
            </w:tcBorders>
          </w:tcPr>
          <w:p>
            <w:pPr>
              <w:ind w:left="1800"/>
              <w:spacing w:after="0"/>
              <w:rPr>
                <w:sz w:val="20"/>
                <w:szCs w:val="20"/>
                <w:color w:val="auto"/>
              </w:rPr>
            </w:pPr>
            <w:r>
              <w:rPr>
                <w:rFonts w:ascii="Arial" w:cs="Arial" w:eastAsia="Arial" w:hAnsi="Arial"/>
                <w:sz w:val="18"/>
                <w:szCs w:val="18"/>
                <w:b w:val="1"/>
                <w:bCs w:val="1"/>
                <w:i w:val="1"/>
                <w:iCs w:val="1"/>
                <w:color w:val="auto"/>
              </w:rPr>
              <w:t>GLOSSARY</w:t>
            </w:r>
          </w:p>
        </w:tc>
        <w:tc>
          <w:tcPr>
            <w:tcW w:w="20" w:type="dxa"/>
            <w:vAlign w:val="bottom"/>
          </w:tcPr>
          <w:p>
            <w:pPr>
              <w:spacing w:after="0"/>
              <w:rPr>
                <w:sz w:val="19"/>
                <w:szCs w:val="19"/>
                <w:color w:val="auto"/>
              </w:rPr>
            </w:pPr>
          </w:p>
        </w:tc>
      </w:tr>
      <w:tr>
        <w:trPr>
          <w:trHeight w:val="168"/>
        </w:trPr>
        <w:tc>
          <w:tcPr>
            <w:tcW w:w="40" w:type="dxa"/>
            <w:vAlign w:val="bottom"/>
          </w:tcPr>
          <w:p>
            <w:pPr>
              <w:spacing w:after="0"/>
              <w:rPr>
                <w:sz w:val="14"/>
                <w:szCs w:val="14"/>
                <w:color w:val="auto"/>
              </w:rPr>
            </w:pPr>
          </w:p>
        </w:tc>
        <w:tc>
          <w:tcPr>
            <w:tcW w:w="3340" w:type="dxa"/>
            <w:vAlign w:val="bottom"/>
          </w:tcPr>
          <w:p>
            <w:pPr>
              <w:ind w:left="20"/>
              <w:spacing w:after="0" w:line="168" w:lineRule="exact"/>
              <w:rPr>
                <w:sz w:val="20"/>
                <w:szCs w:val="20"/>
                <w:color w:val="auto"/>
              </w:rPr>
            </w:pPr>
            <w:r>
              <w:rPr>
                <w:rFonts w:ascii="Arial" w:cs="Arial" w:eastAsia="Arial" w:hAnsi="Arial"/>
                <w:sz w:val="18"/>
                <w:szCs w:val="18"/>
                <w:b w:val="1"/>
                <w:bCs w:val="1"/>
                <w:i w:val="1"/>
                <w:iCs w:val="1"/>
                <w:color w:val="auto"/>
              </w:rPr>
              <w:t>LLTF</w:t>
            </w:r>
          </w:p>
        </w:tc>
        <w:tc>
          <w:tcPr>
            <w:tcW w:w="7860" w:type="dxa"/>
            <w:vAlign w:val="bottom"/>
            <w:gridSpan w:val="2"/>
          </w:tcPr>
          <w:p>
            <w:pPr>
              <w:ind w:left="1300"/>
              <w:spacing w:after="0" w:line="168" w:lineRule="exact"/>
              <w:rPr>
                <w:sz w:val="20"/>
                <w:szCs w:val="20"/>
                <w:color w:val="auto"/>
              </w:rPr>
            </w:pPr>
            <w:r>
              <w:rPr>
                <w:rFonts w:ascii="Arial" w:cs="Arial" w:eastAsia="Arial" w:hAnsi="Arial"/>
                <w:sz w:val="18"/>
                <w:szCs w:val="18"/>
                <w:color w:val="auto"/>
                <w:w w:val="95"/>
              </w:rPr>
              <w:t>Long Lead Time Facilities, which are transmission and distribution facilities that have a</w:t>
            </w:r>
          </w:p>
        </w:tc>
      </w:tr>
      <w:tr>
        <w:trPr>
          <w:trHeight w:val="186"/>
        </w:trPr>
        <w:tc>
          <w:tcPr>
            <w:tcW w:w="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7860" w:type="dxa"/>
            <w:vAlign w:val="bottom"/>
            <w:gridSpan w:val="2"/>
          </w:tcPr>
          <w:p>
            <w:pPr>
              <w:ind w:left="1300"/>
              <w:spacing w:after="0" w:line="186" w:lineRule="exact"/>
              <w:rPr>
                <w:sz w:val="20"/>
                <w:szCs w:val="20"/>
                <w:color w:val="auto"/>
              </w:rPr>
            </w:pPr>
            <w:r>
              <w:rPr>
                <w:rFonts w:ascii="Arial" w:cs="Arial" w:eastAsia="Arial" w:hAnsi="Arial"/>
                <w:sz w:val="18"/>
                <w:szCs w:val="18"/>
                <w:color w:val="auto"/>
                <w:w w:val="96"/>
              </w:rPr>
              <w:t>lead time of at least six months and would aid in restoring power to Houston Electric’s</w:t>
            </w:r>
          </w:p>
        </w:tc>
      </w:tr>
      <w:tr>
        <w:trPr>
          <w:trHeight w:val="173"/>
        </w:trPr>
        <w:tc>
          <w:tcPr>
            <w:tcW w:w="4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7860" w:type="dxa"/>
            <w:vAlign w:val="bottom"/>
            <w:gridSpan w:val="2"/>
          </w:tcPr>
          <w:p>
            <w:pPr>
              <w:ind w:left="1300"/>
              <w:spacing w:after="0" w:line="173" w:lineRule="exact"/>
              <w:rPr>
                <w:sz w:val="20"/>
                <w:szCs w:val="20"/>
                <w:color w:val="auto"/>
              </w:rPr>
            </w:pPr>
            <w:r>
              <w:rPr>
                <w:rFonts w:ascii="Arial" w:cs="Arial" w:eastAsia="Arial" w:hAnsi="Arial"/>
                <w:sz w:val="18"/>
                <w:szCs w:val="18"/>
                <w:color w:val="auto"/>
              </w:rPr>
              <w:t>distribution customers following a widespread power outage under Public Utility</w:t>
            </w:r>
          </w:p>
        </w:tc>
      </w:tr>
      <w:tr>
        <w:trPr>
          <w:trHeight w:val="225"/>
        </w:trPr>
        <w:tc>
          <w:tcPr>
            <w:tcW w:w="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7860" w:type="dxa"/>
            <w:vAlign w:val="bottom"/>
            <w:gridSpan w:val="2"/>
          </w:tcPr>
          <w:p>
            <w:pPr>
              <w:ind w:left="1300"/>
              <w:spacing w:after="0"/>
              <w:rPr>
                <w:sz w:val="20"/>
                <w:szCs w:val="20"/>
                <w:color w:val="auto"/>
              </w:rPr>
            </w:pPr>
            <w:r>
              <w:rPr>
                <w:rFonts w:ascii="Arial" w:cs="Arial" w:eastAsia="Arial" w:hAnsi="Arial"/>
                <w:sz w:val="18"/>
                <w:szCs w:val="18"/>
                <w:color w:val="auto"/>
              </w:rPr>
              <w:t>Regulatory Act Section 39.918</w:t>
            </w:r>
          </w:p>
        </w:tc>
      </w:tr>
      <w:tr>
        <w:trPr>
          <w:trHeight w:val="227"/>
        </w:trPr>
        <w:tc>
          <w:tcPr>
            <w:tcW w:w="40" w:type="dxa"/>
            <w:vAlign w:val="bottom"/>
          </w:tcPr>
          <w:p>
            <w:pPr>
              <w:spacing w:after="0"/>
              <w:rPr>
                <w:sz w:val="19"/>
                <w:szCs w:val="19"/>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LPSC</w:t>
            </w:r>
          </w:p>
        </w:tc>
        <w:tc>
          <w:tcPr>
            <w:tcW w:w="78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Louisiana Public Service Commission</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LTIP</w:t>
            </w:r>
          </w:p>
        </w:tc>
        <w:tc>
          <w:tcPr>
            <w:tcW w:w="7860" w:type="dxa"/>
            <w:vAlign w:val="bottom"/>
            <w:gridSpan w:val="2"/>
          </w:tcPr>
          <w:p>
            <w:pPr>
              <w:ind w:left="1300"/>
              <w:spacing w:after="0"/>
              <w:rPr>
                <w:sz w:val="20"/>
                <w:szCs w:val="20"/>
                <w:color w:val="auto"/>
              </w:rPr>
            </w:pPr>
            <w:r>
              <w:rPr>
                <w:rFonts w:ascii="Arial" w:cs="Arial" w:eastAsia="Arial" w:hAnsi="Arial"/>
                <w:sz w:val="18"/>
                <w:szCs w:val="18"/>
                <w:color w:val="auto"/>
              </w:rPr>
              <w:t>Long-term Incentive Plan</w:t>
            </w:r>
          </w:p>
        </w:tc>
      </w:tr>
      <w:tr>
        <w:trPr>
          <w:trHeight w:val="174"/>
        </w:trPr>
        <w:tc>
          <w:tcPr>
            <w:tcW w:w="40" w:type="dxa"/>
            <w:vAlign w:val="bottom"/>
          </w:tcPr>
          <w:p>
            <w:pPr>
              <w:spacing w:after="0"/>
              <w:rPr>
                <w:sz w:val="15"/>
                <w:szCs w:val="15"/>
                <w:color w:val="auto"/>
              </w:rPr>
            </w:pPr>
          </w:p>
        </w:tc>
        <w:tc>
          <w:tcPr>
            <w:tcW w:w="334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b w:val="1"/>
                <w:bCs w:val="1"/>
                <w:i w:val="1"/>
                <w:iCs w:val="1"/>
                <w:color w:val="auto"/>
              </w:rPr>
              <w:t>M&amp;DOT</w:t>
            </w:r>
          </w:p>
        </w:tc>
        <w:tc>
          <w:tcPr>
            <w:tcW w:w="7840" w:type="dxa"/>
            <w:vAlign w:val="bottom"/>
            <w:shd w:val="clear" w:color="auto" w:fill="CCEEFF"/>
          </w:tcPr>
          <w:p>
            <w:pPr>
              <w:ind w:left="1300"/>
              <w:spacing w:after="0" w:line="175" w:lineRule="exact"/>
              <w:rPr>
                <w:sz w:val="20"/>
                <w:szCs w:val="20"/>
                <w:color w:val="auto"/>
              </w:rPr>
            </w:pPr>
            <w:r>
              <w:rPr>
                <w:rFonts w:ascii="Arial" w:cs="Arial" w:eastAsia="Arial" w:hAnsi="Arial"/>
                <w:sz w:val="18"/>
                <w:szCs w:val="18"/>
                <w:color w:val="auto"/>
                <w:w w:val="94"/>
              </w:rPr>
              <w:t>Mortgage and Deed of Trust, dated November 1, 1944, between Houston Lighting and</w:t>
            </w:r>
          </w:p>
        </w:tc>
        <w:tc>
          <w:tcPr>
            <w:tcW w:w="20" w:type="dxa"/>
            <w:vAlign w:val="bottom"/>
          </w:tcPr>
          <w:p>
            <w:pPr>
              <w:spacing w:after="0"/>
              <w:rPr>
                <w:sz w:val="15"/>
                <w:szCs w:val="15"/>
                <w:color w:val="auto"/>
              </w:rPr>
            </w:pPr>
          </w:p>
        </w:tc>
      </w:tr>
      <w:tr>
        <w:trPr>
          <w:trHeight w:val="186"/>
        </w:trPr>
        <w:tc>
          <w:tcPr>
            <w:tcW w:w="40" w:type="dxa"/>
            <w:vAlign w:val="bottom"/>
          </w:tcPr>
          <w:p>
            <w:pPr>
              <w:spacing w:after="0"/>
              <w:rPr>
                <w:sz w:val="16"/>
                <w:szCs w:val="16"/>
                <w:color w:val="auto"/>
              </w:rPr>
            </w:pPr>
          </w:p>
        </w:tc>
        <w:tc>
          <w:tcPr>
            <w:tcW w:w="3340" w:type="dxa"/>
            <w:vAlign w:val="bottom"/>
            <w:shd w:val="clear" w:color="auto" w:fill="CCEEFF"/>
          </w:tcPr>
          <w:p>
            <w:pPr>
              <w:spacing w:after="0"/>
              <w:rPr>
                <w:sz w:val="16"/>
                <w:szCs w:val="16"/>
                <w:color w:val="auto"/>
              </w:rPr>
            </w:pPr>
          </w:p>
        </w:tc>
        <w:tc>
          <w:tcPr>
            <w:tcW w:w="7840" w:type="dxa"/>
            <w:vAlign w:val="bottom"/>
            <w:shd w:val="clear" w:color="auto" w:fill="CCEEFF"/>
          </w:tcPr>
          <w:p>
            <w:pPr>
              <w:ind w:left="1300"/>
              <w:spacing w:after="0" w:line="186" w:lineRule="exact"/>
              <w:rPr>
                <w:sz w:val="20"/>
                <w:szCs w:val="20"/>
                <w:color w:val="auto"/>
              </w:rPr>
            </w:pPr>
            <w:r>
              <w:rPr>
                <w:rFonts w:ascii="Arial" w:cs="Arial" w:eastAsia="Arial" w:hAnsi="Arial"/>
                <w:sz w:val="18"/>
                <w:szCs w:val="18"/>
                <w:color w:val="auto"/>
                <w:w w:val="92"/>
              </w:rPr>
              <w:t>Power Company and Chase Bank of Texas, National Association (formerly, South Texas</w:t>
            </w:r>
          </w:p>
        </w:tc>
        <w:tc>
          <w:tcPr>
            <w:tcW w:w="20" w:type="dxa"/>
            <w:vAlign w:val="bottom"/>
          </w:tcPr>
          <w:p>
            <w:pPr>
              <w:spacing w:after="0"/>
              <w:rPr>
                <w:sz w:val="16"/>
                <w:szCs w:val="16"/>
                <w:color w:val="auto"/>
              </w:rPr>
            </w:pPr>
          </w:p>
        </w:tc>
      </w:tr>
      <w:tr>
        <w:trPr>
          <w:trHeight w:val="225"/>
        </w:trPr>
        <w:tc>
          <w:tcPr>
            <w:tcW w:w="40" w:type="dxa"/>
            <w:vAlign w:val="bottom"/>
          </w:tcPr>
          <w:p>
            <w:pPr>
              <w:spacing w:after="0"/>
              <w:rPr>
                <w:sz w:val="19"/>
                <w:szCs w:val="19"/>
                <w:color w:val="auto"/>
              </w:rPr>
            </w:pPr>
          </w:p>
        </w:tc>
        <w:tc>
          <w:tcPr>
            <w:tcW w:w="3340" w:type="dxa"/>
            <w:vAlign w:val="bottom"/>
            <w:shd w:val="clear" w:color="auto" w:fill="CCEEFF"/>
          </w:tcPr>
          <w:p>
            <w:pPr>
              <w:spacing w:after="0"/>
              <w:rPr>
                <w:sz w:val="19"/>
                <w:szCs w:val="19"/>
                <w:color w:val="auto"/>
              </w:rPr>
            </w:pPr>
          </w:p>
        </w:tc>
        <w:tc>
          <w:tcPr>
            <w:tcW w:w="784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97"/>
              </w:rPr>
              <w:t>Commercial National Bank of Houston), as Trustee, as amended and supplemented</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MDL</w:t>
            </w:r>
          </w:p>
        </w:tc>
        <w:tc>
          <w:tcPr>
            <w:tcW w:w="7860" w:type="dxa"/>
            <w:vAlign w:val="bottom"/>
            <w:gridSpan w:val="2"/>
          </w:tcPr>
          <w:p>
            <w:pPr>
              <w:ind w:left="1300"/>
              <w:spacing w:after="0"/>
              <w:rPr>
                <w:sz w:val="20"/>
                <w:szCs w:val="20"/>
                <w:color w:val="auto"/>
              </w:rPr>
            </w:pPr>
            <w:r>
              <w:rPr>
                <w:rFonts w:ascii="Arial" w:cs="Arial" w:eastAsia="Arial" w:hAnsi="Arial"/>
                <w:sz w:val="18"/>
                <w:szCs w:val="18"/>
                <w:color w:val="auto"/>
              </w:rPr>
              <w:t>Multi-district litigation</w:t>
            </w:r>
          </w:p>
        </w:tc>
      </w:tr>
      <w:tr>
        <w:trPr>
          <w:trHeight w:val="174"/>
        </w:trPr>
        <w:tc>
          <w:tcPr>
            <w:tcW w:w="40" w:type="dxa"/>
            <w:vAlign w:val="bottom"/>
          </w:tcPr>
          <w:p>
            <w:pPr>
              <w:spacing w:after="0"/>
              <w:rPr>
                <w:sz w:val="15"/>
                <w:szCs w:val="15"/>
                <w:color w:val="auto"/>
              </w:rPr>
            </w:pPr>
          </w:p>
        </w:tc>
        <w:tc>
          <w:tcPr>
            <w:tcW w:w="334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b w:val="1"/>
                <w:bCs w:val="1"/>
                <w:i w:val="1"/>
                <w:iCs w:val="1"/>
                <w:color w:val="auto"/>
              </w:rPr>
              <w:t>Merger</w:t>
            </w:r>
          </w:p>
        </w:tc>
        <w:tc>
          <w:tcPr>
            <w:tcW w:w="7840" w:type="dxa"/>
            <w:vAlign w:val="bottom"/>
            <w:shd w:val="clear" w:color="auto" w:fill="CCEEFF"/>
          </w:tcPr>
          <w:p>
            <w:pPr>
              <w:ind w:left="1300"/>
              <w:spacing w:after="0" w:line="175" w:lineRule="exact"/>
              <w:rPr>
                <w:sz w:val="20"/>
                <w:szCs w:val="20"/>
                <w:color w:val="auto"/>
              </w:rPr>
            </w:pPr>
            <w:r>
              <w:rPr>
                <w:rFonts w:ascii="Arial" w:cs="Arial" w:eastAsia="Arial" w:hAnsi="Arial"/>
                <w:sz w:val="18"/>
                <w:szCs w:val="18"/>
                <w:color w:val="auto"/>
                <w:w w:val="90"/>
              </w:rPr>
              <w:t>The merger of Merger Sub with and into Vectren on the terms and subject to the conditions</w:t>
            </w:r>
          </w:p>
        </w:tc>
        <w:tc>
          <w:tcPr>
            <w:tcW w:w="20" w:type="dxa"/>
            <w:vAlign w:val="bottom"/>
          </w:tcPr>
          <w:p>
            <w:pPr>
              <w:spacing w:after="0"/>
              <w:rPr>
                <w:sz w:val="15"/>
                <w:szCs w:val="15"/>
                <w:color w:val="auto"/>
              </w:rPr>
            </w:pPr>
          </w:p>
        </w:tc>
      </w:tr>
      <w:tr>
        <w:trPr>
          <w:trHeight w:val="186"/>
        </w:trPr>
        <w:tc>
          <w:tcPr>
            <w:tcW w:w="40" w:type="dxa"/>
            <w:vAlign w:val="bottom"/>
          </w:tcPr>
          <w:p>
            <w:pPr>
              <w:spacing w:after="0"/>
              <w:rPr>
                <w:sz w:val="16"/>
                <w:szCs w:val="16"/>
                <w:color w:val="auto"/>
              </w:rPr>
            </w:pPr>
          </w:p>
        </w:tc>
        <w:tc>
          <w:tcPr>
            <w:tcW w:w="3340" w:type="dxa"/>
            <w:vAlign w:val="bottom"/>
            <w:shd w:val="clear" w:color="auto" w:fill="CCEEFF"/>
          </w:tcPr>
          <w:p>
            <w:pPr>
              <w:spacing w:after="0"/>
              <w:rPr>
                <w:sz w:val="16"/>
                <w:szCs w:val="16"/>
                <w:color w:val="auto"/>
              </w:rPr>
            </w:pPr>
          </w:p>
        </w:tc>
        <w:tc>
          <w:tcPr>
            <w:tcW w:w="7840" w:type="dxa"/>
            <w:vAlign w:val="bottom"/>
            <w:shd w:val="clear" w:color="auto" w:fill="CCEEFF"/>
          </w:tcPr>
          <w:p>
            <w:pPr>
              <w:ind w:left="1300"/>
              <w:spacing w:after="0" w:line="186" w:lineRule="exact"/>
              <w:rPr>
                <w:sz w:val="20"/>
                <w:szCs w:val="20"/>
                <w:color w:val="auto"/>
              </w:rPr>
            </w:pPr>
            <w:r>
              <w:rPr>
                <w:rFonts w:ascii="Arial" w:cs="Arial" w:eastAsia="Arial" w:hAnsi="Arial"/>
                <w:sz w:val="18"/>
                <w:szCs w:val="18"/>
                <w:color w:val="auto"/>
                <w:w w:val="94"/>
              </w:rPr>
              <w:t>set forth in the Merger Agreement, with Vectren continuing as the surviving corporation</w:t>
            </w:r>
          </w:p>
        </w:tc>
        <w:tc>
          <w:tcPr>
            <w:tcW w:w="20" w:type="dxa"/>
            <w:vAlign w:val="bottom"/>
          </w:tcPr>
          <w:p>
            <w:pPr>
              <w:spacing w:after="0"/>
              <w:rPr>
                <w:sz w:val="16"/>
                <w:szCs w:val="16"/>
                <w:color w:val="auto"/>
              </w:rPr>
            </w:pPr>
          </w:p>
        </w:tc>
      </w:tr>
      <w:tr>
        <w:trPr>
          <w:trHeight w:val="225"/>
        </w:trPr>
        <w:tc>
          <w:tcPr>
            <w:tcW w:w="40" w:type="dxa"/>
            <w:vAlign w:val="bottom"/>
          </w:tcPr>
          <w:p>
            <w:pPr>
              <w:spacing w:after="0"/>
              <w:rPr>
                <w:sz w:val="19"/>
                <w:szCs w:val="19"/>
                <w:color w:val="auto"/>
              </w:rPr>
            </w:pPr>
          </w:p>
        </w:tc>
        <w:tc>
          <w:tcPr>
            <w:tcW w:w="3340" w:type="dxa"/>
            <w:vAlign w:val="bottom"/>
            <w:shd w:val="clear" w:color="auto" w:fill="CCEEFF"/>
          </w:tcPr>
          <w:p>
            <w:pPr>
              <w:spacing w:after="0"/>
              <w:rPr>
                <w:sz w:val="19"/>
                <w:szCs w:val="19"/>
                <w:color w:val="auto"/>
              </w:rPr>
            </w:pPr>
          </w:p>
        </w:tc>
        <w:tc>
          <w:tcPr>
            <w:tcW w:w="78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and as a wholly-owned subsidiary of CenterPoint Energy, Inc.</w:t>
            </w:r>
          </w:p>
        </w:tc>
        <w:tc>
          <w:tcPr>
            <w:tcW w:w="20" w:type="dxa"/>
            <w:vAlign w:val="bottom"/>
          </w:tcPr>
          <w:p>
            <w:pPr>
              <w:spacing w:after="0"/>
              <w:rPr>
                <w:sz w:val="19"/>
                <w:szCs w:val="19"/>
                <w:color w:val="auto"/>
              </w:rPr>
            </w:pPr>
          </w:p>
        </w:tc>
      </w:tr>
      <w:tr>
        <w:trPr>
          <w:trHeight w:val="174"/>
        </w:trPr>
        <w:tc>
          <w:tcPr>
            <w:tcW w:w="40" w:type="dxa"/>
            <w:vAlign w:val="bottom"/>
          </w:tcPr>
          <w:p>
            <w:pPr>
              <w:spacing w:after="0"/>
              <w:rPr>
                <w:sz w:val="15"/>
                <w:szCs w:val="15"/>
                <w:color w:val="auto"/>
              </w:rPr>
            </w:pPr>
          </w:p>
        </w:tc>
        <w:tc>
          <w:tcPr>
            <w:tcW w:w="334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Merger Agreement</w:t>
            </w:r>
          </w:p>
        </w:tc>
        <w:tc>
          <w:tcPr>
            <w:tcW w:w="7860" w:type="dxa"/>
            <w:vAlign w:val="bottom"/>
            <w:gridSpan w:val="2"/>
          </w:tcPr>
          <w:p>
            <w:pPr>
              <w:ind w:left="1300"/>
              <w:spacing w:after="0" w:line="174" w:lineRule="exact"/>
              <w:rPr>
                <w:sz w:val="20"/>
                <w:szCs w:val="20"/>
                <w:color w:val="auto"/>
              </w:rPr>
            </w:pPr>
            <w:r>
              <w:rPr>
                <w:rFonts w:ascii="Arial" w:cs="Arial" w:eastAsia="Arial" w:hAnsi="Arial"/>
                <w:sz w:val="18"/>
                <w:szCs w:val="18"/>
                <w:color w:val="auto"/>
                <w:w w:val="94"/>
              </w:rPr>
              <w:t>Agreement and Plan of Merger, dated as of April 21, 2018, among CenterPoint Energy,</w:t>
            </w:r>
          </w:p>
        </w:tc>
      </w:tr>
      <w:tr>
        <w:trPr>
          <w:trHeight w:val="231"/>
        </w:trPr>
        <w:tc>
          <w:tcPr>
            <w:tcW w:w="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7860" w:type="dxa"/>
            <w:vAlign w:val="bottom"/>
            <w:gridSpan w:val="2"/>
          </w:tcPr>
          <w:p>
            <w:pPr>
              <w:ind w:left="1300"/>
              <w:spacing w:after="0"/>
              <w:rPr>
                <w:sz w:val="20"/>
                <w:szCs w:val="20"/>
                <w:color w:val="auto"/>
              </w:rPr>
            </w:pPr>
            <w:r>
              <w:rPr>
                <w:rFonts w:ascii="Arial" w:cs="Arial" w:eastAsia="Arial" w:hAnsi="Arial"/>
                <w:sz w:val="18"/>
                <w:szCs w:val="18"/>
                <w:color w:val="auto"/>
              </w:rPr>
              <w:t>Vectren and Merger Sub</w:t>
            </w:r>
          </w:p>
        </w:tc>
      </w:tr>
      <w:tr>
        <w:trPr>
          <w:trHeight w:val="181"/>
        </w:trPr>
        <w:tc>
          <w:tcPr>
            <w:tcW w:w="40" w:type="dxa"/>
            <w:vAlign w:val="bottom"/>
          </w:tcPr>
          <w:p>
            <w:pPr>
              <w:spacing w:after="0"/>
              <w:rPr>
                <w:sz w:val="15"/>
                <w:szCs w:val="15"/>
                <w:color w:val="auto"/>
              </w:rPr>
            </w:pPr>
          </w:p>
        </w:tc>
        <w:tc>
          <w:tcPr>
            <w:tcW w:w="334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b w:val="1"/>
                <w:bCs w:val="1"/>
                <w:i w:val="1"/>
                <w:iCs w:val="1"/>
                <w:color w:val="auto"/>
              </w:rPr>
              <w:t>Merger Sub</w:t>
            </w:r>
          </w:p>
        </w:tc>
        <w:tc>
          <w:tcPr>
            <w:tcW w:w="7840" w:type="dxa"/>
            <w:vAlign w:val="bottom"/>
            <w:shd w:val="clear" w:color="auto" w:fill="CCEEFF"/>
          </w:tcPr>
          <w:p>
            <w:pPr>
              <w:ind w:left="1300"/>
              <w:spacing w:after="0" w:line="181" w:lineRule="exact"/>
              <w:rPr>
                <w:sz w:val="20"/>
                <w:szCs w:val="20"/>
                <w:color w:val="auto"/>
              </w:rPr>
            </w:pPr>
            <w:r>
              <w:rPr>
                <w:rFonts w:ascii="Arial" w:cs="Arial" w:eastAsia="Arial" w:hAnsi="Arial"/>
                <w:sz w:val="18"/>
                <w:szCs w:val="18"/>
                <w:color w:val="auto"/>
              </w:rPr>
              <w:t>Pacer Merger Sub, Inc., an Indiana corporation and wholly-owned subsidiary of</w:t>
            </w:r>
          </w:p>
        </w:tc>
        <w:tc>
          <w:tcPr>
            <w:tcW w:w="2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78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CenterPoint Energy</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3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MGP</w:t>
            </w:r>
          </w:p>
        </w:tc>
        <w:tc>
          <w:tcPr>
            <w:tcW w:w="7860" w:type="dxa"/>
            <w:vAlign w:val="bottom"/>
            <w:gridSpan w:val="2"/>
          </w:tcPr>
          <w:p>
            <w:pPr>
              <w:ind w:left="1300"/>
              <w:spacing w:after="0"/>
              <w:rPr>
                <w:sz w:val="20"/>
                <w:szCs w:val="20"/>
                <w:color w:val="auto"/>
              </w:rPr>
            </w:pPr>
            <w:r>
              <w:rPr>
                <w:rFonts w:ascii="Arial" w:cs="Arial" w:eastAsia="Arial" w:hAnsi="Arial"/>
                <w:sz w:val="18"/>
                <w:szCs w:val="18"/>
                <w:color w:val="auto"/>
              </w:rPr>
              <w:t>Manufactured gas plant</w:t>
            </w:r>
          </w:p>
        </w:tc>
      </w:tr>
      <w:tr>
        <w:trPr>
          <w:trHeight w:val="227"/>
        </w:trPr>
        <w:tc>
          <w:tcPr>
            <w:tcW w:w="40" w:type="dxa"/>
            <w:vAlign w:val="bottom"/>
          </w:tcPr>
          <w:p>
            <w:pPr>
              <w:spacing w:after="0"/>
              <w:rPr>
                <w:sz w:val="19"/>
                <w:szCs w:val="19"/>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MISO</w:t>
            </w:r>
          </w:p>
        </w:tc>
        <w:tc>
          <w:tcPr>
            <w:tcW w:w="78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Midcontinent Independent System Operator</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Moody’s</w:t>
            </w:r>
          </w:p>
        </w:tc>
        <w:tc>
          <w:tcPr>
            <w:tcW w:w="7860" w:type="dxa"/>
            <w:vAlign w:val="bottom"/>
            <w:gridSpan w:val="2"/>
          </w:tcPr>
          <w:p>
            <w:pPr>
              <w:ind w:left="1300"/>
              <w:spacing w:after="0"/>
              <w:rPr>
                <w:sz w:val="20"/>
                <w:szCs w:val="20"/>
                <w:color w:val="auto"/>
              </w:rPr>
            </w:pPr>
            <w:r>
              <w:rPr>
                <w:rFonts w:ascii="Arial" w:cs="Arial" w:eastAsia="Arial" w:hAnsi="Arial"/>
                <w:sz w:val="18"/>
                <w:szCs w:val="18"/>
                <w:color w:val="auto"/>
              </w:rPr>
              <w:t>Moody’s Investors Service, Inc.</w:t>
            </w:r>
          </w:p>
        </w:tc>
      </w:tr>
      <w:tr>
        <w:trPr>
          <w:trHeight w:val="227"/>
        </w:trPr>
        <w:tc>
          <w:tcPr>
            <w:tcW w:w="40" w:type="dxa"/>
            <w:vAlign w:val="bottom"/>
          </w:tcPr>
          <w:p>
            <w:pPr>
              <w:spacing w:after="0"/>
              <w:rPr>
                <w:sz w:val="19"/>
                <w:szCs w:val="19"/>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MPUC</w:t>
            </w:r>
          </w:p>
        </w:tc>
        <w:tc>
          <w:tcPr>
            <w:tcW w:w="78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Minnesota Public Utilities Commission</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MW</w:t>
            </w:r>
          </w:p>
        </w:tc>
        <w:tc>
          <w:tcPr>
            <w:tcW w:w="7860" w:type="dxa"/>
            <w:vAlign w:val="bottom"/>
            <w:gridSpan w:val="2"/>
          </w:tcPr>
          <w:p>
            <w:pPr>
              <w:ind w:left="1300"/>
              <w:spacing w:after="0"/>
              <w:rPr>
                <w:sz w:val="20"/>
                <w:szCs w:val="20"/>
                <w:color w:val="auto"/>
              </w:rPr>
            </w:pPr>
            <w:r>
              <w:rPr>
                <w:rFonts w:ascii="Arial" w:cs="Arial" w:eastAsia="Arial" w:hAnsi="Arial"/>
                <w:sz w:val="18"/>
                <w:szCs w:val="18"/>
                <w:color w:val="auto"/>
              </w:rPr>
              <w:t>Megawatt</w:t>
            </w:r>
          </w:p>
        </w:tc>
      </w:tr>
      <w:tr>
        <w:trPr>
          <w:trHeight w:val="227"/>
        </w:trPr>
        <w:tc>
          <w:tcPr>
            <w:tcW w:w="40" w:type="dxa"/>
            <w:vAlign w:val="bottom"/>
          </w:tcPr>
          <w:p>
            <w:pPr>
              <w:spacing w:after="0"/>
              <w:rPr>
                <w:sz w:val="19"/>
                <w:szCs w:val="19"/>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NERC</w:t>
            </w:r>
          </w:p>
        </w:tc>
        <w:tc>
          <w:tcPr>
            <w:tcW w:w="78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North American Electric Reliability Corporation</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NRG</w:t>
            </w:r>
          </w:p>
        </w:tc>
        <w:tc>
          <w:tcPr>
            <w:tcW w:w="7860" w:type="dxa"/>
            <w:vAlign w:val="bottom"/>
            <w:gridSpan w:val="2"/>
          </w:tcPr>
          <w:p>
            <w:pPr>
              <w:ind w:left="1300"/>
              <w:spacing w:after="0"/>
              <w:rPr>
                <w:sz w:val="20"/>
                <w:szCs w:val="20"/>
                <w:color w:val="auto"/>
              </w:rPr>
            </w:pPr>
            <w:r>
              <w:rPr>
                <w:rFonts w:ascii="Arial" w:cs="Arial" w:eastAsia="Arial" w:hAnsi="Arial"/>
                <w:sz w:val="18"/>
                <w:szCs w:val="18"/>
                <w:color w:val="auto"/>
              </w:rPr>
              <w:t>NRG Energy, Inc.</w:t>
            </w:r>
          </w:p>
        </w:tc>
      </w:tr>
      <w:tr>
        <w:trPr>
          <w:trHeight w:val="227"/>
        </w:trPr>
        <w:tc>
          <w:tcPr>
            <w:tcW w:w="40" w:type="dxa"/>
            <w:vAlign w:val="bottom"/>
          </w:tcPr>
          <w:p>
            <w:pPr>
              <w:spacing w:after="0"/>
              <w:rPr>
                <w:sz w:val="19"/>
                <w:szCs w:val="19"/>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NYSE</w:t>
            </w:r>
          </w:p>
        </w:tc>
        <w:tc>
          <w:tcPr>
            <w:tcW w:w="78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New York Stock Exchange</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Oriden</w:t>
            </w:r>
          </w:p>
        </w:tc>
        <w:tc>
          <w:tcPr>
            <w:tcW w:w="7860" w:type="dxa"/>
            <w:vAlign w:val="bottom"/>
            <w:gridSpan w:val="2"/>
          </w:tcPr>
          <w:p>
            <w:pPr>
              <w:ind w:left="1300"/>
              <w:spacing w:after="0"/>
              <w:rPr>
                <w:sz w:val="20"/>
                <w:szCs w:val="20"/>
                <w:color w:val="auto"/>
              </w:rPr>
            </w:pPr>
            <w:r>
              <w:rPr>
                <w:rFonts w:ascii="Arial" w:cs="Arial" w:eastAsia="Arial" w:hAnsi="Arial"/>
                <w:sz w:val="18"/>
                <w:szCs w:val="18"/>
                <w:color w:val="auto"/>
              </w:rPr>
              <w:t>Oriden LLC</w:t>
            </w:r>
          </w:p>
        </w:tc>
      </w:tr>
      <w:tr>
        <w:trPr>
          <w:trHeight w:val="227"/>
        </w:trPr>
        <w:tc>
          <w:tcPr>
            <w:tcW w:w="40" w:type="dxa"/>
            <w:vAlign w:val="bottom"/>
          </w:tcPr>
          <w:p>
            <w:pPr>
              <w:spacing w:after="0"/>
              <w:rPr>
                <w:sz w:val="19"/>
                <w:szCs w:val="19"/>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Origis</w:t>
            </w:r>
          </w:p>
        </w:tc>
        <w:tc>
          <w:tcPr>
            <w:tcW w:w="78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Origis Energy USA Inc.</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OUCC</w:t>
            </w:r>
          </w:p>
        </w:tc>
        <w:tc>
          <w:tcPr>
            <w:tcW w:w="7860" w:type="dxa"/>
            <w:vAlign w:val="bottom"/>
            <w:gridSpan w:val="2"/>
          </w:tcPr>
          <w:p>
            <w:pPr>
              <w:ind w:left="1300"/>
              <w:spacing w:after="0"/>
              <w:rPr>
                <w:sz w:val="20"/>
                <w:szCs w:val="20"/>
                <w:color w:val="auto"/>
              </w:rPr>
            </w:pPr>
            <w:r>
              <w:rPr>
                <w:rFonts w:ascii="Arial" w:cs="Arial" w:eastAsia="Arial" w:hAnsi="Arial"/>
                <w:sz w:val="18"/>
                <w:szCs w:val="18"/>
                <w:color w:val="auto"/>
              </w:rPr>
              <w:t>Indiana Office of Utility Consumer Counselor</w:t>
            </w:r>
          </w:p>
        </w:tc>
      </w:tr>
      <w:tr>
        <w:trPr>
          <w:trHeight w:val="227"/>
        </w:trPr>
        <w:tc>
          <w:tcPr>
            <w:tcW w:w="40" w:type="dxa"/>
            <w:vAlign w:val="bottom"/>
          </w:tcPr>
          <w:p>
            <w:pPr>
              <w:spacing w:after="0"/>
              <w:rPr>
                <w:sz w:val="19"/>
                <w:szCs w:val="19"/>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Posey Solar</w:t>
            </w:r>
          </w:p>
        </w:tc>
        <w:tc>
          <w:tcPr>
            <w:tcW w:w="78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Posey Solar, LLC, a special purpose entity</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PPA</w:t>
            </w:r>
          </w:p>
        </w:tc>
        <w:tc>
          <w:tcPr>
            <w:tcW w:w="7860" w:type="dxa"/>
            <w:vAlign w:val="bottom"/>
            <w:gridSpan w:val="2"/>
          </w:tcPr>
          <w:p>
            <w:pPr>
              <w:ind w:left="1300"/>
              <w:spacing w:after="0"/>
              <w:rPr>
                <w:sz w:val="20"/>
                <w:szCs w:val="20"/>
                <w:color w:val="auto"/>
              </w:rPr>
            </w:pPr>
            <w:r>
              <w:rPr>
                <w:rFonts w:ascii="Arial" w:cs="Arial" w:eastAsia="Arial" w:hAnsi="Arial"/>
                <w:sz w:val="18"/>
                <w:szCs w:val="18"/>
                <w:color w:val="auto"/>
              </w:rPr>
              <w:t>Power Purchase Agreement</w:t>
            </w:r>
          </w:p>
        </w:tc>
      </w:tr>
      <w:tr>
        <w:trPr>
          <w:trHeight w:val="227"/>
        </w:trPr>
        <w:tc>
          <w:tcPr>
            <w:tcW w:w="40" w:type="dxa"/>
            <w:vAlign w:val="bottom"/>
          </w:tcPr>
          <w:p>
            <w:pPr>
              <w:spacing w:after="0"/>
              <w:rPr>
                <w:sz w:val="19"/>
                <w:szCs w:val="19"/>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PRPs</w:t>
            </w:r>
          </w:p>
        </w:tc>
        <w:tc>
          <w:tcPr>
            <w:tcW w:w="78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Potentially responsible parties</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PTCs</w:t>
            </w:r>
          </w:p>
        </w:tc>
        <w:tc>
          <w:tcPr>
            <w:tcW w:w="7860" w:type="dxa"/>
            <w:vAlign w:val="bottom"/>
            <w:gridSpan w:val="2"/>
          </w:tcPr>
          <w:p>
            <w:pPr>
              <w:ind w:left="1300"/>
              <w:spacing w:after="0"/>
              <w:rPr>
                <w:sz w:val="20"/>
                <w:szCs w:val="20"/>
                <w:color w:val="auto"/>
              </w:rPr>
            </w:pPr>
            <w:r>
              <w:rPr>
                <w:rFonts w:ascii="Arial" w:cs="Arial" w:eastAsia="Arial" w:hAnsi="Arial"/>
                <w:sz w:val="18"/>
                <w:szCs w:val="18"/>
                <w:color w:val="auto"/>
              </w:rPr>
              <w:t>Production Tax Credits</w:t>
            </w:r>
          </w:p>
        </w:tc>
      </w:tr>
      <w:tr>
        <w:trPr>
          <w:trHeight w:val="227"/>
        </w:trPr>
        <w:tc>
          <w:tcPr>
            <w:tcW w:w="40" w:type="dxa"/>
            <w:vAlign w:val="bottom"/>
          </w:tcPr>
          <w:p>
            <w:pPr>
              <w:spacing w:after="0"/>
              <w:rPr>
                <w:sz w:val="19"/>
                <w:szCs w:val="19"/>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PUCO</w:t>
            </w:r>
          </w:p>
        </w:tc>
        <w:tc>
          <w:tcPr>
            <w:tcW w:w="78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Public Utilities Commission of Ohio</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PUCT</w:t>
            </w:r>
          </w:p>
        </w:tc>
        <w:tc>
          <w:tcPr>
            <w:tcW w:w="7860" w:type="dxa"/>
            <w:vAlign w:val="bottom"/>
            <w:gridSpan w:val="2"/>
          </w:tcPr>
          <w:p>
            <w:pPr>
              <w:ind w:left="1300"/>
              <w:spacing w:after="0"/>
              <w:rPr>
                <w:sz w:val="20"/>
                <w:szCs w:val="20"/>
                <w:color w:val="auto"/>
              </w:rPr>
            </w:pPr>
            <w:r>
              <w:rPr>
                <w:rFonts w:ascii="Arial" w:cs="Arial" w:eastAsia="Arial" w:hAnsi="Arial"/>
                <w:sz w:val="18"/>
                <w:szCs w:val="18"/>
                <w:color w:val="auto"/>
              </w:rPr>
              <w:t>Public Utility Commission of Texas</w:t>
            </w:r>
          </w:p>
        </w:tc>
      </w:tr>
      <w:tr>
        <w:trPr>
          <w:trHeight w:val="227"/>
        </w:trPr>
        <w:tc>
          <w:tcPr>
            <w:tcW w:w="40" w:type="dxa"/>
            <w:vAlign w:val="bottom"/>
          </w:tcPr>
          <w:p>
            <w:pPr>
              <w:spacing w:after="0"/>
              <w:rPr>
                <w:sz w:val="19"/>
                <w:szCs w:val="19"/>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Railroad Commission</w:t>
            </w:r>
          </w:p>
        </w:tc>
        <w:tc>
          <w:tcPr>
            <w:tcW w:w="78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Railroad Commission of Texas</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RCRA</w:t>
            </w:r>
          </w:p>
        </w:tc>
        <w:tc>
          <w:tcPr>
            <w:tcW w:w="7860" w:type="dxa"/>
            <w:vAlign w:val="bottom"/>
            <w:gridSpan w:val="2"/>
          </w:tcPr>
          <w:p>
            <w:pPr>
              <w:ind w:left="1300"/>
              <w:spacing w:after="0"/>
              <w:rPr>
                <w:sz w:val="20"/>
                <w:szCs w:val="20"/>
                <w:color w:val="auto"/>
              </w:rPr>
            </w:pPr>
            <w:r>
              <w:rPr>
                <w:rFonts w:ascii="Arial" w:cs="Arial" w:eastAsia="Arial" w:hAnsi="Arial"/>
                <w:sz w:val="18"/>
                <w:szCs w:val="18"/>
                <w:color w:val="auto"/>
              </w:rPr>
              <w:t>Resource Conservation and Recovery Act of 1976</w:t>
            </w:r>
          </w:p>
        </w:tc>
      </w:tr>
      <w:tr>
        <w:trPr>
          <w:trHeight w:val="227"/>
        </w:trPr>
        <w:tc>
          <w:tcPr>
            <w:tcW w:w="40" w:type="dxa"/>
            <w:vAlign w:val="bottom"/>
          </w:tcPr>
          <w:p>
            <w:pPr>
              <w:spacing w:after="0"/>
              <w:rPr>
                <w:sz w:val="19"/>
                <w:szCs w:val="19"/>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Registrants</w:t>
            </w:r>
          </w:p>
        </w:tc>
        <w:tc>
          <w:tcPr>
            <w:tcW w:w="78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CenterPoint Energy, Houston Electric and CERC, collectively</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REP</w:t>
            </w:r>
          </w:p>
        </w:tc>
        <w:tc>
          <w:tcPr>
            <w:tcW w:w="7860" w:type="dxa"/>
            <w:vAlign w:val="bottom"/>
            <w:gridSpan w:val="2"/>
          </w:tcPr>
          <w:p>
            <w:pPr>
              <w:ind w:left="1300"/>
              <w:spacing w:after="0"/>
              <w:rPr>
                <w:sz w:val="20"/>
                <w:szCs w:val="20"/>
                <w:color w:val="auto"/>
              </w:rPr>
            </w:pPr>
            <w:r>
              <w:rPr>
                <w:rFonts w:ascii="Arial" w:cs="Arial" w:eastAsia="Arial" w:hAnsi="Arial"/>
                <w:sz w:val="18"/>
                <w:szCs w:val="18"/>
                <w:color w:val="auto"/>
              </w:rPr>
              <w:t>Retail electric provider</w:t>
            </w:r>
          </w:p>
        </w:tc>
      </w:tr>
      <w:tr>
        <w:trPr>
          <w:trHeight w:val="174"/>
        </w:trPr>
        <w:tc>
          <w:tcPr>
            <w:tcW w:w="40" w:type="dxa"/>
            <w:vAlign w:val="bottom"/>
          </w:tcPr>
          <w:p>
            <w:pPr>
              <w:spacing w:after="0"/>
              <w:rPr>
                <w:sz w:val="15"/>
                <w:szCs w:val="15"/>
                <w:color w:val="auto"/>
              </w:rPr>
            </w:pPr>
          </w:p>
        </w:tc>
        <w:tc>
          <w:tcPr>
            <w:tcW w:w="334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b w:val="1"/>
                <w:bCs w:val="1"/>
                <w:i w:val="1"/>
                <w:iCs w:val="1"/>
                <w:color w:val="auto"/>
              </w:rPr>
              <w:t>Restoration Bond Company</w:t>
            </w:r>
          </w:p>
        </w:tc>
        <w:tc>
          <w:tcPr>
            <w:tcW w:w="7840" w:type="dxa"/>
            <w:vAlign w:val="bottom"/>
            <w:shd w:val="clear" w:color="auto" w:fill="CCEEFF"/>
          </w:tcPr>
          <w:p>
            <w:pPr>
              <w:ind w:left="1300"/>
              <w:spacing w:after="0" w:line="175" w:lineRule="exact"/>
              <w:rPr>
                <w:sz w:val="20"/>
                <w:szCs w:val="20"/>
                <w:color w:val="auto"/>
              </w:rPr>
            </w:pPr>
            <w:r>
              <w:rPr>
                <w:rFonts w:ascii="Arial" w:cs="Arial" w:eastAsia="Arial" w:hAnsi="Arial"/>
                <w:sz w:val="18"/>
                <w:szCs w:val="18"/>
                <w:color w:val="auto"/>
                <w:w w:val="97"/>
              </w:rPr>
              <w:t>CenterPoint Energy Restoration Bond Company, LLC, a wholly-owned subsidiary of</w:t>
            </w:r>
          </w:p>
        </w:tc>
        <w:tc>
          <w:tcPr>
            <w:tcW w:w="2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78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Houston Electric</w:t>
            </w:r>
          </w:p>
        </w:tc>
        <w:tc>
          <w:tcPr>
            <w:tcW w:w="20" w:type="dxa"/>
            <w:vAlign w:val="bottom"/>
          </w:tcPr>
          <w:p>
            <w:pPr>
              <w:spacing w:after="0"/>
              <w:rPr>
                <w:sz w:val="20"/>
                <w:szCs w:val="20"/>
                <w:color w:val="auto"/>
              </w:rPr>
            </w:pPr>
          </w:p>
        </w:tc>
      </w:tr>
      <w:tr>
        <w:trPr>
          <w:trHeight w:val="174"/>
        </w:trPr>
        <w:tc>
          <w:tcPr>
            <w:tcW w:w="40" w:type="dxa"/>
            <w:vAlign w:val="bottom"/>
          </w:tcPr>
          <w:p>
            <w:pPr>
              <w:spacing w:after="0"/>
              <w:rPr>
                <w:sz w:val="15"/>
                <w:szCs w:val="15"/>
                <w:color w:val="auto"/>
              </w:rPr>
            </w:pPr>
          </w:p>
        </w:tc>
        <w:tc>
          <w:tcPr>
            <w:tcW w:w="334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Restructuring</w:t>
            </w:r>
          </w:p>
        </w:tc>
        <w:tc>
          <w:tcPr>
            <w:tcW w:w="7860" w:type="dxa"/>
            <w:vAlign w:val="bottom"/>
            <w:gridSpan w:val="2"/>
          </w:tcPr>
          <w:p>
            <w:pPr>
              <w:ind w:left="1300"/>
              <w:spacing w:after="0" w:line="174" w:lineRule="exact"/>
              <w:rPr>
                <w:sz w:val="20"/>
                <w:szCs w:val="20"/>
                <w:color w:val="auto"/>
              </w:rPr>
            </w:pPr>
            <w:r>
              <w:rPr>
                <w:rFonts w:ascii="Arial" w:cs="Arial" w:eastAsia="Arial" w:hAnsi="Arial"/>
                <w:sz w:val="18"/>
                <w:szCs w:val="18"/>
                <w:color w:val="auto"/>
                <w:w w:val="93"/>
              </w:rPr>
              <w:t>CERC Corp.’s common control acquisition of Indiana Gas and VEDO from VUH on June</w:t>
            </w:r>
          </w:p>
        </w:tc>
      </w:tr>
      <w:tr>
        <w:trPr>
          <w:trHeight w:val="231"/>
        </w:trPr>
        <w:tc>
          <w:tcPr>
            <w:tcW w:w="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7840" w:type="dxa"/>
            <w:vAlign w:val="bottom"/>
          </w:tcPr>
          <w:p>
            <w:pPr>
              <w:ind w:left="1300"/>
              <w:spacing w:after="0"/>
              <w:rPr>
                <w:sz w:val="20"/>
                <w:szCs w:val="20"/>
                <w:color w:val="auto"/>
              </w:rPr>
            </w:pPr>
            <w:r>
              <w:rPr>
                <w:rFonts w:ascii="Arial" w:cs="Arial" w:eastAsia="Arial" w:hAnsi="Arial"/>
                <w:sz w:val="18"/>
                <w:szCs w:val="18"/>
                <w:color w:val="auto"/>
              </w:rPr>
              <w:t>30, 2022</w:t>
            </w:r>
          </w:p>
        </w:tc>
        <w:tc>
          <w:tcPr>
            <w:tcW w:w="20" w:type="dxa"/>
            <w:vAlign w:val="bottom"/>
          </w:tcPr>
          <w:p>
            <w:pPr>
              <w:spacing w:after="0"/>
              <w:rPr>
                <w:sz w:val="20"/>
                <w:szCs w:val="20"/>
                <w:color w:val="auto"/>
              </w:rPr>
            </w:pPr>
          </w:p>
        </w:tc>
      </w:tr>
      <w:tr>
        <w:trPr>
          <w:trHeight w:val="233"/>
        </w:trPr>
        <w:tc>
          <w:tcPr>
            <w:tcW w:w="40" w:type="dxa"/>
            <w:vAlign w:val="bottom"/>
          </w:tcPr>
          <w:p>
            <w:pPr>
              <w:spacing w:after="0"/>
              <w:rPr>
                <w:sz w:val="20"/>
                <w:szCs w:val="20"/>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ROE</w:t>
            </w:r>
          </w:p>
        </w:tc>
        <w:tc>
          <w:tcPr>
            <w:tcW w:w="78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Return on equity</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3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ROU</w:t>
            </w:r>
          </w:p>
        </w:tc>
        <w:tc>
          <w:tcPr>
            <w:tcW w:w="7860" w:type="dxa"/>
            <w:vAlign w:val="bottom"/>
            <w:gridSpan w:val="2"/>
          </w:tcPr>
          <w:p>
            <w:pPr>
              <w:ind w:left="1300"/>
              <w:spacing w:after="0"/>
              <w:rPr>
                <w:sz w:val="20"/>
                <w:szCs w:val="20"/>
                <w:color w:val="auto"/>
              </w:rPr>
            </w:pPr>
            <w:r>
              <w:rPr>
                <w:rFonts w:ascii="Arial" w:cs="Arial" w:eastAsia="Arial" w:hAnsi="Arial"/>
                <w:sz w:val="18"/>
                <w:szCs w:val="18"/>
                <w:color w:val="auto"/>
              </w:rPr>
              <w:t>Right of use</w:t>
            </w:r>
          </w:p>
        </w:tc>
      </w:tr>
      <w:tr>
        <w:trPr>
          <w:trHeight w:val="227"/>
        </w:trPr>
        <w:tc>
          <w:tcPr>
            <w:tcW w:w="40" w:type="dxa"/>
            <w:vAlign w:val="bottom"/>
          </w:tcPr>
          <w:p>
            <w:pPr>
              <w:spacing w:after="0"/>
              <w:rPr>
                <w:sz w:val="19"/>
                <w:szCs w:val="19"/>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RRA</w:t>
            </w:r>
          </w:p>
        </w:tc>
        <w:tc>
          <w:tcPr>
            <w:tcW w:w="78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Rate Regulation Adjustment</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RSP</w:t>
            </w:r>
          </w:p>
        </w:tc>
        <w:tc>
          <w:tcPr>
            <w:tcW w:w="7860" w:type="dxa"/>
            <w:vAlign w:val="bottom"/>
            <w:gridSpan w:val="2"/>
          </w:tcPr>
          <w:p>
            <w:pPr>
              <w:ind w:left="1300"/>
              <w:spacing w:after="0"/>
              <w:rPr>
                <w:sz w:val="20"/>
                <w:szCs w:val="20"/>
                <w:color w:val="auto"/>
              </w:rPr>
            </w:pPr>
            <w:r>
              <w:rPr>
                <w:rFonts w:ascii="Arial" w:cs="Arial" w:eastAsia="Arial" w:hAnsi="Arial"/>
                <w:sz w:val="18"/>
                <w:szCs w:val="18"/>
                <w:color w:val="auto"/>
              </w:rPr>
              <w:t>Rate Stabilization Plan</w:t>
            </w:r>
          </w:p>
        </w:tc>
      </w:tr>
      <w:tr>
        <w:trPr>
          <w:trHeight w:val="227"/>
        </w:trPr>
        <w:tc>
          <w:tcPr>
            <w:tcW w:w="40" w:type="dxa"/>
            <w:vAlign w:val="bottom"/>
          </w:tcPr>
          <w:p>
            <w:pPr>
              <w:spacing w:after="0"/>
              <w:rPr>
                <w:sz w:val="19"/>
                <w:szCs w:val="19"/>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S&amp;P</w:t>
            </w:r>
          </w:p>
        </w:tc>
        <w:tc>
          <w:tcPr>
            <w:tcW w:w="78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S&amp;P Global Ratings</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Scope 1 emissions</w:t>
            </w:r>
          </w:p>
        </w:tc>
        <w:tc>
          <w:tcPr>
            <w:tcW w:w="7860" w:type="dxa"/>
            <w:vAlign w:val="bottom"/>
            <w:gridSpan w:val="2"/>
          </w:tcPr>
          <w:p>
            <w:pPr>
              <w:ind w:left="1300"/>
              <w:spacing w:after="0"/>
              <w:rPr>
                <w:sz w:val="20"/>
                <w:szCs w:val="20"/>
                <w:color w:val="auto"/>
              </w:rPr>
            </w:pPr>
            <w:r>
              <w:rPr>
                <w:rFonts w:ascii="Arial" w:cs="Arial" w:eastAsia="Arial" w:hAnsi="Arial"/>
                <w:sz w:val="18"/>
                <w:szCs w:val="18"/>
                <w:color w:val="auto"/>
              </w:rPr>
              <w:t>Direct source of emissions from a company’s operations</w:t>
            </w:r>
          </w:p>
        </w:tc>
      </w:tr>
      <w:tr>
        <w:trPr>
          <w:trHeight w:val="227"/>
        </w:trPr>
        <w:tc>
          <w:tcPr>
            <w:tcW w:w="40" w:type="dxa"/>
            <w:vAlign w:val="bottom"/>
          </w:tcPr>
          <w:p>
            <w:pPr>
              <w:spacing w:after="0"/>
              <w:rPr>
                <w:sz w:val="19"/>
                <w:szCs w:val="19"/>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Scope 2 emissions</w:t>
            </w:r>
          </w:p>
        </w:tc>
        <w:tc>
          <w:tcPr>
            <w:tcW w:w="78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Indirect source of emissions from a company’s energy usage</w:t>
            </w:r>
          </w:p>
        </w:tc>
        <w:tc>
          <w:tcPr>
            <w:tcW w:w="20" w:type="dxa"/>
            <w:vAlign w:val="bottom"/>
          </w:tcPr>
          <w:p>
            <w:pPr>
              <w:spacing w:after="0"/>
              <w:rPr>
                <w:sz w:val="19"/>
                <w:szCs w:val="19"/>
                <w:color w:val="auto"/>
              </w:rPr>
            </w:pPr>
          </w:p>
        </w:tc>
      </w:tr>
      <w:tr>
        <w:trPr>
          <w:trHeight w:val="730"/>
        </w:trPr>
        <w:tc>
          <w:tcPr>
            <w:tcW w:w="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7860" w:type="dxa"/>
            <w:vAlign w:val="bottom"/>
            <w:gridSpan w:val="2"/>
          </w:tcPr>
          <w:p>
            <w:pPr>
              <w:ind w:left="2180"/>
              <w:spacing w:after="0"/>
              <w:rPr>
                <w:sz w:val="20"/>
                <w:szCs w:val="20"/>
                <w:color w:val="auto"/>
              </w:rPr>
            </w:pPr>
            <w:r>
              <w:rPr>
                <w:rFonts w:ascii="Arial" w:cs="Arial" w:eastAsia="Arial" w:hAnsi="Arial"/>
                <w:sz w:val="18"/>
                <w:szCs w:val="18"/>
                <w:color w:val="auto"/>
              </w:rPr>
              <w:t>iv</w:t>
            </w:r>
          </w:p>
        </w:tc>
      </w:tr>
      <w:tr>
        <w:trPr>
          <w:trHeight w:val="114"/>
        </w:trPr>
        <w:tc>
          <w:tcPr>
            <w:tcW w:w="40" w:type="dxa"/>
            <w:vAlign w:val="bottom"/>
            <w:tcBorders>
              <w:bottom w:val="single" w:sz="8" w:color="9A9A9A"/>
            </w:tcBorders>
          </w:tcPr>
          <w:p>
            <w:pPr>
              <w:spacing w:after="0"/>
              <w:rPr>
                <w:sz w:val="9"/>
                <w:szCs w:val="9"/>
                <w:color w:val="auto"/>
              </w:rPr>
            </w:pPr>
          </w:p>
        </w:tc>
        <w:tc>
          <w:tcPr>
            <w:tcW w:w="3340" w:type="dxa"/>
            <w:vAlign w:val="bottom"/>
            <w:tcBorders>
              <w:bottom w:val="single" w:sz="8" w:color="9A9A9A"/>
            </w:tcBorders>
          </w:tcPr>
          <w:p>
            <w:pPr>
              <w:spacing w:after="0"/>
              <w:rPr>
                <w:sz w:val="9"/>
                <w:szCs w:val="9"/>
                <w:color w:val="auto"/>
              </w:rPr>
            </w:pPr>
          </w:p>
        </w:tc>
        <w:tc>
          <w:tcPr>
            <w:tcW w:w="78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5"/>
        </w:trPr>
        <w:tc>
          <w:tcPr>
            <w:tcW w:w="40" w:type="dxa"/>
            <w:vAlign w:val="bottom"/>
          </w:tcPr>
          <w:p>
            <w:pPr>
              <w:spacing w:after="0"/>
              <w:rPr>
                <w:sz w:val="19"/>
                <w:szCs w:val="19"/>
                <w:color w:val="auto"/>
              </w:rPr>
            </w:pPr>
          </w:p>
        </w:tc>
        <w:tc>
          <w:tcPr>
            <w:tcW w:w="3600" w:type="dxa"/>
            <w:vAlign w:val="bottom"/>
            <w:tcBorders>
              <w:bottom w:val="single" w:sz="8" w:color="auto"/>
            </w:tcBorders>
          </w:tcPr>
          <w:p>
            <w:pPr>
              <w:spacing w:after="0"/>
              <w:rPr>
                <w:sz w:val="19"/>
                <w:szCs w:val="19"/>
                <w:color w:val="auto"/>
              </w:rPr>
            </w:pPr>
          </w:p>
        </w:tc>
        <w:tc>
          <w:tcPr>
            <w:tcW w:w="7580" w:type="dxa"/>
            <w:vAlign w:val="bottom"/>
            <w:tcBorders>
              <w:bottom w:val="single" w:sz="8" w:color="auto"/>
            </w:tcBorders>
          </w:tcPr>
          <w:p>
            <w:pPr>
              <w:ind w:left="1540"/>
              <w:spacing w:after="0"/>
              <w:rPr>
                <w:sz w:val="20"/>
                <w:szCs w:val="20"/>
                <w:color w:val="auto"/>
              </w:rPr>
            </w:pPr>
            <w:r>
              <w:rPr>
                <w:rFonts w:ascii="Arial" w:cs="Arial" w:eastAsia="Arial" w:hAnsi="Arial"/>
                <w:sz w:val="18"/>
                <w:szCs w:val="18"/>
                <w:b w:val="1"/>
                <w:bCs w:val="1"/>
                <w:i w:val="1"/>
                <w:iCs w:val="1"/>
                <w:color w:val="auto"/>
              </w:rPr>
              <w:t>GLOSSARY</w:t>
            </w:r>
          </w:p>
        </w:tc>
        <w:tc>
          <w:tcPr>
            <w:tcW w:w="20" w:type="dxa"/>
            <w:vAlign w:val="bottom"/>
          </w:tcPr>
          <w:p>
            <w:pPr>
              <w:spacing w:after="0"/>
              <w:rPr>
                <w:sz w:val="19"/>
                <w:szCs w:val="19"/>
                <w:color w:val="auto"/>
              </w:rPr>
            </w:pPr>
          </w:p>
        </w:tc>
      </w:tr>
      <w:tr>
        <w:trPr>
          <w:trHeight w:val="219"/>
        </w:trPr>
        <w:tc>
          <w:tcPr>
            <w:tcW w:w="40" w:type="dxa"/>
            <w:vAlign w:val="bottom"/>
          </w:tcPr>
          <w:p>
            <w:pPr>
              <w:spacing w:after="0"/>
              <w:rPr>
                <w:sz w:val="19"/>
                <w:szCs w:val="19"/>
                <w:color w:val="auto"/>
              </w:rPr>
            </w:pPr>
          </w:p>
        </w:tc>
        <w:tc>
          <w:tcPr>
            <w:tcW w:w="36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Scope 3 emissions</w:t>
            </w:r>
          </w:p>
        </w:tc>
        <w:tc>
          <w:tcPr>
            <w:tcW w:w="7600" w:type="dxa"/>
            <w:vAlign w:val="bottom"/>
            <w:gridSpan w:val="2"/>
          </w:tcPr>
          <w:p>
            <w:pPr>
              <w:ind w:left="1040"/>
              <w:spacing w:after="0"/>
              <w:rPr>
                <w:sz w:val="20"/>
                <w:szCs w:val="20"/>
                <w:color w:val="auto"/>
              </w:rPr>
            </w:pPr>
            <w:r>
              <w:rPr>
                <w:rFonts w:ascii="Arial" w:cs="Arial" w:eastAsia="Arial" w:hAnsi="Arial"/>
                <w:sz w:val="18"/>
                <w:szCs w:val="18"/>
                <w:color w:val="auto"/>
              </w:rPr>
              <w:t>Indirect source of emissions from a company’s end-users</w:t>
            </w:r>
          </w:p>
        </w:tc>
      </w:tr>
      <w:tr>
        <w:trPr>
          <w:trHeight w:val="227"/>
        </w:trPr>
        <w:tc>
          <w:tcPr>
            <w:tcW w:w="40" w:type="dxa"/>
            <w:vAlign w:val="bottom"/>
          </w:tcPr>
          <w:p>
            <w:pPr>
              <w:spacing w:after="0"/>
              <w:rPr>
                <w:sz w:val="19"/>
                <w:szCs w:val="19"/>
                <w:color w:val="auto"/>
              </w:rPr>
            </w:pPr>
          </w:p>
        </w:tc>
        <w:tc>
          <w:tcPr>
            <w:tcW w:w="36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SEC</w:t>
            </w:r>
          </w:p>
        </w:tc>
        <w:tc>
          <w:tcPr>
            <w:tcW w:w="75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Securities and Exchange Commission</w:t>
            </w:r>
          </w:p>
        </w:tc>
        <w:tc>
          <w:tcPr>
            <w:tcW w:w="20" w:type="dxa"/>
            <w:vAlign w:val="bottom"/>
          </w:tcPr>
          <w:p>
            <w:pPr>
              <w:spacing w:after="0"/>
              <w:rPr>
                <w:sz w:val="19"/>
                <w:szCs w:val="19"/>
                <w:color w:val="auto"/>
              </w:rPr>
            </w:pPr>
          </w:p>
        </w:tc>
      </w:tr>
      <w:tr>
        <w:trPr>
          <w:trHeight w:val="174"/>
        </w:trPr>
        <w:tc>
          <w:tcPr>
            <w:tcW w:w="40" w:type="dxa"/>
            <w:vAlign w:val="bottom"/>
          </w:tcPr>
          <w:p>
            <w:pPr>
              <w:spacing w:after="0"/>
              <w:rPr>
                <w:sz w:val="15"/>
                <w:szCs w:val="15"/>
                <w:color w:val="auto"/>
              </w:rPr>
            </w:pPr>
          </w:p>
        </w:tc>
        <w:tc>
          <w:tcPr>
            <w:tcW w:w="360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Securitization Bonds</w:t>
            </w:r>
          </w:p>
        </w:tc>
        <w:tc>
          <w:tcPr>
            <w:tcW w:w="7600" w:type="dxa"/>
            <w:vAlign w:val="bottom"/>
            <w:gridSpan w:val="2"/>
          </w:tcPr>
          <w:p>
            <w:pPr>
              <w:ind w:left="1040"/>
              <w:spacing w:after="0" w:line="174" w:lineRule="exact"/>
              <w:rPr>
                <w:sz w:val="20"/>
                <w:szCs w:val="20"/>
                <w:color w:val="auto"/>
              </w:rPr>
            </w:pPr>
            <w:r>
              <w:rPr>
                <w:rFonts w:ascii="Arial" w:cs="Arial" w:eastAsia="Arial" w:hAnsi="Arial"/>
                <w:sz w:val="18"/>
                <w:szCs w:val="18"/>
                <w:color w:val="auto"/>
                <w:w w:val="95"/>
              </w:rPr>
              <w:t>Transition and system restoration bonds issued by the Bond Companies and SIGECO</w:t>
            </w:r>
          </w:p>
        </w:tc>
      </w:tr>
      <w:tr>
        <w:trPr>
          <w:trHeight w:val="231"/>
        </w:trPr>
        <w:tc>
          <w:tcPr>
            <w:tcW w:w="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7600" w:type="dxa"/>
            <w:vAlign w:val="bottom"/>
            <w:gridSpan w:val="2"/>
          </w:tcPr>
          <w:p>
            <w:pPr>
              <w:ind w:left="1040"/>
              <w:spacing w:after="0"/>
              <w:rPr>
                <w:sz w:val="20"/>
                <w:szCs w:val="20"/>
                <w:color w:val="auto"/>
              </w:rPr>
            </w:pPr>
            <w:r>
              <w:rPr>
                <w:rFonts w:ascii="Arial" w:cs="Arial" w:eastAsia="Arial" w:hAnsi="Arial"/>
                <w:sz w:val="18"/>
                <w:szCs w:val="18"/>
                <w:color w:val="auto"/>
              </w:rPr>
              <w:t>Securitization Bonds issued by the SIGECO Securitization Subsidiary</w:t>
            </w:r>
          </w:p>
        </w:tc>
      </w:tr>
      <w:tr>
        <w:trPr>
          <w:trHeight w:val="181"/>
        </w:trPr>
        <w:tc>
          <w:tcPr>
            <w:tcW w:w="40" w:type="dxa"/>
            <w:vAlign w:val="bottom"/>
          </w:tcPr>
          <w:p>
            <w:pPr>
              <w:spacing w:after="0"/>
              <w:rPr>
                <w:sz w:val="15"/>
                <w:szCs w:val="15"/>
                <w:color w:val="auto"/>
              </w:rPr>
            </w:pPr>
          </w:p>
        </w:tc>
        <w:tc>
          <w:tcPr>
            <w:tcW w:w="360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b w:val="1"/>
                <w:bCs w:val="1"/>
                <w:i w:val="1"/>
                <w:iCs w:val="1"/>
                <w:color w:val="auto"/>
              </w:rPr>
              <w:t>Series A Preferred Stock</w:t>
            </w:r>
          </w:p>
        </w:tc>
        <w:tc>
          <w:tcPr>
            <w:tcW w:w="7580" w:type="dxa"/>
            <w:vAlign w:val="bottom"/>
            <w:shd w:val="clear" w:color="auto" w:fill="CCEEFF"/>
          </w:tcPr>
          <w:p>
            <w:pPr>
              <w:ind w:left="1040"/>
              <w:spacing w:after="0" w:line="181" w:lineRule="exact"/>
              <w:rPr>
                <w:sz w:val="20"/>
                <w:szCs w:val="20"/>
                <w:color w:val="auto"/>
              </w:rPr>
            </w:pPr>
            <w:r>
              <w:rPr>
                <w:rFonts w:ascii="Arial" w:cs="Arial" w:eastAsia="Arial" w:hAnsi="Arial"/>
                <w:sz w:val="18"/>
                <w:szCs w:val="18"/>
                <w:color w:val="auto"/>
                <w:w w:val="91"/>
              </w:rPr>
              <w:t>CenterPoint Energy’s Series A Fixed-to-Floating Rate Cumulative Redeemable Perpetual</w:t>
            </w:r>
          </w:p>
        </w:tc>
        <w:tc>
          <w:tcPr>
            <w:tcW w:w="20" w:type="dxa"/>
            <w:vAlign w:val="bottom"/>
          </w:tcPr>
          <w:p>
            <w:pPr>
              <w:spacing w:after="0"/>
              <w:rPr>
                <w:sz w:val="15"/>
                <w:szCs w:val="15"/>
                <w:color w:val="auto"/>
              </w:rPr>
            </w:pPr>
          </w:p>
        </w:tc>
      </w:tr>
      <w:tr>
        <w:trPr>
          <w:trHeight w:val="186"/>
        </w:trPr>
        <w:tc>
          <w:tcPr>
            <w:tcW w:w="40" w:type="dxa"/>
            <w:vAlign w:val="bottom"/>
          </w:tcPr>
          <w:p>
            <w:pPr>
              <w:spacing w:after="0"/>
              <w:rPr>
                <w:sz w:val="16"/>
                <w:szCs w:val="16"/>
                <w:color w:val="auto"/>
              </w:rPr>
            </w:pPr>
          </w:p>
        </w:tc>
        <w:tc>
          <w:tcPr>
            <w:tcW w:w="3600" w:type="dxa"/>
            <w:vAlign w:val="bottom"/>
            <w:shd w:val="clear" w:color="auto" w:fill="CCEEFF"/>
          </w:tcPr>
          <w:p>
            <w:pPr>
              <w:spacing w:after="0"/>
              <w:rPr>
                <w:sz w:val="16"/>
                <w:szCs w:val="16"/>
                <w:color w:val="auto"/>
              </w:rPr>
            </w:pPr>
          </w:p>
        </w:tc>
        <w:tc>
          <w:tcPr>
            <w:tcW w:w="7580" w:type="dxa"/>
            <w:vAlign w:val="bottom"/>
            <w:shd w:val="clear" w:color="auto" w:fill="CCEEFF"/>
          </w:tcPr>
          <w:p>
            <w:pPr>
              <w:ind w:left="1040"/>
              <w:spacing w:after="0" w:line="186" w:lineRule="exact"/>
              <w:rPr>
                <w:sz w:val="20"/>
                <w:szCs w:val="20"/>
                <w:color w:val="auto"/>
              </w:rPr>
            </w:pPr>
            <w:r>
              <w:rPr>
                <w:rFonts w:ascii="Arial" w:cs="Arial" w:eastAsia="Arial" w:hAnsi="Arial"/>
                <w:sz w:val="18"/>
                <w:szCs w:val="18"/>
                <w:color w:val="auto"/>
                <w:w w:val="95"/>
              </w:rPr>
              <w:t>Preferred Stock, par value $0.01 per share, with a liquidation preference of $1,000 per</w:t>
            </w:r>
          </w:p>
        </w:tc>
        <w:tc>
          <w:tcPr>
            <w:tcW w:w="20" w:type="dxa"/>
            <w:vAlign w:val="bottom"/>
          </w:tcPr>
          <w:p>
            <w:pPr>
              <w:spacing w:after="0"/>
              <w:rPr>
                <w:sz w:val="16"/>
                <w:szCs w:val="16"/>
                <w:color w:val="auto"/>
              </w:rPr>
            </w:pPr>
          </w:p>
        </w:tc>
      </w:tr>
      <w:tr>
        <w:trPr>
          <w:trHeight w:val="225"/>
        </w:trPr>
        <w:tc>
          <w:tcPr>
            <w:tcW w:w="40" w:type="dxa"/>
            <w:vAlign w:val="bottom"/>
          </w:tcPr>
          <w:p>
            <w:pPr>
              <w:spacing w:after="0"/>
              <w:rPr>
                <w:sz w:val="19"/>
                <w:szCs w:val="19"/>
                <w:color w:val="auto"/>
              </w:rPr>
            </w:pPr>
          </w:p>
        </w:tc>
        <w:tc>
          <w:tcPr>
            <w:tcW w:w="3600" w:type="dxa"/>
            <w:vAlign w:val="bottom"/>
            <w:shd w:val="clear" w:color="auto" w:fill="CCEEFF"/>
          </w:tcPr>
          <w:p>
            <w:pPr>
              <w:spacing w:after="0"/>
              <w:rPr>
                <w:sz w:val="19"/>
                <w:szCs w:val="19"/>
                <w:color w:val="auto"/>
              </w:rPr>
            </w:pPr>
          </w:p>
        </w:tc>
        <w:tc>
          <w:tcPr>
            <w:tcW w:w="75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share</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6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SIGECO</w:t>
            </w:r>
          </w:p>
        </w:tc>
        <w:tc>
          <w:tcPr>
            <w:tcW w:w="7600" w:type="dxa"/>
            <w:vAlign w:val="bottom"/>
            <w:gridSpan w:val="2"/>
          </w:tcPr>
          <w:p>
            <w:pPr>
              <w:ind w:left="1040"/>
              <w:spacing w:after="0"/>
              <w:rPr>
                <w:sz w:val="20"/>
                <w:szCs w:val="20"/>
                <w:color w:val="auto"/>
              </w:rPr>
            </w:pPr>
            <w:r>
              <w:rPr>
                <w:rFonts w:ascii="Arial" w:cs="Arial" w:eastAsia="Arial" w:hAnsi="Arial"/>
                <w:sz w:val="18"/>
                <w:szCs w:val="18"/>
                <w:color w:val="auto"/>
                <w:w w:val="98"/>
              </w:rPr>
              <w:t>Southern Indiana Gas and Electric Company, a wholly-owned subsidiary of Vectren</w:t>
            </w:r>
          </w:p>
        </w:tc>
      </w:tr>
      <w:tr>
        <w:trPr>
          <w:trHeight w:val="227"/>
        </w:trPr>
        <w:tc>
          <w:tcPr>
            <w:tcW w:w="40" w:type="dxa"/>
            <w:vAlign w:val="bottom"/>
          </w:tcPr>
          <w:p>
            <w:pPr>
              <w:spacing w:after="0"/>
              <w:rPr>
                <w:sz w:val="19"/>
                <w:szCs w:val="19"/>
                <w:color w:val="auto"/>
              </w:rPr>
            </w:pPr>
          </w:p>
        </w:tc>
        <w:tc>
          <w:tcPr>
            <w:tcW w:w="36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SIGECO Securitization Bonds</w:t>
            </w:r>
          </w:p>
        </w:tc>
        <w:tc>
          <w:tcPr>
            <w:tcW w:w="758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92"/>
              </w:rPr>
              <w:t>SIGECO Securitization Subsidiary’s Series 2023-A Senior Secured Securitization Bonds</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6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SIGECO Securitization Subsidiary</w:t>
            </w:r>
          </w:p>
        </w:tc>
        <w:tc>
          <w:tcPr>
            <w:tcW w:w="7600" w:type="dxa"/>
            <w:vAlign w:val="bottom"/>
            <w:gridSpan w:val="2"/>
          </w:tcPr>
          <w:p>
            <w:pPr>
              <w:ind w:left="1040"/>
              <w:spacing w:after="0"/>
              <w:rPr>
                <w:sz w:val="20"/>
                <w:szCs w:val="20"/>
                <w:color w:val="auto"/>
              </w:rPr>
            </w:pPr>
            <w:r>
              <w:rPr>
                <w:rFonts w:ascii="Arial" w:cs="Arial" w:eastAsia="Arial" w:hAnsi="Arial"/>
                <w:sz w:val="18"/>
                <w:szCs w:val="18"/>
                <w:color w:val="auto"/>
              </w:rPr>
              <w:t>SIGECO Securitization I, LLC, a direct, wholly-owned subsidiary of SIGECO</w:t>
            </w:r>
          </w:p>
        </w:tc>
      </w:tr>
      <w:tr>
        <w:trPr>
          <w:trHeight w:val="227"/>
        </w:trPr>
        <w:tc>
          <w:tcPr>
            <w:tcW w:w="40" w:type="dxa"/>
            <w:vAlign w:val="bottom"/>
          </w:tcPr>
          <w:p>
            <w:pPr>
              <w:spacing w:after="0"/>
              <w:rPr>
                <w:sz w:val="19"/>
                <w:szCs w:val="19"/>
                <w:color w:val="auto"/>
              </w:rPr>
            </w:pPr>
          </w:p>
        </w:tc>
        <w:tc>
          <w:tcPr>
            <w:tcW w:w="36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SOFR</w:t>
            </w:r>
          </w:p>
        </w:tc>
        <w:tc>
          <w:tcPr>
            <w:tcW w:w="75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Secured Overnight Financing Rate</w:t>
            </w:r>
          </w:p>
        </w:tc>
        <w:tc>
          <w:tcPr>
            <w:tcW w:w="20" w:type="dxa"/>
            <w:vAlign w:val="bottom"/>
          </w:tcPr>
          <w:p>
            <w:pPr>
              <w:spacing w:after="0"/>
              <w:rPr>
                <w:sz w:val="19"/>
                <w:szCs w:val="19"/>
                <w:color w:val="auto"/>
              </w:rPr>
            </w:pPr>
          </w:p>
        </w:tc>
      </w:tr>
      <w:tr>
        <w:trPr>
          <w:trHeight w:val="174"/>
        </w:trPr>
        <w:tc>
          <w:tcPr>
            <w:tcW w:w="40" w:type="dxa"/>
            <w:vAlign w:val="bottom"/>
          </w:tcPr>
          <w:p>
            <w:pPr>
              <w:spacing w:after="0"/>
              <w:rPr>
                <w:sz w:val="15"/>
                <w:szCs w:val="15"/>
                <w:color w:val="auto"/>
              </w:rPr>
            </w:pPr>
          </w:p>
        </w:tc>
        <w:tc>
          <w:tcPr>
            <w:tcW w:w="360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Southern Col Midco</w:t>
            </w:r>
          </w:p>
        </w:tc>
        <w:tc>
          <w:tcPr>
            <w:tcW w:w="7600" w:type="dxa"/>
            <w:vAlign w:val="bottom"/>
            <w:gridSpan w:val="2"/>
          </w:tcPr>
          <w:p>
            <w:pPr>
              <w:ind w:left="1040"/>
              <w:spacing w:after="0" w:line="174" w:lineRule="exact"/>
              <w:rPr>
                <w:sz w:val="20"/>
                <w:szCs w:val="20"/>
                <w:color w:val="auto"/>
              </w:rPr>
            </w:pPr>
            <w:r>
              <w:rPr>
                <w:rFonts w:ascii="Arial" w:cs="Arial" w:eastAsia="Arial" w:hAnsi="Arial"/>
                <w:sz w:val="18"/>
                <w:szCs w:val="18"/>
                <w:color w:val="auto"/>
                <w:w w:val="92"/>
              </w:rPr>
              <w:t>Southern Col Midco, LLC, a Delaware limited liability company and an affiliate of Summit</w:t>
            </w:r>
          </w:p>
        </w:tc>
      </w:tr>
      <w:tr>
        <w:trPr>
          <w:trHeight w:val="231"/>
        </w:trPr>
        <w:tc>
          <w:tcPr>
            <w:tcW w:w="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7600" w:type="dxa"/>
            <w:vAlign w:val="bottom"/>
            <w:gridSpan w:val="2"/>
          </w:tcPr>
          <w:p>
            <w:pPr>
              <w:ind w:left="1040"/>
              <w:spacing w:after="0"/>
              <w:rPr>
                <w:sz w:val="20"/>
                <w:szCs w:val="20"/>
                <w:color w:val="auto"/>
              </w:rPr>
            </w:pPr>
            <w:r>
              <w:rPr>
                <w:rFonts w:ascii="Arial" w:cs="Arial" w:eastAsia="Arial" w:hAnsi="Arial"/>
                <w:sz w:val="18"/>
                <w:szCs w:val="18"/>
                <w:color w:val="auto"/>
              </w:rPr>
              <w:t>Utilities, Inc.</w:t>
            </w:r>
          </w:p>
        </w:tc>
      </w:tr>
      <w:tr>
        <w:trPr>
          <w:trHeight w:val="233"/>
        </w:trPr>
        <w:tc>
          <w:tcPr>
            <w:tcW w:w="40" w:type="dxa"/>
            <w:vAlign w:val="bottom"/>
          </w:tcPr>
          <w:p>
            <w:pPr>
              <w:spacing w:after="0"/>
              <w:rPr>
                <w:sz w:val="20"/>
                <w:szCs w:val="20"/>
                <w:color w:val="auto"/>
              </w:rPr>
            </w:pPr>
          </w:p>
        </w:tc>
        <w:tc>
          <w:tcPr>
            <w:tcW w:w="36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SRC</w:t>
            </w:r>
          </w:p>
        </w:tc>
        <w:tc>
          <w:tcPr>
            <w:tcW w:w="75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Sales Reconciliation Component</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6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TBD</w:t>
            </w:r>
          </w:p>
        </w:tc>
        <w:tc>
          <w:tcPr>
            <w:tcW w:w="7600" w:type="dxa"/>
            <w:vAlign w:val="bottom"/>
            <w:gridSpan w:val="2"/>
          </w:tcPr>
          <w:p>
            <w:pPr>
              <w:ind w:left="1040"/>
              <w:spacing w:after="0"/>
              <w:rPr>
                <w:sz w:val="20"/>
                <w:szCs w:val="20"/>
                <w:color w:val="auto"/>
              </w:rPr>
            </w:pPr>
            <w:r>
              <w:rPr>
                <w:rFonts w:ascii="Arial" w:cs="Arial" w:eastAsia="Arial" w:hAnsi="Arial"/>
                <w:sz w:val="18"/>
                <w:szCs w:val="18"/>
                <w:color w:val="auto"/>
              </w:rPr>
              <w:t>To be determined</w:t>
            </w:r>
          </w:p>
        </w:tc>
      </w:tr>
      <w:tr>
        <w:trPr>
          <w:trHeight w:val="227"/>
        </w:trPr>
        <w:tc>
          <w:tcPr>
            <w:tcW w:w="40" w:type="dxa"/>
            <w:vAlign w:val="bottom"/>
          </w:tcPr>
          <w:p>
            <w:pPr>
              <w:spacing w:after="0"/>
              <w:rPr>
                <w:sz w:val="19"/>
                <w:szCs w:val="19"/>
                <w:color w:val="auto"/>
              </w:rPr>
            </w:pPr>
          </w:p>
        </w:tc>
        <w:tc>
          <w:tcPr>
            <w:tcW w:w="36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TCJA</w:t>
            </w:r>
          </w:p>
        </w:tc>
        <w:tc>
          <w:tcPr>
            <w:tcW w:w="75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Tax reform legislation informally called the Tax Cuts and Jobs Act of 2017</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6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TCOS</w:t>
            </w:r>
          </w:p>
        </w:tc>
        <w:tc>
          <w:tcPr>
            <w:tcW w:w="7600" w:type="dxa"/>
            <w:vAlign w:val="bottom"/>
            <w:gridSpan w:val="2"/>
          </w:tcPr>
          <w:p>
            <w:pPr>
              <w:ind w:left="1040"/>
              <w:spacing w:after="0"/>
              <w:rPr>
                <w:sz w:val="20"/>
                <w:szCs w:val="20"/>
                <w:color w:val="auto"/>
              </w:rPr>
            </w:pPr>
            <w:r>
              <w:rPr>
                <w:rFonts w:ascii="Arial" w:cs="Arial" w:eastAsia="Arial" w:hAnsi="Arial"/>
                <w:sz w:val="18"/>
                <w:szCs w:val="18"/>
                <w:color w:val="auto"/>
              </w:rPr>
              <w:t>Transmission Cost of Service</w:t>
            </w:r>
          </w:p>
        </w:tc>
      </w:tr>
      <w:tr>
        <w:trPr>
          <w:trHeight w:val="227"/>
        </w:trPr>
        <w:tc>
          <w:tcPr>
            <w:tcW w:w="40" w:type="dxa"/>
            <w:vAlign w:val="bottom"/>
          </w:tcPr>
          <w:p>
            <w:pPr>
              <w:spacing w:after="0"/>
              <w:rPr>
                <w:sz w:val="19"/>
                <w:szCs w:val="19"/>
                <w:color w:val="auto"/>
              </w:rPr>
            </w:pPr>
          </w:p>
        </w:tc>
        <w:tc>
          <w:tcPr>
            <w:tcW w:w="36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TCRF</w:t>
            </w:r>
          </w:p>
        </w:tc>
        <w:tc>
          <w:tcPr>
            <w:tcW w:w="75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Transmission Cost Recovery Factor</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6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TDSIC</w:t>
            </w:r>
          </w:p>
        </w:tc>
        <w:tc>
          <w:tcPr>
            <w:tcW w:w="7600" w:type="dxa"/>
            <w:vAlign w:val="bottom"/>
            <w:gridSpan w:val="2"/>
          </w:tcPr>
          <w:p>
            <w:pPr>
              <w:ind w:left="1040"/>
              <w:spacing w:after="0"/>
              <w:rPr>
                <w:sz w:val="20"/>
                <w:szCs w:val="20"/>
                <w:color w:val="auto"/>
              </w:rPr>
            </w:pPr>
            <w:r>
              <w:rPr>
                <w:rFonts w:ascii="Arial" w:cs="Arial" w:eastAsia="Arial" w:hAnsi="Arial"/>
                <w:sz w:val="18"/>
                <w:szCs w:val="18"/>
                <w:color w:val="auto"/>
              </w:rPr>
              <w:t>Transmission, Distribution and Storage System Improvement Charge</w:t>
            </w:r>
          </w:p>
        </w:tc>
      </w:tr>
      <w:tr>
        <w:trPr>
          <w:trHeight w:val="227"/>
        </w:trPr>
        <w:tc>
          <w:tcPr>
            <w:tcW w:w="40" w:type="dxa"/>
            <w:vAlign w:val="bottom"/>
          </w:tcPr>
          <w:p>
            <w:pPr>
              <w:spacing w:after="0"/>
              <w:rPr>
                <w:sz w:val="19"/>
                <w:szCs w:val="19"/>
                <w:color w:val="auto"/>
              </w:rPr>
            </w:pPr>
          </w:p>
        </w:tc>
        <w:tc>
          <w:tcPr>
            <w:tcW w:w="36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TDU</w:t>
            </w:r>
          </w:p>
        </w:tc>
        <w:tc>
          <w:tcPr>
            <w:tcW w:w="75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Transmission and distribution utility</w:t>
            </w:r>
          </w:p>
        </w:tc>
        <w:tc>
          <w:tcPr>
            <w:tcW w:w="20" w:type="dxa"/>
            <w:vAlign w:val="bottom"/>
          </w:tcPr>
          <w:p>
            <w:pPr>
              <w:spacing w:after="0"/>
              <w:rPr>
                <w:sz w:val="19"/>
                <w:szCs w:val="19"/>
                <w:color w:val="auto"/>
              </w:rPr>
            </w:pPr>
          </w:p>
        </w:tc>
      </w:tr>
      <w:tr>
        <w:trPr>
          <w:trHeight w:val="174"/>
        </w:trPr>
        <w:tc>
          <w:tcPr>
            <w:tcW w:w="40" w:type="dxa"/>
            <w:vAlign w:val="bottom"/>
          </w:tcPr>
          <w:p>
            <w:pPr>
              <w:spacing w:after="0"/>
              <w:rPr>
                <w:sz w:val="15"/>
                <w:szCs w:val="15"/>
                <w:color w:val="auto"/>
              </w:rPr>
            </w:pPr>
          </w:p>
        </w:tc>
        <w:tc>
          <w:tcPr>
            <w:tcW w:w="360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TEEEF</w:t>
            </w:r>
          </w:p>
        </w:tc>
        <w:tc>
          <w:tcPr>
            <w:tcW w:w="7600" w:type="dxa"/>
            <w:vAlign w:val="bottom"/>
            <w:gridSpan w:val="2"/>
          </w:tcPr>
          <w:p>
            <w:pPr>
              <w:ind w:left="1040"/>
              <w:spacing w:after="0" w:line="174" w:lineRule="exact"/>
              <w:rPr>
                <w:sz w:val="20"/>
                <w:szCs w:val="20"/>
                <w:color w:val="auto"/>
              </w:rPr>
            </w:pPr>
            <w:r>
              <w:rPr>
                <w:rFonts w:ascii="Arial" w:cs="Arial" w:eastAsia="Arial" w:hAnsi="Arial"/>
                <w:sz w:val="18"/>
                <w:szCs w:val="18"/>
                <w:color w:val="auto"/>
                <w:w w:val="92"/>
              </w:rPr>
              <w:t>Assets leased or costs incurred as “temporary emergency electric energy facilities” under</w:t>
            </w:r>
          </w:p>
        </w:tc>
      </w:tr>
      <w:tr>
        <w:trPr>
          <w:trHeight w:val="231"/>
        </w:trPr>
        <w:tc>
          <w:tcPr>
            <w:tcW w:w="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7600" w:type="dxa"/>
            <w:vAlign w:val="bottom"/>
            <w:gridSpan w:val="2"/>
          </w:tcPr>
          <w:p>
            <w:pPr>
              <w:ind w:left="1040"/>
              <w:spacing w:after="0"/>
              <w:rPr>
                <w:sz w:val="20"/>
                <w:szCs w:val="20"/>
                <w:color w:val="auto"/>
              </w:rPr>
            </w:pPr>
            <w:r>
              <w:rPr>
                <w:rFonts w:ascii="Arial" w:cs="Arial" w:eastAsia="Arial" w:hAnsi="Arial"/>
                <w:sz w:val="18"/>
                <w:szCs w:val="18"/>
                <w:color w:val="auto"/>
                <w:w w:val="96"/>
              </w:rPr>
              <w:t>the Public Utility Regulatory Act Section 39.918, also referred to as mobile generation</w:t>
            </w:r>
          </w:p>
        </w:tc>
      </w:tr>
      <w:tr>
        <w:trPr>
          <w:trHeight w:val="181"/>
        </w:trPr>
        <w:tc>
          <w:tcPr>
            <w:tcW w:w="40" w:type="dxa"/>
            <w:vAlign w:val="bottom"/>
          </w:tcPr>
          <w:p>
            <w:pPr>
              <w:spacing w:after="0"/>
              <w:rPr>
                <w:sz w:val="15"/>
                <w:szCs w:val="15"/>
                <w:color w:val="auto"/>
              </w:rPr>
            </w:pPr>
          </w:p>
        </w:tc>
        <w:tc>
          <w:tcPr>
            <w:tcW w:w="360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b w:val="1"/>
                <w:bCs w:val="1"/>
                <w:i w:val="1"/>
                <w:iCs w:val="1"/>
                <w:color w:val="auto"/>
              </w:rPr>
              <w:t>Topic 326</w:t>
            </w:r>
          </w:p>
        </w:tc>
        <w:tc>
          <w:tcPr>
            <w:tcW w:w="7580" w:type="dxa"/>
            <w:vAlign w:val="bottom"/>
            <w:shd w:val="clear" w:color="auto" w:fill="CCEEFF"/>
          </w:tcPr>
          <w:p>
            <w:pPr>
              <w:ind w:left="1040"/>
              <w:spacing w:after="0" w:line="181" w:lineRule="exact"/>
              <w:rPr>
                <w:sz w:val="20"/>
                <w:szCs w:val="20"/>
                <w:color w:val="auto"/>
              </w:rPr>
            </w:pPr>
            <w:r>
              <w:rPr>
                <w:rFonts w:ascii="Arial" w:cs="Arial" w:eastAsia="Arial" w:hAnsi="Arial"/>
                <w:sz w:val="18"/>
                <w:szCs w:val="18"/>
                <w:color w:val="auto"/>
                <w:w w:val="90"/>
              </w:rPr>
              <w:t>Accounting Standards Update 2016-13 - Financial Instruments - Credit Losses (Topic 326):</w:t>
            </w:r>
          </w:p>
        </w:tc>
        <w:tc>
          <w:tcPr>
            <w:tcW w:w="2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3600" w:type="dxa"/>
            <w:vAlign w:val="bottom"/>
            <w:shd w:val="clear" w:color="auto" w:fill="CCEEFF"/>
          </w:tcPr>
          <w:p>
            <w:pPr>
              <w:spacing w:after="0"/>
              <w:rPr>
                <w:sz w:val="20"/>
                <w:szCs w:val="20"/>
                <w:color w:val="auto"/>
              </w:rPr>
            </w:pPr>
          </w:p>
        </w:tc>
        <w:tc>
          <w:tcPr>
            <w:tcW w:w="75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Measurement of Credit Losses on Financial Instruments</w:t>
            </w:r>
          </w:p>
        </w:tc>
        <w:tc>
          <w:tcPr>
            <w:tcW w:w="20" w:type="dxa"/>
            <w:vAlign w:val="bottom"/>
          </w:tcPr>
          <w:p>
            <w:pPr>
              <w:spacing w:after="0"/>
              <w:rPr>
                <w:sz w:val="20"/>
                <w:szCs w:val="20"/>
                <w:color w:val="auto"/>
              </w:rPr>
            </w:pPr>
          </w:p>
        </w:tc>
      </w:tr>
      <w:tr>
        <w:trPr>
          <w:trHeight w:val="174"/>
        </w:trPr>
        <w:tc>
          <w:tcPr>
            <w:tcW w:w="40" w:type="dxa"/>
            <w:vAlign w:val="bottom"/>
          </w:tcPr>
          <w:p>
            <w:pPr>
              <w:spacing w:after="0"/>
              <w:rPr>
                <w:sz w:val="15"/>
                <w:szCs w:val="15"/>
                <w:color w:val="auto"/>
              </w:rPr>
            </w:pPr>
          </w:p>
        </w:tc>
        <w:tc>
          <w:tcPr>
            <w:tcW w:w="360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Transition Services Agreement</w:t>
            </w:r>
          </w:p>
        </w:tc>
        <w:tc>
          <w:tcPr>
            <w:tcW w:w="7600" w:type="dxa"/>
            <w:vAlign w:val="bottom"/>
            <w:gridSpan w:val="2"/>
          </w:tcPr>
          <w:p>
            <w:pPr>
              <w:ind w:left="1040"/>
              <w:spacing w:after="0" w:line="174" w:lineRule="exact"/>
              <w:rPr>
                <w:sz w:val="20"/>
                <w:szCs w:val="20"/>
                <w:color w:val="auto"/>
              </w:rPr>
            </w:pPr>
            <w:r>
              <w:rPr>
                <w:rFonts w:ascii="Arial" w:cs="Arial" w:eastAsia="Arial" w:hAnsi="Arial"/>
                <w:sz w:val="18"/>
                <w:szCs w:val="18"/>
                <w:color w:val="auto"/>
                <w:w w:val="89"/>
              </w:rPr>
              <w:t>Transition Services Agreement by and between CenterPoint Energy Service Company, LLC</w:t>
            </w:r>
          </w:p>
        </w:tc>
      </w:tr>
      <w:tr>
        <w:trPr>
          <w:trHeight w:val="231"/>
        </w:trPr>
        <w:tc>
          <w:tcPr>
            <w:tcW w:w="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7600" w:type="dxa"/>
            <w:vAlign w:val="bottom"/>
            <w:gridSpan w:val="2"/>
          </w:tcPr>
          <w:p>
            <w:pPr>
              <w:ind w:left="1040"/>
              <w:spacing w:after="0"/>
              <w:rPr>
                <w:sz w:val="20"/>
                <w:szCs w:val="20"/>
                <w:color w:val="auto"/>
              </w:rPr>
            </w:pPr>
            <w:r>
              <w:rPr>
                <w:rFonts w:ascii="Arial" w:cs="Arial" w:eastAsia="Arial" w:hAnsi="Arial"/>
                <w:sz w:val="18"/>
                <w:szCs w:val="18"/>
                <w:color w:val="auto"/>
              </w:rPr>
              <w:t>and Southern Col Midco</w:t>
            </w:r>
          </w:p>
        </w:tc>
      </w:tr>
      <w:tr>
        <w:trPr>
          <w:trHeight w:val="181"/>
        </w:trPr>
        <w:tc>
          <w:tcPr>
            <w:tcW w:w="40" w:type="dxa"/>
            <w:vAlign w:val="bottom"/>
          </w:tcPr>
          <w:p>
            <w:pPr>
              <w:spacing w:after="0"/>
              <w:rPr>
                <w:sz w:val="15"/>
                <w:szCs w:val="15"/>
                <w:color w:val="auto"/>
              </w:rPr>
            </w:pPr>
          </w:p>
        </w:tc>
        <w:tc>
          <w:tcPr>
            <w:tcW w:w="360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b w:val="1"/>
                <w:bCs w:val="1"/>
                <w:i w:val="1"/>
                <w:iCs w:val="1"/>
                <w:color w:val="auto"/>
              </w:rPr>
              <w:t>Vectren</w:t>
            </w:r>
          </w:p>
        </w:tc>
        <w:tc>
          <w:tcPr>
            <w:tcW w:w="7580" w:type="dxa"/>
            <w:vAlign w:val="bottom"/>
            <w:shd w:val="clear" w:color="auto" w:fill="CCEEFF"/>
          </w:tcPr>
          <w:p>
            <w:pPr>
              <w:ind w:left="1040"/>
              <w:spacing w:after="0" w:line="181" w:lineRule="exact"/>
              <w:rPr>
                <w:sz w:val="20"/>
                <w:szCs w:val="20"/>
                <w:color w:val="auto"/>
              </w:rPr>
            </w:pPr>
            <w:r>
              <w:rPr>
                <w:rFonts w:ascii="Arial" w:cs="Arial" w:eastAsia="Arial" w:hAnsi="Arial"/>
                <w:sz w:val="18"/>
                <w:szCs w:val="18"/>
                <w:color w:val="auto"/>
                <w:w w:val="97"/>
              </w:rPr>
              <w:t>Vectren, LLC, which converted its corporate structure from Vectren Corporation to a</w:t>
            </w:r>
          </w:p>
        </w:tc>
        <w:tc>
          <w:tcPr>
            <w:tcW w:w="20" w:type="dxa"/>
            <w:vAlign w:val="bottom"/>
          </w:tcPr>
          <w:p>
            <w:pPr>
              <w:spacing w:after="0"/>
              <w:rPr>
                <w:sz w:val="15"/>
                <w:szCs w:val="15"/>
                <w:color w:val="auto"/>
              </w:rPr>
            </w:pPr>
          </w:p>
        </w:tc>
      </w:tr>
      <w:tr>
        <w:trPr>
          <w:trHeight w:val="186"/>
        </w:trPr>
        <w:tc>
          <w:tcPr>
            <w:tcW w:w="40" w:type="dxa"/>
            <w:vAlign w:val="bottom"/>
          </w:tcPr>
          <w:p>
            <w:pPr>
              <w:spacing w:after="0"/>
              <w:rPr>
                <w:sz w:val="16"/>
                <w:szCs w:val="16"/>
                <w:color w:val="auto"/>
              </w:rPr>
            </w:pPr>
          </w:p>
        </w:tc>
        <w:tc>
          <w:tcPr>
            <w:tcW w:w="3600" w:type="dxa"/>
            <w:vAlign w:val="bottom"/>
            <w:shd w:val="clear" w:color="auto" w:fill="CCEEFF"/>
          </w:tcPr>
          <w:p>
            <w:pPr>
              <w:spacing w:after="0"/>
              <w:rPr>
                <w:sz w:val="16"/>
                <w:szCs w:val="16"/>
                <w:color w:val="auto"/>
              </w:rPr>
            </w:pPr>
          </w:p>
        </w:tc>
        <w:tc>
          <w:tcPr>
            <w:tcW w:w="7580" w:type="dxa"/>
            <w:vAlign w:val="bottom"/>
            <w:shd w:val="clear" w:color="auto" w:fill="CCEEFF"/>
          </w:tcPr>
          <w:p>
            <w:pPr>
              <w:ind w:left="1040"/>
              <w:spacing w:after="0" w:line="186" w:lineRule="exact"/>
              <w:rPr>
                <w:sz w:val="20"/>
                <w:szCs w:val="20"/>
                <w:color w:val="auto"/>
              </w:rPr>
            </w:pPr>
            <w:r>
              <w:rPr>
                <w:rFonts w:ascii="Arial" w:cs="Arial" w:eastAsia="Arial" w:hAnsi="Arial"/>
                <w:sz w:val="18"/>
                <w:szCs w:val="18"/>
                <w:color w:val="auto"/>
                <w:w w:val="96"/>
              </w:rPr>
              <w:t>limited liability company on June 30, 2022, a wholly-owned subsidiary of CenterPoint</w:t>
            </w:r>
          </w:p>
        </w:tc>
        <w:tc>
          <w:tcPr>
            <w:tcW w:w="20" w:type="dxa"/>
            <w:vAlign w:val="bottom"/>
          </w:tcPr>
          <w:p>
            <w:pPr>
              <w:spacing w:after="0"/>
              <w:rPr>
                <w:sz w:val="16"/>
                <w:szCs w:val="16"/>
                <w:color w:val="auto"/>
              </w:rPr>
            </w:pPr>
          </w:p>
        </w:tc>
      </w:tr>
      <w:tr>
        <w:trPr>
          <w:trHeight w:val="225"/>
        </w:trPr>
        <w:tc>
          <w:tcPr>
            <w:tcW w:w="40" w:type="dxa"/>
            <w:vAlign w:val="bottom"/>
          </w:tcPr>
          <w:p>
            <w:pPr>
              <w:spacing w:after="0"/>
              <w:rPr>
                <w:sz w:val="19"/>
                <w:szCs w:val="19"/>
                <w:color w:val="auto"/>
              </w:rPr>
            </w:pPr>
          </w:p>
        </w:tc>
        <w:tc>
          <w:tcPr>
            <w:tcW w:w="3600" w:type="dxa"/>
            <w:vAlign w:val="bottom"/>
            <w:shd w:val="clear" w:color="auto" w:fill="CCEEFF"/>
          </w:tcPr>
          <w:p>
            <w:pPr>
              <w:spacing w:after="0"/>
              <w:rPr>
                <w:sz w:val="19"/>
                <w:szCs w:val="19"/>
                <w:color w:val="auto"/>
              </w:rPr>
            </w:pPr>
          </w:p>
        </w:tc>
        <w:tc>
          <w:tcPr>
            <w:tcW w:w="75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Energy as of February 1, 2019</w:t>
            </w:r>
          </w:p>
        </w:tc>
        <w:tc>
          <w:tcPr>
            <w:tcW w:w="20" w:type="dxa"/>
            <w:vAlign w:val="bottom"/>
          </w:tcPr>
          <w:p>
            <w:pPr>
              <w:spacing w:after="0"/>
              <w:rPr>
                <w:sz w:val="19"/>
                <w:szCs w:val="19"/>
                <w:color w:val="auto"/>
              </w:rPr>
            </w:pPr>
          </w:p>
        </w:tc>
      </w:tr>
      <w:tr>
        <w:trPr>
          <w:trHeight w:val="174"/>
        </w:trPr>
        <w:tc>
          <w:tcPr>
            <w:tcW w:w="40" w:type="dxa"/>
            <w:vAlign w:val="bottom"/>
          </w:tcPr>
          <w:p>
            <w:pPr>
              <w:spacing w:after="0"/>
              <w:rPr>
                <w:sz w:val="15"/>
                <w:szCs w:val="15"/>
                <w:color w:val="auto"/>
              </w:rPr>
            </w:pPr>
          </w:p>
        </w:tc>
        <w:tc>
          <w:tcPr>
            <w:tcW w:w="360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Vectren Energy Services</w:t>
            </w:r>
          </w:p>
        </w:tc>
        <w:tc>
          <w:tcPr>
            <w:tcW w:w="7600" w:type="dxa"/>
            <w:vAlign w:val="bottom"/>
            <w:gridSpan w:val="2"/>
          </w:tcPr>
          <w:p>
            <w:pPr>
              <w:ind w:left="1040"/>
              <w:spacing w:after="0" w:line="174" w:lineRule="exact"/>
              <w:rPr>
                <w:sz w:val="20"/>
                <w:szCs w:val="20"/>
                <w:color w:val="auto"/>
              </w:rPr>
            </w:pPr>
            <w:r>
              <w:rPr>
                <w:rFonts w:ascii="Arial" w:cs="Arial" w:eastAsia="Arial" w:hAnsi="Arial"/>
                <w:sz w:val="18"/>
                <w:szCs w:val="18"/>
                <w:color w:val="auto"/>
              </w:rPr>
              <w:t>Vectren Energy Services Corporation, an Indiana corporation and a wholly-owned</w:t>
            </w:r>
          </w:p>
        </w:tc>
      </w:tr>
      <w:tr>
        <w:trPr>
          <w:trHeight w:val="231"/>
        </w:trPr>
        <w:tc>
          <w:tcPr>
            <w:tcW w:w="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7600" w:type="dxa"/>
            <w:vAlign w:val="bottom"/>
            <w:gridSpan w:val="2"/>
          </w:tcPr>
          <w:p>
            <w:pPr>
              <w:ind w:left="1040"/>
              <w:spacing w:after="0"/>
              <w:rPr>
                <w:sz w:val="20"/>
                <w:szCs w:val="20"/>
                <w:color w:val="auto"/>
              </w:rPr>
            </w:pPr>
            <w:r>
              <w:rPr>
                <w:rFonts w:ascii="Arial" w:cs="Arial" w:eastAsia="Arial" w:hAnsi="Arial"/>
                <w:sz w:val="18"/>
                <w:szCs w:val="18"/>
                <w:color w:val="auto"/>
              </w:rPr>
              <w:t>subsidiary of CenterPoint Energy</w:t>
            </w:r>
          </w:p>
        </w:tc>
      </w:tr>
      <w:tr>
        <w:trPr>
          <w:trHeight w:val="181"/>
        </w:trPr>
        <w:tc>
          <w:tcPr>
            <w:tcW w:w="40" w:type="dxa"/>
            <w:vAlign w:val="bottom"/>
          </w:tcPr>
          <w:p>
            <w:pPr>
              <w:spacing w:after="0"/>
              <w:rPr>
                <w:sz w:val="15"/>
                <w:szCs w:val="15"/>
                <w:color w:val="auto"/>
              </w:rPr>
            </w:pPr>
          </w:p>
        </w:tc>
        <w:tc>
          <w:tcPr>
            <w:tcW w:w="360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b w:val="1"/>
                <w:bCs w:val="1"/>
                <w:i w:val="1"/>
                <w:iCs w:val="1"/>
                <w:color w:val="auto"/>
              </w:rPr>
              <w:t>VEDO</w:t>
            </w:r>
          </w:p>
        </w:tc>
        <w:tc>
          <w:tcPr>
            <w:tcW w:w="7580" w:type="dxa"/>
            <w:vAlign w:val="bottom"/>
            <w:shd w:val="clear" w:color="auto" w:fill="CCEEFF"/>
          </w:tcPr>
          <w:p>
            <w:pPr>
              <w:ind w:left="1040"/>
              <w:spacing w:after="0" w:line="181" w:lineRule="exact"/>
              <w:rPr>
                <w:sz w:val="20"/>
                <w:szCs w:val="20"/>
                <w:color w:val="auto"/>
              </w:rPr>
            </w:pPr>
            <w:r>
              <w:rPr>
                <w:rFonts w:ascii="Arial" w:cs="Arial" w:eastAsia="Arial" w:hAnsi="Arial"/>
                <w:sz w:val="18"/>
                <w:szCs w:val="18"/>
                <w:color w:val="auto"/>
                <w:w w:val="98"/>
              </w:rPr>
              <w:t>Vectren Energy Delivery of Ohio, LLC, which converted its corporate structure from</w:t>
            </w:r>
          </w:p>
        </w:tc>
        <w:tc>
          <w:tcPr>
            <w:tcW w:w="20" w:type="dxa"/>
            <w:vAlign w:val="bottom"/>
          </w:tcPr>
          <w:p>
            <w:pPr>
              <w:spacing w:after="0"/>
              <w:rPr>
                <w:sz w:val="15"/>
                <w:szCs w:val="15"/>
                <w:color w:val="auto"/>
              </w:rPr>
            </w:pPr>
          </w:p>
        </w:tc>
      </w:tr>
      <w:tr>
        <w:trPr>
          <w:trHeight w:val="186"/>
        </w:trPr>
        <w:tc>
          <w:tcPr>
            <w:tcW w:w="40" w:type="dxa"/>
            <w:vAlign w:val="bottom"/>
          </w:tcPr>
          <w:p>
            <w:pPr>
              <w:spacing w:after="0"/>
              <w:rPr>
                <w:sz w:val="16"/>
                <w:szCs w:val="16"/>
                <w:color w:val="auto"/>
              </w:rPr>
            </w:pPr>
          </w:p>
        </w:tc>
        <w:tc>
          <w:tcPr>
            <w:tcW w:w="3600" w:type="dxa"/>
            <w:vAlign w:val="bottom"/>
            <w:shd w:val="clear" w:color="auto" w:fill="CCEEFF"/>
          </w:tcPr>
          <w:p>
            <w:pPr>
              <w:spacing w:after="0"/>
              <w:rPr>
                <w:sz w:val="16"/>
                <w:szCs w:val="16"/>
                <w:color w:val="auto"/>
              </w:rPr>
            </w:pPr>
          </w:p>
        </w:tc>
        <w:tc>
          <w:tcPr>
            <w:tcW w:w="7580" w:type="dxa"/>
            <w:vAlign w:val="bottom"/>
            <w:shd w:val="clear" w:color="auto" w:fill="CCEEFF"/>
          </w:tcPr>
          <w:p>
            <w:pPr>
              <w:ind w:left="1040"/>
              <w:spacing w:after="0" w:line="186" w:lineRule="exact"/>
              <w:rPr>
                <w:sz w:val="20"/>
                <w:szCs w:val="20"/>
                <w:color w:val="auto"/>
              </w:rPr>
            </w:pPr>
            <w:r>
              <w:rPr>
                <w:rFonts w:ascii="Arial" w:cs="Arial" w:eastAsia="Arial" w:hAnsi="Arial"/>
                <w:sz w:val="18"/>
                <w:szCs w:val="18"/>
                <w:color w:val="auto"/>
                <w:w w:val="96"/>
              </w:rPr>
              <w:t>Vectren Energy Delivery of Ohio, Inc. to a limited liability company on June 13, 2022,</w:t>
            </w:r>
          </w:p>
        </w:tc>
        <w:tc>
          <w:tcPr>
            <w:tcW w:w="20" w:type="dxa"/>
            <w:vAlign w:val="bottom"/>
          </w:tcPr>
          <w:p>
            <w:pPr>
              <w:spacing w:after="0"/>
              <w:rPr>
                <w:sz w:val="16"/>
                <w:szCs w:val="16"/>
                <w:color w:val="auto"/>
              </w:rPr>
            </w:pPr>
          </w:p>
        </w:tc>
      </w:tr>
      <w:tr>
        <w:trPr>
          <w:trHeight w:val="225"/>
        </w:trPr>
        <w:tc>
          <w:tcPr>
            <w:tcW w:w="40" w:type="dxa"/>
            <w:vAlign w:val="bottom"/>
          </w:tcPr>
          <w:p>
            <w:pPr>
              <w:spacing w:after="0"/>
              <w:rPr>
                <w:sz w:val="19"/>
                <w:szCs w:val="19"/>
                <w:color w:val="auto"/>
              </w:rPr>
            </w:pPr>
          </w:p>
        </w:tc>
        <w:tc>
          <w:tcPr>
            <w:tcW w:w="3600" w:type="dxa"/>
            <w:vAlign w:val="bottom"/>
            <w:shd w:val="clear" w:color="auto" w:fill="CCEEFF"/>
          </w:tcPr>
          <w:p>
            <w:pPr>
              <w:spacing w:after="0"/>
              <w:rPr>
                <w:sz w:val="19"/>
                <w:szCs w:val="19"/>
                <w:color w:val="auto"/>
              </w:rPr>
            </w:pPr>
          </w:p>
        </w:tc>
        <w:tc>
          <w:tcPr>
            <w:tcW w:w="758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97"/>
              </w:rPr>
              <w:t>formerly a wholly-owned subsidiary of Vectren, acquired by CERC on June 30, 2022</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6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VIE</w:t>
            </w:r>
          </w:p>
        </w:tc>
        <w:tc>
          <w:tcPr>
            <w:tcW w:w="7600" w:type="dxa"/>
            <w:vAlign w:val="bottom"/>
            <w:gridSpan w:val="2"/>
          </w:tcPr>
          <w:p>
            <w:pPr>
              <w:ind w:left="1040"/>
              <w:spacing w:after="0"/>
              <w:rPr>
                <w:sz w:val="20"/>
                <w:szCs w:val="20"/>
                <w:color w:val="auto"/>
              </w:rPr>
            </w:pPr>
            <w:r>
              <w:rPr>
                <w:rFonts w:ascii="Arial" w:cs="Arial" w:eastAsia="Arial" w:hAnsi="Arial"/>
                <w:sz w:val="18"/>
                <w:szCs w:val="18"/>
                <w:color w:val="auto"/>
              </w:rPr>
              <w:t>Variable interest entity</w:t>
            </w:r>
          </w:p>
        </w:tc>
      </w:tr>
      <w:tr>
        <w:trPr>
          <w:trHeight w:val="174"/>
        </w:trPr>
        <w:tc>
          <w:tcPr>
            <w:tcW w:w="40" w:type="dxa"/>
            <w:vAlign w:val="bottom"/>
          </w:tcPr>
          <w:p>
            <w:pPr>
              <w:spacing w:after="0"/>
              <w:rPr>
                <w:sz w:val="15"/>
                <w:szCs w:val="15"/>
                <w:color w:val="auto"/>
              </w:rPr>
            </w:pPr>
          </w:p>
        </w:tc>
        <w:tc>
          <w:tcPr>
            <w:tcW w:w="360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b w:val="1"/>
                <w:bCs w:val="1"/>
                <w:i w:val="1"/>
                <w:iCs w:val="1"/>
                <w:color w:val="auto"/>
              </w:rPr>
              <w:t>Vistra Energy Corp.</w:t>
            </w:r>
          </w:p>
        </w:tc>
        <w:tc>
          <w:tcPr>
            <w:tcW w:w="7580" w:type="dxa"/>
            <w:vAlign w:val="bottom"/>
            <w:shd w:val="clear" w:color="auto" w:fill="CCEEFF"/>
          </w:tcPr>
          <w:p>
            <w:pPr>
              <w:ind w:left="1040"/>
              <w:spacing w:after="0" w:line="175" w:lineRule="exact"/>
              <w:rPr>
                <w:sz w:val="20"/>
                <w:szCs w:val="20"/>
                <w:color w:val="auto"/>
              </w:rPr>
            </w:pPr>
            <w:r>
              <w:rPr>
                <w:rFonts w:ascii="Arial" w:cs="Arial" w:eastAsia="Arial" w:hAnsi="Arial"/>
                <w:sz w:val="18"/>
                <w:szCs w:val="18"/>
                <w:color w:val="auto"/>
                <w:w w:val="93"/>
              </w:rPr>
              <w:t>Texas-based energy company focused on the competitive energy and power generation</w:t>
            </w:r>
          </w:p>
        </w:tc>
        <w:tc>
          <w:tcPr>
            <w:tcW w:w="2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3600" w:type="dxa"/>
            <w:vAlign w:val="bottom"/>
            <w:shd w:val="clear" w:color="auto" w:fill="CCEEFF"/>
          </w:tcPr>
          <w:p>
            <w:pPr>
              <w:spacing w:after="0"/>
              <w:rPr>
                <w:sz w:val="20"/>
                <w:szCs w:val="20"/>
                <w:color w:val="auto"/>
              </w:rPr>
            </w:pPr>
          </w:p>
        </w:tc>
        <w:tc>
          <w:tcPr>
            <w:tcW w:w="75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markets</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6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VRP</w:t>
            </w:r>
          </w:p>
        </w:tc>
        <w:tc>
          <w:tcPr>
            <w:tcW w:w="7600" w:type="dxa"/>
            <w:vAlign w:val="bottom"/>
            <w:gridSpan w:val="2"/>
          </w:tcPr>
          <w:p>
            <w:pPr>
              <w:ind w:left="1040"/>
              <w:spacing w:after="0"/>
              <w:rPr>
                <w:sz w:val="20"/>
                <w:szCs w:val="20"/>
                <w:color w:val="auto"/>
              </w:rPr>
            </w:pPr>
            <w:r>
              <w:rPr>
                <w:rFonts w:ascii="Arial" w:cs="Arial" w:eastAsia="Arial" w:hAnsi="Arial"/>
                <w:sz w:val="18"/>
                <w:szCs w:val="18"/>
                <w:color w:val="auto"/>
              </w:rPr>
              <w:t>Voluntary Remediation Program</w:t>
            </w:r>
          </w:p>
        </w:tc>
      </w:tr>
      <w:tr>
        <w:trPr>
          <w:trHeight w:val="174"/>
        </w:trPr>
        <w:tc>
          <w:tcPr>
            <w:tcW w:w="40" w:type="dxa"/>
            <w:vAlign w:val="bottom"/>
          </w:tcPr>
          <w:p>
            <w:pPr>
              <w:spacing w:after="0"/>
              <w:rPr>
                <w:sz w:val="15"/>
                <w:szCs w:val="15"/>
                <w:color w:val="auto"/>
              </w:rPr>
            </w:pPr>
          </w:p>
        </w:tc>
        <w:tc>
          <w:tcPr>
            <w:tcW w:w="360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b w:val="1"/>
                <w:bCs w:val="1"/>
                <w:i w:val="1"/>
                <w:iCs w:val="1"/>
                <w:color w:val="auto"/>
              </w:rPr>
              <w:t>VUH</w:t>
            </w:r>
          </w:p>
        </w:tc>
        <w:tc>
          <w:tcPr>
            <w:tcW w:w="7580" w:type="dxa"/>
            <w:vAlign w:val="bottom"/>
            <w:shd w:val="clear" w:color="auto" w:fill="CCEEFF"/>
          </w:tcPr>
          <w:p>
            <w:pPr>
              <w:ind w:left="1040"/>
              <w:spacing w:after="0" w:line="175" w:lineRule="exact"/>
              <w:rPr>
                <w:sz w:val="20"/>
                <w:szCs w:val="20"/>
                <w:color w:val="auto"/>
              </w:rPr>
            </w:pPr>
            <w:r>
              <w:rPr>
                <w:rFonts w:ascii="Arial" w:cs="Arial" w:eastAsia="Arial" w:hAnsi="Arial"/>
                <w:sz w:val="18"/>
                <w:szCs w:val="18"/>
                <w:color w:val="auto"/>
                <w:w w:val="92"/>
              </w:rPr>
              <w:t>Vectren Utility Holdings, LLC, which converted its corporate structure from Vectren Utility</w:t>
            </w:r>
          </w:p>
        </w:tc>
        <w:tc>
          <w:tcPr>
            <w:tcW w:w="20" w:type="dxa"/>
            <w:vAlign w:val="bottom"/>
          </w:tcPr>
          <w:p>
            <w:pPr>
              <w:spacing w:after="0"/>
              <w:rPr>
                <w:sz w:val="15"/>
                <w:szCs w:val="15"/>
                <w:color w:val="auto"/>
              </w:rPr>
            </w:pPr>
          </w:p>
        </w:tc>
      </w:tr>
      <w:tr>
        <w:trPr>
          <w:trHeight w:val="186"/>
        </w:trPr>
        <w:tc>
          <w:tcPr>
            <w:tcW w:w="40" w:type="dxa"/>
            <w:vAlign w:val="bottom"/>
          </w:tcPr>
          <w:p>
            <w:pPr>
              <w:spacing w:after="0"/>
              <w:rPr>
                <w:sz w:val="16"/>
                <w:szCs w:val="16"/>
                <w:color w:val="auto"/>
              </w:rPr>
            </w:pPr>
          </w:p>
        </w:tc>
        <w:tc>
          <w:tcPr>
            <w:tcW w:w="3600" w:type="dxa"/>
            <w:vAlign w:val="bottom"/>
            <w:shd w:val="clear" w:color="auto" w:fill="CCEEFF"/>
          </w:tcPr>
          <w:p>
            <w:pPr>
              <w:spacing w:after="0"/>
              <w:rPr>
                <w:sz w:val="16"/>
                <w:szCs w:val="16"/>
                <w:color w:val="auto"/>
              </w:rPr>
            </w:pPr>
          </w:p>
        </w:tc>
        <w:tc>
          <w:tcPr>
            <w:tcW w:w="7580" w:type="dxa"/>
            <w:vAlign w:val="bottom"/>
            <w:shd w:val="clear" w:color="auto" w:fill="CCEEFF"/>
          </w:tcPr>
          <w:p>
            <w:pPr>
              <w:ind w:left="1040"/>
              <w:spacing w:after="0" w:line="186" w:lineRule="exact"/>
              <w:rPr>
                <w:sz w:val="20"/>
                <w:szCs w:val="20"/>
                <w:color w:val="auto"/>
              </w:rPr>
            </w:pPr>
            <w:r>
              <w:rPr>
                <w:rFonts w:ascii="Arial" w:cs="Arial" w:eastAsia="Arial" w:hAnsi="Arial"/>
                <w:sz w:val="18"/>
                <w:szCs w:val="18"/>
                <w:color w:val="auto"/>
                <w:w w:val="92"/>
              </w:rPr>
              <w:t>Holdings, Inc. to a limited liability company on June 30, 2022, a wholly-owned subsidiary</w:t>
            </w:r>
          </w:p>
        </w:tc>
        <w:tc>
          <w:tcPr>
            <w:tcW w:w="20" w:type="dxa"/>
            <w:vAlign w:val="bottom"/>
          </w:tcPr>
          <w:p>
            <w:pPr>
              <w:spacing w:after="0"/>
              <w:rPr>
                <w:sz w:val="16"/>
                <w:szCs w:val="16"/>
                <w:color w:val="auto"/>
              </w:rPr>
            </w:pPr>
          </w:p>
        </w:tc>
      </w:tr>
      <w:tr>
        <w:trPr>
          <w:trHeight w:val="225"/>
        </w:trPr>
        <w:tc>
          <w:tcPr>
            <w:tcW w:w="40" w:type="dxa"/>
            <w:vAlign w:val="bottom"/>
          </w:tcPr>
          <w:p>
            <w:pPr>
              <w:spacing w:after="0"/>
              <w:rPr>
                <w:sz w:val="19"/>
                <w:szCs w:val="19"/>
                <w:color w:val="auto"/>
              </w:rPr>
            </w:pPr>
          </w:p>
        </w:tc>
        <w:tc>
          <w:tcPr>
            <w:tcW w:w="3600" w:type="dxa"/>
            <w:vAlign w:val="bottom"/>
            <w:shd w:val="clear" w:color="auto" w:fill="CCEEFF"/>
          </w:tcPr>
          <w:p>
            <w:pPr>
              <w:spacing w:after="0"/>
              <w:rPr>
                <w:sz w:val="19"/>
                <w:szCs w:val="19"/>
                <w:color w:val="auto"/>
              </w:rPr>
            </w:pPr>
          </w:p>
        </w:tc>
        <w:tc>
          <w:tcPr>
            <w:tcW w:w="75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of Vectren</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6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WBD Common</w:t>
            </w:r>
          </w:p>
        </w:tc>
        <w:tc>
          <w:tcPr>
            <w:tcW w:w="7600" w:type="dxa"/>
            <w:vAlign w:val="bottom"/>
            <w:gridSpan w:val="2"/>
          </w:tcPr>
          <w:p>
            <w:pPr>
              <w:ind w:left="1040"/>
              <w:spacing w:after="0"/>
              <w:rPr>
                <w:sz w:val="20"/>
                <w:szCs w:val="20"/>
                <w:color w:val="auto"/>
              </w:rPr>
            </w:pPr>
            <w:r>
              <w:rPr>
                <w:rFonts w:ascii="Arial" w:cs="Arial" w:eastAsia="Arial" w:hAnsi="Arial"/>
                <w:sz w:val="18"/>
                <w:szCs w:val="18"/>
                <w:color w:val="auto"/>
              </w:rPr>
              <w:t>Warner Bros. Discovery, Inc. Series A common stock</w:t>
            </w:r>
          </w:p>
        </w:tc>
      </w:tr>
      <w:tr>
        <w:trPr>
          <w:trHeight w:val="174"/>
        </w:trPr>
        <w:tc>
          <w:tcPr>
            <w:tcW w:w="40" w:type="dxa"/>
            <w:vAlign w:val="bottom"/>
          </w:tcPr>
          <w:p>
            <w:pPr>
              <w:spacing w:after="0"/>
              <w:rPr>
                <w:sz w:val="15"/>
                <w:szCs w:val="15"/>
                <w:color w:val="auto"/>
              </w:rPr>
            </w:pPr>
          </w:p>
        </w:tc>
        <w:tc>
          <w:tcPr>
            <w:tcW w:w="360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b w:val="1"/>
                <w:bCs w:val="1"/>
                <w:i w:val="1"/>
                <w:iCs w:val="1"/>
                <w:color w:val="auto"/>
              </w:rPr>
              <w:t>Winter Storm Elliott</w:t>
            </w:r>
          </w:p>
        </w:tc>
        <w:tc>
          <w:tcPr>
            <w:tcW w:w="7580" w:type="dxa"/>
            <w:vAlign w:val="bottom"/>
            <w:shd w:val="clear" w:color="auto" w:fill="CCEEFF"/>
          </w:tcPr>
          <w:p>
            <w:pPr>
              <w:ind w:left="1040"/>
              <w:spacing w:after="0" w:line="175" w:lineRule="exact"/>
              <w:rPr>
                <w:sz w:val="20"/>
                <w:szCs w:val="20"/>
                <w:color w:val="auto"/>
              </w:rPr>
            </w:pPr>
            <w:r>
              <w:rPr>
                <w:rFonts w:ascii="Arial" w:cs="Arial" w:eastAsia="Arial" w:hAnsi="Arial"/>
                <w:sz w:val="18"/>
                <w:szCs w:val="18"/>
                <w:color w:val="auto"/>
                <w:w w:val="97"/>
              </w:rPr>
              <w:t>From December 21 to 26, 2022, a historic extratropical cyclone created winter storm</w:t>
            </w:r>
          </w:p>
        </w:tc>
        <w:tc>
          <w:tcPr>
            <w:tcW w:w="20" w:type="dxa"/>
            <w:vAlign w:val="bottom"/>
          </w:tcPr>
          <w:p>
            <w:pPr>
              <w:spacing w:after="0"/>
              <w:rPr>
                <w:sz w:val="15"/>
                <w:szCs w:val="15"/>
                <w:color w:val="auto"/>
              </w:rPr>
            </w:pPr>
          </w:p>
        </w:tc>
      </w:tr>
      <w:tr>
        <w:trPr>
          <w:trHeight w:val="186"/>
        </w:trPr>
        <w:tc>
          <w:tcPr>
            <w:tcW w:w="40" w:type="dxa"/>
            <w:vAlign w:val="bottom"/>
          </w:tcPr>
          <w:p>
            <w:pPr>
              <w:spacing w:after="0"/>
              <w:rPr>
                <w:sz w:val="16"/>
                <w:szCs w:val="16"/>
                <w:color w:val="auto"/>
              </w:rPr>
            </w:pPr>
          </w:p>
        </w:tc>
        <w:tc>
          <w:tcPr>
            <w:tcW w:w="3600" w:type="dxa"/>
            <w:vAlign w:val="bottom"/>
            <w:shd w:val="clear" w:color="auto" w:fill="CCEEFF"/>
          </w:tcPr>
          <w:p>
            <w:pPr>
              <w:spacing w:after="0"/>
              <w:rPr>
                <w:sz w:val="16"/>
                <w:szCs w:val="16"/>
                <w:color w:val="auto"/>
              </w:rPr>
            </w:pPr>
          </w:p>
        </w:tc>
        <w:tc>
          <w:tcPr>
            <w:tcW w:w="7580" w:type="dxa"/>
            <w:vAlign w:val="bottom"/>
            <w:shd w:val="clear" w:color="auto" w:fill="CCEEFF"/>
          </w:tcPr>
          <w:p>
            <w:pPr>
              <w:ind w:left="1040"/>
              <w:spacing w:after="0" w:line="186" w:lineRule="exact"/>
              <w:rPr>
                <w:sz w:val="20"/>
                <w:szCs w:val="20"/>
                <w:color w:val="auto"/>
              </w:rPr>
            </w:pPr>
            <w:r>
              <w:rPr>
                <w:rFonts w:ascii="Arial" w:cs="Arial" w:eastAsia="Arial" w:hAnsi="Arial"/>
                <w:sz w:val="18"/>
                <w:szCs w:val="18"/>
                <w:color w:val="auto"/>
                <w:w w:val="92"/>
              </w:rPr>
              <w:t>conditions, including blizzards, high winds, snowfall and record cold temperatures across</w:t>
            </w:r>
          </w:p>
        </w:tc>
        <w:tc>
          <w:tcPr>
            <w:tcW w:w="20" w:type="dxa"/>
            <w:vAlign w:val="bottom"/>
          </w:tcPr>
          <w:p>
            <w:pPr>
              <w:spacing w:after="0"/>
              <w:rPr>
                <w:sz w:val="16"/>
                <w:szCs w:val="16"/>
                <w:color w:val="auto"/>
              </w:rPr>
            </w:pPr>
          </w:p>
        </w:tc>
      </w:tr>
      <w:tr>
        <w:trPr>
          <w:trHeight w:val="225"/>
        </w:trPr>
        <w:tc>
          <w:tcPr>
            <w:tcW w:w="40" w:type="dxa"/>
            <w:vAlign w:val="bottom"/>
          </w:tcPr>
          <w:p>
            <w:pPr>
              <w:spacing w:after="0"/>
              <w:rPr>
                <w:sz w:val="19"/>
                <w:szCs w:val="19"/>
                <w:color w:val="auto"/>
              </w:rPr>
            </w:pPr>
          </w:p>
        </w:tc>
        <w:tc>
          <w:tcPr>
            <w:tcW w:w="3600" w:type="dxa"/>
            <w:vAlign w:val="bottom"/>
            <w:shd w:val="clear" w:color="auto" w:fill="CCEEFF"/>
          </w:tcPr>
          <w:p>
            <w:pPr>
              <w:spacing w:after="0"/>
              <w:rPr>
                <w:sz w:val="19"/>
                <w:szCs w:val="19"/>
                <w:color w:val="auto"/>
              </w:rPr>
            </w:pPr>
          </w:p>
        </w:tc>
        <w:tc>
          <w:tcPr>
            <w:tcW w:w="75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the majority of the United States and parts of Canada</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6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ZENS</w:t>
            </w:r>
          </w:p>
        </w:tc>
        <w:tc>
          <w:tcPr>
            <w:tcW w:w="7600" w:type="dxa"/>
            <w:vAlign w:val="bottom"/>
            <w:gridSpan w:val="2"/>
          </w:tcPr>
          <w:p>
            <w:pPr>
              <w:ind w:left="1040"/>
              <w:spacing w:after="0"/>
              <w:rPr>
                <w:sz w:val="20"/>
                <w:szCs w:val="20"/>
                <w:color w:val="auto"/>
              </w:rPr>
            </w:pPr>
            <w:r>
              <w:rPr>
                <w:rFonts w:ascii="Arial" w:cs="Arial" w:eastAsia="Arial" w:hAnsi="Arial"/>
                <w:sz w:val="18"/>
                <w:szCs w:val="18"/>
                <w:color w:val="auto"/>
              </w:rPr>
              <w:t>2.0% Zero-Premium Exchangeable Subordinated Notes due 2029</w:t>
            </w:r>
          </w:p>
        </w:tc>
      </w:tr>
      <w:tr>
        <w:trPr>
          <w:trHeight w:val="731"/>
        </w:trPr>
        <w:tc>
          <w:tcPr>
            <w:tcW w:w="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7600" w:type="dxa"/>
            <w:vAlign w:val="bottom"/>
            <w:gridSpan w:val="2"/>
          </w:tcPr>
          <w:p>
            <w:pPr>
              <w:ind w:left="1940"/>
              <w:spacing w:after="0"/>
              <w:rPr>
                <w:sz w:val="20"/>
                <w:szCs w:val="20"/>
                <w:color w:val="auto"/>
              </w:rPr>
            </w:pPr>
            <w:r>
              <w:rPr>
                <w:rFonts w:ascii="Arial" w:cs="Arial" w:eastAsia="Arial" w:hAnsi="Arial"/>
                <w:sz w:val="18"/>
                <w:szCs w:val="18"/>
                <w:color w:val="auto"/>
              </w:rPr>
              <w:t>v</w:t>
            </w:r>
          </w:p>
        </w:tc>
      </w:tr>
      <w:tr>
        <w:trPr>
          <w:trHeight w:val="114"/>
        </w:trPr>
        <w:tc>
          <w:tcPr>
            <w:tcW w:w="40" w:type="dxa"/>
            <w:vAlign w:val="bottom"/>
            <w:tcBorders>
              <w:bottom w:val="single" w:sz="8" w:color="9A9A9A"/>
            </w:tcBorders>
          </w:tcPr>
          <w:p>
            <w:pPr>
              <w:spacing w:after="0"/>
              <w:rPr>
                <w:sz w:val="9"/>
                <w:szCs w:val="9"/>
                <w:color w:val="auto"/>
              </w:rPr>
            </w:pPr>
          </w:p>
        </w:tc>
        <w:tc>
          <w:tcPr>
            <w:tcW w:w="3600" w:type="dxa"/>
            <w:vAlign w:val="bottom"/>
            <w:tcBorders>
              <w:bottom w:val="single" w:sz="8" w:color="9A9A9A"/>
            </w:tcBorders>
          </w:tcPr>
          <w:p>
            <w:pPr>
              <w:spacing w:after="0"/>
              <w:rPr>
                <w:sz w:val="9"/>
                <w:szCs w:val="9"/>
                <w:color w:val="auto"/>
              </w:rPr>
            </w:pPr>
          </w:p>
        </w:tc>
        <w:tc>
          <w:tcPr>
            <w:tcW w:w="75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5"/>
        </w:trPr>
        <w:tc>
          <w:tcPr>
            <w:tcW w:w="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7960" w:type="dxa"/>
            <w:vAlign w:val="bottom"/>
            <w:gridSpan w:val="2"/>
          </w:tcPr>
          <w:p>
            <w:pPr>
              <w:ind w:left="1900"/>
              <w:spacing w:after="0"/>
              <w:rPr>
                <w:sz w:val="20"/>
                <w:szCs w:val="20"/>
                <w:color w:val="auto"/>
              </w:rPr>
            </w:pPr>
            <w:r>
              <w:rPr>
                <w:rFonts w:ascii="Arial" w:cs="Arial" w:eastAsia="Arial" w:hAnsi="Arial"/>
                <w:sz w:val="18"/>
                <w:szCs w:val="18"/>
                <w:b w:val="1"/>
                <w:bCs w:val="1"/>
                <w:i w:val="1"/>
                <w:iCs w:val="1"/>
                <w:color w:val="auto"/>
              </w:rPr>
              <w:t>GLOSSARY</w:t>
            </w:r>
          </w:p>
        </w:tc>
      </w:tr>
      <w:tr>
        <w:trPr>
          <w:trHeight w:val="168"/>
        </w:trPr>
        <w:tc>
          <w:tcPr>
            <w:tcW w:w="40" w:type="dxa"/>
            <w:vAlign w:val="bottom"/>
          </w:tcPr>
          <w:p>
            <w:pPr>
              <w:spacing w:after="0"/>
              <w:rPr>
                <w:sz w:val="14"/>
                <w:szCs w:val="14"/>
                <w:color w:val="auto"/>
              </w:rPr>
            </w:pPr>
          </w:p>
        </w:tc>
        <w:tc>
          <w:tcPr>
            <w:tcW w:w="3240" w:type="dxa"/>
            <w:vAlign w:val="bottom"/>
            <w:tcBorders>
              <w:top w:val="single" w:sz="8" w:color="auto"/>
            </w:tcBorders>
            <w:shd w:val="clear" w:color="auto" w:fill="CCEEFF"/>
          </w:tcPr>
          <w:p>
            <w:pPr>
              <w:ind w:left="20"/>
              <w:spacing w:after="0" w:line="168" w:lineRule="exact"/>
              <w:rPr>
                <w:sz w:val="20"/>
                <w:szCs w:val="20"/>
                <w:color w:val="auto"/>
              </w:rPr>
            </w:pPr>
            <w:r>
              <w:rPr>
                <w:rFonts w:ascii="Arial" w:cs="Arial" w:eastAsia="Arial" w:hAnsi="Arial"/>
                <w:sz w:val="18"/>
                <w:szCs w:val="18"/>
                <w:b w:val="1"/>
                <w:bCs w:val="1"/>
                <w:i w:val="1"/>
                <w:iCs w:val="1"/>
                <w:color w:val="auto"/>
              </w:rPr>
              <w:t>ZENS-Related Securities</w:t>
            </w:r>
          </w:p>
        </w:tc>
        <w:tc>
          <w:tcPr>
            <w:tcW w:w="7940" w:type="dxa"/>
            <w:vAlign w:val="bottom"/>
            <w:tcBorders>
              <w:top w:val="single" w:sz="8" w:color="auto"/>
            </w:tcBorders>
            <w:shd w:val="clear" w:color="auto" w:fill="CCEEFF"/>
          </w:tcPr>
          <w:p>
            <w:pPr>
              <w:ind w:left="1400"/>
              <w:spacing w:after="0" w:line="168" w:lineRule="exact"/>
              <w:rPr>
                <w:sz w:val="20"/>
                <w:szCs w:val="20"/>
                <w:color w:val="auto"/>
              </w:rPr>
            </w:pPr>
            <w:r>
              <w:rPr>
                <w:rFonts w:ascii="Arial" w:cs="Arial" w:eastAsia="Arial" w:hAnsi="Arial"/>
                <w:sz w:val="18"/>
                <w:szCs w:val="18"/>
                <w:color w:val="auto"/>
                <w:w w:val="91"/>
              </w:rPr>
              <w:t>As of September 30, 2023 and December 31, 2022, consisted of AT&amp;T Common, Charter</w:t>
            </w:r>
          </w:p>
        </w:tc>
        <w:tc>
          <w:tcPr>
            <w:tcW w:w="20" w:type="dxa"/>
            <w:vAlign w:val="bottom"/>
          </w:tcPr>
          <w:p>
            <w:pPr>
              <w:spacing w:after="0"/>
              <w:rPr>
                <w:sz w:val="14"/>
                <w:szCs w:val="14"/>
                <w:color w:val="auto"/>
              </w:rPr>
            </w:pPr>
          </w:p>
        </w:tc>
      </w:tr>
      <w:tr>
        <w:trPr>
          <w:trHeight w:val="238"/>
        </w:trPr>
        <w:tc>
          <w:tcPr>
            <w:tcW w:w="40" w:type="dxa"/>
            <w:vAlign w:val="bottom"/>
          </w:tcPr>
          <w:p>
            <w:pPr>
              <w:spacing w:after="0"/>
              <w:rPr>
                <w:sz w:val="20"/>
                <w:szCs w:val="20"/>
                <w:color w:val="auto"/>
              </w:rPr>
            </w:pPr>
          </w:p>
        </w:tc>
        <w:tc>
          <w:tcPr>
            <w:tcW w:w="3240" w:type="dxa"/>
            <w:vAlign w:val="bottom"/>
            <w:shd w:val="clear" w:color="auto" w:fill="CCEEFF"/>
          </w:tcPr>
          <w:p>
            <w:pPr>
              <w:spacing w:after="0"/>
              <w:rPr>
                <w:sz w:val="20"/>
                <w:szCs w:val="20"/>
                <w:color w:val="auto"/>
              </w:rPr>
            </w:pPr>
          </w:p>
        </w:tc>
        <w:tc>
          <w:tcPr>
            <w:tcW w:w="794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Common and WBD Common</w:t>
            </w:r>
          </w:p>
        </w:tc>
        <w:tc>
          <w:tcPr>
            <w:tcW w:w="20" w:type="dxa"/>
            <w:vAlign w:val="bottom"/>
          </w:tcPr>
          <w:p>
            <w:pPr>
              <w:spacing w:after="0"/>
              <w:rPr>
                <w:sz w:val="20"/>
                <w:szCs w:val="20"/>
                <w:color w:val="auto"/>
              </w:rPr>
            </w:pPr>
          </w:p>
        </w:tc>
      </w:tr>
      <w:tr>
        <w:trPr>
          <w:trHeight w:val="174"/>
        </w:trPr>
        <w:tc>
          <w:tcPr>
            <w:tcW w:w="40" w:type="dxa"/>
            <w:vAlign w:val="bottom"/>
          </w:tcPr>
          <w:p>
            <w:pPr>
              <w:spacing w:after="0"/>
              <w:rPr>
                <w:sz w:val="15"/>
                <w:szCs w:val="15"/>
                <w:color w:val="auto"/>
              </w:rPr>
            </w:pPr>
          </w:p>
        </w:tc>
        <w:tc>
          <w:tcPr>
            <w:tcW w:w="324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2022 Form 10-K</w:t>
            </w:r>
          </w:p>
        </w:tc>
        <w:tc>
          <w:tcPr>
            <w:tcW w:w="7960" w:type="dxa"/>
            <w:vAlign w:val="bottom"/>
            <w:gridSpan w:val="2"/>
          </w:tcPr>
          <w:p>
            <w:pPr>
              <w:ind w:left="1400"/>
              <w:spacing w:after="0" w:line="174" w:lineRule="exact"/>
              <w:rPr>
                <w:sz w:val="20"/>
                <w:szCs w:val="20"/>
                <w:color w:val="auto"/>
              </w:rPr>
            </w:pPr>
            <w:r>
              <w:rPr>
                <w:rFonts w:ascii="Arial" w:cs="Arial" w:eastAsia="Arial" w:hAnsi="Arial"/>
                <w:sz w:val="18"/>
                <w:szCs w:val="18"/>
                <w:color w:val="auto"/>
                <w:w w:val="90"/>
              </w:rPr>
              <w:t>Annual Report on Form 10-K for the fiscal year ended December 31, 2022 as filed with the</w:t>
            </w:r>
          </w:p>
        </w:tc>
      </w:tr>
      <w:tr>
        <w:trPr>
          <w:trHeight w:val="224"/>
        </w:trPr>
        <w:tc>
          <w:tcPr>
            <w:tcW w:w="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7960" w:type="dxa"/>
            <w:vAlign w:val="bottom"/>
            <w:gridSpan w:val="2"/>
          </w:tcPr>
          <w:p>
            <w:pPr>
              <w:ind w:left="1400"/>
              <w:spacing w:after="0"/>
              <w:rPr>
                <w:sz w:val="20"/>
                <w:szCs w:val="20"/>
                <w:color w:val="auto"/>
              </w:rPr>
            </w:pPr>
            <w:r>
              <w:rPr>
                <w:rFonts w:ascii="Arial" w:cs="Arial" w:eastAsia="Arial" w:hAnsi="Arial"/>
                <w:sz w:val="18"/>
                <w:szCs w:val="18"/>
                <w:color w:val="auto"/>
              </w:rPr>
              <w:t>SEC on February 17, 2023</w:t>
            </w:r>
          </w:p>
        </w:tc>
      </w:tr>
      <w:tr>
        <w:trPr>
          <w:trHeight w:val="745"/>
        </w:trPr>
        <w:tc>
          <w:tcPr>
            <w:tcW w:w="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7960" w:type="dxa"/>
            <w:vAlign w:val="bottom"/>
            <w:gridSpan w:val="2"/>
          </w:tcPr>
          <w:p>
            <w:pPr>
              <w:ind w:left="2280"/>
              <w:spacing w:after="0"/>
              <w:rPr>
                <w:sz w:val="20"/>
                <w:szCs w:val="20"/>
                <w:color w:val="auto"/>
              </w:rPr>
            </w:pPr>
            <w:r>
              <w:rPr>
                <w:rFonts w:ascii="Arial" w:cs="Arial" w:eastAsia="Arial" w:hAnsi="Arial"/>
                <w:sz w:val="18"/>
                <w:szCs w:val="18"/>
                <w:color w:val="auto"/>
              </w:rPr>
              <w:t>vi</w:t>
            </w:r>
          </w:p>
        </w:tc>
      </w:tr>
      <w:tr>
        <w:trPr>
          <w:trHeight w:val="114"/>
        </w:trPr>
        <w:tc>
          <w:tcPr>
            <w:tcW w:w="40" w:type="dxa"/>
            <w:vAlign w:val="bottom"/>
            <w:tcBorders>
              <w:bottom w:val="single" w:sz="8" w:color="9A9A9A"/>
            </w:tcBorders>
          </w:tcPr>
          <w:p>
            <w:pPr>
              <w:spacing w:after="0"/>
              <w:rPr>
                <w:sz w:val="9"/>
                <w:szCs w:val="9"/>
                <w:color w:val="auto"/>
              </w:rPr>
            </w:pPr>
          </w:p>
        </w:tc>
        <w:tc>
          <w:tcPr>
            <w:tcW w:w="3240" w:type="dxa"/>
            <w:vAlign w:val="bottom"/>
            <w:tcBorders>
              <w:bottom w:val="single" w:sz="8" w:color="9A9A9A"/>
            </w:tcBorders>
          </w:tcPr>
          <w:p>
            <w:pPr>
              <w:spacing w:after="0"/>
              <w:rPr>
                <w:sz w:val="9"/>
                <w:szCs w:val="9"/>
                <w:color w:val="auto"/>
              </w:rPr>
            </w:pPr>
          </w:p>
        </w:tc>
        <w:tc>
          <w:tcPr>
            <w:tcW w:w="79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51"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From time to time the Registrants make statements concerning their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forward-looking statements by the words “anticipate,” “believe,” “continue,” “could,” “estimate,” “expect,” “forecast,” “goal,” “intend,” “may,” “objective,” “plan,” “potential,” “predict,” “projection,” “should,” “target,” “will” or other similar words.</w:t>
      </w:r>
    </w:p>
    <w:p>
      <w:pPr>
        <w:spacing w:after="0" w:line="208"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The Registrants have based their forward-looking statements on management’s beliefs and assumptions based on information reasonably available to management at the time the statements are made. The Registrants caution you that assumptions, beliefs, expectations, intentions and projections about future events may and often do vary materially from actual results. Therefore, the Registrants cannot assure you that actual results will not differ materially from those expressed or implied by the Registrants’ forward-looking statements. In this Form 10-Q, unless context requires otherwise, the terms “our,” “we” and “us” are used as abbreviated references to CenterPoint Energy, Inc. together with its consolidated subsidiaries, including Houston Electric, CERC and SIGECO.</w:t>
      </w:r>
    </w:p>
    <w:p>
      <w:pPr>
        <w:spacing w:after="0" w:line="222"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following are some of the factors that could cause actual results to differ from those expressed or implied by the Registrants’ forward-looking statements and apply to all Registrants unless otherwise indicated:</w:t>
      </w:r>
    </w:p>
    <w:p>
      <w:pPr>
        <w:spacing w:after="0" w:line="206" w:lineRule="exact"/>
        <w:rPr>
          <w:sz w:val="20"/>
          <w:szCs w:val="20"/>
          <w:color w:val="auto"/>
        </w:rPr>
      </w:pPr>
    </w:p>
    <w:p>
      <w:pPr>
        <w:jc w:val="both"/>
        <w:ind w:left="640" w:hanging="315"/>
        <w:spacing w:after="0" w:line="265"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CenterPoint Energy’s business strategies and strategic initiatives, restructurings, including the completed Restructuring, joint ventures and acquisitions or dispositions of assets or businesses, including the completed sales of our Natural Gas businesses in Arkansas and Oklahoma and Energy Systems Group, and our exit of the midstream sector, which we cannot assure will have the anticipated benefits to us;</w:t>
      </w:r>
    </w:p>
    <w:p>
      <w:pPr>
        <w:spacing w:after="0" w:line="1" w:lineRule="exact"/>
        <w:rPr>
          <w:rFonts w:ascii="Arial" w:cs="Arial" w:eastAsia="Arial" w:hAnsi="Arial"/>
          <w:sz w:val="17"/>
          <w:szCs w:val="17"/>
          <w:color w:val="auto"/>
        </w:rPr>
      </w:pPr>
    </w:p>
    <w:p>
      <w:pPr>
        <w:ind w:left="640" w:hanging="315"/>
        <w:spacing w:after="0" w:line="24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industrial, commercial and residential growth in our service territories and changes in market demand, including the effects of energy efficiency measures and demographic patterns;</w:t>
      </w:r>
    </w:p>
    <w:p>
      <w:pPr>
        <w:spacing w:after="0" w:line="1"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fund and invest planned capital and the timely recovery of our investments, including those related to Indiana Electric’s generation transition plan as part of its IRPs;</w:t>
      </w:r>
    </w:p>
    <w:p>
      <w:pPr>
        <w:spacing w:after="0" w:line="1" w:lineRule="exact"/>
        <w:rPr>
          <w:rFonts w:ascii="Arial" w:cs="Arial" w:eastAsia="Arial" w:hAnsi="Arial"/>
          <w:sz w:val="18"/>
          <w:szCs w:val="18"/>
          <w:color w:val="auto"/>
        </w:rPr>
      </w:pPr>
    </w:p>
    <w:p>
      <w:pPr>
        <w:jc w:val="both"/>
        <w:ind w:left="640" w:hanging="315"/>
        <w:spacing w:after="0" w:line="24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construct, operate, repair and maintain electric generating facilities, natural gas facilities, TEEEF and electric transmission facilities, including complying with applicable environmental standards and the implementation of a well-balanced energy and resource mix, as appropriate;</w:t>
      </w:r>
    </w:p>
    <w:p>
      <w:pPr>
        <w:spacing w:after="0" w:line="1" w:lineRule="exact"/>
        <w:rPr>
          <w:rFonts w:ascii="Arial" w:cs="Arial" w:eastAsia="Arial" w:hAnsi="Arial"/>
          <w:sz w:val="18"/>
          <w:szCs w:val="18"/>
          <w:color w:val="auto"/>
        </w:rPr>
      </w:pPr>
    </w:p>
    <w:p>
      <w:pPr>
        <w:jc w:val="both"/>
        <w:ind w:left="640" w:hanging="315"/>
        <w:spacing w:after="0" w:line="24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timely and appropriate rate actions that allow and authorize requested and timely recovery of costs and a reasonable return on investment, including the timing and amount of recovery of Houston Electric’s TEEEF leases, and requested or favorable adjustments to rates and approval of other requested items as part of base rate proceedings;</w:t>
      </w:r>
    </w:p>
    <w:p>
      <w:pPr>
        <w:spacing w:after="0" w:line="1"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conditions in regional and national markets, including changes to inflation and interest rates, and instability of banking institutions, and their effect on sales, prices and costs;</w:t>
      </w:r>
    </w:p>
    <w:p>
      <w:pPr>
        <w:spacing w:after="0" w:line="1" w:lineRule="exact"/>
        <w:rPr>
          <w:rFonts w:ascii="Arial" w:cs="Arial" w:eastAsia="Arial" w:hAnsi="Arial"/>
          <w:sz w:val="18"/>
          <w:szCs w:val="18"/>
          <w:color w:val="auto"/>
        </w:rPr>
      </w:pPr>
    </w:p>
    <w:p>
      <w:pPr>
        <w:ind w:left="640" w:right="20" w:hanging="315"/>
        <w:spacing w:after="0" w:line="238"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variations and other natural phenomena, including the impact of severe weather events on operations, capital and legislation such as seen in connection with the February 2021 Winter Storm Event;</w:t>
      </w:r>
    </w:p>
    <w:p>
      <w:pPr>
        <w:spacing w:after="0" w:line="1"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volatility in the markets for natural gas as a result of, among other factors, armed conflicts, including the conflict in Israel and any broader related conflict, and the conflict in Ukraine, and the related sanctions on certain Russian entities;</w:t>
      </w:r>
    </w:p>
    <w:p>
      <w:pPr>
        <w:spacing w:after="0" w:line="1" w:lineRule="exact"/>
        <w:rPr>
          <w:rFonts w:ascii="Arial" w:cs="Arial" w:eastAsia="Arial" w:hAnsi="Arial"/>
          <w:sz w:val="18"/>
          <w:szCs w:val="18"/>
          <w:color w:val="auto"/>
        </w:rPr>
      </w:pPr>
    </w:p>
    <w:p>
      <w:pPr>
        <w:jc w:val="both"/>
        <w:ind w:left="640" w:hanging="315"/>
        <w:spacing w:after="0" w:line="24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disruptions to the global supply chain, including increases in commodity prices, and tariffs and other legislation impacting the supply chain, that could prevent CenterPoint Energy from securing the resources needed to, among other things, fully execute on its 10-year capital plan or achieve its net zero and carbon emissions reduction goals;</w:t>
      </w:r>
    </w:p>
    <w:p>
      <w:pPr>
        <w:spacing w:after="0" w:line="1" w:lineRule="exact"/>
        <w:rPr>
          <w:rFonts w:ascii="Arial" w:cs="Arial" w:eastAsia="Arial" w:hAnsi="Arial"/>
          <w:sz w:val="18"/>
          <w:szCs w:val="18"/>
          <w:color w:val="auto"/>
        </w:rPr>
      </w:pPr>
    </w:p>
    <w:p>
      <w:pPr>
        <w:jc w:val="both"/>
        <w:ind w:left="640" w:hanging="315"/>
        <w:spacing w:after="0" w:line="24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non-payment for our services due to financial distress of our customers and the ability of our customers, including REPs, to satisfy their obligations to CenterPoint Energy, Houston Electric, and CERC, and the negative impact on such ability related to adverse economic conditions and severe weather events;</w:t>
      </w:r>
    </w:p>
    <w:p>
      <w:pPr>
        <w:spacing w:after="0" w:line="1" w:lineRule="exact"/>
        <w:rPr>
          <w:rFonts w:ascii="Arial" w:cs="Arial" w:eastAsia="Arial" w:hAnsi="Arial"/>
          <w:sz w:val="18"/>
          <w:szCs w:val="18"/>
          <w:color w:val="auto"/>
        </w:rPr>
      </w:pPr>
    </w:p>
    <w:p>
      <w:pPr>
        <w:jc w:val="both"/>
        <w:ind w:left="640" w:hanging="315"/>
        <w:spacing w:after="0" w:line="24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public health threats, such as COVID-19, and their effect on our operations, business and financial condition, our industries and the communities we serve, U.S. and world financial markets and supply chains, potential regulatory actions and changes in customer and stakeholder behavior relating thereto;</w:t>
      </w:r>
    </w:p>
    <w:p>
      <w:pPr>
        <w:spacing w:after="0" w:line="1" w:lineRule="exact"/>
        <w:rPr>
          <w:rFonts w:ascii="Arial" w:cs="Arial" w:eastAsia="Arial" w:hAnsi="Arial"/>
          <w:sz w:val="18"/>
          <w:szCs w:val="18"/>
          <w:color w:val="auto"/>
        </w:rPr>
      </w:pPr>
    </w:p>
    <w:p>
      <w:pPr>
        <w:jc w:val="both"/>
        <w:ind w:left="640" w:hanging="315"/>
        <w:spacing w:after="0" w:line="24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 and federal legislative and regulatory actions or developments affecting various aspects of our businesses, including, among others, energy deregulation or re-regulation, pipeline integrity and safety and changes in regulation and legislation pertaining to trade, health care, finance and actions regarding the rates charged by our regulated businesses;</w:t>
      </w:r>
    </w:p>
    <w:p>
      <w:pPr>
        <w:spacing w:after="0" w:line="1" w:lineRule="exact"/>
        <w:rPr>
          <w:rFonts w:ascii="Arial" w:cs="Arial" w:eastAsia="Arial" w:hAnsi="Arial"/>
          <w:sz w:val="18"/>
          <w:szCs w:val="18"/>
          <w:color w:val="auto"/>
        </w:rPr>
      </w:pPr>
    </w:p>
    <w:p>
      <w:pPr>
        <w:jc w:val="both"/>
        <w:ind w:left="640" w:hanging="315"/>
        <w:spacing w:after="0" w:line="355" w:lineRule="auto"/>
        <w:tabs>
          <w:tab w:leader="none" w:pos="635" w:val="left"/>
        </w:tabs>
        <w:numPr>
          <w:ilvl w:val="0"/>
          <w:numId w:val="3"/>
        </w:numPr>
        <w:rPr>
          <w:rFonts w:ascii="Arial" w:cs="Arial" w:eastAsia="Arial" w:hAnsi="Arial"/>
          <w:sz w:val="14"/>
          <w:szCs w:val="14"/>
          <w:color w:val="auto"/>
        </w:rPr>
      </w:pPr>
      <w:r>
        <w:rPr>
          <w:rFonts w:ascii="Arial" w:cs="Arial" w:eastAsia="Arial" w:hAnsi="Arial"/>
          <w:sz w:val="14"/>
          <w:szCs w:val="14"/>
          <w:color w:val="auto"/>
        </w:rPr>
        <w:t>direct or indirect effects on our facilities, resources, operations and financial condition resulting from terrorism, cyber attacks or intrusions, data security breaches or other attempts to disrupt our businesses or the businesses of third parties, or other catastrophic events such as fires, ice, earthquakes, explosions, leaks, floods, droughts, hurricanes, tornadoes and other severe weather events, pandemic health events or other occurrences;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9" w:name="page10"/>
    <w:bookmarkEnd w:id="9"/>
    <w:p>
      <w:pPr>
        <w:jc w:val="both"/>
        <w:ind w:left="640" w:hanging="315"/>
        <w:spacing w:after="0" w:line="282" w:lineRule="auto"/>
        <w:tabs>
          <w:tab w:leader="none" w:pos="635" w:val="left"/>
        </w:tabs>
        <w:numPr>
          <w:ilvl w:val="0"/>
          <w:numId w:val="4"/>
        </w:numPr>
        <w:rPr>
          <w:rFonts w:ascii="Arial" w:cs="Arial" w:eastAsia="Arial" w:hAnsi="Arial"/>
          <w:sz w:val="16"/>
          <w:szCs w:val="16"/>
          <w:color w:val="auto"/>
        </w:rPr>
      </w:pPr>
      <w:r>
        <w:rPr>
          <w:rFonts w:ascii="Arial" w:cs="Arial" w:eastAsia="Arial" w:hAnsi="Arial"/>
          <w:sz w:val="16"/>
          <w:szCs w:val="16"/>
          <w:color w:val="auto"/>
        </w:rPr>
        <w:t>tax legislation, including the effects of the CARES Act and the IRA (which includes but is not limited to any potential changes to tax rates, CAMT imposed, tax credits and/or interest deductibility), as well as any changes in tax laws under the current or future administrations, and uncertainties involving state commissions’ and local municipalities’ regulatory requirements and determinations regarding the treatment of EDIT and our rates;</w:t>
      </w: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mitigate weather impacts through normalization or rate mechanisms, and the effectiveness of such mechanisms;</w:t>
      </w:r>
    </w:p>
    <w:p>
      <w:pPr>
        <w:spacing w:after="0" w:line="7"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9"/>
          <w:szCs w:val="19"/>
          <w:color w:val="auto"/>
        </w:rPr>
      </w:pPr>
      <w:r>
        <w:rPr>
          <w:rFonts w:ascii="Arial" w:cs="Arial" w:eastAsia="Arial" w:hAnsi="Arial"/>
          <w:sz w:val="18"/>
          <w:szCs w:val="18"/>
          <w:color w:val="auto"/>
        </w:rPr>
        <w:t>actions by credit rating agencies, including any potential downgrades to credit ratings;</w:t>
      </w:r>
    </w:p>
    <w:p>
      <w:pPr>
        <w:spacing w:after="0" w:line="20" w:lineRule="exact"/>
        <w:rPr>
          <w:rFonts w:ascii="Arial" w:cs="Arial" w:eastAsia="Arial" w:hAnsi="Arial"/>
          <w:sz w:val="19"/>
          <w:szCs w:val="19"/>
          <w:color w:val="auto"/>
        </w:rPr>
      </w:pPr>
    </w:p>
    <w:p>
      <w:pPr>
        <w:ind w:left="640" w:hanging="315"/>
        <w:spacing w:after="0" w:line="246" w:lineRule="auto"/>
        <w:tabs>
          <w:tab w:leader="none" w:pos="628" w:val="left"/>
        </w:tabs>
        <w:numPr>
          <w:ilvl w:val="0"/>
          <w:numId w:val="4"/>
        </w:numPr>
        <w:rPr>
          <w:rFonts w:ascii="Arial" w:cs="Arial" w:eastAsia="Arial" w:hAnsi="Arial"/>
          <w:sz w:val="19"/>
          <w:szCs w:val="19"/>
          <w:color w:val="auto"/>
        </w:rPr>
      </w:pPr>
      <w:r>
        <w:rPr>
          <w:rFonts w:ascii="Arial" w:cs="Arial" w:eastAsia="Arial" w:hAnsi="Arial"/>
          <w:sz w:val="18"/>
          <w:szCs w:val="18"/>
          <w:color w:val="auto"/>
        </w:rPr>
        <w:t>matters affecting regulatory approval, legislative actions, construction, implementation of necessary technology or other issues with respect to major capital projects that result in delays or cancellation or in costs that cannot be recouped in rates;</w:t>
      </w:r>
    </w:p>
    <w:p>
      <w:pPr>
        <w:spacing w:after="0" w:line="2" w:lineRule="exact"/>
        <w:rPr>
          <w:rFonts w:ascii="Arial" w:cs="Arial" w:eastAsia="Arial" w:hAnsi="Arial"/>
          <w:sz w:val="19"/>
          <w:szCs w:val="19"/>
          <w:color w:val="auto"/>
        </w:rPr>
      </w:pPr>
    </w:p>
    <w:p>
      <w:pPr>
        <w:jc w:val="both"/>
        <w:ind w:left="640" w:hanging="315"/>
        <w:spacing w:after="0" w:line="265"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7"/>
          <w:szCs w:val="17"/>
          <w:color w:val="auto"/>
        </w:rPr>
        <w:t>local, state and federal legislative and regulatory actions or developments relating to the environment, including, among others, those related to global climate change, air emissions, carbon, waste water discharges and the handling and disposal of CCR that could impact operations, cost recovery of generation plant costs and related assets, and CenterPoint Energy’s net zero and carbon emissions reduction goals;</w:t>
      </w:r>
    </w:p>
    <w:p>
      <w:pPr>
        <w:spacing w:after="0" w:line="2"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unplanned facility outages or other closures;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sufficiency of our insurance coverage, including availability, cost, coverage and terms and ability to recover claims;</w:t>
      </w:r>
    </w:p>
    <w:p>
      <w:pPr>
        <w:spacing w:after="0" w:line="5"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and prices of raw materials and services and changes in labor for current and future construction projects and operations and maintenance costs, including our ability to control such costs;</w:t>
      </w:r>
    </w:p>
    <w:p>
      <w:pPr>
        <w:spacing w:after="0" w:line="1"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impacts from CenterPoint Energy’s pension and postretirement benefit plans, such as the investment performance and increases to net periodic costs as a result of plan settlements and changes in assumptions, including discount rates;</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interest rates and their impact on costs of borrowing and the valuation of CenterPoint Energy’s pension benefit obligation;</w:t>
      </w:r>
    </w:p>
    <w:p>
      <w:pPr>
        <w:spacing w:after="0" w:line="5" w:lineRule="exact"/>
        <w:rPr>
          <w:rFonts w:ascii="Arial" w:cs="Arial" w:eastAsia="Arial" w:hAnsi="Arial"/>
          <w:sz w:val="18"/>
          <w:szCs w:val="18"/>
          <w:color w:val="auto"/>
        </w:rPr>
      </w:pPr>
    </w:p>
    <w:p>
      <w:pPr>
        <w:jc w:val="both"/>
        <w:ind w:left="640" w:hanging="315"/>
        <w:spacing w:after="0" w:line="246"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commercial bank and financial market conditions, including disruptions in the banking industry, our access to capital, the cost of such capital, impacts on our vendors, customers and suppliers, and the results of our financing and refinancing efforts, including availability of funds in the debt capital markets;</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of various counterparties to meet their obligations to us;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extent and effectiveness of our risk management activities;</w:t>
      </w:r>
    </w:p>
    <w:p>
      <w:pPr>
        <w:spacing w:after="0" w:line="5"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timely and appropriate regulatory actions, which include actions allowing securitization, for any hurricanes or other severe weather events, or natural disasters or other recovery of costs, including stranded coal-fired generation asset costs;</w:t>
      </w:r>
    </w:p>
    <w:p>
      <w:pPr>
        <w:spacing w:after="0" w:line="1"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acquisition and merger or divestiture activities involving us or our industry, including the ability to successfully complete merger, acquisition and divestiture plans;</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recruit, effectively transition and retain management and key employees and maintain good labor relations;</w:t>
      </w:r>
    </w:p>
    <w:p>
      <w:pPr>
        <w:spacing w:after="0" w:line="5"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technology, particularly with respect to efficient battery storage or the emergence or growth of new, developing or alternative sources of generation, and their adoption by consumers;</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climate change and alternate energy sources on the demand for natural gas and electricity generated or transmitted by us;</w:t>
      </w:r>
    </w:p>
    <w:p>
      <w:pPr>
        <w:spacing w:after="0" w:line="17" w:lineRule="exact"/>
        <w:rPr>
          <w:rFonts w:ascii="Arial" w:cs="Arial" w:eastAsia="Arial" w:hAnsi="Arial"/>
          <w:sz w:val="17"/>
          <w:szCs w:val="17"/>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and outcome of any audits, disputes and other proceedings related to taxes;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recording of impairment charges;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political and economic developments, including energy and environmental policies under the current administration;</w:t>
      </w:r>
    </w:p>
    <w:p>
      <w:pPr>
        <w:spacing w:after="0" w:line="5" w:lineRule="exact"/>
        <w:rPr>
          <w:rFonts w:ascii="Arial" w:cs="Arial" w:eastAsia="Arial" w:hAnsi="Arial"/>
          <w:sz w:val="18"/>
          <w:szCs w:val="18"/>
          <w:color w:val="auto"/>
        </w:rPr>
      </w:pPr>
    </w:p>
    <w:p>
      <w:pPr>
        <w:ind w:left="640" w:right="2320" w:hanging="315"/>
        <w:spacing w:after="0" w:line="246"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CenterPoint Energy’s ability to execute on its strategy, initiatives, targets and goals, including its net zero and carbon emissions reduction goals and its operations and maintenance expenditure goals;</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litigation, including litigation related to the February 2021 Winter Storm Event;</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obligations related to warranties, guarantees and other contractual and legal obligations;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of changes in and application of accounting standards and pronouncements; and</w:t>
      </w:r>
    </w:p>
    <w:p>
      <w:pPr>
        <w:spacing w:after="0" w:line="5" w:lineRule="exact"/>
        <w:rPr>
          <w:rFonts w:ascii="Arial" w:cs="Arial" w:eastAsia="Arial" w:hAnsi="Arial"/>
          <w:sz w:val="18"/>
          <w:szCs w:val="18"/>
          <w:color w:val="auto"/>
        </w:rPr>
      </w:pPr>
    </w:p>
    <w:p>
      <w:pPr>
        <w:ind w:left="640" w:hanging="315"/>
        <w:spacing w:after="0" w:line="253"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discussed in “Risk Factors” in Item 1A of Part I of the Registrants’ combined 2022 Form 10-K, which are incorporated herein by reference, and in other reports that the Registrants file from time to time with the SEC.</w:t>
      </w:r>
    </w:p>
    <w:p>
      <w:pPr>
        <w:spacing w:after="0" w:line="217"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You should not place undue reliance on forward-looking statements. Each forward-looking statement speaks only as of the date of the particular statement, and the Registrants undertake no obligation to update or revise any forward-looking statements. Investors should note that the Registrants announce material financial and other information in SEC filings, press releases and public conference calls. Based on guidance from the SEC, the Registrants may use the Investors section of CenterPoint Energy’s website (www.centerpointenergy.com) to communicate with investors about the Registrants. It is possible that the financial and other information posted there could be deemed to be material information. The information on CenterPoint Energy’s website is not part of this combined Form 10-Q.</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4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20" w:type="dxa"/>
            <w:vAlign w:val="bottom"/>
            <w:gridSpan w:val="6"/>
          </w:tcPr>
          <w:p>
            <w:pPr>
              <w:jc w:val="right"/>
              <w:ind w:right="40"/>
              <w:spacing w:after="0"/>
              <w:rPr>
                <w:sz w:val="20"/>
                <w:szCs w:val="20"/>
                <w:color w:val="auto"/>
              </w:rPr>
            </w:pPr>
            <w:r>
              <w:rPr>
                <w:rFonts w:ascii="Arial" w:cs="Arial" w:eastAsia="Arial" w:hAnsi="Arial"/>
                <w:sz w:val="18"/>
                <w:szCs w:val="18"/>
                <w:b w:val="1"/>
                <w:bCs w:val="1"/>
                <w:color w:val="auto"/>
              </w:rPr>
              <w:t>CENTERPOINT ENERGY, INC. AND SUBSIDIARIES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3"/>
        </w:trPr>
        <w:tc>
          <w:tcPr>
            <w:tcW w:w="8120" w:type="dxa"/>
            <w:vAlign w:val="bottom"/>
            <w:gridSpan w:val="6"/>
          </w:tcPr>
          <w:p>
            <w:pPr>
              <w:jc w:val="right"/>
              <w:ind w:right="40"/>
              <w:spacing w:after="0"/>
              <w:rPr>
                <w:sz w:val="20"/>
                <w:szCs w:val="20"/>
                <w:color w:val="auto"/>
              </w:rPr>
            </w:pPr>
            <w:r>
              <w:rPr>
                <w:rFonts w:ascii="Arial" w:cs="Arial" w:eastAsia="Arial" w:hAnsi="Arial"/>
                <w:sz w:val="18"/>
                <w:szCs w:val="18"/>
                <w:b w:val="1"/>
                <w:bCs w:val="1"/>
                <w:color w:val="auto"/>
              </w:rPr>
              <w:t>CONDENSED STATEMENTS OF CONSOLIDATED INCOME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4540" w:type="dxa"/>
            <w:vAlign w:val="bottom"/>
          </w:tcPr>
          <w:p>
            <w:pPr>
              <w:spacing w:after="0"/>
              <w:rPr>
                <w:sz w:val="19"/>
                <w:szCs w:val="19"/>
                <w:color w:val="auto"/>
              </w:rPr>
            </w:pPr>
          </w:p>
        </w:tc>
        <w:tc>
          <w:tcPr>
            <w:tcW w:w="22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(Unaudited)</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03"/>
        </w:trPr>
        <w:tc>
          <w:tcPr>
            <w:tcW w:w="4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6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7"/>
                <w:szCs w:val="17"/>
                <w:color w:val="auto"/>
              </w:rPr>
            </w:pPr>
          </w:p>
        </w:tc>
        <w:tc>
          <w:tcPr>
            <w:tcW w:w="2060" w:type="dxa"/>
            <w:vAlign w:val="bottom"/>
            <w:gridSpan w:val="4"/>
          </w:tcPr>
          <w:p>
            <w:pPr>
              <w:jc w:val="right"/>
              <w:ind w:right="461"/>
              <w:spacing w:after="0"/>
              <w:rPr>
                <w:sz w:val="20"/>
                <w:szCs w:val="20"/>
                <w:color w:val="auto"/>
              </w:rPr>
            </w:pPr>
            <w:r>
              <w:rPr>
                <w:rFonts w:ascii="Arial" w:cs="Arial" w:eastAsia="Arial" w:hAnsi="Arial"/>
                <w:sz w:val="14"/>
                <w:szCs w:val="14"/>
                <w:b w:val="1"/>
                <w:bCs w:val="1"/>
                <w:color w:val="auto"/>
              </w:rPr>
              <w:t>Nine Months Ended</w:t>
            </w:r>
          </w:p>
        </w:tc>
      </w:tr>
      <w:tr>
        <w:trPr>
          <w:trHeight w:val="199"/>
        </w:trPr>
        <w:tc>
          <w:tcPr>
            <w:tcW w:w="4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Pr>
          <w:p>
            <w:pPr>
              <w:spacing w:after="0"/>
              <w:rPr>
                <w:sz w:val="17"/>
                <w:szCs w:val="17"/>
                <w:color w:val="auto"/>
              </w:rPr>
            </w:pPr>
          </w:p>
        </w:tc>
      </w:tr>
      <w:tr>
        <w:trPr>
          <w:trHeight w:val="24"/>
        </w:trPr>
        <w:tc>
          <w:tcPr>
            <w:tcW w:w="45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6"/>
        </w:trPr>
        <w:tc>
          <w:tcPr>
            <w:tcW w:w="45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w w:val="89"/>
              </w:rPr>
              <w:t>2022</w:t>
            </w:r>
          </w:p>
        </w:tc>
      </w:tr>
      <w:tr>
        <w:trPr>
          <w:trHeight w:val="184"/>
        </w:trPr>
        <w:tc>
          <w:tcPr>
            <w:tcW w:w="45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520" w:type="dxa"/>
            <w:vAlign w:val="bottom"/>
            <w:gridSpan w:val="7"/>
          </w:tcPr>
          <w:p>
            <w:pPr>
              <w:ind w:left="80"/>
              <w:spacing w:after="0"/>
              <w:rPr>
                <w:sz w:val="20"/>
                <w:szCs w:val="20"/>
                <w:color w:val="auto"/>
              </w:rPr>
            </w:pPr>
            <w:r>
              <w:rPr>
                <w:rFonts w:ascii="Arial" w:cs="Arial" w:eastAsia="Arial" w:hAnsi="Arial"/>
                <w:sz w:val="14"/>
                <w:szCs w:val="14"/>
                <w:b w:val="1"/>
                <w:bCs w:val="1"/>
                <w:color w:val="auto"/>
                <w:w w:val="93"/>
              </w:rPr>
              <w:t>(in millions, except per share amounts)</w:t>
            </w: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25"/>
        </w:trPr>
        <w:tc>
          <w:tcPr>
            <w:tcW w:w="4540" w:type="dxa"/>
            <w:vAlign w:val="bottom"/>
          </w:tcPr>
          <w:p>
            <w:pPr>
              <w:ind w:left="20"/>
              <w:spacing w:after="0"/>
              <w:rPr>
                <w:sz w:val="20"/>
                <w:szCs w:val="20"/>
                <w:color w:val="auto"/>
              </w:rPr>
            </w:pPr>
            <w:r>
              <w:rPr>
                <w:rFonts w:ascii="Arial" w:cs="Arial" w:eastAsia="Arial" w:hAnsi="Arial"/>
                <w:sz w:val="16"/>
                <w:szCs w:val="16"/>
                <w:b w:val="1"/>
                <w:bCs w:val="1"/>
                <w:color w:val="auto"/>
              </w:rPr>
              <w:t>Revenues:</w:t>
            </w:r>
          </w:p>
        </w:tc>
        <w:tc>
          <w:tcPr>
            <w:tcW w:w="1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5"/>
        </w:trPr>
        <w:tc>
          <w:tcPr>
            <w:tcW w:w="4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Utility revenues</w:t>
            </w:r>
          </w:p>
        </w:tc>
        <w:tc>
          <w:tcPr>
            <w:tcW w:w="2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1,849</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6,355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6,400</w:t>
            </w:r>
          </w:p>
        </w:tc>
      </w:tr>
      <w:tr>
        <w:trPr>
          <w:trHeight w:val="210"/>
        </w:trPr>
        <w:tc>
          <w:tcPr>
            <w:tcW w:w="45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Non-utility revenues</w:t>
            </w:r>
          </w:p>
        </w:tc>
        <w:tc>
          <w:tcPr>
            <w:tcW w:w="19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r>
      <w:tr>
        <w:trPr>
          <w:trHeight w:val="209"/>
        </w:trPr>
        <w:tc>
          <w:tcPr>
            <w:tcW w:w="45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w:t>
            </w:r>
          </w:p>
        </w:tc>
        <w:tc>
          <w:tcPr>
            <w:tcW w:w="19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1,860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6,514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6,610</w:t>
            </w:r>
          </w:p>
        </w:tc>
      </w:tr>
      <w:tr>
        <w:trPr>
          <w:trHeight w:val="190"/>
        </w:trPr>
        <w:tc>
          <w:tcPr>
            <w:tcW w:w="454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1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5"/>
        </w:trPr>
        <w:tc>
          <w:tcPr>
            <w:tcW w:w="4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Utility natural gas, fuel and purchased power</w:t>
            </w:r>
          </w:p>
        </w:tc>
        <w:tc>
          <w:tcPr>
            <w:tcW w:w="1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1,550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w:t>
            </w:r>
          </w:p>
        </w:tc>
      </w:tr>
      <w:tr>
        <w:trPr>
          <w:trHeight w:val="210"/>
        </w:trPr>
        <w:tc>
          <w:tcPr>
            <w:tcW w:w="4540" w:type="dxa"/>
            <w:vAlign w:val="bottom"/>
          </w:tcPr>
          <w:p>
            <w:pPr>
              <w:ind w:left="140"/>
              <w:spacing w:after="0"/>
              <w:rPr>
                <w:sz w:val="20"/>
                <w:szCs w:val="20"/>
                <w:color w:val="auto"/>
              </w:rPr>
            </w:pPr>
            <w:r>
              <w:rPr>
                <w:rFonts w:ascii="Arial" w:cs="Arial" w:eastAsia="Arial" w:hAnsi="Arial"/>
                <w:sz w:val="16"/>
                <w:szCs w:val="16"/>
                <w:color w:val="auto"/>
              </w:rPr>
              <w:t>Non-utility cost of revenues, including natural gas</w:t>
            </w:r>
          </w:p>
        </w:tc>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215"/>
        </w:trPr>
        <w:tc>
          <w:tcPr>
            <w:tcW w:w="4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Operation and maintenance</w:t>
            </w:r>
          </w:p>
        </w:tc>
        <w:tc>
          <w:tcPr>
            <w:tcW w:w="1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1,990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2,020</w:t>
            </w:r>
          </w:p>
        </w:tc>
      </w:tr>
      <w:tr>
        <w:trPr>
          <w:trHeight w:val="210"/>
        </w:trPr>
        <w:tc>
          <w:tcPr>
            <w:tcW w:w="454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1,042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974</w:t>
            </w:r>
          </w:p>
        </w:tc>
      </w:tr>
      <w:tr>
        <w:trPr>
          <w:trHeight w:val="215"/>
        </w:trPr>
        <w:tc>
          <w:tcPr>
            <w:tcW w:w="4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other than income taxes</w:t>
            </w:r>
          </w:p>
        </w:tc>
        <w:tc>
          <w:tcPr>
            <w:tcW w:w="19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395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w:t>
            </w:r>
          </w:p>
        </w:tc>
      </w:tr>
      <w:tr>
        <w:trPr>
          <w:trHeight w:val="203"/>
        </w:trPr>
        <w:tc>
          <w:tcPr>
            <w:tcW w:w="45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w:t>
            </w:r>
          </w:p>
        </w:tc>
        <w:tc>
          <w:tcPr>
            <w:tcW w:w="19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1,342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5,075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5,398</w:t>
            </w:r>
          </w:p>
        </w:tc>
      </w:tr>
      <w:tr>
        <w:trPr>
          <w:trHeight w:val="209"/>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19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518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1,439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1,212</w:t>
            </w:r>
          </w:p>
        </w:tc>
      </w:tr>
      <w:tr>
        <w:trPr>
          <w:trHeight w:val="190"/>
        </w:trPr>
        <w:tc>
          <w:tcPr>
            <w:tcW w:w="4540" w:type="dxa"/>
            <w:vAlign w:val="bottom"/>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1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5"/>
        </w:trPr>
        <w:tc>
          <w:tcPr>
            <w:tcW w:w="4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(loss) on equity securities</w:t>
            </w:r>
          </w:p>
        </w:tc>
        <w:tc>
          <w:tcPr>
            <w:tcW w:w="1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r>
      <w:tr>
        <w:trPr>
          <w:trHeight w:val="210"/>
        </w:trPr>
        <w:tc>
          <w:tcPr>
            <w:tcW w:w="4540" w:type="dxa"/>
            <w:vAlign w:val="bottom"/>
          </w:tcPr>
          <w:p>
            <w:pPr>
              <w:ind w:left="140"/>
              <w:spacing w:after="0"/>
              <w:rPr>
                <w:sz w:val="20"/>
                <w:szCs w:val="20"/>
                <w:color w:val="auto"/>
              </w:rPr>
            </w:pPr>
            <w:r>
              <w:rPr>
                <w:rFonts w:ascii="Arial" w:cs="Arial" w:eastAsia="Arial" w:hAnsi="Arial"/>
                <w:sz w:val="16"/>
                <w:szCs w:val="16"/>
                <w:color w:val="auto"/>
              </w:rPr>
              <w:t>Gain (loss) on indexed debt securities</w:t>
            </w:r>
          </w:p>
        </w:tc>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381</w:t>
            </w:r>
          </w:p>
        </w:tc>
      </w:tr>
      <w:tr>
        <w:trPr>
          <w:trHeight w:val="215"/>
        </w:trPr>
        <w:tc>
          <w:tcPr>
            <w:tcW w:w="4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(loss) on sale</w:t>
            </w:r>
          </w:p>
        </w:tc>
        <w:tc>
          <w:tcPr>
            <w:tcW w:w="1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r>
      <w:tr>
        <w:trPr>
          <w:trHeight w:val="210"/>
        </w:trPr>
        <w:tc>
          <w:tcPr>
            <w:tcW w:w="4540" w:type="dxa"/>
            <w:vAlign w:val="bottom"/>
          </w:tcPr>
          <w:p>
            <w:pPr>
              <w:ind w:left="140"/>
              <w:spacing w:after="0"/>
              <w:rPr>
                <w:sz w:val="20"/>
                <w:szCs w:val="20"/>
                <w:color w:val="auto"/>
              </w:rPr>
            </w:pPr>
            <w:r>
              <w:rPr>
                <w:rFonts w:ascii="Arial" w:cs="Arial" w:eastAsia="Arial" w:hAnsi="Arial"/>
                <w:sz w:val="16"/>
                <w:szCs w:val="16"/>
                <w:color w:val="auto"/>
              </w:rPr>
              <w:t>Interest expense and other finance charges</w:t>
            </w:r>
          </w:p>
        </w:tc>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(375)</w:t>
            </w:r>
          </w:p>
        </w:tc>
      </w:tr>
      <w:tr>
        <w:trPr>
          <w:trHeight w:val="215"/>
        </w:trPr>
        <w:tc>
          <w:tcPr>
            <w:tcW w:w="4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 on Securitization Bonds</w:t>
            </w:r>
          </w:p>
        </w:tc>
        <w:tc>
          <w:tcPr>
            <w:tcW w:w="1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0"/>
        </w:trPr>
        <w:tc>
          <w:tcPr>
            <w:tcW w:w="45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income, net</w:t>
            </w:r>
          </w:p>
        </w:tc>
        <w:tc>
          <w:tcPr>
            <w:tcW w:w="19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09"/>
        </w:trPr>
        <w:tc>
          <w:tcPr>
            <w:tcW w:w="45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w:t>
            </w:r>
          </w:p>
        </w:tc>
        <w:tc>
          <w:tcPr>
            <w:tcW w:w="19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03"/>
        </w:trPr>
        <w:tc>
          <w:tcPr>
            <w:tcW w:w="454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1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970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1,251</w:t>
            </w:r>
          </w:p>
        </w:tc>
      </w:tr>
      <w:tr>
        <w:trPr>
          <w:trHeight w:val="215"/>
        </w:trPr>
        <w:tc>
          <w:tcPr>
            <w:tcW w:w="4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 expense</w:t>
            </w:r>
          </w:p>
        </w:tc>
        <w:tc>
          <w:tcPr>
            <w:tcW w:w="19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w:t>
            </w:r>
          </w:p>
        </w:tc>
      </w:tr>
      <w:tr>
        <w:trPr>
          <w:trHeight w:val="203"/>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Income</w:t>
            </w:r>
          </w:p>
        </w:tc>
        <w:tc>
          <w:tcPr>
            <w:tcW w:w="19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725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w:t>
            </w:r>
          </w:p>
        </w:tc>
      </w:tr>
      <w:tr>
        <w:trPr>
          <w:trHeight w:val="206"/>
        </w:trPr>
        <w:tc>
          <w:tcPr>
            <w:tcW w:w="4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allocated to preferred shareholders</w:t>
            </w:r>
          </w:p>
        </w:tc>
        <w:tc>
          <w:tcPr>
            <w:tcW w:w="19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09"/>
        </w:trPr>
        <w:tc>
          <w:tcPr>
            <w:tcW w:w="4540" w:type="dxa"/>
            <w:vAlign w:val="bottom"/>
          </w:tcPr>
          <w:p>
            <w:pPr>
              <w:ind w:left="20"/>
              <w:spacing w:after="0"/>
              <w:rPr>
                <w:sz w:val="20"/>
                <w:szCs w:val="20"/>
                <w:color w:val="auto"/>
              </w:rPr>
            </w:pPr>
            <w:r>
              <w:rPr>
                <w:rFonts w:ascii="Arial" w:cs="Arial" w:eastAsia="Arial" w:hAnsi="Arial"/>
                <w:sz w:val="16"/>
                <w:szCs w:val="16"/>
                <w:b w:val="1"/>
                <w:bCs w:val="1"/>
                <w:color w:val="auto"/>
              </w:rPr>
              <w:t>Income Available to Common Shareholders</w:t>
            </w:r>
          </w:p>
        </w:tc>
        <w:tc>
          <w:tcPr>
            <w:tcW w:w="2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256</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675</w:t>
            </w:r>
          </w:p>
        </w:tc>
        <w:tc>
          <w:tcPr>
            <w:tcW w:w="100" w:type="dxa"/>
            <w:vAlign w:val="bottom"/>
          </w:tcPr>
          <w:p>
            <w:pPr>
              <w:spacing w:after="0"/>
              <w:rPr>
                <w:sz w:val="18"/>
                <w:szCs w:val="18"/>
                <w:color w:val="auto"/>
              </w:rPr>
            </w:pPr>
          </w:p>
        </w:tc>
        <w:tc>
          <w:tcPr>
            <w:tcW w:w="400" w:type="dxa"/>
            <w:vAlign w:val="bottom"/>
          </w:tcPr>
          <w:p>
            <w:pPr>
              <w:jc w:val="right"/>
              <w:ind w:right="2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886</w:t>
            </w: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179"/>
        </w:trPr>
        <w:tc>
          <w:tcPr>
            <w:tcW w:w="454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6"/>
                <w:szCs w:val="16"/>
                <w:b w:val="1"/>
                <w:bCs w:val="1"/>
                <w:color w:val="auto"/>
              </w:rPr>
              <w:t>Basic Earnings Per Common Share</w:t>
            </w:r>
          </w:p>
        </w:tc>
        <w:tc>
          <w:tcPr>
            <w:tcW w:w="1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0.41</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26"/>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Diluted Earnings Per Common Share</w:t>
            </w:r>
          </w:p>
        </w:tc>
        <w:tc>
          <w:tcPr>
            <w:tcW w:w="2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0.40</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159"/>
        </w:trPr>
        <w:tc>
          <w:tcPr>
            <w:tcW w:w="45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13"/>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Common Shares Outstanding, Basic</w:t>
            </w:r>
          </w:p>
        </w:tc>
        <w:tc>
          <w:tcPr>
            <w:tcW w:w="1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w:t>
            </w:r>
          </w:p>
        </w:tc>
      </w:tr>
      <w:tr>
        <w:trPr>
          <w:trHeight w:val="208"/>
        </w:trPr>
        <w:tc>
          <w:tcPr>
            <w:tcW w:w="4540" w:type="dxa"/>
            <w:vAlign w:val="bottom"/>
          </w:tcPr>
          <w:p>
            <w:pPr>
              <w:ind w:left="20"/>
              <w:spacing w:after="0"/>
              <w:rPr>
                <w:sz w:val="20"/>
                <w:szCs w:val="20"/>
                <w:color w:val="auto"/>
              </w:rPr>
            </w:pPr>
            <w:r>
              <w:rPr>
                <w:rFonts w:ascii="Arial" w:cs="Arial" w:eastAsia="Arial" w:hAnsi="Arial"/>
                <w:sz w:val="16"/>
                <w:szCs w:val="16"/>
                <w:b w:val="1"/>
                <w:bCs w:val="1"/>
                <w:color w:val="auto"/>
              </w:rPr>
              <w:t>Weighted Average Common Shares Outstanding, Diluted</w:t>
            </w:r>
          </w:p>
        </w:tc>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633</w:t>
            </w:r>
          </w:p>
        </w:tc>
      </w:tr>
    </w:tbl>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CENTERPOINT ENERGY, INC. AND SUBSIDIARIES CONDENSED STATEMENTS OF CONSOLIDATED COMPREHENSIVE INCOME (Unaudited)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40" w:type="dxa"/>
            <w:vAlign w:val="bottom"/>
          </w:tcPr>
          <w:p>
            <w:pPr>
              <w:spacing w:after="0"/>
              <w:rPr>
                <w:sz w:val="16"/>
                <w:szCs w:val="16"/>
                <w:color w:val="auto"/>
              </w:rPr>
            </w:pPr>
          </w:p>
        </w:tc>
        <w:tc>
          <w:tcPr>
            <w:tcW w:w="2360" w:type="dxa"/>
            <w:vAlign w:val="bottom"/>
            <w:gridSpan w:val="4"/>
          </w:tcPr>
          <w:p>
            <w:pPr>
              <w:jc w:val="right"/>
              <w:ind w:right="237"/>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80" w:type="dxa"/>
            <w:vAlign w:val="bottom"/>
            <w:gridSpan w:val="4"/>
          </w:tcPr>
          <w:p>
            <w:pPr>
              <w:jc w:val="right"/>
              <w:ind w:right="713"/>
              <w:spacing w:after="0"/>
              <w:rPr>
                <w:sz w:val="20"/>
                <w:szCs w:val="20"/>
                <w:color w:val="auto"/>
              </w:rPr>
            </w:pPr>
            <w:r>
              <w:rPr>
                <w:rFonts w:ascii="Arial" w:cs="Arial" w:eastAsia="Arial" w:hAnsi="Arial"/>
                <w:sz w:val="14"/>
                <w:szCs w:val="14"/>
                <w:b w:val="1"/>
                <w:bCs w:val="1"/>
                <w:color w:val="auto"/>
              </w:rPr>
              <w:t>Nine Months Ended</w:t>
            </w:r>
          </w:p>
        </w:tc>
      </w:tr>
      <w:tr>
        <w:trPr>
          <w:trHeight w:val="199"/>
        </w:trPr>
        <w:tc>
          <w:tcPr>
            <w:tcW w:w="5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80" w:type="dxa"/>
            <w:vAlign w:val="bottom"/>
            <w:gridSpan w:val="3"/>
          </w:tcPr>
          <w:p>
            <w:pPr>
              <w:jc w:val="right"/>
              <w:ind w:right="457"/>
              <w:spacing w:after="0"/>
              <w:rPr>
                <w:sz w:val="20"/>
                <w:szCs w:val="20"/>
                <w:color w:val="auto"/>
              </w:rPr>
            </w:pPr>
            <w:r>
              <w:rPr>
                <w:rFonts w:ascii="Arial" w:cs="Arial" w:eastAsia="Arial" w:hAnsi="Arial"/>
                <w:sz w:val="14"/>
                <w:szCs w:val="14"/>
                <w:b w:val="1"/>
                <w:bCs w:val="1"/>
                <w:color w:val="auto"/>
                <w:w w:val="96"/>
              </w:rPr>
              <w:t>September 30,</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7"/>
                <w:szCs w:val="17"/>
                <w:color w:val="auto"/>
              </w:rPr>
            </w:pPr>
          </w:p>
        </w:tc>
      </w:tr>
      <w:tr>
        <w:trPr>
          <w:trHeight w:val="24"/>
        </w:trPr>
        <w:tc>
          <w:tcPr>
            <w:tcW w:w="55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554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r>
      <w:tr>
        <w:trPr>
          <w:trHeight w:val="192"/>
        </w:trPr>
        <w:tc>
          <w:tcPr>
            <w:tcW w:w="5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gridSpan w:val="3"/>
          </w:tcPr>
          <w:p>
            <w:pPr>
              <w:jc w:val="right"/>
              <w:ind w:right="11"/>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4"/>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auto"/>
            </w:tcBorders>
            <w:shd w:val="clear" w:color="auto" w:fill="CCEEFF"/>
          </w:tcPr>
          <w:p>
            <w:pPr>
              <w:jc w:val="right"/>
              <w:ind w:right="70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17"/>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r>
      <w:tr>
        <w:trPr>
          <w:trHeight w:val="205"/>
        </w:trPr>
        <w:tc>
          <w:tcPr>
            <w:tcW w:w="5540" w:type="dxa"/>
            <w:vAlign w:val="bottom"/>
          </w:tcPr>
          <w:p>
            <w:pPr>
              <w:ind w:left="20"/>
              <w:spacing w:after="0" w:line="205" w:lineRule="exact"/>
              <w:rPr>
                <w:sz w:val="20"/>
                <w:szCs w:val="20"/>
                <w:color w:val="auto"/>
              </w:rPr>
            </w:pPr>
            <w:r>
              <w:rPr>
                <w:rFonts w:ascii="Arial" w:cs="Arial" w:eastAsia="Arial" w:hAnsi="Arial"/>
                <w:sz w:val="18"/>
                <w:szCs w:val="18"/>
                <w:color w:val="auto"/>
              </w:rPr>
              <w:t>Other comprehensive income (loss):</w:t>
            </w: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74"/>
        </w:trPr>
        <w:tc>
          <w:tcPr>
            <w:tcW w:w="554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w w:val="93"/>
              </w:rPr>
              <w:t>Adjustment to pension and other postretirement plans (net of tax expense</w:t>
            </w:r>
          </w:p>
        </w:tc>
        <w:tc>
          <w:tcPr>
            <w:tcW w:w="8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38"/>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 of $-0-, $(9), $-0- and $(5))</w:t>
            </w:r>
          </w:p>
        </w:tc>
        <w:tc>
          <w:tcPr>
            <w:tcW w:w="8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174"/>
        </w:trPr>
        <w:tc>
          <w:tcPr>
            <w:tcW w:w="5540" w:type="dxa"/>
            <w:vAlign w:val="bottom"/>
          </w:tcPr>
          <w:p>
            <w:pPr>
              <w:ind w:left="20"/>
              <w:spacing w:after="0" w:line="174" w:lineRule="exact"/>
              <w:rPr>
                <w:sz w:val="20"/>
                <w:szCs w:val="20"/>
                <w:color w:val="auto"/>
              </w:rPr>
            </w:pPr>
            <w:r>
              <w:rPr>
                <w:rFonts w:ascii="Arial" w:cs="Arial" w:eastAsia="Arial" w:hAnsi="Arial"/>
                <w:sz w:val="18"/>
                <w:szCs w:val="18"/>
                <w:color w:val="auto"/>
                <w:w w:val="93"/>
              </w:rPr>
              <w:t>Net deferred gain from cash flow hedges (net of tax of $-0-, $-0-, $-0- and</w:t>
            </w: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8"/>
        </w:trPr>
        <w:tc>
          <w:tcPr>
            <w:tcW w:w="5540" w:type="dxa"/>
            <w:vAlign w:val="bottom"/>
          </w:tcPr>
          <w:p>
            <w:pPr>
              <w:ind w:left="180"/>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4"/>
        </w:trPr>
        <w:tc>
          <w:tcPr>
            <w:tcW w:w="554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w w:val="98"/>
              </w:rPr>
              <w:t>Reclassification of deferred loss from cash flow hedges realized in net</w:t>
            </w:r>
          </w:p>
        </w:tc>
        <w:tc>
          <w:tcPr>
            <w:tcW w:w="8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38"/>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(net of tax of $-0-, $-0-, $-0- and $-0-)</w:t>
            </w:r>
          </w:p>
        </w:tc>
        <w:tc>
          <w:tcPr>
            <w:tcW w:w="8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9"/>
        </w:trPr>
        <w:tc>
          <w:tcPr>
            <w:tcW w:w="55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2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8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w:t>
            </w:r>
          </w:p>
        </w:tc>
      </w:tr>
      <w:tr>
        <w:trPr>
          <w:trHeight w:val="219"/>
        </w:trPr>
        <w:tc>
          <w:tcPr>
            <w:tcW w:w="55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Income allocated to preferred shareholders</w:t>
            </w:r>
          </w:p>
        </w:tc>
        <w:tc>
          <w:tcPr>
            <w:tcW w:w="8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45"/>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available to common shareholders</w:t>
            </w:r>
          </w:p>
        </w:tc>
        <w:tc>
          <w:tcPr>
            <w:tcW w:w="880" w:type="dxa"/>
            <w:vAlign w:val="bottom"/>
            <w:tcBorders>
              <w:bottom w:val="single" w:sz="8" w:color="auto"/>
            </w:tcBorders>
            <w:shd w:val="clear" w:color="auto" w:fill="CCEEFF"/>
          </w:tcPr>
          <w:p>
            <w:pPr>
              <w:jc w:val="right"/>
              <w:ind w:right="70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17"/>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2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December 31,</w:t>
            </w:r>
          </w:p>
        </w:tc>
      </w:tr>
      <w:tr>
        <w:trPr>
          <w:trHeight w:val="190"/>
        </w:trPr>
        <w:tc>
          <w:tcPr>
            <w:tcW w:w="8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r>
      <w:tr>
        <w:trPr>
          <w:trHeight w:val="183"/>
        </w:trPr>
        <w:tc>
          <w:tcPr>
            <w:tcW w:w="8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80" w:type="dxa"/>
            <w:vAlign w:val="bottom"/>
            <w:gridSpan w:val="4"/>
          </w:tcPr>
          <w:p>
            <w:pPr>
              <w:jc w:val="right"/>
              <w:ind w:right="1033"/>
              <w:spacing w:after="0"/>
              <w:rPr>
                <w:sz w:val="20"/>
                <w:szCs w:val="20"/>
                <w:color w:val="auto"/>
              </w:rPr>
            </w:pPr>
            <w:r>
              <w:rPr>
                <w:rFonts w:ascii="Arial" w:cs="Arial" w:eastAsia="Arial" w:hAnsi="Arial"/>
                <w:sz w:val="14"/>
                <w:szCs w:val="14"/>
                <w:b w:val="1"/>
                <w:bCs w:val="1"/>
                <w:color w:val="auto"/>
              </w:rPr>
              <w:t>(in millions)</w:t>
            </w:r>
          </w:p>
        </w:tc>
      </w:tr>
      <w:tr>
        <w:trPr>
          <w:trHeight w:val="236"/>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31"/>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27"/>
        </w:trPr>
        <w:tc>
          <w:tcPr>
            <w:tcW w:w="8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 ($118 and $75 related to VIEs, respectively)</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5"/>
        </w:trPr>
        <w:tc>
          <w:tcPr>
            <w:tcW w:w="8260" w:type="dxa"/>
            <w:vAlign w:val="bottom"/>
          </w:tcPr>
          <w:p>
            <w:pPr>
              <w:ind w:left="100"/>
              <w:spacing w:after="0"/>
              <w:rPr>
                <w:sz w:val="20"/>
                <w:szCs w:val="20"/>
                <w:color w:val="auto"/>
              </w:rPr>
            </w:pPr>
            <w:r>
              <w:rPr>
                <w:rFonts w:ascii="Arial" w:cs="Arial" w:eastAsia="Arial" w:hAnsi="Arial"/>
                <w:sz w:val="18"/>
                <w:szCs w:val="18"/>
                <w:color w:val="auto"/>
              </w:rPr>
              <w:t>Investment in equity securities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510</w:t>
            </w:r>
          </w:p>
        </w:tc>
      </w:tr>
      <w:tr>
        <w:trPr>
          <w:trHeight w:val="174"/>
        </w:trPr>
        <w:tc>
          <w:tcPr>
            <w:tcW w:w="8260" w:type="dxa"/>
            <w:vAlign w:val="bottom"/>
            <w:shd w:val="clear" w:color="auto" w:fill="CCEEFF"/>
          </w:tcPr>
          <w:p>
            <w:pPr>
              <w:ind w:left="100"/>
              <w:spacing w:after="0" w:line="175" w:lineRule="exact"/>
              <w:rPr>
                <w:sz w:val="20"/>
                <w:szCs w:val="20"/>
                <w:color w:val="auto"/>
              </w:rPr>
            </w:pPr>
            <w:r>
              <w:rPr>
                <w:rFonts w:ascii="Arial" w:cs="Arial" w:eastAsia="Arial" w:hAnsi="Arial"/>
                <w:sz w:val="18"/>
                <w:szCs w:val="18"/>
                <w:color w:val="auto"/>
                <w:w w:val="91"/>
              </w:rPr>
              <w:t>Accounts receivable ($32 and $22 related to VIEs, respectively), less allowance for credit losses of $31 and $38,</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38"/>
        </w:trPr>
        <w:tc>
          <w:tcPr>
            <w:tcW w:w="8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r>
      <w:tr>
        <w:trPr>
          <w:trHeight w:val="174"/>
        </w:trPr>
        <w:tc>
          <w:tcPr>
            <w:tcW w:w="8260" w:type="dxa"/>
            <w:vAlign w:val="bottom"/>
          </w:tcPr>
          <w:p>
            <w:pPr>
              <w:ind w:left="100"/>
              <w:spacing w:after="0" w:line="174" w:lineRule="exact"/>
              <w:rPr>
                <w:sz w:val="20"/>
                <w:szCs w:val="20"/>
                <w:color w:val="auto"/>
              </w:rPr>
            </w:pPr>
            <w:r>
              <w:rPr>
                <w:rFonts w:ascii="Arial" w:cs="Arial" w:eastAsia="Arial" w:hAnsi="Arial"/>
                <w:sz w:val="18"/>
                <w:szCs w:val="18"/>
                <w:color w:val="auto"/>
                <w:w w:val="89"/>
              </w:rPr>
              <w:t>Accrued unbilled revenues ($2 and $0 related to VIEs, respectively), less allowance for credit losses of $1 and $4,</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38"/>
        </w:trPr>
        <w:tc>
          <w:tcPr>
            <w:tcW w:w="8260" w:type="dxa"/>
            <w:vAlign w:val="bottom"/>
          </w:tcPr>
          <w:p>
            <w:pPr>
              <w:ind w:left="26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764</w:t>
            </w:r>
          </w:p>
        </w:tc>
      </w:tr>
      <w:tr>
        <w:trPr>
          <w:trHeight w:val="227"/>
        </w:trPr>
        <w:tc>
          <w:tcPr>
            <w:tcW w:w="8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Natural gas and coal inventory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25"/>
        </w:trPr>
        <w:tc>
          <w:tcPr>
            <w:tcW w:w="8260" w:type="dxa"/>
            <w:vAlign w:val="bottom"/>
          </w:tcPr>
          <w:p>
            <w:pPr>
              <w:ind w:left="100"/>
              <w:spacing w:after="0"/>
              <w:rPr>
                <w:sz w:val="20"/>
                <w:szCs w:val="20"/>
                <w:color w:val="auto"/>
              </w:rPr>
            </w:pPr>
            <w:r>
              <w:rPr>
                <w:rFonts w:ascii="Arial" w:cs="Arial" w:eastAsia="Arial" w:hAnsi="Arial"/>
                <w:sz w:val="18"/>
                <w:szCs w:val="18"/>
                <w:color w:val="auto"/>
              </w:rPr>
              <w:t>Materials and supplies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635</w:t>
            </w:r>
          </w:p>
        </w:tc>
      </w:tr>
      <w:tr>
        <w:trPr>
          <w:trHeight w:val="227"/>
        </w:trPr>
        <w:tc>
          <w:tcPr>
            <w:tcW w:w="8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Non-trading derivative 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5"/>
        </w:trPr>
        <w:tc>
          <w:tcPr>
            <w:tcW w:w="8260" w:type="dxa"/>
            <w:vAlign w:val="bottom"/>
          </w:tcPr>
          <w:p>
            <w:pPr>
              <w:ind w:left="100"/>
              <w:spacing w:after="0"/>
              <w:rPr>
                <w:sz w:val="20"/>
                <w:szCs w:val="20"/>
                <w:color w:val="auto"/>
              </w:rPr>
            </w:pPr>
            <w:r>
              <w:rPr>
                <w:rFonts w:ascii="Arial" w:cs="Arial" w:eastAsia="Arial" w:hAnsi="Arial"/>
                <w:sz w:val="18"/>
                <w:szCs w:val="18"/>
                <w:color w:val="auto"/>
              </w:rPr>
              <w:t>Taxes receivable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7"/>
        </w:trPr>
        <w:tc>
          <w:tcPr>
            <w:tcW w:w="8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Regulatory 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r>
      <w:tr>
        <w:trPr>
          <w:trHeight w:val="225"/>
        </w:trPr>
        <w:tc>
          <w:tcPr>
            <w:tcW w:w="82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Prepaid expenses and other current assets ($14 and $13 related to VIEs, respectively)</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r>
      <w:tr>
        <w:trPr>
          <w:trHeight w:val="220"/>
        </w:trPr>
        <w:tc>
          <w:tcPr>
            <w:tcW w:w="8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4,699</w:t>
            </w:r>
          </w:p>
        </w:tc>
      </w:tr>
      <w:tr>
        <w:trPr>
          <w:trHeight w:val="206"/>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6"/>
        </w:trPr>
        <w:tc>
          <w:tcPr>
            <w:tcW w:w="8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Property, plant and equipment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37,728</w:t>
            </w:r>
          </w:p>
        </w:tc>
      </w:tr>
      <w:tr>
        <w:trPr>
          <w:trHeight w:val="225"/>
        </w:trPr>
        <w:tc>
          <w:tcPr>
            <w:tcW w:w="82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10,585</w:t>
            </w:r>
          </w:p>
        </w:tc>
      </w:tr>
      <w:tr>
        <w:trPr>
          <w:trHeight w:val="220"/>
        </w:trPr>
        <w:tc>
          <w:tcPr>
            <w:tcW w:w="8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27,143</w:t>
            </w:r>
          </w:p>
        </w:tc>
      </w:tr>
      <w:tr>
        <w:trPr>
          <w:trHeight w:val="206"/>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Other Assets:</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6"/>
        </w:trPr>
        <w:tc>
          <w:tcPr>
            <w:tcW w:w="8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w:t>
            </w:r>
          </w:p>
        </w:tc>
      </w:tr>
      <w:tr>
        <w:trPr>
          <w:trHeight w:val="225"/>
        </w:trPr>
        <w:tc>
          <w:tcPr>
            <w:tcW w:w="8260" w:type="dxa"/>
            <w:vAlign w:val="bottom"/>
          </w:tcPr>
          <w:p>
            <w:pPr>
              <w:ind w:left="100"/>
              <w:spacing w:after="0"/>
              <w:rPr>
                <w:sz w:val="20"/>
                <w:szCs w:val="20"/>
                <w:color w:val="auto"/>
              </w:rPr>
            </w:pPr>
            <w:r>
              <w:rPr>
                <w:rFonts w:ascii="Arial" w:cs="Arial" w:eastAsia="Arial" w:hAnsi="Arial"/>
                <w:sz w:val="18"/>
                <w:szCs w:val="18"/>
                <w:color w:val="auto"/>
              </w:rPr>
              <w:t>Regulatory assets ($438 and $229 related to VIEs, respectively)</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2,193</w:t>
            </w:r>
          </w:p>
        </w:tc>
      </w:tr>
      <w:tr>
        <w:trPr>
          <w:trHeight w:val="227"/>
        </w:trPr>
        <w:tc>
          <w:tcPr>
            <w:tcW w:w="8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Non-trading derivative assets</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5"/>
        </w:trPr>
        <w:tc>
          <w:tcPr>
            <w:tcW w:w="82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r>
      <w:tr>
        <w:trPr>
          <w:trHeight w:val="219"/>
        </w:trPr>
        <w:tc>
          <w:tcPr>
            <w:tcW w:w="8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6,704</w:t>
            </w:r>
          </w:p>
        </w:tc>
      </w:tr>
      <w:tr>
        <w:trPr>
          <w:trHeight w:val="220"/>
        </w:trPr>
        <w:tc>
          <w:tcPr>
            <w:tcW w:w="8260" w:type="dxa"/>
            <w:vAlign w:val="bottom"/>
          </w:tcPr>
          <w:p>
            <w:pPr>
              <w:ind w:left="66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39,001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38,546</w:t>
            </w:r>
          </w:p>
        </w:tc>
      </w:tr>
      <w:tr>
        <w:trPr>
          <w:trHeight w:val="20"/>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2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December 31,</w:t>
            </w:r>
          </w:p>
        </w:tc>
      </w:tr>
      <w:tr>
        <w:trPr>
          <w:trHeight w:val="190"/>
        </w:trPr>
        <w:tc>
          <w:tcPr>
            <w:tcW w:w="8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r>
      <w:tr>
        <w:trPr>
          <w:trHeight w:val="183"/>
        </w:trPr>
        <w:tc>
          <w:tcPr>
            <w:tcW w:w="8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0" w:type="dxa"/>
            <w:vAlign w:val="bottom"/>
            <w:gridSpan w:val="4"/>
          </w:tcPr>
          <w:p>
            <w:pPr>
              <w:jc w:val="right"/>
              <w:ind w:right="173"/>
              <w:spacing w:after="0"/>
              <w:rPr>
                <w:sz w:val="20"/>
                <w:szCs w:val="20"/>
                <w:color w:val="auto"/>
              </w:rPr>
            </w:pPr>
            <w:r>
              <w:rPr>
                <w:rFonts w:ascii="Arial" w:cs="Arial" w:eastAsia="Arial" w:hAnsi="Arial"/>
                <w:sz w:val="14"/>
                <w:szCs w:val="14"/>
                <w:b w:val="1"/>
                <w:bCs w:val="1"/>
                <w:color w:val="auto"/>
                <w:w w:val="91"/>
              </w:rPr>
              <w:t>(in millions, except par value and shares)</w:t>
            </w:r>
          </w:p>
        </w:tc>
      </w:tr>
      <w:tr>
        <w:trPr>
          <w:trHeight w:val="236"/>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31"/>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27"/>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borrowings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r>
      <w:tr>
        <w:trPr>
          <w:trHeight w:val="225"/>
        </w:trPr>
        <w:tc>
          <w:tcPr>
            <w:tcW w:w="8260" w:type="dxa"/>
            <w:vAlign w:val="bottom"/>
          </w:tcPr>
          <w:p>
            <w:pPr>
              <w:ind w:left="140"/>
              <w:spacing w:after="0"/>
              <w:rPr>
                <w:sz w:val="20"/>
                <w:szCs w:val="20"/>
                <w:color w:val="auto"/>
              </w:rPr>
            </w:pPr>
            <w:r>
              <w:rPr>
                <w:rFonts w:ascii="Arial" w:cs="Arial" w:eastAsia="Arial" w:hAnsi="Arial"/>
                <w:sz w:val="18"/>
                <w:szCs w:val="18"/>
                <w:color w:val="auto"/>
              </w:rPr>
              <w:t>Current portion of VIE Securitization Bonds long-term debt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27"/>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Indexed debt, net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5"/>
        </w:trPr>
        <w:tc>
          <w:tcPr>
            <w:tcW w:w="8260" w:type="dxa"/>
            <w:vAlign w:val="bottom"/>
          </w:tcPr>
          <w:p>
            <w:pPr>
              <w:ind w:left="140"/>
              <w:spacing w:after="0"/>
              <w:rPr>
                <w:sz w:val="20"/>
                <w:szCs w:val="20"/>
                <w:color w:val="auto"/>
              </w:rPr>
            </w:pPr>
            <w:r>
              <w:rPr>
                <w:rFonts w:ascii="Arial" w:cs="Arial" w:eastAsia="Arial" w:hAnsi="Arial"/>
                <w:sz w:val="18"/>
                <w:szCs w:val="18"/>
                <w:color w:val="auto"/>
              </w:rPr>
              <w:t>Current portion of other long-term debt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1,346</w:t>
            </w:r>
          </w:p>
        </w:tc>
      </w:tr>
      <w:tr>
        <w:trPr>
          <w:trHeight w:val="227"/>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Indexed debt securities derivative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r>
      <w:tr>
        <w:trPr>
          <w:trHeight w:val="225"/>
        </w:trPr>
        <w:tc>
          <w:tcPr>
            <w:tcW w:w="826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1,352</w:t>
            </w:r>
          </w:p>
        </w:tc>
      </w:tr>
      <w:tr>
        <w:trPr>
          <w:trHeight w:val="227"/>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 accrued</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25"/>
        </w:trPr>
        <w:tc>
          <w:tcPr>
            <w:tcW w:w="8260" w:type="dxa"/>
            <w:vAlign w:val="bottom"/>
          </w:tcPr>
          <w:p>
            <w:pPr>
              <w:ind w:left="140"/>
              <w:spacing w:after="0"/>
              <w:rPr>
                <w:sz w:val="20"/>
                <w:szCs w:val="20"/>
                <w:color w:val="auto"/>
              </w:rPr>
            </w:pPr>
            <w:r>
              <w:rPr>
                <w:rFonts w:ascii="Arial" w:cs="Arial" w:eastAsia="Arial" w:hAnsi="Arial"/>
                <w:sz w:val="18"/>
                <w:szCs w:val="18"/>
                <w:color w:val="auto"/>
              </w:rPr>
              <w:t>Interest accrued</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27"/>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accrued</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25"/>
        </w:trPr>
        <w:tc>
          <w:tcPr>
            <w:tcW w:w="8260" w:type="dxa"/>
            <w:vAlign w:val="bottom"/>
          </w:tcPr>
          <w:p>
            <w:pPr>
              <w:ind w:left="140"/>
              <w:spacing w:after="0"/>
              <w:rPr>
                <w:sz w:val="20"/>
                <w:szCs w:val="20"/>
                <w:color w:val="auto"/>
              </w:rPr>
            </w:pPr>
            <w:r>
              <w:rPr>
                <w:rFonts w:ascii="Arial" w:cs="Arial" w:eastAsia="Arial" w:hAnsi="Arial"/>
                <w:sz w:val="18"/>
                <w:szCs w:val="18"/>
                <w:color w:val="auto"/>
              </w:rPr>
              <w:t>Customer deposits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27"/>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r>
      <w:tr>
        <w:trPr>
          <w:trHeight w:val="219"/>
        </w:trPr>
        <w:tc>
          <w:tcPr>
            <w:tcW w:w="82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5,113</w:t>
            </w:r>
          </w:p>
        </w:tc>
      </w:tr>
      <w:tr>
        <w:trPr>
          <w:trHeight w:val="207"/>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Liabilities:</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5"/>
        </w:trPr>
        <w:tc>
          <w:tcPr>
            <w:tcW w:w="8260" w:type="dxa"/>
            <w:vAlign w:val="bottom"/>
          </w:tcPr>
          <w:p>
            <w:pPr>
              <w:ind w:left="140"/>
              <w:spacing w:after="0"/>
              <w:rPr>
                <w:sz w:val="20"/>
                <w:szCs w:val="20"/>
                <w:color w:val="auto"/>
              </w:rPr>
            </w:pPr>
            <w:r>
              <w:rPr>
                <w:rFonts w:ascii="Arial" w:cs="Arial" w:eastAsia="Arial" w:hAnsi="Arial"/>
                <w:sz w:val="18"/>
                <w:szCs w:val="18"/>
                <w:color w:val="auto"/>
              </w:rPr>
              <w:t>Deferred income taxes, net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3,986</w:t>
            </w:r>
          </w:p>
        </w:tc>
      </w:tr>
      <w:tr>
        <w:trPr>
          <w:trHeight w:val="227"/>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obligations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r>
      <w:tr>
        <w:trPr>
          <w:trHeight w:val="225"/>
        </w:trPr>
        <w:tc>
          <w:tcPr>
            <w:tcW w:w="8260" w:type="dxa"/>
            <w:vAlign w:val="bottom"/>
          </w:tcPr>
          <w:p>
            <w:pPr>
              <w:ind w:left="140"/>
              <w:spacing w:after="0"/>
              <w:rPr>
                <w:sz w:val="20"/>
                <w:szCs w:val="20"/>
                <w:color w:val="auto"/>
              </w:rPr>
            </w:pPr>
            <w:r>
              <w:rPr>
                <w:rFonts w:ascii="Arial" w:cs="Arial" w:eastAsia="Arial" w:hAnsi="Arial"/>
                <w:sz w:val="18"/>
                <w:szCs w:val="18"/>
                <w:color w:val="auto"/>
              </w:rPr>
              <w:t>Regulatory liabilities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3,245</w:t>
            </w:r>
          </w:p>
        </w:tc>
      </w:tr>
      <w:tr>
        <w:trPr>
          <w:trHeight w:val="227"/>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r>
      <w:tr>
        <w:trPr>
          <w:trHeight w:val="219"/>
        </w:trPr>
        <w:tc>
          <w:tcPr>
            <w:tcW w:w="82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other liabilities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8,552</w:t>
            </w:r>
          </w:p>
        </w:tc>
      </w:tr>
      <w:tr>
        <w:trPr>
          <w:trHeight w:val="207"/>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5"/>
        </w:trPr>
        <w:tc>
          <w:tcPr>
            <w:tcW w:w="8260" w:type="dxa"/>
            <w:vAlign w:val="bottom"/>
          </w:tcPr>
          <w:p>
            <w:pPr>
              <w:ind w:left="140"/>
              <w:spacing w:after="0"/>
              <w:rPr>
                <w:sz w:val="20"/>
                <w:szCs w:val="20"/>
                <w:color w:val="auto"/>
              </w:rPr>
            </w:pPr>
            <w:r>
              <w:rPr>
                <w:rFonts w:ascii="Arial" w:cs="Arial" w:eastAsia="Arial" w:hAnsi="Arial"/>
                <w:sz w:val="18"/>
                <w:szCs w:val="18"/>
                <w:color w:val="auto"/>
              </w:rPr>
              <w:t>VIE Securitization Bonds, net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27"/>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long-term debt, net</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14,675</w:t>
            </w:r>
          </w:p>
        </w:tc>
      </w:tr>
      <w:tr>
        <w:trPr>
          <w:trHeight w:val="219"/>
        </w:trPr>
        <w:tc>
          <w:tcPr>
            <w:tcW w:w="82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long-term debt, net</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14,836</w:t>
            </w:r>
          </w:p>
        </w:tc>
      </w:tr>
      <w:tr>
        <w:trPr>
          <w:trHeight w:val="207"/>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 (Note 13)</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6"/>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Temporary Equity (Note 18)</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74"/>
        </w:trPr>
        <w:tc>
          <w:tcPr>
            <w:tcW w:w="8260" w:type="dxa"/>
            <w:vAlign w:val="bottom"/>
          </w:tcPr>
          <w:p>
            <w:pPr>
              <w:ind w:left="140"/>
              <w:spacing w:after="0" w:line="174" w:lineRule="exact"/>
              <w:rPr>
                <w:sz w:val="20"/>
                <w:szCs w:val="20"/>
                <w:color w:val="auto"/>
              </w:rPr>
            </w:pPr>
            <w:r>
              <w:rPr>
                <w:rFonts w:ascii="Arial" w:cs="Arial" w:eastAsia="Arial" w:hAnsi="Arial"/>
                <w:sz w:val="18"/>
                <w:szCs w:val="18"/>
                <w:color w:val="auto"/>
                <w:w w:val="96"/>
              </w:rPr>
              <w:t>Cumulative preferred stock, $0.01 par value, 20,000,000 shares authorized, 0 shares and 800,000 shares</w:t>
            </w: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38"/>
        </w:trPr>
        <w:tc>
          <w:tcPr>
            <w:tcW w:w="8260" w:type="dxa"/>
            <w:vAlign w:val="bottom"/>
          </w:tcPr>
          <w:p>
            <w:pPr>
              <w:ind w:left="300"/>
              <w:spacing w:after="0"/>
              <w:rPr>
                <w:sz w:val="20"/>
                <w:szCs w:val="20"/>
                <w:color w:val="auto"/>
              </w:rPr>
            </w:pPr>
            <w:r>
              <w:rPr>
                <w:rFonts w:ascii="Arial" w:cs="Arial" w:eastAsia="Arial" w:hAnsi="Arial"/>
                <w:sz w:val="18"/>
                <w:szCs w:val="18"/>
                <w:color w:val="auto"/>
              </w:rPr>
              <w:t>outstanding, respectively, $0 and $800 liquidation preference, respectively (Note 18)</w:t>
            </w:r>
          </w:p>
        </w:tc>
        <w:tc>
          <w:tcPr>
            <w:tcW w:w="18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790</w:t>
            </w:r>
          </w:p>
        </w:tc>
      </w:tr>
      <w:tr>
        <w:trPr>
          <w:trHeight w:val="174"/>
        </w:trPr>
        <w:tc>
          <w:tcPr>
            <w:tcW w:w="8260" w:type="dxa"/>
            <w:vAlign w:val="bottom"/>
            <w:shd w:val="clear" w:color="auto" w:fill="CCEEFF"/>
          </w:tcPr>
          <w:p>
            <w:pPr>
              <w:ind w:left="140"/>
              <w:spacing w:after="0" w:line="175" w:lineRule="exact"/>
              <w:rPr>
                <w:sz w:val="20"/>
                <w:szCs w:val="20"/>
                <w:color w:val="auto"/>
              </w:rPr>
            </w:pPr>
            <w:r>
              <w:rPr>
                <w:rFonts w:ascii="Arial" w:cs="Arial" w:eastAsia="Arial" w:hAnsi="Arial"/>
                <w:sz w:val="18"/>
                <w:szCs w:val="18"/>
                <w:color w:val="auto"/>
                <w:w w:val="90"/>
              </w:rPr>
              <w:t>Common stock, $0.01 par value, 1,000,000,000 shares authorized, 631,209,962 shares and 629,535,631 shares</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38"/>
        </w:trPr>
        <w:tc>
          <w:tcPr>
            <w:tcW w:w="82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outstanding, respectively</w:t>
            </w: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5"/>
        </w:trPr>
        <w:tc>
          <w:tcPr>
            <w:tcW w:w="826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8,568</w:t>
            </w:r>
          </w:p>
        </w:tc>
      </w:tr>
      <w:tr>
        <w:trPr>
          <w:trHeight w:val="227"/>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r>
      <w:tr>
        <w:trPr>
          <w:trHeight w:val="225"/>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19"/>
        </w:trPr>
        <w:tc>
          <w:tcPr>
            <w:tcW w:w="8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10,042</w:t>
            </w:r>
          </w:p>
        </w:tc>
      </w:tr>
      <w:tr>
        <w:trPr>
          <w:trHeight w:val="220"/>
        </w:trPr>
        <w:tc>
          <w:tcPr>
            <w:tcW w:w="8260" w:type="dxa"/>
            <w:vAlign w:val="bottom"/>
          </w:tcPr>
          <w:p>
            <w:pPr>
              <w:ind w:left="660"/>
              <w:spacing w:after="0"/>
              <w:rPr>
                <w:sz w:val="20"/>
                <w:szCs w:val="20"/>
                <w:color w:val="auto"/>
              </w:rPr>
            </w:pPr>
            <w:r>
              <w:rPr>
                <w:rFonts w:ascii="Arial" w:cs="Arial" w:eastAsia="Arial" w:hAnsi="Arial"/>
                <w:sz w:val="18"/>
                <w:szCs w:val="18"/>
                <w:b w:val="1"/>
                <w:bCs w:val="1"/>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39,001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38,546</w:t>
            </w:r>
          </w:p>
        </w:tc>
      </w:tr>
      <w:tr>
        <w:trPr>
          <w:trHeight w:val="20"/>
        </w:trPr>
        <w:tc>
          <w:tcPr>
            <w:tcW w:w="8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CONSOLIDATED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20" w:type="dxa"/>
            <w:vAlign w:val="bottom"/>
          </w:tcPr>
          <w:p>
            <w:pPr>
              <w:spacing w:after="0"/>
              <w:rPr>
                <w:sz w:val="16"/>
                <w:szCs w:val="16"/>
                <w:color w:val="auto"/>
              </w:rPr>
            </w:pPr>
          </w:p>
        </w:tc>
        <w:tc>
          <w:tcPr>
            <w:tcW w:w="29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Nine Months Ended September 30,</w:t>
            </w:r>
          </w:p>
        </w:tc>
      </w:tr>
      <w:tr>
        <w:trPr>
          <w:trHeight w:val="24"/>
        </w:trPr>
        <w:tc>
          <w:tcPr>
            <w:tcW w:w="83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6"/>
        </w:trPr>
        <w:tc>
          <w:tcPr>
            <w:tcW w:w="83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2022</w:t>
            </w:r>
          </w:p>
        </w:tc>
      </w:tr>
      <w:tr>
        <w:trPr>
          <w:trHeight w:val="184"/>
        </w:trPr>
        <w:tc>
          <w:tcPr>
            <w:tcW w:w="8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60" w:type="dxa"/>
            <w:vAlign w:val="bottom"/>
            <w:gridSpan w:val="3"/>
          </w:tcPr>
          <w:p>
            <w:pPr>
              <w:jc w:val="right"/>
              <w:ind w:right="46"/>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6"/>
                <w:szCs w:val="16"/>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5"/>
        </w:trPr>
        <w:tc>
          <w:tcPr>
            <w:tcW w:w="8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880" w:type="dxa"/>
            <w:vAlign w:val="bottom"/>
            <w:shd w:val="clear" w:color="auto" w:fill="CCEEFF"/>
          </w:tcPr>
          <w:p>
            <w:pPr>
              <w:jc w:val="right"/>
              <w:ind w:right="705"/>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w:t>
            </w:r>
          </w:p>
        </w:tc>
      </w:tr>
      <w:tr>
        <w:trPr>
          <w:trHeight w:val="210"/>
        </w:trPr>
        <w:tc>
          <w:tcPr>
            <w:tcW w:w="8320" w:type="dxa"/>
            <w:vAlign w:val="bottom"/>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5"/>
        </w:trPr>
        <w:tc>
          <w:tcPr>
            <w:tcW w:w="8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w:t>
            </w:r>
          </w:p>
        </w:tc>
      </w:tr>
      <w:tr>
        <w:trPr>
          <w:trHeight w:val="210"/>
        </w:trPr>
        <w:tc>
          <w:tcPr>
            <w:tcW w:w="8320" w:type="dxa"/>
            <w:vAlign w:val="bottom"/>
          </w:tcPr>
          <w:p>
            <w:pPr>
              <w:ind w:left="340"/>
              <w:spacing w:after="0"/>
              <w:rPr>
                <w:sz w:val="20"/>
                <w:szCs w:val="20"/>
                <w:color w:val="auto"/>
              </w:rPr>
            </w:pPr>
            <w:r>
              <w:rPr>
                <w:rFonts w:ascii="Arial" w:cs="Arial" w:eastAsia="Arial" w:hAnsi="Arial"/>
                <w:sz w:val="16"/>
                <w:szCs w:val="16"/>
                <w:color w:val="auto"/>
              </w:rPr>
              <w:t>Deferred income taxes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5"/>
        </w:trPr>
        <w:tc>
          <w:tcPr>
            <w:tcW w:w="8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(gain) on divestitures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r>
      <w:tr>
        <w:trPr>
          <w:trHeight w:val="210"/>
        </w:trPr>
        <w:tc>
          <w:tcPr>
            <w:tcW w:w="8320" w:type="dxa"/>
            <w:vAlign w:val="bottom"/>
          </w:tcPr>
          <w:p>
            <w:pPr>
              <w:ind w:left="340"/>
              <w:spacing w:after="0"/>
              <w:rPr>
                <w:sz w:val="20"/>
                <w:szCs w:val="20"/>
                <w:color w:val="auto"/>
              </w:rPr>
            </w:pPr>
            <w:r>
              <w:rPr>
                <w:rFonts w:ascii="Arial" w:cs="Arial" w:eastAsia="Arial" w:hAnsi="Arial"/>
                <w:sz w:val="16"/>
                <w:szCs w:val="16"/>
                <w:color w:val="auto"/>
              </w:rPr>
              <w:t>Loss (gain) on equity securities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284</w:t>
            </w:r>
          </w:p>
        </w:tc>
      </w:tr>
      <w:tr>
        <w:trPr>
          <w:trHeight w:val="215"/>
        </w:trPr>
        <w:tc>
          <w:tcPr>
            <w:tcW w:w="8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(gain) on indexed debt securities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r>
      <w:tr>
        <w:trPr>
          <w:trHeight w:val="210"/>
        </w:trPr>
        <w:tc>
          <w:tcPr>
            <w:tcW w:w="8320" w:type="dxa"/>
            <w:vAlign w:val="bottom"/>
          </w:tcPr>
          <w:p>
            <w:pPr>
              <w:ind w:left="340"/>
              <w:spacing w:after="0"/>
              <w:rPr>
                <w:sz w:val="20"/>
                <w:szCs w:val="20"/>
                <w:color w:val="auto"/>
              </w:rPr>
            </w:pPr>
            <w:r>
              <w:rPr>
                <w:rFonts w:ascii="Arial" w:cs="Arial" w:eastAsia="Arial" w:hAnsi="Arial"/>
                <w:sz w:val="16"/>
                <w:szCs w:val="16"/>
                <w:color w:val="auto"/>
              </w:rPr>
              <w:t>Pension contributions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5"/>
        </w:trPr>
        <w:tc>
          <w:tcPr>
            <w:tcW w:w="8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Changes in other assets and liabilities: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0"/>
        </w:trPr>
        <w:tc>
          <w:tcPr>
            <w:tcW w:w="8320" w:type="dxa"/>
            <w:vAlign w:val="bottom"/>
          </w:tcPr>
          <w:p>
            <w:pPr>
              <w:ind w:left="500"/>
              <w:spacing w:after="0"/>
              <w:rPr>
                <w:sz w:val="20"/>
                <w:szCs w:val="20"/>
                <w:color w:val="auto"/>
              </w:rPr>
            </w:pPr>
            <w:r>
              <w:rPr>
                <w:rFonts w:ascii="Arial" w:cs="Arial" w:eastAsia="Arial" w:hAnsi="Arial"/>
                <w:sz w:val="16"/>
                <w:szCs w:val="16"/>
                <w:color w:val="auto"/>
              </w:rPr>
              <w:t>Accounts receivable and unbilled revenues, net</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528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15"/>
        </w:trPr>
        <w:tc>
          <w:tcPr>
            <w:tcW w:w="83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Inventory</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r>
      <w:tr>
        <w:trPr>
          <w:trHeight w:val="210"/>
        </w:trPr>
        <w:tc>
          <w:tcPr>
            <w:tcW w:w="8320" w:type="dxa"/>
            <w:vAlign w:val="bottom"/>
          </w:tcPr>
          <w:p>
            <w:pPr>
              <w:ind w:left="500"/>
              <w:spacing w:after="0"/>
              <w:rPr>
                <w:sz w:val="20"/>
                <w:szCs w:val="20"/>
                <w:color w:val="auto"/>
              </w:rPr>
            </w:pPr>
            <w:r>
              <w:rPr>
                <w:rFonts w:ascii="Arial" w:cs="Arial" w:eastAsia="Arial" w:hAnsi="Arial"/>
                <w:sz w:val="16"/>
                <w:szCs w:val="16"/>
                <w:color w:val="auto"/>
              </w:rPr>
              <w:t>Taxes receivable</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83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Accounts payable</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210"/>
        </w:trPr>
        <w:tc>
          <w:tcPr>
            <w:tcW w:w="8320" w:type="dxa"/>
            <w:vAlign w:val="bottom"/>
          </w:tcPr>
          <w:p>
            <w:pPr>
              <w:ind w:left="500"/>
              <w:spacing w:after="0"/>
              <w:rPr>
                <w:sz w:val="20"/>
                <w:szCs w:val="20"/>
                <w:color w:val="auto"/>
              </w:rPr>
            </w:pPr>
            <w:r>
              <w:rPr>
                <w:rFonts w:ascii="Arial" w:cs="Arial" w:eastAsia="Arial" w:hAnsi="Arial"/>
                <w:sz w:val="16"/>
                <w:szCs w:val="16"/>
                <w:color w:val="auto"/>
              </w:rPr>
              <w:t>Net regulatory assets and liabilities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1,102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148</w:t>
            </w:r>
          </w:p>
        </w:tc>
      </w:tr>
      <w:tr>
        <w:trPr>
          <w:trHeight w:val="215"/>
        </w:trPr>
        <w:tc>
          <w:tcPr>
            <w:tcW w:w="83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Other current assets and liabilities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10"/>
        </w:trPr>
        <w:tc>
          <w:tcPr>
            <w:tcW w:w="8320" w:type="dxa"/>
            <w:vAlign w:val="bottom"/>
          </w:tcPr>
          <w:p>
            <w:pPr>
              <w:ind w:left="500"/>
              <w:spacing w:after="0"/>
              <w:rPr>
                <w:sz w:val="20"/>
                <w:szCs w:val="20"/>
                <w:color w:val="auto"/>
              </w:rPr>
            </w:pPr>
            <w:r>
              <w:rPr>
                <w:rFonts w:ascii="Arial" w:cs="Arial" w:eastAsia="Arial" w:hAnsi="Arial"/>
                <w:sz w:val="16"/>
                <w:szCs w:val="16"/>
                <w:color w:val="auto"/>
              </w:rPr>
              <w:t>Other non-current assets and liabilities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5"/>
        </w:trPr>
        <w:tc>
          <w:tcPr>
            <w:tcW w:w="8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operating activities, net</w:t>
            </w: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03"/>
        </w:trPr>
        <w:tc>
          <w:tcPr>
            <w:tcW w:w="832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Net cash provided by operating activities</w:t>
            </w: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3,069</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1,325</w:t>
            </w:r>
          </w:p>
        </w:tc>
      </w:tr>
      <w:tr>
        <w:trPr>
          <w:trHeight w:val="195"/>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10"/>
        </w:trPr>
        <w:tc>
          <w:tcPr>
            <w:tcW w:w="832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4"/>
              </w:rPr>
              <w:t>(3,323)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(3,079)</w:t>
            </w:r>
          </w:p>
        </w:tc>
      </w:tr>
      <w:tr>
        <w:trPr>
          <w:trHeight w:val="215"/>
        </w:trPr>
        <w:tc>
          <w:tcPr>
            <w:tcW w:w="8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sale of marketable securities</w:t>
            </w: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w:t>
            </w:r>
          </w:p>
        </w:tc>
      </w:tr>
      <w:tr>
        <w:trPr>
          <w:trHeight w:val="210"/>
        </w:trPr>
        <w:tc>
          <w:tcPr>
            <w:tcW w:w="8320" w:type="dxa"/>
            <w:vAlign w:val="bottom"/>
          </w:tcPr>
          <w:p>
            <w:pPr>
              <w:ind w:left="220"/>
              <w:spacing w:after="0"/>
              <w:rPr>
                <w:sz w:val="20"/>
                <w:szCs w:val="20"/>
                <w:color w:val="auto"/>
              </w:rPr>
            </w:pPr>
            <w:r>
              <w:rPr>
                <w:rFonts w:ascii="Arial" w:cs="Arial" w:eastAsia="Arial" w:hAnsi="Arial"/>
                <w:sz w:val="16"/>
                <w:szCs w:val="16"/>
                <w:color w:val="auto"/>
              </w:rPr>
              <w:t>Proceeds from divestitures, net of cash divested</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2,075</w:t>
            </w:r>
          </w:p>
        </w:tc>
      </w:tr>
      <w:tr>
        <w:trPr>
          <w:trHeight w:val="215"/>
        </w:trPr>
        <w:tc>
          <w:tcPr>
            <w:tcW w:w="8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investing activities, net</w:t>
            </w: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03"/>
        </w:trPr>
        <w:tc>
          <w:tcPr>
            <w:tcW w:w="832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Net cash used in investing activities</w:t>
            </w: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(3,190)</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w:t>
            </w:r>
          </w:p>
        </w:tc>
      </w:tr>
      <w:tr>
        <w:trPr>
          <w:trHeight w:val="195"/>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10"/>
        </w:trPr>
        <w:tc>
          <w:tcPr>
            <w:tcW w:w="8320" w:type="dxa"/>
            <w:vAlign w:val="bottom"/>
          </w:tcPr>
          <w:p>
            <w:pPr>
              <w:ind w:left="220"/>
              <w:spacing w:after="0"/>
              <w:rPr>
                <w:sz w:val="20"/>
                <w:szCs w:val="20"/>
                <w:color w:val="auto"/>
              </w:rPr>
            </w:pPr>
            <w:r>
              <w:rPr>
                <w:rFonts w:ascii="Arial" w:cs="Arial" w:eastAsia="Arial" w:hAnsi="Arial"/>
                <w:sz w:val="16"/>
                <w:szCs w:val="16"/>
                <w:color w:val="auto"/>
              </w:rPr>
              <w:t>Increase (decrease) in short-term borrowings, net</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457</w:t>
            </w:r>
          </w:p>
        </w:tc>
      </w:tr>
      <w:tr>
        <w:trPr>
          <w:trHeight w:val="215"/>
        </w:trPr>
        <w:tc>
          <w:tcPr>
            <w:tcW w:w="8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 of obligation for finance lease</w:t>
            </w: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r>
      <w:tr>
        <w:trPr>
          <w:trHeight w:val="210"/>
        </w:trPr>
        <w:tc>
          <w:tcPr>
            <w:tcW w:w="8320" w:type="dxa"/>
            <w:vAlign w:val="bottom"/>
          </w:tcPr>
          <w:p>
            <w:pPr>
              <w:ind w:left="220"/>
              <w:spacing w:after="0"/>
              <w:rPr>
                <w:sz w:val="20"/>
                <w:szCs w:val="20"/>
                <w:color w:val="auto"/>
              </w:rPr>
            </w:pPr>
            <w:r>
              <w:rPr>
                <w:rFonts w:ascii="Arial" w:cs="Arial" w:eastAsia="Arial" w:hAnsi="Arial"/>
                <w:sz w:val="16"/>
                <w:szCs w:val="16"/>
                <w:color w:val="auto"/>
              </w:rPr>
              <w:t>Payments of commercial paper, net</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4"/>
              </w:rPr>
              <w:t>(1,496)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(1,620)</w:t>
            </w:r>
          </w:p>
        </w:tc>
      </w:tr>
      <w:tr>
        <w:trPr>
          <w:trHeight w:val="215"/>
        </w:trPr>
        <w:tc>
          <w:tcPr>
            <w:tcW w:w="8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long-term debt and term loans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2,089</w:t>
            </w:r>
          </w:p>
        </w:tc>
      </w:tr>
      <w:tr>
        <w:trPr>
          <w:trHeight w:val="210"/>
        </w:trPr>
        <w:tc>
          <w:tcPr>
            <w:tcW w:w="8320" w:type="dxa"/>
            <w:vAlign w:val="bottom"/>
          </w:tcPr>
          <w:p>
            <w:pPr>
              <w:ind w:left="220"/>
              <w:spacing w:after="0"/>
              <w:rPr>
                <w:sz w:val="20"/>
                <w:szCs w:val="20"/>
                <w:color w:val="auto"/>
              </w:rPr>
            </w:pPr>
            <w:r>
              <w:rPr>
                <w:rFonts w:ascii="Arial" w:cs="Arial" w:eastAsia="Arial" w:hAnsi="Arial"/>
                <w:sz w:val="16"/>
                <w:szCs w:val="16"/>
                <w:color w:val="auto"/>
              </w:rPr>
              <w:t>Payments of long-term debt and term loans, including make-whole premiums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4"/>
              </w:rPr>
              <w:t>(2,613)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(1,519)</w:t>
            </w:r>
          </w:p>
        </w:tc>
      </w:tr>
      <w:tr>
        <w:trPr>
          <w:trHeight w:val="215"/>
        </w:trPr>
        <w:tc>
          <w:tcPr>
            <w:tcW w:w="8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 of debt issuance costs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0"/>
        </w:trPr>
        <w:tc>
          <w:tcPr>
            <w:tcW w:w="8320" w:type="dxa"/>
            <w:vAlign w:val="bottom"/>
          </w:tcPr>
          <w:p>
            <w:pPr>
              <w:ind w:left="220"/>
              <w:spacing w:after="0"/>
              <w:rPr>
                <w:sz w:val="20"/>
                <w:szCs w:val="20"/>
                <w:color w:val="auto"/>
              </w:rPr>
            </w:pPr>
            <w:r>
              <w:rPr>
                <w:rFonts w:ascii="Arial" w:cs="Arial" w:eastAsia="Arial" w:hAnsi="Arial"/>
                <w:sz w:val="16"/>
                <w:szCs w:val="16"/>
                <w:color w:val="auto"/>
              </w:rPr>
              <w:t>Payment of dividends on Common Stock</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(359)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(328)</w:t>
            </w:r>
          </w:p>
        </w:tc>
      </w:tr>
      <w:tr>
        <w:trPr>
          <w:trHeight w:val="215"/>
        </w:trPr>
        <w:tc>
          <w:tcPr>
            <w:tcW w:w="8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 of dividends on Preferred Stock</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10"/>
        </w:trPr>
        <w:tc>
          <w:tcPr>
            <w:tcW w:w="8320" w:type="dxa"/>
            <w:vAlign w:val="bottom"/>
          </w:tcPr>
          <w:p>
            <w:pPr>
              <w:ind w:left="220"/>
              <w:spacing w:after="0"/>
              <w:rPr>
                <w:sz w:val="20"/>
                <w:szCs w:val="20"/>
                <w:color w:val="auto"/>
              </w:rPr>
            </w:pPr>
            <w:r>
              <w:rPr>
                <w:rFonts w:ascii="Arial" w:cs="Arial" w:eastAsia="Arial" w:hAnsi="Arial"/>
                <w:sz w:val="16"/>
                <w:szCs w:val="16"/>
                <w:color w:val="auto"/>
              </w:rPr>
              <w:t>Redemption of Series A Preferred Stock</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(800)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financing activities, net</w:t>
            </w: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03"/>
        </w:trPr>
        <w:tc>
          <w:tcPr>
            <w:tcW w:w="832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Net cash provided by (used in) financing activities</w:t>
            </w: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(1,220)</w:t>
            </w:r>
          </w:p>
        </w:tc>
      </w:tr>
      <w:tr>
        <w:trPr>
          <w:trHeight w:val="20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Increase (Decrease) in Cash, Cash Equivalents and Restricted Cash</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1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Cash, Cash Equivalents and Restricted Cash at Beginning of Period</w:t>
            </w:r>
          </w:p>
        </w:tc>
        <w:tc>
          <w:tcPr>
            <w:tcW w:w="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w:t>
            </w:r>
          </w:p>
        </w:tc>
      </w:tr>
      <w:tr>
        <w:trPr>
          <w:trHeight w:val="233"/>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880" w:type="dxa"/>
            <w:vAlign w:val="bottom"/>
            <w:tcBorders>
              <w:bottom w:val="single" w:sz="8" w:color="auto"/>
            </w:tcBorders>
            <w:shd w:val="clear" w:color="auto" w:fill="CCEEFF"/>
          </w:tcPr>
          <w:p>
            <w:pPr>
              <w:jc w:val="right"/>
              <w:ind w:right="705"/>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6"/>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jc w:val="center"/>
        <w:ind w:left="420" w:right="2520"/>
        <w:spacing w:after="0" w:line="266" w:lineRule="auto"/>
        <w:rPr>
          <w:sz w:val="20"/>
          <w:szCs w:val="20"/>
          <w:color w:val="auto"/>
        </w:rPr>
      </w:pPr>
      <w:r>
        <w:rPr>
          <w:rFonts w:ascii="Arial" w:cs="Arial" w:eastAsia="Arial" w:hAnsi="Arial"/>
          <w:sz w:val="18"/>
          <w:szCs w:val="18"/>
          <w:b w:val="1"/>
          <w:bCs w:val="1"/>
          <w:color w:val="auto"/>
        </w:rPr>
        <w:t>CENTERPOINT ENERGY, INC. AND SUBSIDIARIES CONDENSED STATEMENTS OF CONSOLIDATED CHANGES IN EQUITY (Unaudited)</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2900" w:type="dxa"/>
            <w:vAlign w:val="bottom"/>
            <w:gridSpan w:val="10"/>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180" w:type="dxa"/>
            <w:vAlign w:val="bottom"/>
            <w:gridSpan w:val="9"/>
          </w:tcPr>
          <w:p>
            <w:pPr>
              <w:jc w:val="right"/>
              <w:ind w:right="40"/>
              <w:spacing w:after="0"/>
              <w:rPr>
                <w:sz w:val="20"/>
                <w:szCs w:val="20"/>
                <w:color w:val="auto"/>
              </w:rPr>
            </w:pPr>
            <w:r>
              <w:rPr>
                <w:rFonts w:ascii="Arial" w:cs="Arial" w:eastAsia="Arial" w:hAnsi="Arial"/>
                <w:sz w:val="14"/>
                <w:szCs w:val="14"/>
                <w:b w:val="1"/>
                <w:bCs w:val="1"/>
                <w:color w:val="auto"/>
                <w:w w:val="92"/>
              </w:rPr>
              <w:t>Nine Months Ended September 30,</w:t>
            </w:r>
          </w:p>
        </w:tc>
        <w:tc>
          <w:tcPr>
            <w:tcW w:w="720" w:type="dxa"/>
            <w:vAlign w:val="bottom"/>
          </w:tcPr>
          <w:p>
            <w:pPr>
              <w:spacing w:after="0"/>
              <w:rPr>
                <w:sz w:val="16"/>
                <w:szCs w:val="16"/>
                <w:color w:val="auto"/>
              </w:rPr>
            </w:pPr>
          </w:p>
        </w:tc>
      </w:tr>
      <w:tr>
        <w:trPr>
          <w:trHeight w:val="24"/>
        </w:trPr>
        <w:tc>
          <w:tcPr>
            <w:tcW w:w="38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6"/>
        </w:trPr>
        <w:tc>
          <w:tcPr>
            <w:tcW w:w="38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3"/>
              </w:rPr>
              <w:t>2023</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3"/>
              </w:rPr>
              <w:t>2022</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3"/>
              </w:rPr>
              <w:t>2023</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9"/>
              </w:rPr>
              <w:t>2022</w:t>
            </w:r>
          </w:p>
        </w:tc>
        <w:tc>
          <w:tcPr>
            <w:tcW w:w="720" w:type="dxa"/>
            <w:vAlign w:val="bottom"/>
            <w:tcBorders>
              <w:bottom w:val="single" w:sz="8" w:color="auto"/>
            </w:tcBorders>
          </w:tcPr>
          <w:p>
            <w:pPr>
              <w:spacing w:after="0"/>
              <w:rPr>
                <w:sz w:val="16"/>
                <w:szCs w:val="16"/>
                <w:color w:val="auto"/>
              </w:rPr>
            </w:pPr>
          </w:p>
        </w:tc>
      </w:tr>
      <w:tr>
        <w:trPr>
          <w:trHeight w:val="193"/>
        </w:trPr>
        <w:tc>
          <w:tcPr>
            <w:tcW w:w="3800" w:type="dxa"/>
            <w:vAlign w:val="bottom"/>
          </w:tcPr>
          <w:p>
            <w:pPr>
              <w:spacing w:after="0"/>
              <w:rPr>
                <w:sz w:val="16"/>
                <w:szCs w:val="16"/>
                <w:color w:val="auto"/>
              </w:rPr>
            </w:pP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Shares</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Shares</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Shares</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8"/>
              </w:rPr>
              <w:t>Amount</w:t>
            </w:r>
          </w:p>
        </w:tc>
      </w:tr>
      <w:tr>
        <w:trPr>
          <w:trHeight w:val="184"/>
        </w:trPr>
        <w:tc>
          <w:tcPr>
            <w:tcW w:w="3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60" w:type="dxa"/>
            <w:vAlign w:val="bottom"/>
            <w:gridSpan w:val="15"/>
          </w:tcPr>
          <w:p>
            <w:pPr>
              <w:jc w:val="right"/>
              <w:ind w:right="57"/>
              <w:spacing w:after="0"/>
              <w:rPr>
                <w:sz w:val="20"/>
                <w:szCs w:val="20"/>
                <w:color w:val="auto"/>
              </w:rPr>
            </w:pPr>
            <w:r>
              <w:rPr>
                <w:rFonts w:ascii="Arial" w:cs="Arial" w:eastAsia="Arial" w:hAnsi="Arial"/>
                <w:sz w:val="14"/>
                <w:szCs w:val="14"/>
                <w:b w:val="1"/>
                <w:bCs w:val="1"/>
                <w:color w:val="auto"/>
                <w:w w:val="91"/>
              </w:rPr>
              <w:t>(in millions of dollars and shares, except authorized shares and par value amounts)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8"/>
        </w:trPr>
        <w:tc>
          <w:tcPr>
            <w:tcW w:w="3800" w:type="dxa"/>
            <w:vAlign w:val="bottom"/>
          </w:tcPr>
          <w:p>
            <w:pPr>
              <w:ind w:left="20"/>
              <w:spacing w:after="0" w:line="188" w:lineRule="exact"/>
              <w:rPr>
                <w:sz w:val="20"/>
                <w:szCs w:val="20"/>
                <w:color w:val="auto"/>
              </w:rPr>
            </w:pPr>
            <w:r>
              <w:rPr>
                <w:rFonts w:ascii="Arial" w:cs="Arial" w:eastAsia="Arial" w:hAnsi="Arial"/>
                <w:sz w:val="18"/>
                <w:szCs w:val="18"/>
                <w:b w:val="1"/>
                <w:bCs w:val="1"/>
                <w:color w:val="auto"/>
                <w:w w:val="98"/>
              </w:rPr>
              <w:t>Cumulative Preferred Stock, $0.01 par value;</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5"/>
        </w:trPr>
        <w:tc>
          <w:tcPr>
            <w:tcW w:w="3800" w:type="dxa"/>
            <w:vAlign w:val="bottom"/>
          </w:tcPr>
          <w:p>
            <w:pPr>
              <w:ind w:left="180"/>
              <w:spacing w:after="0"/>
              <w:rPr>
                <w:sz w:val="20"/>
                <w:szCs w:val="20"/>
                <w:color w:val="auto"/>
              </w:rPr>
            </w:pPr>
            <w:r>
              <w:rPr>
                <w:rFonts w:ascii="Arial" w:cs="Arial" w:eastAsia="Arial" w:hAnsi="Arial"/>
                <w:sz w:val="18"/>
                <w:szCs w:val="18"/>
                <w:b w:val="1"/>
                <w:bCs w:val="1"/>
                <w:color w:val="auto"/>
              </w:rPr>
              <w:t>authorized 20,000,000 shares</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31"/>
        </w:trPr>
        <w:tc>
          <w:tcPr>
            <w:tcW w:w="3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beginning of period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r>
      <w:tr>
        <w:trPr>
          <w:trHeight w:val="225"/>
        </w:trPr>
        <w:tc>
          <w:tcPr>
            <w:tcW w:w="38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Redemption of Series A Preferred Stock</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3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end of period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r>
      <w:tr>
        <w:trPr>
          <w:trHeight w:val="153"/>
        </w:trPr>
        <w:tc>
          <w:tcPr>
            <w:tcW w:w="3800" w:type="dxa"/>
            <w:vAlign w:val="bottom"/>
          </w:tcPr>
          <w:p>
            <w:pPr>
              <w:ind w:left="20"/>
              <w:spacing w:after="0" w:line="153" w:lineRule="exact"/>
              <w:rPr>
                <w:sz w:val="20"/>
                <w:szCs w:val="20"/>
                <w:color w:val="auto"/>
              </w:rPr>
            </w:pPr>
            <w:r>
              <w:rPr>
                <w:rFonts w:ascii="Arial" w:cs="Arial" w:eastAsia="Arial" w:hAnsi="Arial"/>
                <w:sz w:val="17"/>
                <w:szCs w:val="17"/>
                <w:b w:val="1"/>
                <w:bCs w:val="1"/>
                <w:color w:val="auto"/>
              </w:rPr>
              <w:t>Common Stock, $0.01 par value; authorized</w:t>
            </w:r>
          </w:p>
        </w:tc>
        <w:tc>
          <w:tcPr>
            <w:tcW w:w="7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r>
      <w:tr>
        <w:trPr>
          <w:trHeight w:val="235"/>
        </w:trPr>
        <w:tc>
          <w:tcPr>
            <w:tcW w:w="3800" w:type="dxa"/>
            <w:vAlign w:val="bottom"/>
          </w:tcPr>
          <w:p>
            <w:pPr>
              <w:ind w:left="180"/>
              <w:spacing w:after="0"/>
              <w:rPr>
                <w:sz w:val="20"/>
                <w:szCs w:val="20"/>
                <w:color w:val="auto"/>
              </w:rPr>
            </w:pPr>
            <w:r>
              <w:rPr>
                <w:rFonts w:ascii="Arial" w:cs="Arial" w:eastAsia="Arial" w:hAnsi="Arial"/>
                <w:sz w:val="18"/>
                <w:szCs w:val="18"/>
                <w:b w:val="1"/>
                <w:bCs w:val="1"/>
                <w:color w:val="auto"/>
              </w:rPr>
              <w:t>1,000,000,000 shares</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31"/>
        </w:trPr>
        <w:tc>
          <w:tcPr>
            <w:tcW w:w="3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beginning of period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174"/>
        </w:trPr>
        <w:tc>
          <w:tcPr>
            <w:tcW w:w="3800" w:type="dxa"/>
            <w:vAlign w:val="bottom"/>
          </w:tcPr>
          <w:p>
            <w:pPr>
              <w:ind w:left="340"/>
              <w:spacing w:after="0" w:line="174" w:lineRule="exact"/>
              <w:rPr>
                <w:sz w:val="20"/>
                <w:szCs w:val="20"/>
                <w:color w:val="auto"/>
              </w:rPr>
            </w:pPr>
            <w:r>
              <w:rPr>
                <w:rFonts w:ascii="Arial" w:cs="Arial" w:eastAsia="Arial" w:hAnsi="Arial"/>
                <w:sz w:val="18"/>
                <w:szCs w:val="18"/>
                <w:color w:val="auto"/>
                <w:w w:val="99"/>
              </w:rPr>
              <w:t>Issuances related to benefit and investment</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38"/>
        </w:trPr>
        <w:tc>
          <w:tcPr>
            <w:tcW w:w="38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plans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3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end of period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9"/>
        </w:trPr>
        <w:tc>
          <w:tcPr>
            <w:tcW w:w="3800" w:type="dxa"/>
            <w:vAlign w:val="bottom"/>
          </w:tcPr>
          <w:p>
            <w:pPr>
              <w:ind w:left="20"/>
              <w:spacing w:after="0"/>
              <w:rPr>
                <w:sz w:val="20"/>
                <w:szCs w:val="20"/>
                <w:color w:val="auto"/>
              </w:rPr>
            </w:pPr>
            <w:r>
              <w:rPr>
                <w:rFonts w:ascii="Arial" w:cs="Arial" w:eastAsia="Arial" w:hAnsi="Arial"/>
                <w:sz w:val="18"/>
                <w:szCs w:val="18"/>
                <w:b w:val="1"/>
                <w:bCs w:val="1"/>
                <w:color w:val="auto"/>
              </w:rPr>
              <w:t>Additional Paid-in-Capital</w:t>
            </w:r>
          </w:p>
        </w:tc>
        <w:tc>
          <w:tcPr>
            <w:tcW w:w="7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r>
      <w:tr>
        <w:trPr>
          <w:trHeight w:val="227"/>
        </w:trPr>
        <w:tc>
          <w:tcPr>
            <w:tcW w:w="3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beginning of period</w:t>
            </w: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8,529</w:t>
            </w:r>
          </w:p>
        </w:tc>
      </w:tr>
      <w:tr>
        <w:trPr>
          <w:trHeight w:val="174"/>
        </w:trPr>
        <w:tc>
          <w:tcPr>
            <w:tcW w:w="3800" w:type="dxa"/>
            <w:vAlign w:val="bottom"/>
          </w:tcPr>
          <w:p>
            <w:pPr>
              <w:ind w:left="340"/>
              <w:spacing w:after="0" w:line="174" w:lineRule="exact"/>
              <w:rPr>
                <w:sz w:val="20"/>
                <w:szCs w:val="20"/>
                <w:color w:val="auto"/>
              </w:rPr>
            </w:pPr>
            <w:r>
              <w:rPr>
                <w:rFonts w:ascii="Arial" w:cs="Arial" w:eastAsia="Arial" w:hAnsi="Arial"/>
                <w:sz w:val="18"/>
                <w:szCs w:val="18"/>
                <w:color w:val="auto"/>
                <w:w w:val="99"/>
              </w:rPr>
              <w:t>Issuances related to benefit and investment</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38"/>
        </w:trPr>
        <w:tc>
          <w:tcPr>
            <w:tcW w:w="38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plans</w:t>
            </w:r>
          </w:p>
        </w:tc>
        <w:tc>
          <w:tcPr>
            <w:tcW w:w="7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20"/>
        </w:trPr>
        <w:tc>
          <w:tcPr>
            <w:tcW w:w="3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end of period</w:t>
            </w: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8,557</w:t>
            </w:r>
          </w:p>
        </w:tc>
      </w:tr>
      <w:tr>
        <w:trPr>
          <w:trHeight w:val="219"/>
        </w:trPr>
        <w:tc>
          <w:tcPr>
            <w:tcW w:w="3800" w:type="dxa"/>
            <w:vAlign w:val="bottom"/>
          </w:tcPr>
          <w:p>
            <w:pPr>
              <w:ind w:left="20"/>
              <w:spacing w:after="0"/>
              <w:rPr>
                <w:sz w:val="20"/>
                <w:szCs w:val="20"/>
                <w:color w:val="auto"/>
              </w:rPr>
            </w:pPr>
            <w:r>
              <w:rPr>
                <w:rFonts w:ascii="Arial" w:cs="Arial" w:eastAsia="Arial" w:hAnsi="Arial"/>
                <w:sz w:val="18"/>
                <w:szCs w:val="18"/>
                <w:b w:val="1"/>
                <w:bCs w:val="1"/>
                <w:color w:val="auto"/>
              </w:rPr>
              <w:t>Retained Earnings</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7"/>
        </w:trPr>
        <w:tc>
          <w:tcPr>
            <w:tcW w:w="3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beginning of period</w:t>
            </w: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25"/>
        </w:trPr>
        <w:tc>
          <w:tcPr>
            <w:tcW w:w="38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923</w:t>
            </w:r>
          </w:p>
        </w:tc>
      </w:tr>
      <w:tr>
        <w:trPr>
          <w:trHeight w:val="174"/>
        </w:trPr>
        <w:tc>
          <w:tcPr>
            <w:tcW w:w="3800" w:type="dxa"/>
            <w:vAlign w:val="bottom"/>
            <w:shd w:val="clear" w:color="auto" w:fill="CCEEFF"/>
          </w:tcPr>
          <w:p>
            <w:pPr>
              <w:ind w:left="340"/>
              <w:spacing w:after="0" w:line="175" w:lineRule="exact"/>
              <w:rPr>
                <w:sz w:val="20"/>
                <w:szCs w:val="20"/>
                <w:color w:val="auto"/>
              </w:rPr>
            </w:pPr>
            <w:r>
              <w:rPr>
                <w:rFonts w:ascii="Arial" w:cs="Arial" w:eastAsia="Arial" w:hAnsi="Arial"/>
                <w:sz w:val="18"/>
                <w:szCs w:val="18"/>
                <w:color w:val="auto"/>
                <w:w w:val="95"/>
              </w:rPr>
              <w:t>Common Stock dividends declared (see Note</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38"/>
        </w:trPr>
        <w:tc>
          <w:tcPr>
            <w:tcW w:w="38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18)</w:t>
            </w: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174"/>
        </w:trPr>
        <w:tc>
          <w:tcPr>
            <w:tcW w:w="3800" w:type="dxa"/>
            <w:vAlign w:val="bottom"/>
          </w:tcPr>
          <w:p>
            <w:pPr>
              <w:ind w:left="340"/>
              <w:spacing w:after="0" w:line="174" w:lineRule="exact"/>
              <w:rPr>
                <w:sz w:val="20"/>
                <w:szCs w:val="20"/>
                <w:color w:val="auto"/>
              </w:rPr>
            </w:pPr>
            <w:r>
              <w:rPr>
                <w:rFonts w:ascii="Arial" w:cs="Arial" w:eastAsia="Arial" w:hAnsi="Arial"/>
                <w:sz w:val="18"/>
                <w:szCs w:val="18"/>
                <w:color w:val="auto"/>
                <w:w w:val="94"/>
              </w:rPr>
              <w:t>Preferred Stock dividends declared (see Note</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38"/>
        </w:trPr>
        <w:tc>
          <w:tcPr>
            <w:tcW w:w="38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18)</w:t>
            </w:r>
          </w:p>
        </w:tc>
        <w:tc>
          <w:tcPr>
            <w:tcW w:w="7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20"/>
        </w:trPr>
        <w:tc>
          <w:tcPr>
            <w:tcW w:w="3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end of period</w:t>
            </w: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r>
      <w:tr>
        <w:trPr>
          <w:trHeight w:val="219"/>
        </w:trPr>
        <w:tc>
          <w:tcPr>
            <w:tcW w:w="380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7"/>
        </w:trPr>
        <w:tc>
          <w:tcPr>
            <w:tcW w:w="3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beginning of period</w:t>
            </w: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5"/>
        </w:trPr>
        <w:tc>
          <w:tcPr>
            <w:tcW w:w="38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loss</w:t>
            </w:r>
          </w:p>
        </w:tc>
        <w:tc>
          <w:tcPr>
            <w:tcW w:w="7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19"/>
        </w:trPr>
        <w:tc>
          <w:tcPr>
            <w:tcW w:w="3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end of period</w:t>
            </w: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0"/>
        </w:trPr>
        <w:tc>
          <w:tcPr>
            <w:tcW w:w="3800" w:type="dxa"/>
            <w:vAlign w:val="bottom"/>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720" w:type="dxa"/>
            <w:vAlign w:val="bottom"/>
          </w:tcPr>
          <w:p>
            <w:pPr>
              <w:spacing w:after="0"/>
              <w:rPr>
                <w:sz w:val="19"/>
                <w:szCs w:val="19"/>
                <w:color w:val="auto"/>
              </w:rPr>
            </w:pP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9,585</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9,989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9,585</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9,989</w:t>
            </w:r>
          </w:p>
        </w:tc>
      </w:tr>
      <w:tr>
        <w:trPr>
          <w:trHeight w:val="20"/>
        </w:trPr>
        <w:tc>
          <w:tcPr>
            <w:tcW w:w="3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27" w:right="4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STATEMENTS OF CONSOLIDATED INCOME (Unaudited)</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25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58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4"/>
        </w:trPr>
        <w:tc>
          <w:tcPr>
            <w:tcW w:w="5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52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r>
      <w:tr>
        <w:trPr>
          <w:trHeight w:val="192"/>
        </w:trPr>
        <w:tc>
          <w:tcPr>
            <w:tcW w:w="5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(in millions)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4"/>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900" w:type="dxa"/>
            <w:vAlign w:val="bottom"/>
            <w:tcBorders>
              <w:bottom w:val="single" w:sz="8" w:color="auto"/>
            </w:tcBorders>
            <w:shd w:val="clear" w:color="auto" w:fill="CCEEFF"/>
          </w:tcPr>
          <w:p>
            <w:pPr>
              <w:jc w:val="right"/>
              <w:ind w:right="72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1,083</w:t>
            </w:r>
          </w:p>
        </w:tc>
        <w:tc>
          <w:tcPr>
            <w:tcW w:w="100" w:type="dxa"/>
            <w:vAlign w:val="bottom"/>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7"/>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935</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w:t>
            </w:r>
          </w:p>
        </w:tc>
      </w:tr>
      <w:tr>
        <w:trPr>
          <w:trHeight w:val="206"/>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6"/>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Operation and maintenance</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r>
      <w:tr>
        <w:trPr>
          <w:trHeight w:val="225"/>
        </w:trPr>
        <w:tc>
          <w:tcPr>
            <w:tcW w:w="52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175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511</w:t>
            </w:r>
          </w:p>
        </w:tc>
      </w:tr>
      <w:tr>
        <w:trPr>
          <w:trHeight w:val="227"/>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 other than income taxes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19"/>
        </w:trPr>
        <w:tc>
          <w:tcPr>
            <w:tcW w:w="5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635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w:t>
            </w:r>
          </w:p>
        </w:tc>
      </w:tr>
      <w:tr>
        <w:trPr>
          <w:trHeight w:val="22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300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r>
      <w:tr>
        <w:trPr>
          <w:trHeight w:val="206"/>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6"/>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and other finance charges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25"/>
        </w:trPr>
        <w:tc>
          <w:tcPr>
            <w:tcW w:w="5240" w:type="dxa"/>
            <w:vAlign w:val="bottom"/>
          </w:tcPr>
          <w:p>
            <w:pPr>
              <w:ind w:left="140"/>
              <w:spacing w:after="0"/>
              <w:rPr>
                <w:sz w:val="20"/>
                <w:szCs w:val="20"/>
                <w:color w:val="auto"/>
              </w:rPr>
            </w:pPr>
            <w:r>
              <w:rPr>
                <w:rFonts w:ascii="Arial" w:cs="Arial" w:eastAsia="Arial" w:hAnsi="Arial"/>
                <w:sz w:val="18"/>
                <w:szCs w:val="18"/>
                <w:color w:val="auto"/>
              </w:rPr>
              <w:t>Interest expense on Securitization Bonds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7"/>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9"/>
        </w:trPr>
        <w:tc>
          <w:tcPr>
            <w:tcW w:w="5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22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r>
      <w:tr>
        <w:trPr>
          <w:trHeight w:val="225"/>
        </w:trPr>
        <w:tc>
          <w:tcPr>
            <w:tcW w:w="5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expense</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r>
      <w:tr>
        <w:trPr>
          <w:trHeight w:val="245"/>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900" w:type="dxa"/>
            <w:vAlign w:val="bottom"/>
            <w:tcBorders>
              <w:bottom w:val="single" w:sz="8" w:color="auto"/>
            </w:tcBorders>
            <w:shd w:val="clear" w:color="auto" w:fill="CCEEFF"/>
          </w:tcPr>
          <w:p>
            <w:pPr>
              <w:jc w:val="right"/>
              <w:ind w:right="72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7"/>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Comprehensive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160"/>
        <w:spacing w:after="0" w:line="255"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STATEMENTS OF CONSOLIDATED COMPREHENSIVE INCOME (Unaudited)</w:t>
      </w:r>
    </w:p>
    <w:p>
      <w:pPr>
        <w:spacing w:after="0" w:line="246" w:lineRule="exact"/>
        <w:rPr>
          <w:sz w:val="20"/>
          <w:szCs w:val="20"/>
          <w:color w:val="auto"/>
        </w:rPr>
      </w:pPr>
    </w:p>
    <w:tbl>
      <w:tblPr>
        <w:tblLayout w:type="fixed"/>
        <w:tblInd w:w="3360" w:type="dxa"/>
        <w:tblCellMar>
          <w:top w:w="0" w:type="dxa"/>
          <w:left w:w="0" w:type="dxa"/>
          <w:bottom w:w="0" w:type="dxa"/>
          <w:right w:w="0" w:type="dxa"/>
        </w:tblCellMar>
      </w:tblPr>
      <w:tr>
        <w:trPr>
          <w:trHeight w:val="184"/>
        </w:trPr>
        <w:tc>
          <w:tcPr>
            <w:tcW w:w="200" w:type="dxa"/>
            <w:vAlign w:val="bottom"/>
          </w:tcPr>
          <w:p>
            <w:pPr>
              <w:spacing w:after="0"/>
              <w:rPr>
                <w:sz w:val="16"/>
                <w:szCs w:val="16"/>
                <w:color w:val="auto"/>
              </w:rPr>
            </w:pPr>
          </w:p>
        </w:tc>
        <w:tc>
          <w:tcPr>
            <w:tcW w:w="27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6"/>
                <w:szCs w:val="16"/>
                <w:color w:val="auto"/>
              </w:rPr>
            </w:pPr>
          </w:p>
        </w:tc>
        <w:tc>
          <w:tcPr>
            <w:tcW w:w="2480" w:type="dxa"/>
            <w:vAlign w:val="bottom"/>
            <w:gridSpan w:val="4"/>
          </w:tcPr>
          <w:p>
            <w:pPr>
              <w:jc w:val="right"/>
              <w:ind w:right="277"/>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24"/>
        </w:trPr>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r>
      <w:tr>
        <w:trPr>
          <w:trHeight w:val="184"/>
        </w:trPr>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41"/>
        </w:trPr>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r>
      <w:tr>
        <w:trPr>
          <w:trHeight w:val="219"/>
        </w:trPr>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-328930</wp:posOffset>
            </wp:positionV>
            <wp:extent cx="7134225" cy="143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spacing w:after="0" w:line="30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-1379855</wp:posOffset>
            </wp:positionH>
            <wp:positionV relativeFrom="paragraph">
              <wp:posOffset>66040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2">
            <w:col w:w="1700" w:space="460"/>
            <w:col w:w="9080"/>
          </w:cols>
          <w:pgMar w:left="320" w:top="12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CONSOLIDATED BALANCE SHEETS (Unaudited)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0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December 31,</w:t>
            </w:r>
          </w:p>
        </w:tc>
      </w:tr>
      <w:tr>
        <w:trPr>
          <w:trHeight w:val="193"/>
        </w:trPr>
        <w:tc>
          <w:tcPr>
            <w:tcW w:w="8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r>
      <w:tr>
        <w:trPr>
          <w:trHeight w:val="184"/>
        </w:trPr>
        <w:tc>
          <w:tcPr>
            <w:tcW w:w="8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20" w:type="dxa"/>
            <w:vAlign w:val="bottom"/>
            <w:gridSpan w:val="4"/>
          </w:tcPr>
          <w:p>
            <w:pPr>
              <w:jc w:val="right"/>
              <w:ind w:right="993"/>
              <w:spacing w:after="0"/>
              <w:rPr>
                <w:sz w:val="20"/>
                <w:szCs w:val="20"/>
                <w:color w:val="auto"/>
              </w:rPr>
            </w:pPr>
            <w:r>
              <w:rPr>
                <w:rFonts w:ascii="Arial" w:cs="Arial" w:eastAsia="Arial" w:hAnsi="Arial"/>
                <w:sz w:val="14"/>
                <w:szCs w:val="14"/>
                <w:b w:val="1"/>
                <w:bCs w:val="1"/>
                <w:color w:val="auto"/>
              </w:rPr>
              <w:t>(in millions)</w:t>
            </w:r>
          </w:p>
        </w:tc>
      </w:tr>
      <w:tr>
        <w:trPr>
          <w:trHeight w:val="236"/>
        </w:trPr>
        <w:tc>
          <w:tcPr>
            <w:tcW w:w="83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1"/>
        </w:trPr>
        <w:tc>
          <w:tcPr>
            <w:tcW w:w="834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27"/>
        </w:trPr>
        <w:tc>
          <w:tcPr>
            <w:tcW w:w="8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 ($113 and $75 related to VIEs, respectively)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174"/>
        </w:trPr>
        <w:tc>
          <w:tcPr>
            <w:tcW w:w="8340" w:type="dxa"/>
            <w:vAlign w:val="bottom"/>
          </w:tcPr>
          <w:p>
            <w:pPr>
              <w:ind w:left="140"/>
              <w:spacing w:after="0" w:line="174" w:lineRule="exact"/>
              <w:rPr>
                <w:sz w:val="20"/>
                <w:szCs w:val="20"/>
                <w:color w:val="auto"/>
              </w:rPr>
            </w:pPr>
            <w:r>
              <w:rPr>
                <w:rFonts w:ascii="Arial" w:cs="Arial" w:eastAsia="Arial" w:hAnsi="Arial"/>
                <w:sz w:val="18"/>
                <w:szCs w:val="18"/>
                <w:color w:val="auto"/>
                <w:w w:val="93"/>
              </w:rPr>
              <w:t>Accounts receivable ($30 and $22 related to VIEs, respectively), less allowance for credit losses of $1 and $1,</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38"/>
        </w:trPr>
        <w:tc>
          <w:tcPr>
            <w:tcW w:w="834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227"/>
        </w:trPr>
        <w:tc>
          <w:tcPr>
            <w:tcW w:w="8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and notes receivable–affiliated companies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5"/>
        </w:trPr>
        <w:tc>
          <w:tcPr>
            <w:tcW w:w="8340" w:type="dxa"/>
            <w:vAlign w:val="bottom"/>
          </w:tcPr>
          <w:p>
            <w:pPr>
              <w:ind w:left="140"/>
              <w:spacing w:after="0"/>
              <w:rPr>
                <w:sz w:val="20"/>
                <w:szCs w:val="20"/>
                <w:color w:val="auto"/>
              </w:rPr>
            </w:pPr>
            <w:r>
              <w:rPr>
                <w:rFonts w:ascii="Arial" w:cs="Arial" w:eastAsia="Arial" w:hAnsi="Arial"/>
                <w:sz w:val="18"/>
                <w:szCs w:val="18"/>
                <w:color w:val="auto"/>
              </w:rPr>
              <w:t>Accrued unbilled revenues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27"/>
        </w:trPr>
        <w:tc>
          <w:tcPr>
            <w:tcW w:w="8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Materials and supplies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r>
      <w:tr>
        <w:trPr>
          <w:trHeight w:val="225"/>
        </w:trPr>
        <w:tc>
          <w:tcPr>
            <w:tcW w:w="8340" w:type="dxa"/>
            <w:vAlign w:val="bottom"/>
          </w:tcPr>
          <w:p>
            <w:pPr>
              <w:ind w:left="140"/>
              <w:spacing w:after="0"/>
              <w:rPr>
                <w:sz w:val="20"/>
                <w:szCs w:val="20"/>
                <w:color w:val="auto"/>
              </w:rPr>
            </w:pPr>
            <w:r>
              <w:rPr>
                <w:rFonts w:ascii="Arial" w:cs="Arial" w:eastAsia="Arial" w:hAnsi="Arial"/>
                <w:sz w:val="18"/>
                <w:szCs w:val="18"/>
                <w:color w:val="auto"/>
              </w:rPr>
              <w:t>Taxes receivable</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8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 ($13 and $13 related to VIEs, respectively)</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9"/>
        </w:trPr>
        <w:tc>
          <w:tcPr>
            <w:tcW w:w="83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w:t>
            </w:r>
          </w:p>
        </w:tc>
      </w:tr>
      <w:tr>
        <w:trPr>
          <w:trHeight w:val="207"/>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5"/>
        </w:trPr>
        <w:tc>
          <w:tcPr>
            <w:tcW w:w="834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19,056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17,753</w:t>
            </w:r>
          </w:p>
        </w:tc>
      </w:tr>
      <w:tr>
        <w:trPr>
          <w:trHeight w:val="227"/>
        </w:trPr>
        <w:tc>
          <w:tcPr>
            <w:tcW w:w="8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4,292</w:t>
            </w:r>
          </w:p>
        </w:tc>
      </w:tr>
      <w:tr>
        <w:trPr>
          <w:trHeight w:val="219"/>
        </w:trPr>
        <w:tc>
          <w:tcPr>
            <w:tcW w:w="83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13,461</w:t>
            </w:r>
          </w:p>
        </w:tc>
      </w:tr>
      <w:tr>
        <w:trPr>
          <w:trHeight w:val="22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8340" w:type="dxa"/>
            <w:vAlign w:val="bottom"/>
          </w:tcPr>
          <w:p>
            <w:pPr>
              <w:ind w:left="140"/>
              <w:spacing w:after="0"/>
              <w:rPr>
                <w:sz w:val="20"/>
                <w:szCs w:val="20"/>
                <w:color w:val="auto"/>
              </w:rPr>
            </w:pPr>
            <w:r>
              <w:rPr>
                <w:rFonts w:ascii="Arial" w:cs="Arial" w:eastAsia="Arial" w:hAnsi="Arial"/>
                <w:sz w:val="18"/>
                <w:szCs w:val="18"/>
                <w:color w:val="auto"/>
              </w:rPr>
              <w:t>Regulatory assets ($107 and $229 related to VIEs, respectively)</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778</w:t>
            </w:r>
          </w:p>
        </w:tc>
      </w:tr>
      <w:tr>
        <w:trPr>
          <w:trHeight w:val="227"/>
        </w:trPr>
        <w:tc>
          <w:tcPr>
            <w:tcW w:w="8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19"/>
        </w:trPr>
        <w:tc>
          <w:tcPr>
            <w:tcW w:w="83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other assets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r>
      <w:tr>
        <w:trPr>
          <w:trHeight w:val="245"/>
        </w:trPr>
        <w:tc>
          <w:tcPr>
            <w:tcW w:w="8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jc w:val="center"/>
        <w:ind w:left="340" w:right="2140"/>
        <w:spacing w:after="0" w:line="257"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CONSOLIDATED BALANCE SHEETS – (continued) (Unaudited)</w:t>
      </w:r>
    </w:p>
    <w:p>
      <w:pPr>
        <w:spacing w:after="0" w:line="200" w:lineRule="exact"/>
        <w:rPr>
          <w:sz w:val="20"/>
          <w:szCs w:val="20"/>
          <w:color w:val="auto"/>
        </w:rPr>
      </w:pPr>
    </w:p>
    <w:p>
      <w:pPr>
        <w:spacing w:after="0" w:line="33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0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December 31,</w:t>
            </w:r>
          </w:p>
        </w:tc>
      </w:tr>
      <w:tr>
        <w:trPr>
          <w:trHeight w:val="193"/>
        </w:trPr>
        <w:tc>
          <w:tcPr>
            <w:tcW w:w="8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r>
      <w:tr>
        <w:trPr>
          <w:trHeight w:val="184"/>
        </w:trPr>
        <w:tc>
          <w:tcPr>
            <w:tcW w:w="8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00" w:type="dxa"/>
            <w:vAlign w:val="bottom"/>
            <w:gridSpan w:val="4"/>
          </w:tcPr>
          <w:p>
            <w:pPr>
              <w:jc w:val="right"/>
              <w:ind w:right="993"/>
              <w:spacing w:after="0"/>
              <w:rPr>
                <w:sz w:val="20"/>
                <w:szCs w:val="20"/>
                <w:color w:val="auto"/>
              </w:rPr>
            </w:pPr>
            <w:r>
              <w:rPr>
                <w:rFonts w:ascii="Arial" w:cs="Arial" w:eastAsia="Arial" w:hAnsi="Arial"/>
                <w:sz w:val="14"/>
                <w:szCs w:val="14"/>
                <w:b w:val="1"/>
                <w:bCs w:val="1"/>
                <w:color w:val="auto"/>
              </w:rPr>
              <w:t>(in millions)</w:t>
            </w:r>
          </w:p>
        </w:tc>
      </w:tr>
      <w:tr>
        <w:trPr>
          <w:trHeight w:val="236"/>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LIABILITIES AND MEMBER’S EQUITY</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1"/>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27"/>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VIE Securitization Bonds long-term debt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25"/>
        </w:trPr>
        <w:tc>
          <w:tcPr>
            <w:tcW w:w="830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413</w:t>
            </w:r>
          </w:p>
        </w:tc>
      </w:tr>
      <w:tr>
        <w:trPr>
          <w:trHeight w:val="227"/>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and notes payable–affiliated companies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r>
      <w:tr>
        <w:trPr>
          <w:trHeight w:val="225"/>
        </w:trPr>
        <w:tc>
          <w:tcPr>
            <w:tcW w:w="8300" w:type="dxa"/>
            <w:vAlign w:val="bottom"/>
          </w:tcPr>
          <w:p>
            <w:pPr>
              <w:ind w:left="140"/>
              <w:spacing w:after="0"/>
              <w:rPr>
                <w:sz w:val="20"/>
                <w:szCs w:val="20"/>
                <w:color w:val="auto"/>
              </w:rPr>
            </w:pPr>
            <w:r>
              <w:rPr>
                <w:rFonts w:ascii="Arial" w:cs="Arial" w:eastAsia="Arial" w:hAnsi="Arial"/>
                <w:sz w:val="18"/>
                <w:szCs w:val="18"/>
                <w:color w:val="auto"/>
              </w:rPr>
              <w:t>Taxes accrued</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27"/>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accrued</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5"/>
        </w:trPr>
        <w:tc>
          <w:tcPr>
            <w:tcW w:w="8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r>
      <w:tr>
        <w:trPr>
          <w:trHeight w:val="220"/>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w:t>
            </w:r>
          </w:p>
        </w:tc>
      </w:tr>
      <w:tr>
        <w:trPr>
          <w:trHeight w:val="219"/>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Other Liabilities:</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7"/>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 net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r>
      <w:tr>
        <w:trPr>
          <w:trHeight w:val="225"/>
        </w:trPr>
        <w:tc>
          <w:tcPr>
            <w:tcW w:w="8300" w:type="dxa"/>
            <w:vAlign w:val="bottom"/>
          </w:tcPr>
          <w:p>
            <w:pPr>
              <w:ind w:left="140"/>
              <w:spacing w:after="0"/>
              <w:rPr>
                <w:sz w:val="20"/>
                <w:szCs w:val="20"/>
                <w:color w:val="auto"/>
              </w:rPr>
            </w:pPr>
            <w:r>
              <w:rPr>
                <w:rFonts w:ascii="Arial" w:cs="Arial" w:eastAsia="Arial" w:hAnsi="Arial"/>
                <w:sz w:val="18"/>
                <w:szCs w:val="18"/>
                <w:color w:val="auto"/>
              </w:rPr>
              <w:t>Benefit obligations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7"/>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Regulatory liabilities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r>
      <w:tr>
        <w:trPr>
          <w:trHeight w:val="225"/>
        </w:trPr>
        <w:tc>
          <w:tcPr>
            <w:tcW w:w="8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r>
      <w:tr>
        <w:trPr>
          <w:trHeight w:val="220"/>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w:t>
            </w:r>
          </w:p>
        </w:tc>
      </w:tr>
      <w:tr>
        <w:trPr>
          <w:trHeight w:val="219"/>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Long-term Debt:</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7"/>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VIE Securitization Bonds, net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25"/>
        </w:trPr>
        <w:tc>
          <w:tcPr>
            <w:tcW w:w="8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long-term debt, net</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6,036</w:t>
            </w:r>
          </w:p>
        </w:tc>
      </w:tr>
      <w:tr>
        <w:trPr>
          <w:trHeight w:val="220"/>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long-term debt, net</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6,197</w:t>
            </w:r>
          </w:p>
        </w:tc>
      </w:tr>
      <w:tr>
        <w:trPr>
          <w:trHeight w:val="206"/>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(Note 13)</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6"/>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Member’s Equity:</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8300" w:type="dxa"/>
            <w:vAlign w:val="bottom"/>
          </w:tcPr>
          <w:p>
            <w:pPr>
              <w:ind w:left="140"/>
              <w:spacing w:after="0"/>
              <w:rPr>
                <w:sz w:val="20"/>
                <w:szCs w:val="20"/>
                <w:color w:val="auto"/>
              </w:rPr>
            </w:pPr>
            <w:r>
              <w:rPr>
                <w:rFonts w:ascii="Arial" w:cs="Arial" w:eastAsia="Arial" w:hAnsi="Arial"/>
                <w:sz w:val="18"/>
                <w:szCs w:val="18"/>
                <w:color w:val="auto"/>
              </w:rPr>
              <w:t>Common stock</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w:t>
            </w:r>
          </w:p>
        </w:tc>
      </w:tr>
      <w:tr>
        <w:trPr>
          <w:trHeight w:val="225"/>
        </w:trPr>
        <w:tc>
          <w:tcPr>
            <w:tcW w:w="8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w:t>
            </w:r>
          </w:p>
        </w:tc>
      </w:tr>
      <w:tr>
        <w:trPr>
          <w:trHeight w:val="219"/>
        </w:trPr>
        <w:tc>
          <w:tcPr>
            <w:tcW w:w="8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member’s equity</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4,998</w:t>
            </w:r>
          </w:p>
        </w:tc>
      </w:tr>
      <w:tr>
        <w:trPr>
          <w:trHeight w:val="220"/>
        </w:trPr>
        <w:tc>
          <w:tcPr>
            <w:tcW w:w="8300" w:type="dxa"/>
            <w:vAlign w:val="bottom"/>
          </w:tcPr>
          <w:p>
            <w:pPr>
              <w:ind w:left="660"/>
              <w:spacing w:after="0"/>
              <w:rPr>
                <w:sz w:val="20"/>
                <w:szCs w:val="20"/>
                <w:color w:val="auto"/>
              </w:rPr>
            </w:pPr>
            <w:r>
              <w:rPr>
                <w:rFonts w:ascii="Arial" w:cs="Arial" w:eastAsia="Arial" w:hAnsi="Arial"/>
                <w:sz w:val="18"/>
                <w:szCs w:val="18"/>
                <w:b w:val="1"/>
                <w:bCs w:val="1"/>
                <w:color w:val="auto"/>
              </w:rPr>
              <w:t>Total Liabilities and Member’s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15,339</w:t>
            </w:r>
          </w:p>
        </w:tc>
      </w:tr>
      <w:tr>
        <w:trPr>
          <w:trHeight w:val="20"/>
        </w:trPr>
        <w:tc>
          <w:tcPr>
            <w:tcW w:w="8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jc w:val="center"/>
        <w:ind w:left="340" w:right="2140"/>
        <w:spacing w:after="0" w:line="257"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STATEMENTS OF CONSOLIDATED CASH FLOWS (Unaudited)</w:t>
      </w: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300" w:type="dxa"/>
            <w:vAlign w:val="bottom"/>
          </w:tcPr>
          <w:p>
            <w:pPr>
              <w:spacing w:after="0"/>
              <w:rPr>
                <w:sz w:val="16"/>
                <w:szCs w:val="16"/>
                <w:color w:val="auto"/>
              </w:rPr>
            </w:pPr>
          </w:p>
        </w:tc>
        <w:tc>
          <w:tcPr>
            <w:tcW w:w="2900" w:type="dxa"/>
            <w:vAlign w:val="bottom"/>
            <w:gridSpan w:val="5"/>
          </w:tcPr>
          <w:p>
            <w:pPr>
              <w:jc w:val="right"/>
              <w:ind w:right="292"/>
              <w:spacing w:after="0"/>
              <w:rPr>
                <w:sz w:val="20"/>
                <w:szCs w:val="20"/>
                <w:color w:val="auto"/>
              </w:rPr>
            </w:pPr>
            <w:r>
              <w:rPr>
                <w:rFonts w:ascii="Arial" w:cs="Arial" w:eastAsia="Arial" w:hAnsi="Arial"/>
                <w:sz w:val="14"/>
                <w:szCs w:val="14"/>
                <w:b w:val="1"/>
                <w:bCs w:val="1"/>
                <w:color w:val="auto"/>
              </w:rPr>
              <w:t>Nine Months Ended September 30,</w:t>
            </w:r>
          </w:p>
        </w:tc>
      </w:tr>
      <w:tr>
        <w:trPr>
          <w:trHeight w:val="24"/>
        </w:trPr>
        <w:tc>
          <w:tcPr>
            <w:tcW w:w="83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6"/>
        </w:trPr>
        <w:tc>
          <w:tcPr>
            <w:tcW w:w="83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r>
      <w:tr>
        <w:trPr>
          <w:trHeight w:val="184"/>
        </w:trPr>
        <w:tc>
          <w:tcPr>
            <w:tcW w:w="8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gridSpan w:val="3"/>
          </w:tcPr>
          <w:p>
            <w:pPr>
              <w:jc w:val="right"/>
              <w:ind w:right="31"/>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6"/>
                <w:szCs w:val="16"/>
                <w:color w:val="auto"/>
              </w:rPr>
            </w:pPr>
          </w:p>
        </w:tc>
      </w:tr>
      <w:tr>
        <w:trPr>
          <w:trHeight w:val="241"/>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27"/>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jc w:val="right"/>
              <w:ind w:right="6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25"/>
        </w:trPr>
        <w:tc>
          <w:tcPr>
            <w:tcW w:w="830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7"/>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r>
      <w:tr>
        <w:trPr>
          <w:trHeight w:val="225"/>
        </w:trPr>
        <w:tc>
          <w:tcPr>
            <w:tcW w:w="830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7"/>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other assets and liabilities: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5"/>
        </w:trPr>
        <w:tc>
          <w:tcPr>
            <w:tcW w:w="8300" w:type="dxa"/>
            <w:vAlign w:val="bottom"/>
          </w:tcPr>
          <w:p>
            <w:pPr>
              <w:ind w:left="500"/>
              <w:spacing w:after="0"/>
              <w:rPr>
                <w:sz w:val="20"/>
                <w:szCs w:val="20"/>
                <w:color w:val="auto"/>
              </w:rPr>
            </w:pPr>
            <w:r>
              <w:rPr>
                <w:rFonts w:ascii="Arial" w:cs="Arial" w:eastAsia="Arial" w:hAnsi="Arial"/>
                <w:sz w:val="18"/>
                <w:szCs w:val="18"/>
                <w:color w:val="auto"/>
              </w:rPr>
              <w:t>Accounts and notes receivable, net</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27"/>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receivable/payable–affiliated companies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5"/>
        </w:trPr>
        <w:tc>
          <w:tcPr>
            <w:tcW w:w="8300" w:type="dxa"/>
            <w:vAlign w:val="bottom"/>
          </w:tcPr>
          <w:p>
            <w:pPr>
              <w:ind w:left="500"/>
              <w:spacing w:after="0"/>
              <w:rPr>
                <w:sz w:val="20"/>
                <w:szCs w:val="20"/>
                <w:color w:val="auto"/>
              </w:rPr>
            </w:pPr>
            <w:r>
              <w:rPr>
                <w:rFonts w:ascii="Arial" w:cs="Arial" w:eastAsia="Arial" w:hAnsi="Arial"/>
                <w:sz w:val="18"/>
                <w:szCs w:val="18"/>
                <w:color w:val="auto"/>
              </w:rPr>
              <w:t>Inventory</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27"/>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5"/>
        </w:trPr>
        <w:tc>
          <w:tcPr>
            <w:tcW w:w="8300" w:type="dxa"/>
            <w:vAlign w:val="bottom"/>
          </w:tcPr>
          <w:p>
            <w:pPr>
              <w:ind w:left="500"/>
              <w:spacing w:after="0"/>
              <w:rPr>
                <w:sz w:val="20"/>
                <w:szCs w:val="20"/>
                <w:color w:val="auto"/>
              </w:rPr>
            </w:pPr>
            <w:r>
              <w:rPr>
                <w:rFonts w:ascii="Arial" w:cs="Arial" w:eastAsia="Arial" w:hAnsi="Arial"/>
                <w:sz w:val="18"/>
                <w:szCs w:val="18"/>
                <w:color w:val="auto"/>
              </w:rPr>
              <w:t>Taxes receivable</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regulatory assets and liabilities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5"/>
        </w:trPr>
        <w:tc>
          <w:tcPr>
            <w:tcW w:w="8300" w:type="dxa"/>
            <w:vAlign w:val="bottom"/>
          </w:tcPr>
          <w:p>
            <w:pPr>
              <w:ind w:left="500"/>
              <w:spacing w:after="0"/>
              <w:rPr>
                <w:sz w:val="20"/>
                <w:szCs w:val="20"/>
                <w:color w:val="auto"/>
              </w:rPr>
            </w:pPr>
            <w:r>
              <w:rPr>
                <w:rFonts w:ascii="Arial" w:cs="Arial" w:eastAsia="Arial" w:hAnsi="Arial"/>
                <w:sz w:val="18"/>
                <w:szCs w:val="18"/>
                <w:color w:val="auto"/>
              </w:rPr>
              <w:t>Other current assets and liabilities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7"/>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non-current assets and liabilities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5"/>
        </w:trPr>
        <w:tc>
          <w:tcPr>
            <w:tcW w:w="83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operating activities, net</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20"/>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r>
      <w:tr>
        <w:trPr>
          <w:trHeight w:val="219"/>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7"/>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(1,724)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r>
      <w:tr>
        <w:trPr>
          <w:trHeight w:val="225"/>
        </w:trPr>
        <w:tc>
          <w:tcPr>
            <w:tcW w:w="8300" w:type="dxa"/>
            <w:vAlign w:val="bottom"/>
          </w:tcPr>
          <w:p>
            <w:pPr>
              <w:ind w:left="180"/>
              <w:spacing w:after="0"/>
              <w:rPr>
                <w:sz w:val="20"/>
                <w:szCs w:val="20"/>
                <w:color w:val="auto"/>
              </w:rPr>
            </w:pPr>
            <w:r>
              <w:rPr>
                <w:rFonts w:ascii="Arial" w:cs="Arial" w:eastAsia="Arial" w:hAnsi="Arial"/>
                <w:sz w:val="18"/>
                <w:szCs w:val="18"/>
                <w:color w:val="auto"/>
              </w:rPr>
              <w:t>Increase in notes receivable–affiliated companies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27"/>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investing activities, net</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9"/>
        </w:trPr>
        <w:tc>
          <w:tcPr>
            <w:tcW w:w="83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used in investing activities</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(2,132)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w:t>
            </w:r>
          </w:p>
        </w:tc>
      </w:tr>
      <w:tr>
        <w:trPr>
          <w:trHeight w:val="22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5"/>
        </w:trPr>
        <w:tc>
          <w:tcPr>
            <w:tcW w:w="8300" w:type="dxa"/>
            <w:vAlign w:val="bottom"/>
          </w:tcPr>
          <w:p>
            <w:pPr>
              <w:ind w:left="220"/>
              <w:spacing w:after="0"/>
              <w:rPr>
                <w:sz w:val="20"/>
                <w:szCs w:val="20"/>
                <w:color w:val="auto"/>
              </w:rPr>
            </w:pPr>
            <w:r>
              <w:rPr>
                <w:rFonts w:ascii="Arial" w:cs="Arial" w:eastAsia="Arial" w:hAnsi="Arial"/>
                <w:sz w:val="18"/>
                <w:szCs w:val="18"/>
                <w:color w:val="auto"/>
              </w:rPr>
              <w:t>Proceeds from long-term debt</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1,398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1,589</w:t>
            </w:r>
          </w:p>
        </w:tc>
      </w:tr>
      <w:tr>
        <w:trPr>
          <w:trHeight w:val="227"/>
        </w:trPr>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of long-term debt</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r>
      <w:tr>
        <w:trPr>
          <w:trHeight w:val="225"/>
        </w:trPr>
        <w:tc>
          <w:tcPr>
            <w:tcW w:w="8300" w:type="dxa"/>
            <w:vAlign w:val="bottom"/>
          </w:tcPr>
          <w:p>
            <w:pPr>
              <w:ind w:left="220"/>
              <w:spacing w:after="0"/>
              <w:rPr>
                <w:sz w:val="20"/>
                <w:szCs w:val="20"/>
                <w:color w:val="auto"/>
              </w:rPr>
            </w:pPr>
            <w:r>
              <w:rPr>
                <w:rFonts w:ascii="Arial" w:cs="Arial" w:eastAsia="Arial" w:hAnsi="Arial"/>
                <w:sz w:val="18"/>
                <w:szCs w:val="18"/>
                <w:color w:val="auto"/>
              </w:rPr>
              <w:t>Decrease in notes payable–affiliated companies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(512)</w:t>
            </w:r>
          </w:p>
        </w:tc>
      </w:tr>
      <w:tr>
        <w:trPr>
          <w:trHeight w:val="227"/>
        </w:trPr>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to parent</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25"/>
        </w:trPr>
        <w:tc>
          <w:tcPr>
            <w:tcW w:w="8300" w:type="dxa"/>
            <w:vAlign w:val="bottom"/>
          </w:tcPr>
          <w:p>
            <w:pPr>
              <w:ind w:left="220"/>
              <w:spacing w:after="0"/>
              <w:rPr>
                <w:sz w:val="20"/>
                <w:szCs w:val="20"/>
                <w:color w:val="auto"/>
              </w:rPr>
            </w:pPr>
            <w:r>
              <w:rPr>
                <w:rFonts w:ascii="Arial" w:cs="Arial" w:eastAsia="Arial" w:hAnsi="Arial"/>
                <w:sz w:val="18"/>
                <w:szCs w:val="18"/>
                <w:color w:val="auto"/>
              </w:rPr>
              <w:t>Contribution from parent</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1,143</w:t>
            </w:r>
          </w:p>
        </w:tc>
      </w:tr>
      <w:tr>
        <w:trPr>
          <w:trHeight w:val="227"/>
        </w:trPr>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 of debt issuance costs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5"/>
        </w:trPr>
        <w:tc>
          <w:tcPr>
            <w:tcW w:w="8300" w:type="dxa"/>
            <w:vAlign w:val="bottom"/>
          </w:tcPr>
          <w:p>
            <w:pPr>
              <w:ind w:left="220"/>
              <w:spacing w:after="0"/>
              <w:rPr>
                <w:sz w:val="20"/>
                <w:szCs w:val="20"/>
                <w:color w:val="auto"/>
              </w:rPr>
            </w:pPr>
            <w:r>
              <w:rPr>
                <w:rFonts w:ascii="Arial" w:cs="Arial" w:eastAsia="Arial" w:hAnsi="Arial"/>
                <w:sz w:val="18"/>
                <w:szCs w:val="18"/>
                <w:color w:val="auto"/>
              </w:rPr>
              <w:t>Payment of obligation for finance lease</w:t>
            </w:r>
          </w:p>
        </w:tc>
        <w:tc>
          <w:tcPr>
            <w:tcW w:w="8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27"/>
        </w:trPr>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financing activities, net</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83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w:t>
            </w:r>
          </w:p>
        </w:tc>
      </w:tr>
      <w:tr>
        <w:trPr>
          <w:trHeight w:val="22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6"/>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r>
      <w:tr>
        <w:trPr>
          <w:trHeight w:val="244"/>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860" w:type="dxa"/>
            <w:vAlign w:val="bottom"/>
            <w:tcBorders>
              <w:bottom w:val="single" w:sz="8" w:color="auto"/>
            </w:tcBorders>
            <w:shd w:val="clear" w:color="auto" w:fill="CCEEFF"/>
          </w:tcPr>
          <w:p>
            <w:pPr>
              <w:jc w:val="right"/>
              <w:ind w:right="66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STATEMENTS OF CONSOLIDATED CHANGES IN EQUITY (Unaudited)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16"/>
                <w:szCs w:val="16"/>
                <w:color w:val="auto"/>
              </w:rPr>
            </w:pPr>
          </w:p>
        </w:tc>
        <w:tc>
          <w:tcPr>
            <w:tcW w:w="2880" w:type="dxa"/>
            <w:vAlign w:val="bottom"/>
            <w:gridSpan w:val="8"/>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8"/>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80" w:type="dxa"/>
            <w:vAlign w:val="bottom"/>
          </w:tcPr>
          <w:p>
            <w:pPr>
              <w:spacing w:after="0"/>
              <w:rPr>
                <w:sz w:val="16"/>
                <w:szCs w:val="16"/>
                <w:color w:val="auto"/>
              </w:rPr>
            </w:pPr>
          </w:p>
        </w:tc>
      </w:tr>
      <w:tr>
        <w:trPr>
          <w:trHeight w:val="24"/>
        </w:trPr>
        <w:tc>
          <w:tcPr>
            <w:tcW w:w="404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gridSpan w:val="4"/>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gridSpan w:val="4"/>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gridSpan w:val="4"/>
          </w:tcPr>
          <w:p>
            <w:pPr>
              <w:spacing w:after="0"/>
              <w:rPr>
                <w:sz w:val="2"/>
                <w:szCs w:val="2"/>
                <w:color w:val="auto"/>
              </w:rPr>
            </w:pPr>
          </w:p>
        </w:tc>
        <w:tc>
          <w:tcPr>
            <w:tcW w:w="680" w:type="dxa"/>
            <w:vAlign w:val="bottom"/>
          </w:tcPr>
          <w:p>
            <w:pPr>
              <w:spacing w:after="0"/>
              <w:rPr>
                <w:sz w:val="2"/>
                <w:szCs w:val="2"/>
                <w:color w:val="auto"/>
              </w:rPr>
            </w:pPr>
          </w:p>
        </w:tc>
      </w:tr>
      <w:tr>
        <w:trPr>
          <w:trHeight w:val="186"/>
        </w:trPr>
        <w:tc>
          <w:tcPr>
            <w:tcW w:w="4040" w:type="dxa"/>
            <w:vAlign w:val="bottom"/>
          </w:tcPr>
          <w:p>
            <w:pPr>
              <w:spacing w:after="0"/>
              <w:rPr>
                <w:sz w:val="16"/>
                <w:szCs w:val="16"/>
                <w:color w:val="auto"/>
              </w:rPr>
            </w:pPr>
          </w:p>
        </w:tc>
        <w:tc>
          <w:tcPr>
            <w:tcW w:w="10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top w:val="single" w:sz="8" w:color="auto"/>
            </w:tcBorders>
          </w:tcPr>
          <w:p>
            <w:pPr>
              <w:spacing w:after="0"/>
              <w:rPr>
                <w:sz w:val="16"/>
                <w:szCs w:val="16"/>
                <w:color w:val="auto"/>
              </w:rPr>
            </w:pPr>
          </w:p>
        </w:tc>
      </w:tr>
      <w:tr>
        <w:trPr>
          <w:trHeight w:val="193"/>
        </w:trPr>
        <w:tc>
          <w:tcPr>
            <w:tcW w:w="4040" w:type="dxa"/>
            <w:vAlign w:val="bottom"/>
          </w:tcPr>
          <w:p>
            <w:pPr>
              <w:spacing w:after="0"/>
              <w:rPr>
                <w:sz w:val="16"/>
                <w:szCs w:val="16"/>
                <w:color w:val="auto"/>
              </w:rPr>
            </w:pPr>
          </w:p>
        </w:tc>
        <w:tc>
          <w:tcPr>
            <w:tcW w:w="92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auto"/>
            </w:tcBorders>
          </w:tcPr>
          <w:p>
            <w:pPr>
              <w:spacing w:after="0"/>
              <w:rPr>
                <w:sz w:val="16"/>
                <w:szCs w:val="16"/>
                <w:color w:val="auto"/>
              </w:rPr>
            </w:pPr>
          </w:p>
        </w:tc>
        <w:tc>
          <w:tcPr>
            <w:tcW w:w="92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Borders>
              <w:bottom w:val="single" w:sz="8" w:color="auto"/>
            </w:tcBorders>
          </w:tcPr>
          <w:p>
            <w:pPr>
              <w:spacing w:after="0"/>
              <w:rPr>
                <w:sz w:val="16"/>
                <w:szCs w:val="16"/>
                <w:color w:val="auto"/>
              </w:rPr>
            </w:pPr>
          </w:p>
        </w:tc>
        <w:tc>
          <w:tcPr>
            <w:tcW w:w="90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auto"/>
            </w:tcBorders>
          </w:tcPr>
          <w:p>
            <w:pPr>
              <w:spacing w:after="0"/>
              <w:rPr>
                <w:sz w:val="16"/>
                <w:szCs w:val="16"/>
                <w:color w:val="auto"/>
              </w:rPr>
            </w:pPr>
          </w:p>
        </w:tc>
        <w:tc>
          <w:tcPr>
            <w:tcW w:w="92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4"/>
              </w:rPr>
              <w:t>Amount</w:t>
            </w:r>
          </w:p>
        </w:tc>
      </w:tr>
      <w:tr>
        <w:trPr>
          <w:trHeight w:val="184"/>
        </w:trPr>
        <w:tc>
          <w:tcPr>
            <w:tcW w:w="40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8"/>
          </w:tcPr>
          <w:p>
            <w:pPr>
              <w:jc w:val="right"/>
              <w:spacing w:after="0"/>
              <w:rPr>
                <w:sz w:val="20"/>
                <w:szCs w:val="20"/>
                <w:color w:val="auto"/>
              </w:rPr>
            </w:pPr>
            <w:r>
              <w:rPr>
                <w:rFonts w:ascii="Arial" w:cs="Arial" w:eastAsia="Arial" w:hAnsi="Arial"/>
                <w:sz w:val="14"/>
                <w:szCs w:val="14"/>
                <w:b w:val="1"/>
                <w:bCs w:val="1"/>
                <w:color w:val="auto"/>
              </w:rPr>
              <w:t>(in millions, except share amounts)</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41"/>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Common Stock</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27"/>
        </w:trPr>
        <w:tc>
          <w:tcPr>
            <w:tcW w:w="4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beginning of period</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4040" w:type="dxa"/>
            <w:vAlign w:val="bottom"/>
          </w:tcPr>
          <w:p>
            <w:pPr>
              <w:ind w:left="140"/>
              <w:spacing w:after="0"/>
              <w:rPr>
                <w:sz w:val="20"/>
                <w:szCs w:val="20"/>
                <w:color w:val="auto"/>
              </w:rPr>
            </w:pPr>
            <w:r>
              <w:rPr>
                <w:rFonts w:ascii="Arial" w:cs="Arial" w:eastAsia="Arial" w:hAnsi="Arial"/>
                <w:sz w:val="18"/>
                <w:szCs w:val="18"/>
                <w:color w:val="auto"/>
              </w:rPr>
              <w:t>Balance, end of period</w:t>
            </w: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Additional Paid-in-Capital</w:t>
            </w:r>
          </w:p>
        </w:tc>
        <w:tc>
          <w:tcPr>
            <w:tcW w:w="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r>
      <w:tr>
        <w:trPr>
          <w:trHeight w:val="225"/>
        </w:trPr>
        <w:tc>
          <w:tcPr>
            <w:tcW w:w="4040" w:type="dxa"/>
            <w:vAlign w:val="bottom"/>
          </w:tcPr>
          <w:p>
            <w:pPr>
              <w:ind w:left="140"/>
              <w:spacing w:after="0"/>
              <w:rPr>
                <w:sz w:val="20"/>
                <w:szCs w:val="20"/>
                <w:color w:val="auto"/>
              </w:rPr>
            </w:pPr>
            <w:r>
              <w:rPr>
                <w:rFonts w:ascii="Arial" w:cs="Arial" w:eastAsia="Arial" w:hAnsi="Arial"/>
                <w:sz w:val="18"/>
                <w:szCs w:val="18"/>
                <w:color w:val="auto"/>
              </w:rPr>
              <w:t>Balance, beginning of period</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4,510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3,860</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3,860</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2,678</w:t>
            </w:r>
          </w:p>
        </w:tc>
      </w:tr>
      <w:tr>
        <w:trPr>
          <w:trHeight w:val="227"/>
        </w:trPr>
        <w:tc>
          <w:tcPr>
            <w:tcW w:w="4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Non-cash contribution from parent</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5"/>
        </w:trPr>
        <w:tc>
          <w:tcPr>
            <w:tcW w:w="4040" w:type="dxa"/>
            <w:vAlign w:val="bottom"/>
          </w:tcPr>
          <w:p>
            <w:pPr>
              <w:ind w:left="140"/>
              <w:spacing w:after="0"/>
              <w:rPr>
                <w:sz w:val="20"/>
                <w:szCs w:val="20"/>
                <w:color w:val="auto"/>
              </w:rPr>
            </w:pPr>
            <w:r>
              <w:rPr>
                <w:rFonts w:ascii="Arial" w:cs="Arial" w:eastAsia="Arial" w:hAnsi="Arial"/>
                <w:sz w:val="18"/>
                <w:szCs w:val="18"/>
                <w:color w:val="auto"/>
              </w:rPr>
              <w:t>Contribution from parent</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1,143</w:t>
            </w:r>
          </w:p>
        </w:tc>
      </w:tr>
      <w:tr>
        <w:trPr>
          <w:trHeight w:val="227"/>
        </w:trPr>
        <w:tc>
          <w:tcPr>
            <w:tcW w:w="4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9"/>
        </w:trPr>
        <w:tc>
          <w:tcPr>
            <w:tcW w:w="4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Balance, end of period</w:t>
            </w: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4,745</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3,860</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4,745</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3,860</w:t>
            </w:r>
          </w:p>
        </w:tc>
      </w:tr>
      <w:tr>
        <w:trPr>
          <w:trHeight w:val="22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Retained Earnings</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5"/>
        </w:trPr>
        <w:tc>
          <w:tcPr>
            <w:tcW w:w="4040" w:type="dxa"/>
            <w:vAlign w:val="bottom"/>
          </w:tcPr>
          <w:p>
            <w:pPr>
              <w:ind w:left="140"/>
              <w:spacing w:after="0"/>
              <w:rPr>
                <w:sz w:val="20"/>
                <w:szCs w:val="20"/>
                <w:color w:val="auto"/>
              </w:rPr>
            </w:pPr>
            <w:r>
              <w:rPr>
                <w:rFonts w:ascii="Arial" w:cs="Arial" w:eastAsia="Arial" w:hAnsi="Arial"/>
                <w:sz w:val="18"/>
                <w:szCs w:val="18"/>
                <w:color w:val="auto"/>
              </w:rPr>
              <w:t>Balance, beginning of period</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1,085</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944</w:t>
            </w:r>
          </w:p>
        </w:tc>
      </w:tr>
      <w:tr>
        <w:trPr>
          <w:trHeight w:val="227"/>
        </w:trPr>
        <w:tc>
          <w:tcPr>
            <w:tcW w:w="4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25"/>
        </w:trPr>
        <w:tc>
          <w:tcPr>
            <w:tcW w:w="4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Dividend to parent</w:t>
            </w: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r>
      <w:tr>
        <w:trPr>
          <w:trHeight w:val="219"/>
        </w:trPr>
        <w:tc>
          <w:tcPr>
            <w:tcW w:w="4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end of period</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r>
      <w:tr>
        <w:trPr>
          <w:trHeight w:val="220"/>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Total Member’s Equity</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6,166</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5,071</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6,166</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5,071</w:t>
            </w:r>
          </w:p>
        </w:tc>
      </w:tr>
      <w:tr>
        <w:trPr>
          <w:trHeight w:val="20"/>
        </w:trPr>
        <w:tc>
          <w:tcPr>
            <w:tcW w:w="4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STATEMENTS OF CONSOLIDATED INCOME (Unaudited)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2500" w:type="dxa"/>
            <w:vAlign w:val="bottom"/>
            <w:gridSpan w:val="4"/>
          </w:tcPr>
          <w:p>
            <w:pPr>
              <w:jc w:val="right"/>
              <w:ind w:right="297"/>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Nine Months Ended</w:t>
            </w:r>
          </w:p>
        </w:tc>
        <w:tc>
          <w:tcPr>
            <w:tcW w:w="860" w:type="dxa"/>
            <w:vAlign w:val="bottom"/>
          </w:tcPr>
          <w:p>
            <w:pPr>
              <w:spacing w:after="0"/>
              <w:rPr>
                <w:sz w:val="16"/>
                <w:szCs w:val="16"/>
                <w:color w:val="auto"/>
              </w:rPr>
            </w:pPr>
          </w:p>
        </w:tc>
      </w:tr>
      <w:tr>
        <w:trPr>
          <w:trHeight w:val="199"/>
        </w:trPr>
        <w:tc>
          <w:tcPr>
            <w:tcW w:w="5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gridSpan w:val="3"/>
          </w:tcPr>
          <w:p>
            <w:pPr>
              <w:jc w:val="right"/>
              <w:ind w:right="497"/>
              <w:spacing w:after="0"/>
              <w:rPr>
                <w:sz w:val="20"/>
                <w:szCs w:val="20"/>
                <w:color w:val="auto"/>
              </w:rPr>
            </w:pPr>
            <w:r>
              <w:rPr>
                <w:rFonts w:ascii="Arial" w:cs="Arial" w:eastAsia="Arial" w:hAnsi="Arial"/>
                <w:sz w:val="14"/>
                <w:szCs w:val="14"/>
                <w:b w:val="1"/>
                <w:bCs w:val="1"/>
                <w:color w:val="auto"/>
                <w:w w:val="98"/>
              </w:rPr>
              <w:t>September 30,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40" w:type="dxa"/>
            <w:vAlign w:val="bottom"/>
            <w:gridSpan w:val="3"/>
          </w:tcPr>
          <w:p>
            <w:pPr>
              <w:jc w:val="right"/>
              <w:ind w:right="111"/>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7"/>
                <w:szCs w:val="17"/>
                <w:color w:val="auto"/>
              </w:rPr>
            </w:pPr>
          </w:p>
        </w:tc>
      </w:tr>
      <w:tr>
        <w:trPr>
          <w:trHeight w:val="24"/>
        </w:trPr>
        <w:tc>
          <w:tcPr>
            <w:tcW w:w="52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6"/>
        </w:trPr>
        <w:tc>
          <w:tcPr>
            <w:tcW w:w="5200" w:type="dxa"/>
            <w:vAlign w:val="bottom"/>
          </w:tcPr>
          <w:p>
            <w:pPr>
              <w:spacing w:after="0"/>
              <w:rPr>
                <w:sz w:val="16"/>
                <w:szCs w:val="16"/>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83"/>
              </w:rPr>
              <w:t>2022</w:t>
            </w:r>
          </w:p>
        </w:tc>
      </w:tr>
      <w:tr>
        <w:trPr>
          <w:trHeight w:val="184"/>
        </w:trPr>
        <w:tc>
          <w:tcPr>
            <w:tcW w:w="5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40" w:type="dxa"/>
            <w:vAlign w:val="bottom"/>
            <w:gridSpan w:val="3"/>
          </w:tcPr>
          <w:p>
            <w:pPr>
              <w:jc w:val="right"/>
              <w:ind w:right="477"/>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41"/>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27"/>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Utility revenues</w:t>
            </w:r>
          </w:p>
        </w:tc>
        <w:tc>
          <w:tcPr>
            <w:tcW w:w="960" w:type="dxa"/>
            <w:vAlign w:val="bottom"/>
            <w:shd w:val="clear" w:color="auto" w:fill="CCEEFF"/>
          </w:tcPr>
          <w:p>
            <w:pPr>
              <w:jc w:val="right"/>
              <w:ind w:right="76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7"/>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7"/>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w:t>
            </w:r>
          </w:p>
        </w:tc>
      </w:tr>
      <w:tr>
        <w:trPr>
          <w:trHeight w:val="225"/>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Non-utility revenues</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20"/>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3,232</w:t>
            </w:r>
          </w:p>
        </w:tc>
      </w:tr>
      <w:tr>
        <w:trPr>
          <w:trHeight w:val="206"/>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6"/>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Utility natural gas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r>
      <w:tr>
        <w:trPr>
          <w:trHeight w:val="225"/>
        </w:trPr>
        <w:tc>
          <w:tcPr>
            <w:tcW w:w="5200" w:type="dxa"/>
            <w:vAlign w:val="bottom"/>
          </w:tcPr>
          <w:p>
            <w:pPr>
              <w:ind w:left="140"/>
              <w:spacing w:after="0"/>
              <w:rPr>
                <w:sz w:val="20"/>
                <w:szCs w:val="20"/>
                <w:color w:val="auto"/>
              </w:rPr>
            </w:pPr>
            <w:r>
              <w:rPr>
                <w:rFonts w:ascii="Arial" w:cs="Arial" w:eastAsia="Arial" w:hAnsi="Arial"/>
                <w:sz w:val="18"/>
                <w:szCs w:val="18"/>
                <w:color w:val="auto"/>
              </w:rPr>
              <w:t>Non-utility cost of revenues, including natural gas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7"/>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Operation and maintenance</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r>
      <w:tr>
        <w:trPr>
          <w:trHeight w:val="225"/>
        </w:trPr>
        <w:tc>
          <w:tcPr>
            <w:tcW w:w="52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27"/>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 other than income taxes</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19"/>
        </w:trPr>
        <w:tc>
          <w:tcPr>
            <w:tcW w:w="52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2,811</w:t>
            </w:r>
          </w:p>
        </w:tc>
      </w:tr>
      <w:tr>
        <w:trPr>
          <w:trHeight w:val="22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r>
      <w:tr>
        <w:trPr>
          <w:trHeight w:val="206"/>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6"/>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sale</w:t>
            </w:r>
          </w:p>
        </w:tc>
        <w:tc>
          <w:tcPr>
            <w:tcW w:w="9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r>
      <w:tr>
        <w:trPr>
          <w:trHeight w:val="225"/>
        </w:trPr>
        <w:tc>
          <w:tcPr>
            <w:tcW w:w="5200" w:type="dxa"/>
            <w:vAlign w:val="bottom"/>
          </w:tcPr>
          <w:p>
            <w:pPr>
              <w:ind w:left="140"/>
              <w:spacing w:after="0"/>
              <w:rPr>
                <w:sz w:val="20"/>
                <w:szCs w:val="20"/>
                <w:color w:val="auto"/>
              </w:rPr>
            </w:pPr>
            <w:r>
              <w:rPr>
                <w:rFonts w:ascii="Arial" w:cs="Arial" w:eastAsia="Arial" w:hAnsi="Arial"/>
                <w:sz w:val="18"/>
                <w:szCs w:val="18"/>
                <w:color w:val="auto"/>
              </w:rPr>
              <w:t>Interest expense and other finance charges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27"/>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9"/>
        </w:trPr>
        <w:tc>
          <w:tcPr>
            <w:tcW w:w="52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w:t>
            </w:r>
          </w:p>
        </w:tc>
      </w:tr>
      <w:tr>
        <w:trPr>
          <w:trHeight w:val="22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r>
      <w:tr>
        <w:trPr>
          <w:trHeight w:val="225"/>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expense</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r>
      <w:tr>
        <w:trPr>
          <w:trHeight w:val="245"/>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960" w:type="dxa"/>
            <w:vAlign w:val="bottom"/>
            <w:tcBorders>
              <w:bottom w:val="single" w:sz="8" w:color="auto"/>
            </w:tcBorders>
            <w:shd w:val="clear" w:color="auto" w:fill="CCEEFF"/>
          </w:tcPr>
          <w:p>
            <w:pPr>
              <w:jc w:val="right"/>
              <w:ind w:right="76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77"/>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97"/>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STATEMENTS OF CONSOLIDATED COMPREHENSIVE INCOME (Unaudited)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tcPr>
          <w:p>
            <w:pPr>
              <w:spacing w:after="0"/>
              <w:rPr>
                <w:sz w:val="16"/>
                <w:szCs w:val="16"/>
                <w:color w:val="auto"/>
              </w:rPr>
            </w:pPr>
          </w:p>
        </w:tc>
        <w:tc>
          <w:tcPr>
            <w:tcW w:w="2240" w:type="dxa"/>
            <w:vAlign w:val="bottom"/>
            <w:gridSpan w:val="4"/>
          </w:tcPr>
          <w:p>
            <w:pPr>
              <w:jc w:val="right"/>
              <w:ind w:right="197"/>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4"/>
          </w:tcPr>
          <w:p>
            <w:pPr>
              <w:jc w:val="right"/>
              <w:ind w:right="217"/>
              <w:spacing w:after="0"/>
              <w:rPr>
                <w:sz w:val="20"/>
                <w:szCs w:val="20"/>
                <w:color w:val="auto"/>
              </w:rPr>
            </w:pPr>
            <w:r>
              <w:rPr>
                <w:rFonts w:ascii="Arial" w:cs="Arial" w:eastAsia="Arial" w:hAnsi="Arial"/>
                <w:sz w:val="14"/>
                <w:szCs w:val="14"/>
                <w:b w:val="1"/>
                <w:bCs w:val="1"/>
                <w:color w:val="auto"/>
              </w:rPr>
              <w:t>Nine Months Ended</w:t>
            </w:r>
          </w:p>
        </w:tc>
        <w:tc>
          <w:tcPr>
            <w:tcW w:w="420" w:type="dxa"/>
            <w:vAlign w:val="bottom"/>
          </w:tcPr>
          <w:p>
            <w:pPr>
              <w:spacing w:after="0"/>
              <w:rPr>
                <w:sz w:val="16"/>
                <w:szCs w:val="16"/>
                <w:color w:val="auto"/>
              </w:rPr>
            </w:pPr>
          </w:p>
        </w:tc>
      </w:tr>
      <w:tr>
        <w:trPr>
          <w:trHeight w:val="199"/>
        </w:trPr>
        <w:tc>
          <w:tcPr>
            <w:tcW w:w="5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0" w:type="dxa"/>
            <w:vAlign w:val="bottom"/>
            <w:gridSpan w:val="3"/>
          </w:tcPr>
          <w:p>
            <w:pPr>
              <w:jc w:val="right"/>
              <w:ind w:right="397"/>
              <w:spacing w:after="0"/>
              <w:rPr>
                <w:sz w:val="20"/>
                <w:szCs w:val="20"/>
                <w:color w:val="auto"/>
              </w:rPr>
            </w:pPr>
            <w:r>
              <w:rPr>
                <w:rFonts w:ascii="Arial" w:cs="Arial" w:eastAsia="Arial" w:hAnsi="Arial"/>
                <w:sz w:val="14"/>
                <w:szCs w:val="14"/>
                <w:b w:val="1"/>
                <w:bCs w:val="1"/>
                <w:color w:val="auto"/>
                <w:w w:val="93"/>
              </w:rPr>
              <w:t>September 30,</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80" w:type="dxa"/>
            <w:vAlign w:val="bottom"/>
            <w:gridSpan w:val="3"/>
          </w:tcPr>
          <w:p>
            <w:pPr>
              <w:jc w:val="right"/>
              <w:ind w:right="377"/>
              <w:spacing w:after="0"/>
              <w:rPr>
                <w:sz w:val="20"/>
                <w:szCs w:val="20"/>
                <w:color w:val="auto"/>
              </w:rPr>
            </w:pPr>
            <w:r>
              <w:rPr>
                <w:rFonts w:ascii="Arial" w:cs="Arial" w:eastAsia="Arial" w:hAnsi="Arial"/>
                <w:sz w:val="14"/>
                <w:szCs w:val="14"/>
                <w:b w:val="1"/>
                <w:bCs w:val="1"/>
                <w:color w:val="auto"/>
                <w:w w:val="93"/>
              </w:rPr>
              <w:t>September 30,</w:t>
            </w:r>
          </w:p>
        </w:tc>
        <w:tc>
          <w:tcPr>
            <w:tcW w:w="420" w:type="dxa"/>
            <w:vAlign w:val="bottom"/>
          </w:tcPr>
          <w:p>
            <w:pPr>
              <w:spacing w:after="0"/>
              <w:rPr>
                <w:sz w:val="17"/>
                <w:szCs w:val="17"/>
                <w:color w:val="auto"/>
              </w:rPr>
            </w:pPr>
          </w:p>
        </w:tc>
      </w:tr>
      <w:tr>
        <w:trPr>
          <w:trHeight w:val="24"/>
        </w:trPr>
        <w:tc>
          <w:tcPr>
            <w:tcW w:w="58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86"/>
        </w:trPr>
        <w:tc>
          <w:tcPr>
            <w:tcW w:w="586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r>
      <w:tr>
        <w:trPr>
          <w:trHeight w:val="192"/>
        </w:trPr>
        <w:tc>
          <w:tcPr>
            <w:tcW w:w="5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40" w:type="dxa"/>
            <w:vAlign w:val="bottom"/>
            <w:gridSpan w:val="3"/>
          </w:tcPr>
          <w:p>
            <w:pPr>
              <w:ind w:left="8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34"/>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840" w:type="dxa"/>
            <w:vAlign w:val="bottom"/>
            <w:shd w:val="clear" w:color="auto" w:fill="CCEEFF"/>
          </w:tcPr>
          <w:p>
            <w:pPr>
              <w:jc w:val="right"/>
              <w:ind w:right="66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677"/>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(7)</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6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57"/>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r>
      <w:tr>
        <w:trPr>
          <w:trHeight w:val="174"/>
        </w:trPr>
        <w:tc>
          <w:tcPr>
            <w:tcW w:w="5860" w:type="dxa"/>
            <w:vAlign w:val="bottom"/>
          </w:tcPr>
          <w:p>
            <w:pPr>
              <w:ind w:left="180"/>
              <w:spacing w:after="0" w:line="174" w:lineRule="exact"/>
              <w:rPr>
                <w:sz w:val="20"/>
                <w:szCs w:val="20"/>
                <w:color w:val="auto"/>
              </w:rPr>
            </w:pPr>
            <w:r>
              <w:rPr>
                <w:rFonts w:ascii="Arial" w:cs="Arial" w:eastAsia="Arial" w:hAnsi="Arial"/>
                <w:sz w:val="18"/>
                <w:szCs w:val="18"/>
                <w:color w:val="auto"/>
                <w:w w:val="92"/>
              </w:rPr>
              <w:t>Adjustment to pension and other postretirement plans (net of tax of $-0-, $-0-</w:t>
            </w: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238"/>
        </w:trPr>
        <w:tc>
          <w:tcPr>
            <w:tcW w:w="58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,$-0- and $-0-)</w:t>
            </w:r>
          </w:p>
        </w:tc>
        <w:tc>
          <w:tcPr>
            <w:tcW w:w="8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8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586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840" w:type="dxa"/>
            <w:vAlign w:val="bottom"/>
            <w:tcBorders>
              <w:top w:val="single" w:sz="8" w:color="auto"/>
              <w:bottom w:val="single" w:sz="8" w:color="auto"/>
            </w:tcBorders>
          </w:tcPr>
          <w:p>
            <w:pPr>
              <w:jc w:val="right"/>
              <w:ind w:right="66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77"/>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6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57"/>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w:t>
            </w:r>
          </w:p>
        </w:tc>
      </w:tr>
      <w:tr>
        <w:trPr>
          <w:trHeight w:val="20"/>
        </w:trPr>
        <w:tc>
          <w:tcPr>
            <w:tcW w:w="5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CONSOLIDATED BALANCE SHEETS (Unaudited)</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0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December 31,</w:t>
            </w:r>
          </w:p>
        </w:tc>
      </w:tr>
      <w:tr>
        <w:trPr>
          <w:trHeight w:val="193"/>
        </w:trPr>
        <w:tc>
          <w:tcPr>
            <w:tcW w:w="8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r>
      <w:tr>
        <w:trPr>
          <w:trHeight w:val="184"/>
        </w:trPr>
        <w:tc>
          <w:tcPr>
            <w:tcW w:w="8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20" w:type="dxa"/>
            <w:vAlign w:val="bottom"/>
            <w:gridSpan w:val="4"/>
          </w:tcPr>
          <w:p>
            <w:pPr>
              <w:jc w:val="right"/>
              <w:ind w:right="993"/>
              <w:spacing w:after="0"/>
              <w:rPr>
                <w:sz w:val="20"/>
                <w:szCs w:val="20"/>
                <w:color w:val="auto"/>
              </w:rPr>
            </w:pPr>
            <w:r>
              <w:rPr>
                <w:rFonts w:ascii="Arial" w:cs="Arial" w:eastAsia="Arial" w:hAnsi="Arial"/>
                <w:sz w:val="14"/>
                <w:szCs w:val="14"/>
                <w:b w:val="1"/>
                <w:bCs w:val="1"/>
                <w:color w:val="auto"/>
              </w:rPr>
              <w:t>(in millions)</w:t>
            </w:r>
          </w:p>
        </w:tc>
      </w:tr>
      <w:tr>
        <w:trPr>
          <w:trHeight w:val="236"/>
        </w:trPr>
        <w:tc>
          <w:tcPr>
            <w:tcW w:w="83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1"/>
        </w:trPr>
        <w:tc>
          <w:tcPr>
            <w:tcW w:w="834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27"/>
        </w:trPr>
        <w:tc>
          <w:tcPr>
            <w:tcW w:w="8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340" w:type="dxa"/>
            <w:vAlign w:val="bottom"/>
          </w:tcPr>
          <w:p>
            <w:pPr>
              <w:ind w:left="140"/>
              <w:spacing w:after="0"/>
              <w:rPr>
                <w:sz w:val="20"/>
                <w:szCs w:val="20"/>
                <w:color w:val="auto"/>
              </w:rPr>
            </w:pPr>
            <w:r>
              <w:rPr>
                <w:rFonts w:ascii="Arial" w:cs="Arial" w:eastAsia="Arial" w:hAnsi="Arial"/>
                <w:sz w:val="18"/>
                <w:szCs w:val="18"/>
                <w:color w:val="auto"/>
              </w:rPr>
              <w:t>Accounts receivable, less allowance for credit losses of $28 and $34, respectively</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463</w:t>
            </w:r>
          </w:p>
        </w:tc>
      </w:tr>
      <w:tr>
        <w:trPr>
          <w:trHeight w:val="227"/>
        </w:trPr>
        <w:tc>
          <w:tcPr>
            <w:tcW w:w="8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unbilled revenues, less allowance for credit losses of $1 and $4, respectively</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r>
      <w:tr>
        <w:trPr>
          <w:trHeight w:val="225"/>
        </w:trPr>
        <w:tc>
          <w:tcPr>
            <w:tcW w:w="8340" w:type="dxa"/>
            <w:vAlign w:val="bottom"/>
          </w:tcPr>
          <w:p>
            <w:pPr>
              <w:ind w:left="140"/>
              <w:spacing w:after="0"/>
              <w:rPr>
                <w:sz w:val="20"/>
                <w:szCs w:val="20"/>
                <w:color w:val="auto"/>
              </w:rPr>
            </w:pPr>
            <w:r>
              <w:rPr>
                <w:rFonts w:ascii="Arial" w:cs="Arial" w:eastAsia="Arial" w:hAnsi="Arial"/>
                <w:sz w:val="18"/>
                <w:szCs w:val="18"/>
                <w:color w:val="auto"/>
              </w:rPr>
              <w:t>Accounts receivable–affiliated companies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7"/>
        </w:trPr>
        <w:tc>
          <w:tcPr>
            <w:tcW w:w="8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receivable–affiliated companies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340" w:type="dxa"/>
            <w:vAlign w:val="bottom"/>
          </w:tcPr>
          <w:p>
            <w:pPr>
              <w:ind w:left="140"/>
              <w:spacing w:after="0"/>
              <w:rPr>
                <w:sz w:val="20"/>
                <w:szCs w:val="20"/>
                <w:color w:val="auto"/>
              </w:rPr>
            </w:pPr>
            <w:r>
              <w:rPr>
                <w:rFonts w:ascii="Arial" w:cs="Arial" w:eastAsia="Arial" w:hAnsi="Arial"/>
                <w:sz w:val="18"/>
                <w:szCs w:val="18"/>
                <w:color w:val="auto"/>
              </w:rPr>
              <w:t>Materials and supplies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27"/>
        </w:trPr>
        <w:tc>
          <w:tcPr>
            <w:tcW w:w="8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Natural gas inventory</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25"/>
        </w:trPr>
        <w:tc>
          <w:tcPr>
            <w:tcW w:w="8340" w:type="dxa"/>
            <w:vAlign w:val="bottom"/>
          </w:tcPr>
          <w:p>
            <w:pPr>
              <w:ind w:left="140"/>
              <w:spacing w:after="0"/>
              <w:rPr>
                <w:sz w:val="20"/>
                <w:szCs w:val="20"/>
                <w:color w:val="auto"/>
              </w:rPr>
            </w:pPr>
            <w:r>
              <w:rPr>
                <w:rFonts w:ascii="Arial" w:cs="Arial" w:eastAsia="Arial" w:hAnsi="Arial"/>
                <w:sz w:val="18"/>
                <w:szCs w:val="18"/>
                <w:color w:val="auto"/>
              </w:rPr>
              <w:t>Non-trading derivative assets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7"/>
        </w:trPr>
        <w:tc>
          <w:tcPr>
            <w:tcW w:w="8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 receivable</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5"/>
        </w:trPr>
        <w:tc>
          <w:tcPr>
            <w:tcW w:w="8340" w:type="dxa"/>
            <w:vAlign w:val="bottom"/>
          </w:tcPr>
          <w:p>
            <w:pPr>
              <w:ind w:left="140"/>
              <w:spacing w:after="0"/>
              <w:rPr>
                <w:sz w:val="20"/>
                <w:szCs w:val="20"/>
                <w:color w:val="auto"/>
              </w:rPr>
            </w:pPr>
            <w:r>
              <w:rPr>
                <w:rFonts w:ascii="Arial" w:cs="Arial" w:eastAsia="Arial" w:hAnsi="Arial"/>
                <w:sz w:val="18"/>
                <w:szCs w:val="18"/>
                <w:color w:val="auto"/>
              </w:rPr>
              <w:t>Regulatory assets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1,336</w:t>
            </w:r>
          </w:p>
        </w:tc>
      </w:tr>
      <w:tr>
        <w:trPr>
          <w:trHeight w:val="227"/>
        </w:trPr>
        <w:tc>
          <w:tcPr>
            <w:tcW w:w="8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19"/>
        </w:trPr>
        <w:tc>
          <w:tcPr>
            <w:tcW w:w="83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2,814</w:t>
            </w:r>
          </w:p>
        </w:tc>
      </w:tr>
      <w:tr>
        <w:trPr>
          <w:trHeight w:val="207"/>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5"/>
        </w:trPr>
        <w:tc>
          <w:tcPr>
            <w:tcW w:w="834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15,460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14,379</w:t>
            </w:r>
          </w:p>
        </w:tc>
      </w:tr>
      <w:tr>
        <w:trPr>
          <w:trHeight w:val="227"/>
        </w:trPr>
        <w:tc>
          <w:tcPr>
            <w:tcW w:w="8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3,973</w:t>
            </w:r>
          </w:p>
        </w:tc>
      </w:tr>
      <w:tr>
        <w:trPr>
          <w:trHeight w:val="219"/>
        </w:trPr>
        <w:tc>
          <w:tcPr>
            <w:tcW w:w="83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10,406</w:t>
            </w:r>
          </w:p>
        </w:tc>
      </w:tr>
      <w:tr>
        <w:trPr>
          <w:trHeight w:val="207"/>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5"/>
        </w:trPr>
        <w:tc>
          <w:tcPr>
            <w:tcW w:w="8340" w:type="dxa"/>
            <w:vAlign w:val="bottom"/>
          </w:tcPr>
          <w:p>
            <w:pPr>
              <w:ind w:left="14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1,583</w:t>
            </w:r>
          </w:p>
        </w:tc>
      </w:tr>
      <w:tr>
        <w:trPr>
          <w:trHeight w:val="227"/>
        </w:trPr>
        <w:tc>
          <w:tcPr>
            <w:tcW w:w="8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Regulatory assets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r>
      <w:tr>
        <w:trPr>
          <w:trHeight w:val="225"/>
        </w:trPr>
        <w:tc>
          <w:tcPr>
            <w:tcW w:w="8340" w:type="dxa"/>
            <w:vAlign w:val="bottom"/>
          </w:tcPr>
          <w:p>
            <w:pPr>
              <w:ind w:left="140"/>
              <w:spacing w:after="0"/>
              <w:rPr>
                <w:sz w:val="20"/>
                <w:szCs w:val="20"/>
                <w:color w:val="auto"/>
              </w:rPr>
            </w:pPr>
            <w:r>
              <w:rPr>
                <w:rFonts w:ascii="Arial" w:cs="Arial" w:eastAsia="Arial" w:hAnsi="Arial"/>
                <w:sz w:val="18"/>
                <w:szCs w:val="18"/>
                <w:color w:val="auto"/>
              </w:rPr>
              <w:t>Non-trading derivative assets</w:t>
            </w:r>
          </w:p>
        </w:tc>
        <w:tc>
          <w:tcPr>
            <w:tcW w:w="1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7"/>
        </w:trPr>
        <w:tc>
          <w:tcPr>
            <w:tcW w:w="8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9"/>
        </w:trPr>
        <w:tc>
          <w:tcPr>
            <w:tcW w:w="83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other assets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2,484</w:t>
            </w:r>
          </w:p>
        </w:tc>
      </w:tr>
      <w:tr>
        <w:trPr>
          <w:trHeight w:val="245"/>
        </w:trPr>
        <w:tc>
          <w:tcPr>
            <w:tcW w:w="8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left="340" w:right="2140"/>
        <w:spacing w:after="0" w:line="257"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CONSOLIDATED BALANCE SHEETS – (continued) (Unaudited)</w:t>
      </w:r>
    </w:p>
    <w:p>
      <w:pPr>
        <w:spacing w:after="0" w:line="200" w:lineRule="exact"/>
        <w:rPr>
          <w:sz w:val="20"/>
          <w:szCs w:val="20"/>
          <w:color w:val="auto"/>
        </w:rPr>
      </w:pP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0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December 31,</w:t>
            </w:r>
          </w:p>
        </w:tc>
      </w:tr>
      <w:tr>
        <w:trPr>
          <w:trHeight w:val="190"/>
        </w:trPr>
        <w:tc>
          <w:tcPr>
            <w:tcW w:w="8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r>
      <w:tr>
        <w:trPr>
          <w:trHeight w:val="183"/>
        </w:trPr>
        <w:tc>
          <w:tcPr>
            <w:tcW w:w="8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00" w:type="dxa"/>
            <w:vAlign w:val="bottom"/>
            <w:gridSpan w:val="4"/>
          </w:tcPr>
          <w:p>
            <w:pPr>
              <w:jc w:val="right"/>
              <w:ind w:right="993"/>
              <w:spacing w:after="0"/>
              <w:rPr>
                <w:sz w:val="20"/>
                <w:szCs w:val="20"/>
                <w:color w:val="auto"/>
              </w:rPr>
            </w:pPr>
            <w:r>
              <w:rPr>
                <w:rFonts w:ascii="Arial" w:cs="Arial" w:eastAsia="Arial" w:hAnsi="Arial"/>
                <w:sz w:val="14"/>
                <w:szCs w:val="14"/>
                <w:b w:val="1"/>
                <w:bCs w:val="1"/>
                <w:color w:val="auto"/>
              </w:rPr>
              <w:t>(in millions)</w:t>
            </w:r>
          </w:p>
        </w:tc>
      </w:tr>
      <w:tr>
        <w:trPr>
          <w:trHeight w:val="236"/>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1"/>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27"/>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borrowings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r>
      <w:tr>
        <w:trPr>
          <w:trHeight w:val="225"/>
        </w:trPr>
        <w:tc>
          <w:tcPr>
            <w:tcW w:w="8300" w:type="dxa"/>
            <w:vAlign w:val="bottom"/>
          </w:tcPr>
          <w:p>
            <w:pPr>
              <w:ind w:left="14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1,331</w:t>
            </w:r>
          </w:p>
        </w:tc>
      </w:tr>
      <w:tr>
        <w:trPr>
          <w:trHeight w:val="227"/>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r>
      <w:tr>
        <w:trPr>
          <w:trHeight w:val="225"/>
        </w:trPr>
        <w:tc>
          <w:tcPr>
            <w:tcW w:w="8300" w:type="dxa"/>
            <w:vAlign w:val="bottom"/>
          </w:tcPr>
          <w:p>
            <w:pPr>
              <w:ind w:left="140"/>
              <w:spacing w:after="0"/>
              <w:rPr>
                <w:sz w:val="20"/>
                <w:szCs w:val="20"/>
                <w:color w:val="auto"/>
              </w:rPr>
            </w:pPr>
            <w:r>
              <w:rPr>
                <w:rFonts w:ascii="Arial" w:cs="Arial" w:eastAsia="Arial" w:hAnsi="Arial"/>
                <w:sz w:val="18"/>
                <w:szCs w:val="18"/>
                <w:color w:val="auto"/>
              </w:rPr>
              <w:t>Accounts payable–affiliated companies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27"/>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 accrued</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25"/>
        </w:trPr>
        <w:tc>
          <w:tcPr>
            <w:tcW w:w="8300" w:type="dxa"/>
            <w:vAlign w:val="bottom"/>
          </w:tcPr>
          <w:p>
            <w:pPr>
              <w:ind w:left="140"/>
              <w:spacing w:after="0"/>
              <w:rPr>
                <w:sz w:val="20"/>
                <w:szCs w:val="20"/>
                <w:color w:val="auto"/>
              </w:rPr>
            </w:pPr>
            <w:r>
              <w:rPr>
                <w:rFonts w:ascii="Arial" w:cs="Arial" w:eastAsia="Arial" w:hAnsi="Arial"/>
                <w:sz w:val="18"/>
                <w:szCs w:val="18"/>
                <w:color w:val="auto"/>
              </w:rPr>
              <w:t>Interest accrued</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7"/>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deposits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25"/>
        </w:trPr>
        <w:tc>
          <w:tcPr>
            <w:tcW w:w="8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r>
      <w:tr>
        <w:trPr>
          <w:trHeight w:val="220"/>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w:t>
            </w:r>
          </w:p>
        </w:tc>
      </w:tr>
      <w:tr>
        <w:trPr>
          <w:trHeight w:val="206"/>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Other Liabilities:</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6"/>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 net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r>
      <w:tr>
        <w:trPr>
          <w:trHeight w:val="225"/>
        </w:trPr>
        <w:tc>
          <w:tcPr>
            <w:tcW w:w="8300" w:type="dxa"/>
            <w:vAlign w:val="bottom"/>
          </w:tcPr>
          <w:p>
            <w:pPr>
              <w:ind w:left="140"/>
              <w:spacing w:after="0"/>
              <w:rPr>
                <w:sz w:val="20"/>
                <w:szCs w:val="20"/>
                <w:color w:val="auto"/>
              </w:rPr>
            </w:pPr>
            <w:r>
              <w:rPr>
                <w:rFonts w:ascii="Arial" w:cs="Arial" w:eastAsia="Arial" w:hAnsi="Arial"/>
                <w:sz w:val="18"/>
                <w:szCs w:val="18"/>
                <w:color w:val="auto"/>
              </w:rPr>
              <w:t>Benefit obligations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7"/>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Regulatory liabilities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w:t>
            </w:r>
          </w:p>
        </w:tc>
      </w:tr>
      <w:tr>
        <w:trPr>
          <w:trHeight w:val="225"/>
        </w:trPr>
        <w:tc>
          <w:tcPr>
            <w:tcW w:w="8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r>
      <w:tr>
        <w:trPr>
          <w:trHeight w:val="220"/>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3,640</w:t>
            </w:r>
          </w:p>
        </w:tc>
      </w:tr>
      <w:tr>
        <w:trPr>
          <w:trHeight w:val="219"/>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Long-Term Debt</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3,495</w:t>
            </w:r>
          </w:p>
        </w:tc>
      </w:tr>
      <w:tr>
        <w:trPr>
          <w:trHeight w:val="207"/>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 (Note 13)</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6"/>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6"/>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30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3,729</w:t>
            </w:r>
          </w:p>
        </w:tc>
      </w:tr>
      <w:tr>
        <w:trPr>
          <w:trHeight w:val="227"/>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w:t>
            </w:r>
          </w:p>
        </w:tc>
      </w:tr>
      <w:tr>
        <w:trPr>
          <w:trHeight w:val="225"/>
        </w:trPr>
        <w:tc>
          <w:tcPr>
            <w:tcW w:w="8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19"/>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5,363</w:t>
            </w:r>
          </w:p>
        </w:tc>
      </w:tr>
      <w:tr>
        <w:trPr>
          <w:trHeight w:val="220"/>
        </w:trPr>
        <w:tc>
          <w:tcPr>
            <w:tcW w:w="8300" w:type="dxa"/>
            <w:vAlign w:val="bottom"/>
          </w:tcPr>
          <w:p>
            <w:pPr>
              <w:ind w:left="660"/>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15,704</w:t>
            </w:r>
          </w:p>
        </w:tc>
      </w:tr>
      <w:tr>
        <w:trPr>
          <w:trHeight w:val="20"/>
        </w:trPr>
        <w:tc>
          <w:tcPr>
            <w:tcW w:w="8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jc w:val="center"/>
        <w:ind w:left="340" w:right="2140"/>
        <w:spacing w:after="0" w:line="257"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STATEMENTS OF CONSOLIDATED CASH FLOWS (Unaudited)</w:t>
      </w: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300" w:type="dxa"/>
            <w:vAlign w:val="bottom"/>
          </w:tcPr>
          <w:p>
            <w:pPr>
              <w:spacing w:after="0"/>
              <w:rPr>
                <w:sz w:val="16"/>
                <w:szCs w:val="16"/>
                <w:color w:val="auto"/>
              </w:rPr>
            </w:pPr>
          </w:p>
        </w:tc>
        <w:tc>
          <w:tcPr>
            <w:tcW w:w="2900" w:type="dxa"/>
            <w:vAlign w:val="bottom"/>
            <w:gridSpan w:val="5"/>
          </w:tcPr>
          <w:p>
            <w:pPr>
              <w:jc w:val="right"/>
              <w:ind w:right="292"/>
              <w:spacing w:after="0"/>
              <w:rPr>
                <w:sz w:val="20"/>
                <w:szCs w:val="20"/>
                <w:color w:val="auto"/>
              </w:rPr>
            </w:pPr>
            <w:r>
              <w:rPr>
                <w:rFonts w:ascii="Arial" w:cs="Arial" w:eastAsia="Arial" w:hAnsi="Arial"/>
                <w:sz w:val="14"/>
                <w:szCs w:val="14"/>
                <w:b w:val="1"/>
                <w:bCs w:val="1"/>
                <w:color w:val="auto"/>
              </w:rPr>
              <w:t>Nine Months Ended September 30,</w:t>
            </w:r>
          </w:p>
        </w:tc>
      </w:tr>
      <w:tr>
        <w:trPr>
          <w:trHeight w:val="24"/>
        </w:trPr>
        <w:tc>
          <w:tcPr>
            <w:tcW w:w="83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6"/>
        </w:trPr>
        <w:tc>
          <w:tcPr>
            <w:tcW w:w="83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r>
      <w:tr>
        <w:trPr>
          <w:trHeight w:val="184"/>
        </w:trPr>
        <w:tc>
          <w:tcPr>
            <w:tcW w:w="8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gridSpan w:val="3"/>
          </w:tcPr>
          <w:p>
            <w:pPr>
              <w:jc w:val="right"/>
              <w:ind w:right="31"/>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6"/>
                <w:szCs w:val="16"/>
                <w:color w:val="auto"/>
              </w:rPr>
            </w:pPr>
          </w:p>
        </w:tc>
      </w:tr>
      <w:tr>
        <w:trPr>
          <w:trHeight w:val="241"/>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27"/>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jc w:val="right"/>
              <w:ind w:right="6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r>
      <w:tr>
        <w:trPr>
          <w:trHeight w:val="225"/>
        </w:trPr>
        <w:tc>
          <w:tcPr>
            <w:tcW w:w="830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7"/>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25"/>
        </w:trPr>
        <w:tc>
          <w:tcPr>
            <w:tcW w:w="830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27"/>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divestitures</w:t>
            </w:r>
          </w:p>
        </w:tc>
        <w:tc>
          <w:tcPr>
            <w:tcW w:w="8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r>
      <w:tr>
        <w:trPr>
          <w:trHeight w:val="225"/>
        </w:trPr>
        <w:tc>
          <w:tcPr>
            <w:tcW w:w="8300" w:type="dxa"/>
            <w:vAlign w:val="bottom"/>
          </w:tcPr>
          <w:p>
            <w:pPr>
              <w:ind w:left="340"/>
              <w:spacing w:after="0"/>
              <w:rPr>
                <w:sz w:val="20"/>
                <w:szCs w:val="20"/>
                <w:color w:val="auto"/>
              </w:rPr>
            </w:pPr>
            <w:r>
              <w:rPr>
                <w:rFonts w:ascii="Arial" w:cs="Arial" w:eastAsia="Arial" w:hAnsi="Arial"/>
                <w:sz w:val="18"/>
                <w:szCs w:val="18"/>
                <w:color w:val="auto"/>
              </w:rPr>
              <w:t>Changes in other assets and liabilities:</w:t>
            </w: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7"/>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receivable and unbilled revenues, net</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25"/>
        </w:trPr>
        <w:tc>
          <w:tcPr>
            <w:tcW w:w="8300" w:type="dxa"/>
            <w:vAlign w:val="bottom"/>
          </w:tcPr>
          <w:p>
            <w:pPr>
              <w:ind w:left="500"/>
              <w:spacing w:after="0"/>
              <w:rPr>
                <w:sz w:val="20"/>
                <w:szCs w:val="20"/>
                <w:color w:val="auto"/>
              </w:rPr>
            </w:pPr>
            <w:r>
              <w:rPr>
                <w:rFonts w:ascii="Arial" w:cs="Arial" w:eastAsia="Arial" w:hAnsi="Arial"/>
                <w:sz w:val="18"/>
                <w:szCs w:val="18"/>
                <w:color w:val="auto"/>
              </w:rPr>
              <w:t>Accounts receivable/payable–affiliated companies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7"/>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Inventory</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25"/>
        </w:trPr>
        <w:tc>
          <w:tcPr>
            <w:tcW w:w="830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27"/>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regulatory assets and liabilities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25"/>
        </w:trPr>
        <w:tc>
          <w:tcPr>
            <w:tcW w:w="8300" w:type="dxa"/>
            <w:vAlign w:val="bottom"/>
          </w:tcPr>
          <w:p>
            <w:pPr>
              <w:ind w:left="500"/>
              <w:spacing w:after="0"/>
              <w:rPr>
                <w:sz w:val="20"/>
                <w:szCs w:val="20"/>
                <w:color w:val="auto"/>
              </w:rPr>
            </w:pPr>
            <w:r>
              <w:rPr>
                <w:rFonts w:ascii="Arial" w:cs="Arial" w:eastAsia="Arial" w:hAnsi="Arial"/>
                <w:sz w:val="18"/>
                <w:szCs w:val="18"/>
                <w:color w:val="auto"/>
              </w:rPr>
              <w:t>Other current assets and liabilities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27"/>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non-current assets and liabilities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5"/>
        </w:trPr>
        <w:tc>
          <w:tcPr>
            <w:tcW w:w="83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operating activities, net</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0"/>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r>
      <w:tr>
        <w:trPr>
          <w:trHeight w:val="219"/>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7"/>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r>
      <w:tr>
        <w:trPr>
          <w:trHeight w:val="225"/>
        </w:trPr>
        <w:tc>
          <w:tcPr>
            <w:tcW w:w="8300" w:type="dxa"/>
            <w:vAlign w:val="bottom"/>
          </w:tcPr>
          <w:p>
            <w:pPr>
              <w:ind w:left="180"/>
              <w:spacing w:after="0"/>
              <w:rPr>
                <w:sz w:val="20"/>
                <w:szCs w:val="20"/>
                <w:color w:val="auto"/>
              </w:rPr>
            </w:pPr>
            <w:r>
              <w:rPr>
                <w:rFonts w:ascii="Arial" w:cs="Arial" w:eastAsia="Arial" w:hAnsi="Arial"/>
                <w:sz w:val="18"/>
                <w:szCs w:val="18"/>
                <w:color w:val="auto"/>
              </w:rPr>
              <w:t>Increase in notes receivable–affiliated companies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divestiture</w:t>
            </w:r>
          </w:p>
        </w:tc>
        <w:tc>
          <w:tcPr>
            <w:tcW w:w="8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r>
      <w:tr>
        <w:trPr>
          <w:trHeight w:val="225"/>
        </w:trPr>
        <w:tc>
          <w:tcPr>
            <w:tcW w:w="8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investing activities, net</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0"/>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provided by (used in) investing activities</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(1,320)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r>
      <w:tr>
        <w:trPr>
          <w:trHeight w:val="219"/>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7"/>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(decrease) in short-term borrowings, net</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25"/>
        </w:trPr>
        <w:tc>
          <w:tcPr>
            <w:tcW w:w="8300" w:type="dxa"/>
            <w:vAlign w:val="bottom"/>
          </w:tcPr>
          <w:p>
            <w:pPr>
              <w:ind w:left="180"/>
              <w:spacing w:after="0"/>
              <w:rPr>
                <w:sz w:val="20"/>
                <w:szCs w:val="20"/>
                <w:color w:val="auto"/>
              </w:rPr>
            </w:pPr>
            <w:r>
              <w:rPr>
                <w:rFonts w:ascii="Arial" w:cs="Arial" w:eastAsia="Arial" w:hAnsi="Arial"/>
                <w:sz w:val="18"/>
                <w:szCs w:val="18"/>
                <w:color w:val="auto"/>
              </w:rPr>
              <w:t>Payments of commercial paper, net</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(324)</w:t>
            </w:r>
          </w:p>
        </w:tc>
      </w:tr>
      <w:tr>
        <w:trPr>
          <w:trHeight w:val="227"/>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long-term debt and term loan</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r>
      <w:tr>
        <w:trPr>
          <w:trHeight w:val="225"/>
        </w:trPr>
        <w:tc>
          <w:tcPr>
            <w:tcW w:w="8300" w:type="dxa"/>
            <w:vAlign w:val="bottom"/>
          </w:tcPr>
          <w:p>
            <w:pPr>
              <w:ind w:left="180"/>
              <w:spacing w:after="0"/>
              <w:rPr>
                <w:sz w:val="20"/>
                <w:szCs w:val="20"/>
                <w:color w:val="auto"/>
              </w:rPr>
            </w:pPr>
            <w:r>
              <w:rPr>
                <w:rFonts w:ascii="Arial" w:cs="Arial" w:eastAsia="Arial" w:hAnsi="Arial"/>
                <w:sz w:val="18"/>
                <w:szCs w:val="18"/>
                <w:color w:val="auto"/>
              </w:rPr>
              <w:t>Payments of long-term debt and term loan</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(2,275)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27"/>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to parent</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r>
      <w:tr>
        <w:trPr>
          <w:trHeight w:val="225"/>
        </w:trPr>
        <w:tc>
          <w:tcPr>
            <w:tcW w:w="8300" w:type="dxa"/>
            <w:vAlign w:val="bottom"/>
          </w:tcPr>
          <w:p>
            <w:pPr>
              <w:ind w:left="180"/>
              <w:spacing w:after="0"/>
              <w:rPr>
                <w:sz w:val="20"/>
                <w:szCs w:val="20"/>
                <w:color w:val="auto"/>
              </w:rPr>
            </w:pPr>
            <w:r>
              <w:rPr>
                <w:rFonts w:ascii="Arial" w:cs="Arial" w:eastAsia="Arial" w:hAnsi="Arial"/>
                <w:sz w:val="18"/>
                <w:szCs w:val="18"/>
                <w:color w:val="auto"/>
              </w:rPr>
              <w:t>Payment of debt issuance costs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7"/>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notes payable–affiliated companies</w:t>
            </w:r>
          </w:p>
        </w:tc>
        <w:tc>
          <w:tcPr>
            <w:tcW w:w="8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r>
      <w:tr>
        <w:trPr>
          <w:trHeight w:val="225"/>
        </w:trPr>
        <w:tc>
          <w:tcPr>
            <w:tcW w:w="8300" w:type="dxa"/>
            <w:vAlign w:val="bottom"/>
          </w:tcPr>
          <w:p>
            <w:pPr>
              <w:ind w:left="180"/>
              <w:spacing w:after="0"/>
              <w:rPr>
                <w:sz w:val="20"/>
                <w:szCs w:val="20"/>
                <w:color w:val="auto"/>
              </w:rPr>
            </w:pPr>
            <w:r>
              <w:rPr>
                <w:rFonts w:ascii="Arial" w:cs="Arial" w:eastAsia="Arial" w:hAnsi="Arial"/>
                <w:sz w:val="18"/>
                <w:szCs w:val="18"/>
                <w:color w:val="auto"/>
              </w:rPr>
              <w:t>Contribution from parent</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27"/>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financing activities, net</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9"/>
        </w:trPr>
        <w:tc>
          <w:tcPr>
            <w:tcW w:w="83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used in financing activities</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w:t>
            </w:r>
          </w:p>
        </w:tc>
      </w:tr>
      <w:tr>
        <w:trPr>
          <w:trHeight w:val="22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6"/>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8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44"/>
        </w:trPr>
        <w:tc>
          <w:tcPr>
            <w:tcW w:w="8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860" w:type="dxa"/>
            <w:vAlign w:val="bottom"/>
            <w:tcBorders>
              <w:top w:val="single" w:sz="8" w:color="auto"/>
              <w:bottom w:val="single" w:sz="8" w:color="auto"/>
            </w:tcBorders>
            <w:shd w:val="clear" w:color="auto" w:fill="CCEEFF"/>
          </w:tcPr>
          <w:p>
            <w:pPr>
              <w:jc w:val="right"/>
              <w:ind w:right="66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STATEMENTS OF CONSOLIDATED CHANGES IN EQUITY (Unaudited)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tcPr>
          <w:p>
            <w:pPr>
              <w:spacing w:after="0"/>
              <w:rPr>
                <w:sz w:val="16"/>
                <w:szCs w:val="16"/>
                <w:color w:val="auto"/>
              </w:rPr>
            </w:pPr>
          </w:p>
        </w:tc>
        <w:tc>
          <w:tcPr>
            <w:tcW w:w="2960" w:type="dxa"/>
            <w:vAlign w:val="bottom"/>
            <w:gridSpan w:val="8"/>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gridSpan w:val="8"/>
          </w:tcPr>
          <w:p>
            <w:pPr>
              <w:ind w:left="720"/>
              <w:spacing w:after="0"/>
              <w:rPr>
                <w:sz w:val="20"/>
                <w:szCs w:val="20"/>
                <w:color w:val="auto"/>
              </w:rPr>
            </w:pPr>
            <w:r>
              <w:rPr>
                <w:rFonts w:ascii="Arial" w:cs="Arial" w:eastAsia="Arial" w:hAnsi="Arial"/>
                <w:sz w:val="14"/>
                <w:szCs w:val="14"/>
                <w:b w:val="1"/>
                <w:bCs w:val="1"/>
                <w:color w:val="auto"/>
                <w:w w:val="93"/>
              </w:rPr>
              <w:t>Nine Months Ended September 30,</w:t>
            </w:r>
          </w:p>
        </w:tc>
        <w:tc>
          <w:tcPr>
            <w:tcW w:w="680" w:type="dxa"/>
            <w:vAlign w:val="bottom"/>
          </w:tcPr>
          <w:p>
            <w:pPr>
              <w:spacing w:after="0"/>
              <w:rPr>
                <w:sz w:val="16"/>
                <w:szCs w:val="16"/>
                <w:color w:val="auto"/>
              </w:rPr>
            </w:pPr>
          </w:p>
        </w:tc>
      </w:tr>
      <w:tr>
        <w:trPr>
          <w:trHeight w:val="24"/>
        </w:trPr>
        <w:tc>
          <w:tcPr>
            <w:tcW w:w="3900" w:type="dxa"/>
            <w:vAlign w:val="bottom"/>
          </w:tcPr>
          <w:p>
            <w:pPr>
              <w:spacing w:after="0"/>
              <w:rPr>
                <w:sz w:val="2"/>
                <w:szCs w:val="2"/>
                <w:color w:val="auto"/>
              </w:rPr>
            </w:pPr>
          </w:p>
        </w:tc>
        <w:tc>
          <w:tcPr>
            <w:tcW w:w="1080" w:type="dxa"/>
            <w:vAlign w:val="bottom"/>
            <w:gridSpan w:val="3"/>
          </w:tcPr>
          <w:p>
            <w:pPr>
              <w:spacing w:after="0"/>
              <w:rPr>
                <w:sz w:val="2"/>
                <w:szCs w:val="2"/>
                <w:color w:val="auto"/>
              </w:rPr>
            </w:pPr>
          </w:p>
        </w:tc>
        <w:tc>
          <w:tcPr>
            <w:tcW w:w="700" w:type="dxa"/>
            <w:vAlign w:val="bottom"/>
          </w:tcPr>
          <w:p>
            <w:pPr>
              <w:spacing w:after="0"/>
              <w:rPr>
                <w:sz w:val="2"/>
                <w:szCs w:val="2"/>
                <w:color w:val="auto"/>
              </w:rPr>
            </w:pPr>
          </w:p>
        </w:tc>
        <w:tc>
          <w:tcPr>
            <w:tcW w:w="1180" w:type="dxa"/>
            <w:vAlign w:val="bottom"/>
            <w:gridSpan w:val="4"/>
          </w:tcPr>
          <w:p>
            <w:pPr>
              <w:spacing w:after="0"/>
              <w:rPr>
                <w:sz w:val="2"/>
                <w:szCs w:val="2"/>
                <w:color w:val="auto"/>
              </w:rPr>
            </w:pPr>
          </w:p>
        </w:tc>
        <w:tc>
          <w:tcPr>
            <w:tcW w:w="700" w:type="dxa"/>
            <w:vAlign w:val="bottom"/>
          </w:tcPr>
          <w:p>
            <w:pPr>
              <w:spacing w:after="0"/>
              <w:rPr>
                <w:sz w:val="2"/>
                <w:szCs w:val="2"/>
                <w:color w:val="auto"/>
              </w:rPr>
            </w:pPr>
          </w:p>
        </w:tc>
        <w:tc>
          <w:tcPr>
            <w:tcW w:w="1160" w:type="dxa"/>
            <w:vAlign w:val="bottom"/>
            <w:gridSpan w:val="4"/>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gridSpan w:val="4"/>
          </w:tcPr>
          <w:p>
            <w:pPr>
              <w:spacing w:after="0"/>
              <w:rPr>
                <w:sz w:val="2"/>
                <w:szCs w:val="2"/>
                <w:color w:val="auto"/>
              </w:rPr>
            </w:pPr>
          </w:p>
        </w:tc>
        <w:tc>
          <w:tcPr>
            <w:tcW w:w="680" w:type="dxa"/>
            <w:vAlign w:val="bottom"/>
          </w:tcPr>
          <w:p>
            <w:pPr>
              <w:spacing w:after="0"/>
              <w:rPr>
                <w:sz w:val="2"/>
                <w:szCs w:val="2"/>
                <w:color w:val="auto"/>
              </w:rPr>
            </w:pPr>
          </w:p>
        </w:tc>
      </w:tr>
      <w:tr>
        <w:trPr>
          <w:trHeight w:val="186"/>
        </w:trPr>
        <w:tc>
          <w:tcPr>
            <w:tcW w:w="3900" w:type="dxa"/>
            <w:vAlign w:val="bottom"/>
          </w:tcPr>
          <w:p>
            <w:pPr>
              <w:spacing w:after="0"/>
              <w:rPr>
                <w:sz w:val="16"/>
                <w:szCs w:val="16"/>
                <w:color w:val="auto"/>
              </w:rPr>
            </w:pPr>
          </w:p>
        </w:tc>
        <w:tc>
          <w:tcPr>
            <w:tcW w:w="10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top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top w:val="single" w:sz="8" w:color="auto"/>
            </w:tcBorders>
          </w:tcPr>
          <w:p>
            <w:pPr>
              <w:spacing w:after="0"/>
              <w:rPr>
                <w:sz w:val="16"/>
                <w:szCs w:val="16"/>
                <w:color w:val="auto"/>
              </w:rPr>
            </w:pPr>
          </w:p>
        </w:tc>
      </w:tr>
      <w:tr>
        <w:trPr>
          <w:trHeight w:val="193"/>
        </w:trPr>
        <w:tc>
          <w:tcPr>
            <w:tcW w:w="3900" w:type="dxa"/>
            <w:vAlign w:val="bottom"/>
          </w:tcPr>
          <w:p>
            <w:pPr>
              <w:spacing w:after="0"/>
              <w:rPr>
                <w:sz w:val="16"/>
                <w:szCs w:val="16"/>
                <w:color w:val="auto"/>
              </w:rPr>
            </w:pPr>
          </w:p>
        </w:tc>
        <w:tc>
          <w:tcPr>
            <w:tcW w:w="94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auto"/>
            </w:tcBorders>
          </w:tcPr>
          <w:p>
            <w:pPr>
              <w:spacing w:after="0"/>
              <w:rPr>
                <w:sz w:val="16"/>
                <w:szCs w:val="16"/>
                <w:color w:val="auto"/>
              </w:rPr>
            </w:pPr>
          </w:p>
        </w:tc>
        <w:tc>
          <w:tcPr>
            <w:tcW w:w="92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auto"/>
            </w:tcBorders>
          </w:tcPr>
          <w:p>
            <w:pPr>
              <w:spacing w:after="0"/>
              <w:rPr>
                <w:sz w:val="16"/>
                <w:szCs w:val="16"/>
                <w:color w:val="auto"/>
              </w:rPr>
            </w:pPr>
          </w:p>
        </w:tc>
        <w:tc>
          <w:tcPr>
            <w:tcW w:w="94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auto"/>
            </w:tcBorders>
          </w:tcPr>
          <w:p>
            <w:pPr>
              <w:spacing w:after="0"/>
              <w:rPr>
                <w:sz w:val="16"/>
                <w:szCs w:val="16"/>
                <w:color w:val="auto"/>
              </w:rPr>
            </w:pPr>
          </w:p>
        </w:tc>
        <w:tc>
          <w:tcPr>
            <w:tcW w:w="92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4"/>
              </w:rPr>
              <w:t>Amount</w:t>
            </w:r>
          </w:p>
        </w:tc>
      </w:tr>
      <w:tr>
        <w:trPr>
          <w:trHeight w:val="184"/>
        </w:trPr>
        <w:tc>
          <w:tcPr>
            <w:tcW w:w="3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8"/>
          </w:tcPr>
          <w:p>
            <w:pPr>
              <w:jc w:val="right"/>
              <w:ind w:right="11"/>
              <w:spacing w:after="0"/>
              <w:rPr>
                <w:sz w:val="20"/>
                <w:szCs w:val="20"/>
                <w:color w:val="auto"/>
              </w:rPr>
            </w:pPr>
            <w:r>
              <w:rPr>
                <w:rFonts w:ascii="Arial" w:cs="Arial" w:eastAsia="Arial" w:hAnsi="Arial"/>
                <w:sz w:val="14"/>
                <w:szCs w:val="14"/>
                <w:b w:val="1"/>
                <w:bCs w:val="1"/>
                <w:color w:val="auto"/>
              </w:rPr>
              <w:t>(in millions, except share amounts)</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41"/>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Common Stock</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27"/>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beginning of period</w:t>
            </w: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3900" w:type="dxa"/>
            <w:vAlign w:val="bottom"/>
          </w:tcPr>
          <w:p>
            <w:pPr>
              <w:ind w:left="140"/>
              <w:spacing w:after="0"/>
              <w:rPr>
                <w:sz w:val="20"/>
                <w:szCs w:val="20"/>
                <w:color w:val="auto"/>
              </w:rPr>
            </w:pPr>
            <w:r>
              <w:rPr>
                <w:rFonts w:ascii="Arial" w:cs="Arial" w:eastAsia="Arial" w:hAnsi="Arial"/>
                <w:sz w:val="18"/>
                <w:szCs w:val="18"/>
                <w:color w:val="auto"/>
              </w:rPr>
              <w:t>Balance, end of period</w:t>
            </w:r>
          </w:p>
        </w:tc>
        <w:tc>
          <w:tcPr>
            <w:tcW w:w="840" w:type="dxa"/>
            <w:vAlign w:val="bottom"/>
          </w:tcPr>
          <w:p>
            <w:pPr>
              <w:jc w:val="right"/>
              <w:ind w:right="2"/>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Additional Paid-in-Capital</w:t>
            </w: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r>
      <w:tr>
        <w:trPr>
          <w:trHeight w:val="225"/>
        </w:trPr>
        <w:tc>
          <w:tcPr>
            <w:tcW w:w="3900" w:type="dxa"/>
            <w:vAlign w:val="bottom"/>
          </w:tcPr>
          <w:p>
            <w:pPr>
              <w:ind w:left="140"/>
              <w:spacing w:after="0"/>
              <w:rPr>
                <w:sz w:val="20"/>
                <w:szCs w:val="20"/>
                <w:color w:val="auto"/>
              </w:rPr>
            </w:pPr>
            <w:r>
              <w:rPr>
                <w:rFonts w:ascii="Arial" w:cs="Arial" w:eastAsia="Arial" w:hAnsi="Arial"/>
                <w:sz w:val="18"/>
                <w:szCs w:val="18"/>
                <w:color w:val="auto"/>
              </w:rPr>
              <w:t>Balance, beginning of period</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4,229</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3,565</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3,729</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4,106</w:t>
            </w:r>
          </w:p>
        </w:tc>
      </w:tr>
      <w:tr>
        <w:trPr>
          <w:trHeight w:val="227"/>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Non-cash contribution from parent</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5"/>
        </w:trPr>
        <w:tc>
          <w:tcPr>
            <w:tcW w:w="3900" w:type="dxa"/>
            <w:vAlign w:val="bottom"/>
          </w:tcPr>
          <w:p>
            <w:pPr>
              <w:ind w:left="140"/>
              <w:spacing w:after="0"/>
              <w:rPr>
                <w:sz w:val="20"/>
                <w:szCs w:val="20"/>
                <w:color w:val="auto"/>
              </w:rPr>
            </w:pPr>
            <w:r>
              <w:rPr>
                <w:rFonts w:ascii="Arial" w:cs="Arial" w:eastAsia="Arial" w:hAnsi="Arial"/>
                <w:sz w:val="18"/>
                <w:szCs w:val="18"/>
                <w:color w:val="auto"/>
              </w:rPr>
              <w:t>Contribution from parent</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174"/>
        </w:trPr>
        <w:tc>
          <w:tcPr>
            <w:tcW w:w="3900" w:type="dxa"/>
            <w:vAlign w:val="bottom"/>
            <w:shd w:val="clear" w:color="auto" w:fill="CCEEFF"/>
          </w:tcPr>
          <w:p>
            <w:pPr>
              <w:ind w:left="140"/>
              <w:spacing w:after="0" w:line="175" w:lineRule="exact"/>
              <w:rPr>
                <w:sz w:val="20"/>
                <w:szCs w:val="20"/>
                <w:color w:val="auto"/>
              </w:rPr>
            </w:pPr>
            <w:r>
              <w:rPr>
                <w:rFonts w:ascii="Arial" w:cs="Arial" w:eastAsia="Arial" w:hAnsi="Arial"/>
                <w:sz w:val="18"/>
                <w:szCs w:val="18"/>
                <w:color w:val="auto"/>
              </w:rPr>
              <w:t>Contribution to parent for sale of Arkansas and</w:t>
            </w: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238"/>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Oklahoma Natural Gas businesses</w:t>
            </w: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r>
      <w:tr>
        <w:trPr>
          <w:trHeight w:val="219"/>
        </w:trPr>
        <w:tc>
          <w:tcPr>
            <w:tcW w:w="3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Balance, end of period</w:t>
            </w: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4,229</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3,565</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4,229</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3,565</w:t>
            </w:r>
          </w:p>
        </w:tc>
      </w:tr>
      <w:tr>
        <w:trPr>
          <w:trHeight w:val="22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Retained Earnings</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5"/>
        </w:trPr>
        <w:tc>
          <w:tcPr>
            <w:tcW w:w="3900" w:type="dxa"/>
            <w:vAlign w:val="bottom"/>
          </w:tcPr>
          <w:p>
            <w:pPr>
              <w:ind w:left="140"/>
              <w:spacing w:after="0"/>
              <w:rPr>
                <w:sz w:val="20"/>
                <w:szCs w:val="20"/>
                <w:color w:val="auto"/>
              </w:rPr>
            </w:pPr>
            <w:r>
              <w:rPr>
                <w:rFonts w:ascii="Arial" w:cs="Arial" w:eastAsia="Arial" w:hAnsi="Arial"/>
                <w:sz w:val="18"/>
                <w:szCs w:val="18"/>
                <w:color w:val="auto"/>
              </w:rPr>
              <w:t>Balance, beginning of period</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1,618</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1,017</w:t>
            </w:r>
          </w:p>
        </w:tc>
      </w:tr>
      <w:tr>
        <w:trPr>
          <w:trHeight w:val="227"/>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r>
      <w:tr>
        <w:trPr>
          <w:trHeight w:val="225"/>
        </w:trPr>
        <w:tc>
          <w:tcPr>
            <w:tcW w:w="3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Dividend to parent</w:t>
            </w: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r>
      <w:tr>
        <w:trPr>
          <w:trHeight w:val="220"/>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end of period</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w:t>
            </w:r>
          </w:p>
        </w:tc>
      </w:tr>
      <w:tr>
        <w:trPr>
          <w:trHeight w:val="219"/>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Income</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7"/>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beginning of period</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5"/>
        </w:trPr>
        <w:tc>
          <w:tcPr>
            <w:tcW w:w="3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comprehensive loss</w:t>
            </w: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end of period</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0"/>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5,798</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5,124</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5,798</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5,124</w:t>
            </w:r>
          </w:p>
        </w:tc>
      </w:tr>
      <w:tr>
        <w:trPr>
          <w:trHeight w:val="20"/>
        </w:trPr>
        <w:tc>
          <w:tcPr>
            <w:tcW w:w="3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left="340" w:right="2520"/>
        <w:spacing w:after="0" w:line="259" w:lineRule="auto"/>
        <w:rPr>
          <w:sz w:val="20"/>
          <w:szCs w:val="20"/>
          <w:color w:val="auto"/>
        </w:rPr>
      </w:pPr>
      <w:r>
        <w:rPr>
          <w:rFonts w:ascii="Arial" w:cs="Arial" w:eastAsia="Arial" w:hAnsi="Arial"/>
          <w:sz w:val="18"/>
          <w:szCs w:val="18"/>
          <w:b w:val="1"/>
          <w:bCs w:val="1"/>
          <w:color w:val="auto"/>
        </w:rPr>
        <w:t>CENTERPOINT ENERGY, INC. AND SUBSIDIARIES CENTERPOINT ENERGY HOUSTON ELECTRIC, LLC AND SUBSIDIARIES CENTERPOINT ENERGY RESOURCES CORP. AND SUBSIDIARIES</w:t>
      </w:r>
    </w:p>
    <w:p>
      <w:pPr>
        <w:spacing w:after="0" w:line="207"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COMBINED NOTES TO INTERIM CONDENSED FINANCIAL STATEMENTS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 and Basis of Presentation</w:t>
      </w:r>
    </w:p>
    <w:p>
      <w:pPr>
        <w:spacing w:after="0" w:line="251"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This combined Form 10-Q is filed separately by three registrants: CenterPoint Energy, Inc., CenterPoint Energy Houston Electric, LLC and</w:t>
      </w:r>
      <w:r>
        <w:rPr>
          <w:rFonts w:ascii="Arial" w:cs="Arial" w:eastAsia="Arial" w:hAnsi="Arial"/>
          <w:sz w:val="18"/>
          <w:szCs w:val="18"/>
          <w:i w:val="1"/>
          <w:iCs w:val="1"/>
          <w:color w:val="auto"/>
        </w:rPr>
        <w:t xml:space="preserve"> </w:t>
      </w:r>
      <w:r>
        <w:rPr>
          <w:rFonts w:ascii="Arial" w:cs="Arial" w:eastAsia="Arial" w:hAnsi="Arial"/>
          <w:sz w:val="18"/>
          <w:szCs w:val="18"/>
          <w:color w:val="auto"/>
        </w:rPr>
        <w:t>CenterPoint Energy Resources Corp. Information contained herein relating to any individual registrant is filed by such registrant solely on its own behalf. Each registrant makes no representation as to information relating exclusively to the other Registrants or the subsidiaries of CenterPoint Energy other than itself or its subsidiaries.</w:t>
      </w:r>
    </w:p>
    <w:p>
      <w:pPr>
        <w:spacing w:after="0" w:line="218"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Except as discussed in Note 11 to the Registrants’ Interim Condensed Financial Statements, no registrant has an obligation in respect of any other Registrant’s debt securities, and holders of such debt securities should not consider the financial resources or results of operations of any Registrant other than the obligor in making a decision with respect to such securities.</w:t>
      </w:r>
    </w:p>
    <w:p>
      <w:pPr>
        <w:spacing w:after="0" w:line="215"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Included in this combined Form 10-Q are the Interim Condensed Financial Statements of CenterPoint Energy, Houston Electric and CERC, which are referred to collectively as the Registrants. The Interim Condensed Financial Statements are unaudited, omit certain financial statement disclosures and should be read with the Registrants’ financial statements included in the Registrants’ combined 2022 Form 10-K. The Combined Notes to Interim Condensed Financial Statements apply to all Registrants and specific references to Houston Electric and CERC herein also pertain to CenterPoint Energy, unless otherwise indicated.</w:t>
      </w:r>
    </w:p>
    <w:p>
      <w:pPr>
        <w:spacing w:after="0" w:line="221"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i w:val="1"/>
          <w:iCs w:val="1"/>
          <w:color w:val="auto"/>
        </w:rPr>
        <w:t>Background</w:t>
      </w:r>
      <w:r>
        <w:rPr>
          <w:rFonts w:ascii="Arial" w:cs="Arial" w:eastAsia="Arial" w:hAnsi="Arial"/>
          <w:sz w:val="17"/>
          <w:szCs w:val="17"/>
          <w:color w:val="auto"/>
        </w:rPr>
        <w:t>. CenterPoint Energy, Inc. is a public utility holding company. On June 30, 2023, CenterPoint Energy completed the sale of its indirect</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subsidiary, Energy Systems Group, to an unaffiliated third party. For additional information, see Note 3. CenterPoint Energy completed the Restructuring on June 30, 2022, whereby the equity interests in Indiana Gas and VEDO, both subsidiaries it acquired in its acquisition of Vectren on February 1, 2019, were transferred from VUH to CERC Corp. SIGECO was not acquired by CERC and remains a subsidiary of VUH. On January 10, 2022, CERC Corp. completed the sale of its Arkansas and Oklahoma Natural Gas businesses. For additional information, see Note 3.</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September 30, 2023, CenterPoint Energy’s operating subsidiaries were as follows:</w:t>
      </w:r>
    </w:p>
    <w:p>
      <w:pPr>
        <w:spacing w:after="0" w:line="245" w:lineRule="exact"/>
        <w:rPr>
          <w:sz w:val="20"/>
          <w:szCs w:val="20"/>
          <w:color w:val="auto"/>
        </w:rPr>
      </w:pPr>
    </w:p>
    <w:p>
      <w:pPr>
        <w:ind w:left="640" w:hanging="315"/>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Houston Electric owns and operates electric transmission and distribution facilities in the Texas gulf coast area that includes the city of Houston;</w:t>
      </w:r>
    </w:p>
    <w:p>
      <w:pPr>
        <w:spacing w:after="0" w:line="268" w:lineRule="exact"/>
        <w:rPr>
          <w:rFonts w:ascii="Arial" w:cs="Arial" w:eastAsia="Arial" w:hAnsi="Arial"/>
          <w:sz w:val="16"/>
          <w:szCs w:val="16"/>
          <w:color w:val="auto"/>
        </w:rPr>
      </w:pPr>
    </w:p>
    <w:p>
      <w:pPr>
        <w:jc w:val="both"/>
        <w:ind w:left="640" w:hanging="315"/>
        <w:spacing w:after="0" w:line="278"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CERC Corp. (i) directly owns and operates natural gas distribution systems in Louisiana, Minnesota, Mississippi and Texas, (ii) indirectly, through Indiana Gas and VEDO, owns and operates natural gas distribution systems in Indiana and Ohio, respectively, and (iii) owns and operates permanent pipeline connections through interconnects with various interstate and intrastate pipeline companies through CEIP; and</w:t>
      </w:r>
    </w:p>
    <w:p>
      <w:pPr>
        <w:spacing w:after="0" w:line="198" w:lineRule="exact"/>
        <w:rPr>
          <w:rFonts w:ascii="Arial" w:cs="Arial" w:eastAsia="Arial" w:hAnsi="Arial"/>
          <w:sz w:val="17"/>
          <w:szCs w:val="17"/>
          <w:color w:val="auto"/>
        </w:rPr>
      </w:pPr>
    </w:p>
    <w:p>
      <w:pPr>
        <w:ind w:left="640" w:hanging="315"/>
        <w:spacing w:after="0" w:line="296"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SIGECO provides energy delivery services to electric and natural gas customers located in and near Evansville in southwestern Indiana and owns and operates electric generation assets to serve its electric customers and optimizes those assets in the wholesale power market.</w:t>
      </w:r>
    </w:p>
    <w:p>
      <w:pPr>
        <w:spacing w:after="0" w:line="183"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As of September 30, 2023, CenterPoint Energy’s reportable segments were Electric, Natural Gas, and Corporate and Other. Houston Electric and CERC each consist of a single reportable segment. For a description of CenterPoint Energy’s reportable segments, see Note 15.</w:t>
      </w:r>
    </w:p>
    <w:p>
      <w:pPr>
        <w:spacing w:after="0" w:line="220"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As of September 30, 2023, CenterPoint Energy, Houston Electric and SIGECO had VIEs including the Bond Companies and the SIGECO Securitization Subsidiary, which are consolidated. The consolidated VIEs are wholly-owned, bankruptcy-remote, special purpose entities that were formed solely for the purpose of securitizing transition property or facilitating the securitization financing of qualified costs in the second quarter of 2023 associated with the completed retirement of SIGECO’s A.B. Brown coal generation facilities. CenterPoint Energy, through SIGECO, has a controlling financial interest in the SIGECO Securitization Subsidiary and is the VIE’s primary beneficiary. For further information, see Note 6. Creditors of CenterPoint Energy, Houston Electric and SIGECO have no recourse to any assets or revenues of the Bond Companies or the SIGECO Securitization Subsidiary, as applicable. The Securitization Bonds issued by these VIEs are payable only from and secured by transition or securitization property, as applicable, and the bondholders have no recourse to the general credit of CenterPoint Energy, Houston Electric or SIGECO.</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The preparation of the Registrants’ financial statements in conformity with generally accepted accounting principles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to make estimates and assumptions that affect the reported amounts of assets and liabilities, disclosure of contingent assets and liabilities at the date of the financial statements, and the reported amounts of revenues and expenses during the reporting period. Actual results could differ from those estimates.</w:t>
      </w:r>
    </w:p>
    <w:p>
      <w:pPr>
        <w:spacing w:after="0" w:line="218"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The Interim Condensed Financial Statements reflect all normal recurring adjustments that are, in the opinion of management, necessary to present fairly the financial position, results of operations and cash flows for the respective periods. Amounts reported in the Condensed Statements of Consolidated Income are not necessarily indicative of amounts expected for a full-year period due to the effects of, among other things, (a) seasonal fluctuations in demand for energy, (b) changes in energy commodity prices, (c) timing of maintenance and other expenditures and (d) acquisitions and dispositions of businesses, assets and other interests.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New Accounting Pronouncements</w:t>
      </w:r>
    </w:p>
    <w:p>
      <w:pPr>
        <w:spacing w:after="0" w:line="251"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Management believes that recently adopted standards and recently issued standards that are not yet effective will not have a material impact on the Registrants’ financial position, results of operations or cash flows upon adoption.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Divestitures (CenterPoint Energy and CERC)</w:t>
      </w:r>
    </w:p>
    <w:p>
      <w:pPr>
        <w:spacing w:after="0" w:line="251" w:lineRule="exact"/>
        <w:rPr>
          <w:sz w:val="20"/>
          <w:szCs w:val="20"/>
          <w:color w:val="auto"/>
        </w:rPr>
      </w:pPr>
    </w:p>
    <w:p>
      <w:pPr>
        <w:jc w:val="both"/>
        <w:ind w:firstLine="319"/>
        <w:spacing w:after="0" w:line="287" w:lineRule="auto"/>
        <w:rPr>
          <w:sz w:val="20"/>
          <w:szCs w:val="20"/>
          <w:color w:val="auto"/>
        </w:rPr>
      </w:pPr>
      <w:r>
        <w:rPr>
          <w:rFonts w:ascii="Arial" w:cs="Arial" w:eastAsia="Arial" w:hAnsi="Arial"/>
          <w:sz w:val="16"/>
          <w:szCs w:val="16"/>
          <w:i w:val="1"/>
          <w:iCs w:val="1"/>
          <w:color w:val="auto"/>
        </w:rPr>
        <w:t xml:space="preserve">Divestiture of Energy Systems Group. </w:t>
      </w:r>
      <w:r>
        <w:rPr>
          <w:rFonts w:ascii="Arial" w:cs="Arial" w:eastAsia="Arial" w:hAnsi="Arial"/>
          <w:sz w:val="16"/>
          <w:szCs w:val="16"/>
          <w:color w:val="auto"/>
        </w:rPr>
        <w:t>On May 21, 2023, CenterPoint Energy, through its subsidiary Vectren Energy Services, entered into an Equity</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Agreement to sell all of the outstanding limited liability company interests of Energy Systems Group to ESG Holdings Group, for a purchase price of $157 million, subject to customary adjustments set forth in the Equity Purchase Agreement, including adjustments based on Energy Systems Group’s net working capital at closing, indebtedness, cash and cash equivalents and transaction expenses. The transaction closed on June 30, 2023, and CenterPoint Energy received $154 million in cash, subject to finalization of the purchase price adjustment. Additionally, as of September 30, 2023, CenterPoint Energy had a payable to ESG Holdings Group for working capital and other adjustments set forth in the Equity Purchase Agreement that have not yet been finalized.</w:t>
      </w:r>
    </w:p>
    <w:p>
      <w:pPr>
        <w:spacing w:after="0" w:line="196" w:lineRule="exact"/>
        <w:rPr>
          <w:sz w:val="20"/>
          <w:szCs w:val="20"/>
          <w:color w:val="auto"/>
        </w:rPr>
      </w:pPr>
    </w:p>
    <w:p>
      <w:pPr>
        <w:jc w:val="both"/>
        <w:ind w:firstLine="319"/>
        <w:spacing w:after="0" w:line="264" w:lineRule="auto"/>
        <w:rPr>
          <w:sz w:val="20"/>
          <w:szCs w:val="20"/>
          <w:color w:val="auto"/>
        </w:rPr>
      </w:pPr>
      <w:r>
        <w:rPr>
          <w:rFonts w:ascii="Arial" w:cs="Arial" w:eastAsia="Arial" w:hAnsi="Arial"/>
          <w:sz w:val="17"/>
          <w:szCs w:val="17"/>
          <w:color w:val="auto"/>
        </w:rPr>
        <w:t>In May 2023, certain assets and liabilities of Energy Systems Group met the held for sale criteria. The divestiture of Energy Systems Group reflects CenterPoint Energy’s continued strategic focus on its core utility businesses. The historical annual revenues, net income and total assets of Energy Systems Groups did not have a sufficient effect, quantitatively or qualitatively, on CenterPoint Energy’s financial results to be considered a strategic shift. Therefore, the income and expenses associated with Energy Systems Group were not reflected as discontinued operations on CenterPoint Energy’s Condensed Statements of Consolidated Income. For disposal groups that are classified as held for sale but that do not meet the criteria for discontinued operations reporting, the assets and liabilities of the disposal group are required to be separately presented on the face of the balance sheet only in the initial period in which it is classified as held for sale. Therefore, CenterPoint Energy’s Condensed Consolidated Balance Sheet as of December 31, 2022 was not recast to reflect Energy Systems Group’s assets and liabilities as held for sale. Depreciation and amortization of long-lived assets ceased at the end of the quarter in which the held for sale criteria is met. Additionally, as a result of the completion of the sale of Energy Systems Group in June 2023, there were no assets or liabilities classified as held for sale as of September 30, 2023. For a discussion of guarantees and product warranties related to Energy Systems Group prior to the sale, see Note 13(b).</w:t>
      </w:r>
    </w:p>
    <w:p>
      <w:pPr>
        <w:spacing w:after="0" w:line="214"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6"/>
          <w:szCs w:val="16"/>
          <w:color w:val="auto"/>
        </w:rPr>
        <w:t>CenterPoint Energy recognized a loss on sale of approximately $12 million, including $3 million of transaction costs, during the nine months ended September 30, 2023, in connection with the closing of the sale of Energy Systems Group. Additionally, CenterPoint Energy recognized a current tax expense of $33 million during the nine months ended September 30, 2023, as a result of the cash taxes payable upon the closing of the sale.</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pre-tax loss for Energy Systems Group, excluding interest and corporate allocations, included in CenterPoint Energy’s Condensed Statements of</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Consolidated Income is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260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5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4"/>
        </w:trPr>
        <w:tc>
          <w:tcPr>
            <w:tcW w:w="52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5260" w:type="dxa"/>
            <w:vAlign w:val="bottom"/>
          </w:tcPr>
          <w:p>
            <w:pPr>
              <w:spacing w:after="0"/>
              <w:rPr>
                <w:sz w:val="16"/>
                <w:szCs w:val="16"/>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2023</w:t>
            </w:r>
          </w:p>
        </w:tc>
        <w:tc>
          <w:tcPr>
            <w:tcW w:w="15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2022</w:t>
            </w:r>
          </w:p>
        </w:tc>
      </w:tr>
      <w:tr>
        <w:trPr>
          <w:trHeight w:val="192"/>
        </w:trPr>
        <w:tc>
          <w:tcPr>
            <w:tcW w:w="5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(in millions)</w:t>
            </w: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4"/>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Continuing Operations Before Income Taxes</w:t>
            </w:r>
          </w:p>
        </w:tc>
        <w:tc>
          <w:tcPr>
            <w:tcW w:w="1020" w:type="dxa"/>
            <w:vAlign w:val="bottom"/>
            <w:shd w:val="clear" w:color="auto" w:fill="CCEEFF"/>
          </w:tcPr>
          <w:p>
            <w:pPr>
              <w:jc w:val="right"/>
              <w:ind w:right="843"/>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900"/>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bl>
    <w:p>
      <w:pPr>
        <w:spacing w:after="0" w:line="320"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i w:val="1"/>
          <w:iCs w:val="1"/>
          <w:color w:val="auto"/>
        </w:rPr>
        <w:t xml:space="preserve">Divestiture of Arkansas and Oklahoma Natural Gas Businesses. </w:t>
      </w:r>
      <w:r>
        <w:rPr>
          <w:rFonts w:ascii="Arial" w:cs="Arial" w:eastAsia="Arial" w:hAnsi="Arial"/>
          <w:sz w:val="18"/>
          <w:szCs w:val="18"/>
          <w:color w:val="auto"/>
        </w:rPr>
        <w:t>On April 29, 2021, CenterPoint Energy, through its subsidiary CERC Corp., entered into</w:t>
      </w:r>
      <w:r>
        <w:rPr>
          <w:rFonts w:ascii="Arial" w:cs="Arial" w:eastAsia="Arial" w:hAnsi="Arial"/>
          <w:sz w:val="18"/>
          <w:szCs w:val="18"/>
          <w:i w:val="1"/>
          <w:iCs w:val="1"/>
          <w:color w:val="auto"/>
        </w:rPr>
        <w:t xml:space="preserve"> </w:t>
      </w:r>
      <w:r>
        <w:rPr>
          <w:rFonts w:ascii="Arial" w:cs="Arial" w:eastAsia="Arial" w:hAnsi="Arial"/>
          <w:sz w:val="18"/>
          <w:szCs w:val="18"/>
          <w:color w:val="auto"/>
        </w:rPr>
        <w:t>an Asset Purchase Agreement to sell its Arkansas and Oklahoma Natural Gas businesses for $2.15 billion in cash, including recovery of approximately $425 million in natural gas costs, including storm-related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incremental natural gas costs associated with the February 2021 Winter Storm Event, subject to certain adjustments set forth in the Asset Purchase Agreement. The assets included approximately 17,000 miles of main pipeline in Arkansas, Oklahoma and certain portions of Bowie County, Texas serving more than half a million customers. The transaction closed on January 10, 2022.</w:t>
      </w:r>
    </w:p>
    <w:p>
      <w:pPr>
        <w:spacing w:after="0" w:line="215" w:lineRule="exact"/>
        <w:rPr>
          <w:sz w:val="20"/>
          <w:szCs w:val="20"/>
          <w:color w:val="auto"/>
        </w:rPr>
      </w:pPr>
    </w:p>
    <w:p>
      <w:pPr>
        <w:jc w:val="both"/>
        <w:ind w:firstLine="319"/>
        <w:spacing w:after="0" w:line="329" w:lineRule="auto"/>
        <w:rPr>
          <w:sz w:val="20"/>
          <w:szCs w:val="20"/>
          <w:color w:val="auto"/>
        </w:rPr>
      </w:pPr>
      <w:r>
        <w:rPr>
          <w:rFonts w:ascii="Arial" w:cs="Arial" w:eastAsia="Arial" w:hAnsi="Arial"/>
          <w:sz w:val="16"/>
          <w:szCs w:val="16"/>
          <w:color w:val="auto"/>
        </w:rPr>
        <w:t>The sale was considered an asset sale for tax purposes, requiring net deferred tax liabilities to be excluded from held for sale balances. The deferred taxes associated with the businesses were recognized as a deferred income tax benefit by CenterPoint Energy and CERC upon closing of the sale in 2022.</w:t>
      </w:r>
    </w:p>
    <w:p>
      <w:pPr>
        <w:spacing w:after="0" w:line="160"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Although the Arkansas and Oklahoma Natural Gas businesses met the held for sale criteria, their disposals did not represent a strategic shift to CenterPoint Energy and CERC, as both retained significant operations in, and continued to invest in, their natural gas businesses. Therefore, the income and expenses associated with the disposed businesses were not reflected as discontinued operations on CenterPoint Energy’s and CERC’s Condensed Statements of Consolidated Income, as applicable. Since the depreciation on the Arkansas and Oklahoma Natural Gas assets continued to be reflected in revenues through customer rates until the closing of the transaction and will be reflected in the carryover basis of the rate-regulated assets, CenterPoint Energy and CERC continued to record depreciation on those assets through the closing of the transaction. The Registrants record assets and liabilities held for sale at the lower of their carrying value or their estimated fair value less cost to sell.</w:t>
      </w:r>
    </w:p>
    <w:p>
      <w:pPr>
        <w:spacing w:after="0" w:line="206"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6"/>
          <w:szCs w:val="16"/>
          <w:color w:val="auto"/>
        </w:rPr>
        <w:t>CenterPoint Energy and CERC recognized gains of $303 million and $557 million, respectively, net of transaction costs of $59 million, in connection with the closing of the disposition of the Arkansas and Oklahoma Natural Gas businesses during the year ended December 31, 2022. CenterPoint Energy and CERC collected a receivable of $15 million in May 2022 for full and final settlement of the working capital adjustment under the Asset Purchase Agreement.</w:t>
      </w:r>
    </w:p>
    <w:p>
      <w:pPr>
        <w:spacing w:after="0" w:line="181"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pre-tax income for the Arkansas and Oklahoma Natural Gas businesses, excluding interest and corporate allocations, included in CenterPoint Energy’s and CERC’s Condensed Statements of Consolidated Income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tcPr>
          <w:p>
            <w:pPr>
              <w:jc w:val="center"/>
              <w:ind w:right="380"/>
              <w:spacing w:after="0"/>
              <w:rPr>
                <w:sz w:val="20"/>
                <w:szCs w:val="20"/>
                <w:color w:val="auto"/>
              </w:rPr>
            </w:pPr>
            <w:r>
              <w:rPr>
                <w:rFonts w:ascii="Arial" w:cs="Arial" w:eastAsia="Arial" w:hAnsi="Arial"/>
                <w:sz w:val="16"/>
                <w:szCs w:val="16"/>
                <w:b w:val="1"/>
                <w:bCs w:val="1"/>
                <w:color w:val="auto"/>
                <w:w w:val="90"/>
              </w:rPr>
              <w:t>Three Months Ended</w:t>
            </w:r>
          </w:p>
        </w:tc>
        <w:tc>
          <w:tcPr>
            <w:tcW w:w="1840" w:type="dxa"/>
            <w:vAlign w:val="bottom"/>
          </w:tcPr>
          <w:p>
            <w:pPr>
              <w:jc w:val="center"/>
              <w:ind w:right="77"/>
              <w:spacing w:after="0"/>
              <w:rPr>
                <w:sz w:val="20"/>
                <w:szCs w:val="20"/>
                <w:color w:val="auto"/>
              </w:rPr>
            </w:pPr>
            <w:r>
              <w:rPr>
                <w:rFonts w:ascii="Arial" w:cs="Arial" w:eastAsia="Arial" w:hAnsi="Arial"/>
                <w:sz w:val="16"/>
                <w:szCs w:val="16"/>
                <w:b w:val="1"/>
                <w:bCs w:val="1"/>
                <w:color w:val="auto"/>
                <w:w w:val="91"/>
              </w:rPr>
              <w:t>Nine Months Ended</w:t>
            </w:r>
          </w:p>
        </w:tc>
      </w:tr>
      <w:tr>
        <w:trPr>
          <w:trHeight w:val="210"/>
        </w:trPr>
        <w:tc>
          <w:tcPr>
            <w:tcW w:w="7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center"/>
              <w:ind w:right="360"/>
              <w:spacing w:after="0"/>
              <w:rPr>
                <w:sz w:val="20"/>
                <w:szCs w:val="20"/>
                <w:color w:val="auto"/>
              </w:rPr>
            </w:pPr>
            <w:r>
              <w:rPr>
                <w:rFonts w:ascii="Arial" w:cs="Arial" w:eastAsia="Arial" w:hAnsi="Arial"/>
                <w:sz w:val="16"/>
                <w:szCs w:val="16"/>
                <w:b w:val="1"/>
                <w:bCs w:val="1"/>
                <w:color w:val="auto"/>
                <w:w w:val="89"/>
              </w:rPr>
              <w:t>September 30, 2022</w:t>
            </w:r>
          </w:p>
        </w:tc>
        <w:tc>
          <w:tcPr>
            <w:tcW w:w="1840" w:type="dxa"/>
            <w:vAlign w:val="bottom"/>
            <w:tcBorders>
              <w:bottom w:val="single" w:sz="8" w:color="auto"/>
            </w:tcBorders>
          </w:tcPr>
          <w:p>
            <w:pPr>
              <w:jc w:val="center"/>
              <w:ind w:right="77"/>
              <w:spacing w:after="0"/>
              <w:rPr>
                <w:sz w:val="20"/>
                <w:szCs w:val="20"/>
                <w:color w:val="auto"/>
              </w:rPr>
            </w:pPr>
            <w:r>
              <w:rPr>
                <w:rFonts w:ascii="Arial" w:cs="Arial" w:eastAsia="Arial" w:hAnsi="Arial"/>
                <w:sz w:val="16"/>
                <w:szCs w:val="16"/>
                <w:b w:val="1"/>
                <w:bCs w:val="1"/>
                <w:color w:val="auto"/>
                <w:w w:val="90"/>
              </w:rPr>
              <w:t xml:space="preserve">September 30, 2022 </w:t>
            </w:r>
            <w:r>
              <w:rPr>
                <w:rFonts w:ascii="Arial" w:cs="Arial" w:eastAsia="Arial" w:hAnsi="Arial"/>
                <w:sz w:val="12"/>
                <w:szCs w:val="12"/>
                <w:b w:val="1"/>
                <w:bCs w:val="1"/>
                <w:color w:val="auto"/>
                <w:w w:val="90"/>
              </w:rPr>
              <w:t>(1)</w:t>
            </w:r>
          </w:p>
        </w:tc>
      </w:tr>
      <w:tr>
        <w:trPr>
          <w:trHeight w:val="187"/>
        </w:trPr>
        <w:tc>
          <w:tcPr>
            <w:tcW w:w="7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940" w:type="dxa"/>
            <w:vAlign w:val="bottom"/>
            <w:gridSpan w:val="2"/>
          </w:tcPr>
          <w:p>
            <w:pPr>
              <w:jc w:val="right"/>
              <w:ind w:right="1617"/>
              <w:spacing w:after="0"/>
              <w:rPr>
                <w:sz w:val="20"/>
                <w:szCs w:val="20"/>
                <w:color w:val="auto"/>
              </w:rPr>
            </w:pPr>
            <w:r>
              <w:rPr>
                <w:rFonts w:ascii="Arial" w:cs="Arial" w:eastAsia="Arial" w:hAnsi="Arial"/>
                <w:sz w:val="14"/>
                <w:szCs w:val="14"/>
                <w:b w:val="1"/>
                <w:bCs w:val="1"/>
                <w:color w:val="auto"/>
              </w:rPr>
              <w:t>(in millions)</w:t>
            </w:r>
          </w:p>
        </w:tc>
      </w:tr>
      <w:tr>
        <w:trPr>
          <w:trHeight w:val="234"/>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  $</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bl>
    <w:p>
      <w:pPr>
        <w:spacing w:after="0" w:line="3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Reflects January 1, 2022 to January 9, 2022 results only due to the sale of the Arkansas and Oklahoma Natural Gas businesses.</w:t>
      </w:r>
    </w:p>
    <w:p>
      <w:pPr>
        <w:spacing w:after="0" w:line="245"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Effective on the date of the closing of the disposition of the Arkansas and Oklahoma Natural Gas businesses, a subsidiary of CenterPoint Energy entered into the Transition Services Agreement, whereby that subsidiary agreed to provide certain transition services such as accounting, customer operations, procurement, and technology functions for a term of up to twelve months. In November 2022, a significant majority of all services under the Transition Services Agreement were terminated, and on January 10, 2023, all remaining services were terminated.</w:t>
      </w:r>
    </w:p>
    <w:p>
      <w:pPr>
        <w:spacing w:after="0" w:line="204"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CenterPoint Energy’s charges to Southern Col Midco for reimbursement of transition services were $-0- and less than $1 million during the three and nine months ended September 30, 2023 and were $10 million and $29 million during the three and nine months ended September 30, 2022. Actual transitional services costs incurred are recorded net of amounts charged to Southern Col Midco. CenterPoint Energy had accounts receivable from Southern Col Midco of $-0- as of September 30, 2023 and $1 million as of December 31, 2022, for transition services.</w:t>
      </w:r>
    </w:p>
    <w:p>
      <w:pPr>
        <w:spacing w:after="0" w:line="198" w:lineRule="exact"/>
        <w:rPr>
          <w:sz w:val="20"/>
          <w:szCs w:val="20"/>
          <w:color w:val="auto"/>
        </w:rPr>
      </w:pPr>
    </w:p>
    <w:p>
      <w:pPr>
        <w:ind w:right="6880" w:firstLine="6"/>
        <w:spacing w:after="0" w:line="527" w:lineRule="auto"/>
        <w:tabs>
          <w:tab w:leader="none" w:pos="251"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and Allowance for Credit Losses Revenues from Contracts with Customers</w:t>
      </w:r>
    </w:p>
    <w:p>
      <w:pPr>
        <w:spacing w:after="0" w:line="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In accordance with ASC 606, Revenue from Contracts with Customers, revenue is recognized when a customer obtains control of promised goods or services. The amount of revenue recognized reflects the consideration to which the Registrants expect to be entitled to receive in exchange for these goods or services.</w:t>
      </w:r>
    </w:p>
    <w:p>
      <w:pPr>
        <w:spacing w:after="0" w:line="21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ARPs are contracts between the utility and its regulators, not between the utility and a customer. The Registrants recognize ARP revenue as other revenues when the regulator-specified conditions for recognition have been met. Upon recovery of ARP revenue through incorporation in rates charged for utility service to customers, ARP revenue is reversed and recorded as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revenue from contracts with customers. The recognition of ARP revenues and the reversal of ARP revenues upon recovery through rates charged for utility service may not occur in the same period.</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disaggregate revenues by reportable segment and major source: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Three Months Ended September 30, 2023</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9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940" w:type="dxa"/>
            <w:vAlign w:val="bottom"/>
          </w:tcPr>
          <w:p>
            <w:pPr>
              <w:spacing w:after="0"/>
              <w:rPr>
                <w:sz w:val="10"/>
                <w:szCs w:val="10"/>
                <w:color w:val="auto"/>
              </w:rPr>
            </w:pPr>
          </w:p>
        </w:tc>
        <w:tc>
          <w:tcPr>
            <w:tcW w:w="120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Electric</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Natural Gas</w:t>
            </w:r>
          </w:p>
        </w:tc>
        <w:tc>
          <w:tcPr>
            <w:tcW w:w="440" w:type="dxa"/>
            <w:vAlign w:val="bottom"/>
          </w:tcPr>
          <w:p>
            <w:pPr>
              <w:spacing w:after="0"/>
              <w:rPr>
                <w:sz w:val="10"/>
                <w:szCs w:val="10"/>
                <w:color w:val="auto"/>
              </w:rPr>
            </w:pPr>
          </w:p>
        </w:tc>
        <w:tc>
          <w:tcPr>
            <w:tcW w:w="1420" w:type="dxa"/>
            <w:vAlign w:val="bottom"/>
            <w:gridSpan w:val="2"/>
          </w:tcPr>
          <w:p>
            <w:pPr>
              <w:ind w:left="120"/>
              <w:spacing w:after="0" w:line="127" w:lineRule="exact"/>
              <w:rPr>
                <w:sz w:val="20"/>
                <w:szCs w:val="20"/>
                <w:color w:val="auto"/>
              </w:rPr>
            </w:pPr>
            <w:r>
              <w:rPr>
                <w:rFonts w:ascii="Arial" w:cs="Arial" w:eastAsia="Arial" w:hAnsi="Arial"/>
                <w:sz w:val="14"/>
                <w:szCs w:val="14"/>
                <w:b w:val="1"/>
                <w:bCs w:val="1"/>
                <w:color w:val="auto"/>
              </w:rPr>
              <w:t>Corporate</w:t>
            </w:r>
          </w:p>
        </w:tc>
        <w:tc>
          <w:tcPr>
            <w:tcW w:w="400" w:type="dxa"/>
            <w:vAlign w:val="bottom"/>
          </w:tcPr>
          <w:p>
            <w:pPr>
              <w:spacing w:after="0"/>
              <w:rPr>
                <w:sz w:val="10"/>
                <w:szCs w:val="10"/>
                <w:color w:val="auto"/>
              </w:rPr>
            </w:pPr>
          </w:p>
        </w:tc>
        <w:tc>
          <w:tcPr>
            <w:tcW w:w="1340" w:type="dxa"/>
            <w:vAlign w:val="bottom"/>
            <w:vMerge w:val="restart"/>
          </w:tcPr>
          <w:p>
            <w:pPr>
              <w:jc w:val="right"/>
              <w:ind w:right="64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3"/>
        </w:trPr>
        <w:tc>
          <w:tcPr>
            <w:tcW w:w="3940" w:type="dxa"/>
            <w:vAlign w:val="bottom"/>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and Other</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gridSpan w:val="3"/>
          </w:tcPr>
          <w:p>
            <w:pPr>
              <w:jc w:val="center"/>
              <w:ind w:left="945"/>
              <w:spacing w:after="0"/>
              <w:rPr>
                <w:sz w:val="20"/>
                <w:szCs w:val="20"/>
                <w:color w:val="auto"/>
              </w:rPr>
            </w:pPr>
            <w:r>
              <w:rPr>
                <w:rFonts w:ascii="Arial" w:cs="Arial" w:eastAsia="Arial" w:hAnsi="Arial"/>
                <w:sz w:val="14"/>
                <w:szCs w:val="14"/>
                <w:b w:val="1"/>
                <w:bCs w:val="1"/>
                <w:color w:val="auto"/>
                <w:w w:val="94"/>
              </w:rPr>
              <w:t>(in millions)</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from contracts</w:t>
            </w:r>
          </w:p>
        </w:tc>
        <w:tc>
          <w:tcPr>
            <w:tcW w:w="1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589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1,864</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2"/>
                <w:szCs w:val="12"/>
                <w:color w:val="auto"/>
              </w:rPr>
              <w:t>(1)</w:t>
            </w:r>
          </w:p>
        </w:tc>
        <w:tc>
          <w:tcPr>
            <w:tcW w:w="1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4"/>
        </w:trPr>
        <w:tc>
          <w:tcPr>
            <w:tcW w:w="3940" w:type="dxa"/>
            <w:vAlign w:val="bottom"/>
            <w:tcBorders>
              <w:bottom w:val="single" w:sz="8" w:color="CCEEFF"/>
            </w:tcBorders>
            <w:shd w:val="clear" w:color="auto" w:fill="CCEEFF"/>
          </w:tcPr>
          <w:p>
            <w:pPr>
              <w:jc w:val="center"/>
              <w:ind w:right="2637"/>
              <w:spacing w:after="0"/>
              <w:rPr>
                <w:sz w:val="20"/>
                <w:szCs w:val="20"/>
                <w:color w:val="auto"/>
              </w:rPr>
            </w:pPr>
            <w:r>
              <w:rPr>
                <w:rFonts w:ascii="Arial" w:cs="Arial" w:eastAsia="Arial" w:hAnsi="Arial"/>
                <w:sz w:val="16"/>
                <w:szCs w:val="16"/>
                <w:color w:val="auto"/>
                <w:w w:val="88"/>
              </w:rPr>
              <w:t>Total revenues</w:t>
            </w:r>
          </w:p>
        </w:tc>
        <w:tc>
          <w:tcPr>
            <w:tcW w:w="1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597</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1,860</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Nine Months Ended September 30, 2023</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9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940" w:type="dxa"/>
            <w:vAlign w:val="bottom"/>
          </w:tcPr>
          <w:p>
            <w:pPr>
              <w:spacing w:after="0"/>
              <w:rPr>
                <w:sz w:val="10"/>
                <w:szCs w:val="10"/>
                <w:color w:val="auto"/>
              </w:rPr>
            </w:pPr>
          </w:p>
        </w:tc>
        <w:tc>
          <w:tcPr>
            <w:tcW w:w="120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Electric</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Natural Gas</w:t>
            </w:r>
          </w:p>
        </w:tc>
        <w:tc>
          <w:tcPr>
            <w:tcW w:w="440" w:type="dxa"/>
            <w:vAlign w:val="bottom"/>
          </w:tcPr>
          <w:p>
            <w:pPr>
              <w:spacing w:after="0"/>
              <w:rPr>
                <w:sz w:val="10"/>
                <w:szCs w:val="10"/>
                <w:color w:val="auto"/>
              </w:rPr>
            </w:pPr>
          </w:p>
        </w:tc>
        <w:tc>
          <w:tcPr>
            <w:tcW w:w="1420" w:type="dxa"/>
            <w:vAlign w:val="bottom"/>
            <w:gridSpan w:val="2"/>
          </w:tcPr>
          <w:p>
            <w:pPr>
              <w:ind w:left="120"/>
              <w:spacing w:after="0" w:line="127" w:lineRule="exact"/>
              <w:rPr>
                <w:sz w:val="20"/>
                <w:szCs w:val="20"/>
                <w:color w:val="auto"/>
              </w:rPr>
            </w:pPr>
            <w:r>
              <w:rPr>
                <w:rFonts w:ascii="Arial" w:cs="Arial" w:eastAsia="Arial" w:hAnsi="Arial"/>
                <w:sz w:val="14"/>
                <w:szCs w:val="14"/>
                <w:b w:val="1"/>
                <w:bCs w:val="1"/>
                <w:color w:val="auto"/>
              </w:rPr>
              <w:t>Corporate</w:t>
            </w:r>
          </w:p>
        </w:tc>
        <w:tc>
          <w:tcPr>
            <w:tcW w:w="400" w:type="dxa"/>
            <w:vAlign w:val="bottom"/>
          </w:tcPr>
          <w:p>
            <w:pPr>
              <w:spacing w:after="0"/>
              <w:rPr>
                <w:sz w:val="10"/>
                <w:szCs w:val="10"/>
                <w:color w:val="auto"/>
              </w:rPr>
            </w:pPr>
          </w:p>
        </w:tc>
        <w:tc>
          <w:tcPr>
            <w:tcW w:w="1340" w:type="dxa"/>
            <w:vAlign w:val="bottom"/>
            <w:vMerge w:val="restart"/>
          </w:tcPr>
          <w:p>
            <w:pPr>
              <w:jc w:val="right"/>
              <w:ind w:right="64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3"/>
        </w:trPr>
        <w:tc>
          <w:tcPr>
            <w:tcW w:w="3940" w:type="dxa"/>
            <w:vAlign w:val="bottom"/>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and Other</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gridSpan w:val="3"/>
          </w:tcPr>
          <w:p>
            <w:pPr>
              <w:jc w:val="center"/>
              <w:ind w:left="945"/>
              <w:spacing w:after="0"/>
              <w:rPr>
                <w:sz w:val="20"/>
                <w:szCs w:val="20"/>
                <w:color w:val="auto"/>
              </w:rPr>
            </w:pPr>
            <w:r>
              <w:rPr>
                <w:rFonts w:ascii="Arial" w:cs="Arial" w:eastAsia="Arial" w:hAnsi="Arial"/>
                <w:sz w:val="14"/>
                <w:szCs w:val="14"/>
                <w:b w:val="1"/>
                <w:bCs w:val="1"/>
                <w:color w:val="auto"/>
                <w:w w:val="94"/>
              </w:rPr>
              <w:t>(in millions)</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from contracts</w:t>
            </w:r>
          </w:p>
        </w:tc>
        <w:tc>
          <w:tcPr>
            <w:tcW w:w="1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3,100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6,497</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2"/>
                <w:szCs w:val="12"/>
                <w:color w:val="auto"/>
              </w:rPr>
              <w:t>(1)</w:t>
            </w:r>
          </w:p>
        </w:tc>
        <w:tc>
          <w:tcPr>
            <w:tcW w:w="1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4"/>
        </w:trPr>
        <w:tc>
          <w:tcPr>
            <w:tcW w:w="3940" w:type="dxa"/>
            <w:vAlign w:val="bottom"/>
            <w:tcBorders>
              <w:bottom w:val="single" w:sz="8" w:color="CCEEFF"/>
            </w:tcBorders>
            <w:shd w:val="clear" w:color="auto" w:fill="CCEEFF"/>
          </w:tcPr>
          <w:p>
            <w:pPr>
              <w:jc w:val="center"/>
              <w:ind w:right="2637"/>
              <w:spacing w:after="0"/>
              <w:rPr>
                <w:sz w:val="20"/>
                <w:szCs w:val="20"/>
                <w:color w:val="auto"/>
              </w:rPr>
            </w:pPr>
            <w:r>
              <w:rPr>
                <w:rFonts w:ascii="Arial" w:cs="Arial" w:eastAsia="Arial" w:hAnsi="Arial"/>
                <w:sz w:val="16"/>
                <w:szCs w:val="16"/>
                <w:color w:val="auto"/>
                <w:w w:val="88"/>
              </w:rPr>
              <w:t>Total revenues</w:t>
            </w:r>
          </w:p>
        </w:tc>
        <w:tc>
          <w:tcPr>
            <w:tcW w:w="1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3,136</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6,514</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39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Three Months Ended September 30, 2022</w:t>
            </w: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
        </w:trPr>
        <w:tc>
          <w:tcPr>
            <w:tcW w:w="39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940" w:type="dxa"/>
            <w:vAlign w:val="bottom"/>
          </w:tcPr>
          <w:p>
            <w:pPr>
              <w:spacing w:after="0"/>
              <w:rPr>
                <w:sz w:val="11"/>
                <w:szCs w:val="11"/>
                <w:color w:val="auto"/>
              </w:rPr>
            </w:pPr>
          </w:p>
        </w:tc>
        <w:tc>
          <w:tcPr>
            <w:tcW w:w="120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Electric</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Natural Gas</w:t>
            </w:r>
          </w:p>
        </w:tc>
        <w:tc>
          <w:tcPr>
            <w:tcW w:w="440" w:type="dxa"/>
            <w:vAlign w:val="bottom"/>
          </w:tcPr>
          <w:p>
            <w:pPr>
              <w:spacing w:after="0"/>
              <w:rPr>
                <w:sz w:val="11"/>
                <w:szCs w:val="11"/>
                <w:color w:val="auto"/>
              </w:rPr>
            </w:pPr>
          </w:p>
        </w:tc>
        <w:tc>
          <w:tcPr>
            <w:tcW w:w="1420" w:type="dxa"/>
            <w:vAlign w:val="bottom"/>
            <w:gridSpan w:val="2"/>
          </w:tcPr>
          <w:p>
            <w:pPr>
              <w:ind w:left="120"/>
              <w:spacing w:after="0" w:line="131" w:lineRule="exact"/>
              <w:rPr>
                <w:sz w:val="20"/>
                <w:szCs w:val="20"/>
                <w:color w:val="auto"/>
              </w:rPr>
            </w:pPr>
            <w:r>
              <w:rPr>
                <w:rFonts w:ascii="Arial" w:cs="Arial" w:eastAsia="Arial" w:hAnsi="Arial"/>
                <w:sz w:val="14"/>
                <w:szCs w:val="14"/>
                <w:b w:val="1"/>
                <w:bCs w:val="1"/>
                <w:color w:val="auto"/>
              </w:rPr>
              <w:t>Corporate</w:t>
            </w:r>
          </w:p>
        </w:tc>
        <w:tc>
          <w:tcPr>
            <w:tcW w:w="400" w:type="dxa"/>
            <w:vAlign w:val="bottom"/>
          </w:tcPr>
          <w:p>
            <w:pPr>
              <w:spacing w:after="0"/>
              <w:rPr>
                <w:sz w:val="11"/>
                <w:szCs w:val="11"/>
                <w:color w:val="auto"/>
              </w:rPr>
            </w:pPr>
          </w:p>
        </w:tc>
        <w:tc>
          <w:tcPr>
            <w:tcW w:w="1340" w:type="dxa"/>
            <w:vAlign w:val="bottom"/>
            <w:vMerge w:val="restart"/>
          </w:tcPr>
          <w:p>
            <w:pPr>
              <w:jc w:val="right"/>
              <w:ind w:right="64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940" w:type="dxa"/>
            <w:vAlign w:val="bottom"/>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and Other</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gridSpan w:val="3"/>
          </w:tcPr>
          <w:p>
            <w:pPr>
              <w:jc w:val="center"/>
              <w:ind w:left="945"/>
              <w:spacing w:after="0"/>
              <w:rPr>
                <w:sz w:val="20"/>
                <w:szCs w:val="20"/>
                <w:color w:val="auto"/>
              </w:rPr>
            </w:pPr>
            <w:r>
              <w:rPr>
                <w:rFonts w:ascii="Arial" w:cs="Arial" w:eastAsia="Arial" w:hAnsi="Arial"/>
                <w:sz w:val="14"/>
                <w:szCs w:val="14"/>
                <w:b w:val="1"/>
                <w:bCs w:val="1"/>
                <w:color w:val="auto"/>
                <w:w w:val="94"/>
              </w:rPr>
              <w:t>(in millions)</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contracts</w:t>
            </w:r>
          </w:p>
        </w:tc>
        <w:tc>
          <w:tcPr>
            <w:tcW w:w="1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686</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1,906</w:t>
            </w:r>
          </w:p>
        </w:tc>
        <w:tc>
          <w:tcPr>
            <w:tcW w:w="0" w:type="dxa"/>
            <w:vAlign w:val="bottom"/>
          </w:tcPr>
          <w:p>
            <w:pPr>
              <w:spacing w:after="0"/>
              <w:rPr>
                <w:sz w:val="1"/>
                <w:szCs w:val="1"/>
                <w:color w:val="auto"/>
              </w:rPr>
            </w:pPr>
          </w:p>
        </w:tc>
      </w:tr>
      <w:tr>
        <w:trPr>
          <w:trHeight w:val="225"/>
        </w:trPr>
        <w:tc>
          <w:tcPr>
            <w:tcW w:w="3940" w:type="dxa"/>
            <w:vAlign w:val="bottom"/>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2"/>
                <w:szCs w:val="12"/>
                <w:color w:val="auto"/>
              </w:rPr>
              <w:t>(1)</w:t>
            </w:r>
          </w:p>
        </w:tc>
        <w:tc>
          <w:tcPr>
            <w:tcW w:w="1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5"/>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2"/>
        </w:trPr>
        <w:tc>
          <w:tcPr>
            <w:tcW w:w="3940" w:type="dxa"/>
            <w:vAlign w:val="bottom"/>
            <w:tcBorders>
              <w:top w:val="single" w:sz="8" w:color="CCEEFF"/>
              <w:bottom w:val="single" w:sz="8" w:color="CCEEFF"/>
            </w:tcBorders>
            <w:shd w:val="clear" w:color="auto" w:fill="CCEEFF"/>
          </w:tcPr>
          <w:p>
            <w:pPr>
              <w:jc w:val="center"/>
              <w:ind w:right="2617"/>
              <w:spacing w:after="0"/>
              <w:rPr>
                <w:sz w:val="20"/>
                <w:szCs w:val="20"/>
                <w:color w:val="auto"/>
              </w:rPr>
            </w:pPr>
            <w:r>
              <w:rPr>
                <w:rFonts w:ascii="Arial" w:cs="Arial" w:eastAsia="Arial" w:hAnsi="Arial"/>
                <w:sz w:val="18"/>
                <w:szCs w:val="18"/>
                <w:color w:val="auto"/>
                <w:w w:val="87"/>
              </w:rPr>
              <w:t>Total revenues</w:t>
            </w:r>
          </w:p>
        </w:tc>
        <w:tc>
          <w:tcPr>
            <w:tcW w:w="1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692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1,903</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Nine Months Ended September 30, 2022</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9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940" w:type="dxa"/>
            <w:vAlign w:val="bottom"/>
          </w:tcPr>
          <w:p>
            <w:pPr>
              <w:spacing w:after="0"/>
              <w:rPr>
                <w:sz w:val="11"/>
                <w:szCs w:val="11"/>
                <w:color w:val="auto"/>
              </w:rPr>
            </w:pPr>
          </w:p>
        </w:tc>
        <w:tc>
          <w:tcPr>
            <w:tcW w:w="120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Electric</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Natural Gas</w:t>
            </w:r>
          </w:p>
        </w:tc>
        <w:tc>
          <w:tcPr>
            <w:tcW w:w="440" w:type="dxa"/>
            <w:vAlign w:val="bottom"/>
          </w:tcPr>
          <w:p>
            <w:pPr>
              <w:spacing w:after="0"/>
              <w:rPr>
                <w:sz w:val="11"/>
                <w:szCs w:val="11"/>
                <w:color w:val="auto"/>
              </w:rPr>
            </w:pPr>
          </w:p>
        </w:tc>
        <w:tc>
          <w:tcPr>
            <w:tcW w:w="1420" w:type="dxa"/>
            <w:vAlign w:val="bottom"/>
            <w:gridSpan w:val="2"/>
          </w:tcPr>
          <w:p>
            <w:pPr>
              <w:ind w:left="120"/>
              <w:spacing w:after="0" w:line="131" w:lineRule="exact"/>
              <w:rPr>
                <w:sz w:val="20"/>
                <w:szCs w:val="20"/>
                <w:color w:val="auto"/>
              </w:rPr>
            </w:pPr>
            <w:r>
              <w:rPr>
                <w:rFonts w:ascii="Arial" w:cs="Arial" w:eastAsia="Arial" w:hAnsi="Arial"/>
                <w:sz w:val="14"/>
                <w:szCs w:val="14"/>
                <w:b w:val="1"/>
                <w:bCs w:val="1"/>
                <w:color w:val="auto"/>
              </w:rPr>
              <w:t>Corporate</w:t>
            </w:r>
          </w:p>
        </w:tc>
        <w:tc>
          <w:tcPr>
            <w:tcW w:w="400" w:type="dxa"/>
            <w:vAlign w:val="bottom"/>
          </w:tcPr>
          <w:p>
            <w:pPr>
              <w:spacing w:after="0"/>
              <w:rPr>
                <w:sz w:val="11"/>
                <w:szCs w:val="11"/>
                <w:color w:val="auto"/>
              </w:rPr>
            </w:pPr>
          </w:p>
        </w:tc>
        <w:tc>
          <w:tcPr>
            <w:tcW w:w="1340" w:type="dxa"/>
            <w:vAlign w:val="bottom"/>
            <w:vMerge w:val="restart"/>
          </w:tcPr>
          <w:p>
            <w:pPr>
              <w:jc w:val="right"/>
              <w:ind w:right="64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940" w:type="dxa"/>
            <w:vAlign w:val="bottom"/>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and Other</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gridSpan w:val="3"/>
          </w:tcPr>
          <w:p>
            <w:pPr>
              <w:jc w:val="center"/>
              <w:ind w:left="945"/>
              <w:spacing w:after="0"/>
              <w:rPr>
                <w:sz w:val="20"/>
                <w:szCs w:val="20"/>
                <w:color w:val="auto"/>
              </w:rPr>
            </w:pPr>
            <w:r>
              <w:rPr>
                <w:rFonts w:ascii="Arial" w:cs="Arial" w:eastAsia="Arial" w:hAnsi="Arial"/>
                <w:sz w:val="14"/>
                <w:szCs w:val="14"/>
                <w:b w:val="1"/>
                <w:bCs w:val="1"/>
                <w:color w:val="auto"/>
                <w:w w:val="94"/>
              </w:rPr>
              <w:t>(in millions)</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contracts</w:t>
            </w:r>
          </w:p>
        </w:tc>
        <w:tc>
          <w:tcPr>
            <w:tcW w:w="1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3,358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6,653</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2"/>
                <w:szCs w:val="12"/>
                <w:color w:val="auto"/>
              </w:rPr>
              <w:t>(1)</w:t>
            </w:r>
          </w:p>
        </w:tc>
        <w:tc>
          <w:tcPr>
            <w:tcW w:w="1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34"/>
        </w:trPr>
        <w:tc>
          <w:tcPr>
            <w:tcW w:w="3940" w:type="dxa"/>
            <w:vAlign w:val="bottom"/>
            <w:tcBorders>
              <w:bottom w:val="single" w:sz="8" w:color="CCEEFF"/>
            </w:tcBorders>
            <w:shd w:val="clear" w:color="auto" w:fill="CCEEFF"/>
          </w:tcPr>
          <w:p>
            <w:pPr>
              <w:jc w:val="center"/>
              <w:ind w:right="2617"/>
              <w:spacing w:after="0"/>
              <w:rPr>
                <w:sz w:val="20"/>
                <w:szCs w:val="20"/>
                <w:color w:val="auto"/>
              </w:rPr>
            </w:pPr>
            <w:r>
              <w:rPr>
                <w:rFonts w:ascii="Arial" w:cs="Arial" w:eastAsia="Arial" w:hAnsi="Arial"/>
                <w:sz w:val="18"/>
                <w:szCs w:val="18"/>
                <w:color w:val="auto"/>
                <w:w w:val="87"/>
              </w:rPr>
              <w:t>Total revenues</w:t>
            </w:r>
          </w:p>
        </w:tc>
        <w:tc>
          <w:tcPr>
            <w:tcW w:w="1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3,092</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3,334</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184</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6,610</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ind w:left="640" w:hanging="315"/>
        <w:spacing w:after="0" w:line="296" w:lineRule="auto"/>
        <w:tabs>
          <w:tab w:leader="none" w:pos="634" w:val="left"/>
        </w:tabs>
        <w:numPr>
          <w:ilvl w:val="0"/>
          <w:numId w:val="7"/>
        </w:numPr>
        <w:rPr>
          <w:rFonts w:ascii="Arial" w:cs="Arial" w:eastAsia="Arial" w:hAnsi="Arial"/>
          <w:sz w:val="17"/>
          <w:szCs w:val="17"/>
          <w:color w:val="auto"/>
        </w:rPr>
      </w:pPr>
      <w:r>
        <w:rPr>
          <w:rFonts w:ascii="Arial" w:cs="Arial" w:eastAsia="Arial" w:hAnsi="Arial"/>
          <w:sz w:val="17"/>
          <w:szCs w:val="17"/>
          <w:color w:val="auto"/>
        </w:rPr>
        <w:t>Primarily consists of income from ARPs and leases. Total lease income was $2 million and $1 million for the three months ended September 30, 2023 and 2022, respectively, and $6 million and $5 million for the nine months ended September 30, 2023 and 2022,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40" w:type="dxa"/>
            <w:vAlign w:val="bottom"/>
          </w:tcPr>
          <w:p>
            <w:pPr>
              <w:spacing w:after="0"/>
              <w:rPr>
                <w:sz w:val="16"/>
                <w:szCs w:val="16"/>
                <w:color w:val="auto"/>
              </w:rPr>
            </w:pPr>
          </w:p>
        </w:tc>
        <w:tc>
          <w:tcPr>
            <w:tcW w:w="3080" w:type="dxa"/>
            <w:vAlign w:val="bottom"/>
            <w:gridSpan w:val="4"/>
          </w:tcPr>
          <w:p>
            <w:pPr>
              <w:jc w:val="right"/>
              <w:ind w:right="97"/>
              <w:spacing w:after="0"/>
              <w:rPr>
                <w:sz w:val="20"/>
                <w:szCs w:val="20"/>
                <w:color w:val="auto"/>
              </w:rPr>
            </w:pPr>
            <w:r>
              <w:rPr>
                <w:rFonts w:ascii="Arial" w:cs="Arial" w:eastAsia="Arial" w:hAnsi="Arial"/>
                <w:sz w:val="14"/>
                <w:szCs w:val="14"/>
                <w:b w:val="1"/>
                <w:bCs w:val="1"/>
                <w:color w:val="auto"/>
              </w:rPr>
              <w:t>Three Months Ended September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60" w:type="dxa"/>
            <w:vAlign w:val="bottom"/>
            <w:gridSpan w:val="4"/>
          </w:tcPr>
          <w:p>
            <w:pPr>
              <w:jc w:val="right"/>
              <w:ind w:right="656"/>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4"/>
        </w:trPr>
        <w:tc>
          <w:tcPr>
            <w:tcW w:w="39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6"/>
        </w:trPr>
        <w:tc>
          <w:tcPr>
            <w:tcW w:w="3940" w:type="dxa"/>
            <w:vAlign w:val="bottom"/>
          </w:tcPr>
          <w:p>
            <w:pPr>
              <w:spacing w:after="0"/>
              <w:rPr>
                <w:sz w:val="16"/>
                <w:szCs w:val="16"/>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2022</w:t>
            </w:r>
          </w:p>
        </w:tc>
      </w:tr>
      <w:tr>
        <w:trPr>
          <w:trHeight w:val="192"/>
        </w:trPr>
        <w:tc>
          <w:tcPr>
            <w:tcW w:w="3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40" w:type="dxa"/>
            <w:vAlign w:val="bottom"/>
            <w:gridSpan w:val="3"/>
          </w:tcPr>
          <w:p>
            <w:pPr>
              <w:ind w:left="200"/>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4"/>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contracts</w:t>
            </w:r>
          </w:p>
        </w:tc>
        <w:tc>
          <w:tcPr>
            <w:tcW w:w="1140" w:type="dxa"/>
            <w:vAlign w:val="bottom"/>
            <w:shd w:val="clear" w:color="auto" w:fill="CCEEFF"/>
          </w:tcPr>
          <w:p>
            <w:pPr>
              <w:jc w:val="right"/>
              <w:ind w:right="9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37"/>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w:t>
            </w:r>
          </w:p>
        </w:tc>
      </w:tr>
      <w:tr>
        <w:trPr>
          <w:trHeight w:val="239"/>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(1)</w:t>
            </w:r>
          </w:p>
        </w:tc>
        <w:tc>
          <w:tcPr>
            <w:tcW w:w="1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3"/>
              </w:rPr>
              <w:t>(14)</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45"/>
        </w:trPr>
        <w:tc>
          <w:tcPr>
            <w:tcW w:w="39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revenues</w:t>
            </w:r>
          </w:p>
        </w:tc>
        <w:tc>
          <w:tcPr>
            <w:tcW w:w="1140" w:type="dxa"/>
            <w:vAlign w:val="bottom"/>
            <w:tcBorders>
              <w:bottom w:val="single" w:sz="8" w:color="auto"/>
            </w:tcBorders>
            <w:shd w:val="clear" w:color="auto" w:fill="CCEEFF"/>
          </w:tcPr>
          <w:p>
            <w:pPr>
              <w:jc w:val="right"/>
              <w:ind w:right="96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037"/>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left="640" w:right="20" w:hanging="315"/>
        <w:spacing w:after="0" w:line="266" w:lineRule="auto"/>
        <w:tabs>
          <w:tab w:leader="none" w:pos="634"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Primarily consists of income from ARPs and leases. Lease income was not significant for the three and nine months ended September 30, 2023 and 2022.</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60" w:type="dxa"/>
            <w:vAlign w:val="bottom"/>
          </w:tcPr>
          <w:p>
            <w:pPr>
              <w:spacing w:after="0"/>
              <w:rPr>
                <w:sz w:val="16"/>
                <w:szCs w:val="16"/>
                <w:color w:val="auto"/>
              </w:rPr>
            </w:pPr>
          </w:p>
        </w:tc>
        <w:tc>
          <w:tcPr>
            <w:tcW w:w="3060" w:type="dxa"/>
            <w:vAlign w:val="bottom"/>
            <w:gridSpan w:val="4"/>
          </w:tcPr>
          <w:p>
            <w:pPr>
              <w:jc w:val="right"/>
              <w:ind w:right="97"/>
              <w:spacing w:after="0"/>
              <w:rPr>
                <w:sz w:val="20"/>
                <w:szCs w:val="20"/>
                <w:color w:val="auto"/>
              </w:rPr>
            </w:pPr>
            <w:r>
              <w:rPr>
                <w:rFonts w:ascii="Arial" w:cs="Arial" w:eastAsia="Arial" w:hAnsi="Arial"/>
                <w:sz w:val="14"/>
                <w:szCs w:val="14"/>
                <w:b w:val="1"/>
                <w:bCs w:val="1"/>
                <w:color w:val="auto"/>
              </w:rPr>
              <w:t>Three Months Ended September 30,</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60" w:type="dxa"/>
            <w:vAlign w:val="bottom"/>
            <w:gridSpan w:val="4"/>
          </w:tcPr>
          <w:p>
            <w:pPr>
              <w:jc w:val="right"/>
              <w:ind w:right="656"/>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4"/>
        </w:trPr>
        <w:tc>
          <w:tcPr>
            <w:tcW w:w="39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6"/>
        </w:trPr>
        <w:tc>
          <w:tcPr>
            <w:tcW w:w="3960" w:type="dxa"/>
            <w:vAlign w:val="bottom"/>
          </w:tcPr>
          <w:p>
            <w:pPr>
              <w:spacing w:after="0"/>
              <w:rPr>
                <w:sz w:val="16"/>
                <w:szCs w:val="16"/>
                <w:color w:val="auto"/>
              </w:rPr>
            </w:pPr>
          </w:p>
        </w:tc>
        <w:tc>
          <w:tcPr>
            <w:tcW w:w="12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5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2022</w:t>
            </w:r>
          </w:p>
        </w:tc>
      </w:tr>
      <w:tr>
        <w:trPr>
          <w:trHeight w:val="192"/>
        </w:trPr>
        <w:tc>
          <w:tcPr>
            <w:tcW w:w="3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60" w:type="dxa"/>
            <w:vAlign w:val="bottom"/>
            <w:gridSpan w:val="3"/>
          </w:tcPr>
          <w:p>
            <w:pPr>
              <w:jc w:val="right"/>
              <w:ind w:right="131"/>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4"/>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contracts</w:t>
            </w:r>
          </w:p>
        </w:tc>
        <w:tc>
          <w:tcPr>
            <w:tcW w:w="1200" w:type="dxa"/>
            <w:vAlign w:val="bottom"/>
            <w:shd w:val="clear" w:color="auto" w:fill="CCEEFF"/>
          </w:tcPr>
          <w:p>
            <w:pPr>
              <w:jc w:val="right"/>
              <w:ind w:right="10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37"/>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w:t>
            </w:r>
          </w:p>
        </w:tc>
      </w:tr>
      <w:tr>
        <w:trPr>
          <w:trHeight w:val="239"/>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(1)</w:t>
            </w:r>
          </w:p>
        </w:tc>
        <w:tc>
          <w:tcPr>
            <w:tcW w:w="1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45"/>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1200" w:type="dxa"/>
            <w:vAlign w:val="bottom"/>
            <w:tcBorders>
              <w:bottom w:val="single" w:sz="8" w:color="auto"/>
            </w:tcBorders>
            <w:shd w:val="clear" w:color="auto" w:fill="CCEEFF"/>
          </w:tcPr>
          <w:p>
            <w:pPr>
              <w:jc w:val="right"/>
              <w:ind w:right="102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037"/>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3,232</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left="640" w:right="20" w:hanging="315"/>
        <w:spacing w:after="0" w:line="266" w:lineRule="auto"/>
        <w:tabs>
          <w:tab w:leader="none" w:pos="634"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Primarily consists of income from ARPs and leases. Lease income was $1 million for both the three months ended September 30, 2023 and 2022. Lease income was $3 million and $2 million, respectively, for the nine months ended September 30, 2023 and 2022.</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from Contracts with Customers</w:t>
      </w:r>
    </w:p>
    <w:p>
      <w:pPr>
        <w:spacing w:after="0" w:line="251"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b w:val="1"/>
          <w:bCs w:val="1"/>
          <w:i w:val="1"/>
          <w:iCs w:val="1"/>
          <w:color w:val="auto"/>
        </w:rPr>
        <w:t xml:space="preserve">Electric (CenterPoint Energy and Houston Electric). </w:t>
      </w:r>
      <w:r>
        <w:rPr>
          <w:rFonts w:ascii="Arial" w:cs="Arial" w:eastAsia="Arial" w:hAnsi="Arial"/>
          <w:sz w:val="16"/>
          <w:szCs w:val="16"/>
          <w:color w:val="auto"/>
        </w:rPr>
        <w:t>Houston Electric distributes electricity to customers over time, and customers consume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electricity when delivered. Indiana Electric generates, transmits and distributes electricity to customers over time, and customers consume the electricity when delivered. Revenue, consisting of both volumetric and fixed tariff rates set by state regulators, such as the PUCT and the IURC, is recognized as electricity is delivered and represents amounts both billed and unbilled. Discretionary services requested by customers are provided at a point in time with control transferring upon the completion of the service. Revenue for discretionary services provided by Houston Electric is recognized upon completion of service based on the tariff rates set by the PUCT. Payments for electricity distribution and discretionary services are aggregated and received on a monthly basis. Houston Electric performs transmission services over time as a stand-ready obligation to provide a reliable network of transmission systems. Revenue is recognized upon time elapsed, and the monthly tariff rate set by the regulator. Payments are received on a monthly basis. Indiana Electric customers are billed monthly and payment terms, set by the regulator, require payment within a month of billing.</w:t>
      </w:r>
    </w:p>
    <w:p>
      <w:pPr>
        <w:spacing w:after="0" w:line="195"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b w:val="1"/>
          <w:bCs w:val="1"/>
          <w:i w:val="1"/>
          <w:iCs w:val="1"/>
          <w:color w:val="auto"/>
        </w:rPr>
        <w:t xml:space="preserve">Natural Gas (CenterPoint Energy and CERC). </w:t>
      </w:r>
      <w:r>
        <w:rPr>
          <w:rFonts w:ascii="Arial" w:cs="Arial" w:eastAsia="Arial" w:hAnsi="Arial"/>
          <w:sz w:val="17"/>
          <w:szCs w:val="17"/>
          <w:color w:val="auto"/>
        </w:rPr>
        <w:t>CenterPoint Energy and CERC distribute and transport natural gas to customers over time,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consume the natural gas when delivered. Revenue, consisting of both volumetric and fixed tariff rates set by the state governing agency for that service area, is recognized as natural gas is delivered and represents amounts both billed and unbilled. Discretionary services requested by the customer are satisfied at a point in time and revenue is recognized upon completion of service and the tariff rates set by the applicable state regulator. Payments of natural gas distribution, transportation and discretionary services are aggregated and received on a monthly basis.</w:t>
      </w:r>
    </w:p>
    <w:p>
      <w:pPr>
        <w:spacing w:after="0" w:line="221"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b w:val="1"/>
          <w:bCs w:val="1"/>
          <w:i w:val="1"/>
          <w:iCs w:val="1"/>
          <w:color w:val="221F1F"/>
        </w:rPr>
        <w:t xml:space="preserve">Contract Balances. </w:t>
      </w:r>
      <w:r>
        <w:rPr>
          <w:rFonts w:ascii="Arial" w:cs="Arial" w:eastAsia="Arial" w:hAnsi="Arial"/>
          <w:sz w:val="18"/>
          <w:szCs w:val="18"/>
          <w:color w:val="221F1F"/>
        </w:rPr>
        <w:t>When the timing of delivery of service is different from the timing of the payments made by customers and when the right to</w:t>
      </w:r>
      <w:r>
        <w:rPr>
          <w:rFonts w:ascii="Arial" w:cs="Arial" w:eastAsia="Arial" w:hAnsi="Arial"/>
          <w:sz w:val="18"/>
          <w:szCs w:val="18"/>
          <w:b w:val="1"/>
          <w:bCs w:val="1"/>
          <w:i w:val="1"/>
          <w:iCs w:val="1"/>
          <w:color w:val="221F1F"/>
        </w:rPr>
        <w:t xml:space="preserve"> </w:t>
      </w:r>
      <w:r>
        <w:rPr>
          <w:rFonts w:ascii="Arial" w:cs="Arial" w:eastAsia="Arial" w:hAnsi="Arial"/>
          <w:sz w:val="18"/>
          <w:szCs w:val="18"/>
          <w:color w:val="221F1F"/>
        </w:rPr>
        <w:t>consideration is conditioned on something other than the passage of time, the Registrants recognize either a contract asset (performance precedes billing) or a contract liability (customer payment precedes performance). Those customers that prepay are represented by contract liabilities until the performance obligations are satisfied. The Registrants’ contract assets are included in Accrued unbilled revenues and contract liabilities are included in Accounts payable and Other current liabilities in their Condensed Consolidated Balance Sheets. CenterPoint Energy’s contract assets and contract liabilities primarily related to Energy Systems Group contracts where revenue was recognized using the input method prior to the sale of Energy Systems Group that was completed on June 30, 2023.</w:t>
      </w:r>
    </w:p>
    <w:p>
      <w:pPr>
        <w:spacing w:after="0" w:line="22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221F1F"/>
        </w:rPr>
        <w:t>The opening and closing balances of accounts receivable, other accrued unbilled revenue, contract assets and contract liabilities from contracts with customers are as follows: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5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Accounts Receivable</w:t>
            </w:r>
          </w:p>
        </w:tc>
        <w:tc>
          <w:tcPr>
            <w:tcW w:w="12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Other Accrued</w:t>
            </w:r>
          </w:p>
        </w:tc>
        <w:tc>
          <w:tcPr>
            <w:tcW w:w="420" w:type="dxa"/>
            <w:vAlign w:val="bottom"/>
          </w:tcPr>
          <w:p>
            <w:pPr>
              <w:spacing w:after="0"/>
              <w:rPr>
                <w:sz w:val="14"/>
                <w:szCs w:val="14"/>
                <w:color w:val="auto"/>
              </w:rPr>
            </w:pPr>
          </w:p>
        </w:tc>
        <w:tc>
          <w:tcPr>
            <w:tcW w:w="13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3"/>
              </w:rPr>
              <w:t>Contract</w:t>
            </w:r>
          </w:p>
        </w:tc>
        <w:tc>
          <w:tcPr>
            <w:tcW w:w="100" w:type="dxa"/>
            <w:vAlign w:val="bottom"/>
          </w:tcPr>
          <w:p>
            <w:pPr>
              <w:spacing w:after="0"/>
              <w:rPr>
                <w:sz w:val="14"/>
                <w:szCs w:val="14"/>
                <w:color w:val="auto"/>
              </w:rPr>
            </w:pPr>
          </w:p>
        </w:tc>
        <w:tc>
          <w:tcPr>
            <w:tcW w:w="16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3"/>
              </w:rPr>
              <w:t>Contract Liabilities</w:t>
            </w:r>
          </w:p>
        </w:tc>
        <w:tc>
          <w:tcPr>
            <w:tcW w:w="0" w:type="dxa"/>
            <w:vAlign w:val="bottom"/>
          </w:tcPr>
          <w:p>
            <w:pPr>
              <w:spacing w:after="0"/>
              <w:rPr>
                <w:sz w:val="1"/>
                <w:szCs w:val="1"/>
                <w:color w:val="auto"/>
              </w:rPr>
            </w:pPr>
          </w:p>
        </w:tc>
      </w:tr>
      <w:tr>
        <w:trPr>
          <w:trHeight w:val="190"/>
        </w:trPr>
        <w:tc>
          <w:tcPr>
            <w:tcW w:w="4720" w:type="dxa"/>
            <w:vAlign w:val="bottom"/>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Unbilled Revenues</w:t>
            </w:r>
          </w:p>
        </w:tc>
        <w:tc>
          <w:tcPr>
            <w:tcW w:w="420" w:type="dxa"/>
            <w:vAlign w:val="bottom"/>
          </w:tcPr>
          <w:p>
            <w:pPr>
              <w:spacing w:after="0"/>
              <w:rPr>
                <w:sz w:val="16"/>
                <w:szCs w:val="16"/>
                <w:color w:val="auto"/>
              </w:rPr>
            </w:pPr>
          </w:p>
        </w:tc>
        <w:tc>
          <w:tcPr>
            <w:tcW w:w="13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72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gridSpan w:val="3"/>
          </w:tcPr>
          <w:p>
            <w:pPr>
              <w:jc w:val="center"/>
              <w:ind w:left="1000"/>
              <w:spacing w:after="0"/>
              <w:rPr>
                <w:sz w:val="20"/>
                <w:szCs w:val="20"/>
                <w:color w:val="auto"/>
              </w:rPr>
            </w:pPr>
            <w:r>
              <w:rPr>
                <w:rFonts w:ascii="Arial" w:cs="Arial" w:eastAsia="Arial" w:hAnsi="Arial"/>
                <w:sz w:val="14"/>
                <w:szCs w:val="14"/>
                <w:b w:val="1"/>
                <w:bCs w:val="1"/>
                <w:color w:val="auto"/>
                <w:w w:val="94"/>
              </w:rPr>
              <w:t>(in millions)</w:t>
            </w:r>
          </w:p>
        </w:tc>
        <w:tc>
          <w:tcPr>
            <w:tcW w:w="10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Opening balance as of December 31, 2022</w:t>
            </w:r>
          </w:p>
        </w:tc>
        <w:tc>
          <w:tcPr>
            <w:tcW w:w="56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center"/>
              <w:ind w:left="391"/>
              <w:spacing w:after="0"/>
              <w:rPr>
                <w:sz w:val="20"/>
                <w:szCs w:val="20"/>
                <w:color w:val="auto"/>
              </w:rPr>
            </w:pPr>
            <w:r>
              <w:rPr>
                <w:rFonts w:ascii="Arial" w:cs="Arial" w:eastAsia="Arial" w:hAnsi="Arial"/>
                <w:sz w:val="18"/>
                <w:szCs w:val="18"/>
                <w:color w:val="auto"/>
                <w:w w:val="86"/>
              </w:rPr>
              <w:t>858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center"/>
              <w:ind w:left="800"/>
              <w:spacing w:after="0"/>
              <w:rPr>
                <w:sz w:val="20"/>
                <w:szCs w:val="20"/>
                <w:color w:val="auto"/>
              </w:rPr>
            </w:pPr>
            <w:r>
              <w:rPr>
                <w:rFonts w:ascii="Arial" w:cs="Arial" w:eastAsia="Arial" w:hAnsi="Arial"/>
                <w:sz w:val="18"/>
                <w:szCs w:val="18"/>
                <w:color w:val="auto"/>
                <w:w w:val="86"/>
              </w:rPr>
              <w:t>764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center"/>
              <w:ind w:right="191"/>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Closing balance as of September 30, 2023</w:t>
            </w: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391"/>
              <w:spacing w:after="0"/>
              <w:rPr>
                <w:sz w:val="20"/>
                <w:szCs w:val="20"/>
                <w:color w:val="auto"/>
              </w:rPr>
            </w:pPr>
            <w:r>
              <w:rPr>
                <w:rFonts w:ascii="Arial" w:cs="Arial" w:eastAsia="Arial" w:hAnsi="Arial"/>
                <w:sz w:val="18"/>
                <w:szCs w:val="18"/>
                <w:color w:val="auto"/>
                <w:w w:val="86"/>
              </w:rPr>
              <w:t>733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left="800"/>
              <w:spacing w:after="0"/>
              <w:rPr>
                <w:sz w:val="20"/>
                <w:szCs w:val="20"/>
                <w:color w:val="auto"/>
              </w:rPr>
            </w:pPr>
            <w:r>
              <w:rPr>
                <w:rFonts w:ascii="Arial" w:cs="Arial" w:eastAsia="Arial" w:hAnsi="Arial"/>
                <w:sz w:val="18"/>
                <w:szCs w:val="18"/>
                <w:color w:val="auto"/>
                <w:w w:val="86"/>
              </w:rPr>
              <w:t>340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Decrease</w:t>
            </w:r>
          </w:p>
        </w:tc>
        <w:tc>
          <w:tcPr>
            <w:tcW w:w="56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center"/>
              <w:ind w:left="351"/>
              <w:spacing w:after="0"/>
              <w:rPr>
                <w:sz w:val="20"/>
                <w:szCs w:val="20"/>
                <w:color w:val="auto"/>
              </w:rPr>
            </w:pPr>
            <w:r>
              <w:rPr>
                <w:rFonts w:ascii="Arial" w:cs="Arial" w:eastAsia="Arial" w:hAnsi="Arial"/>
                <w:sz w:val="18"/>
                <w:szCs w:val="18"/>
                <w:color w:val="auto"/>
                <w:w w:val="90"/>
              </w:rPr>
              <w:t>(125)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center"/>
              <w:ind w:left="780"/>
              <w:spacing w:after="0"/>
              <w:rPr>
                <w:sz w:val="20"/>
                <w:szCs w:val="20"/>
                <w:color w:val="auto"/>
              </w:rPr>
            </w:pPr>
            <w:r>
              <w:rPr>
                <w:rFonts w:ascii="Arial" w:cs="Arial" w:eastAsia="Arial" w:hAnsi="Arial"/>
                <w:sz w:val="18"/>
                <w:szCs w:val="18"/>
                <w:color w:val="auto"/>
                <w:w w:val="95"/>
              </w:rPr>
              <w:t>(424)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center"/>
              <w:ind w:right="191"/>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4"/>
                <w:szCs w:val="14"/>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xml:space="preserve">(40)  </w:t>
            </w: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5540" w:right="4000" w:hanging="5215"/>
        <w:spacing w:after="0" w:line="759" w:lineRule="auto"/>
        <w:tabs>
          <w:tab w:leader="none" w:pos="643"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 primarily related to the completed sale of Energy Systems Group on June 30, 2023.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-227330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24"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221F1F"/>
        </w:rPr>
        <w:t>The amount of revenue recognized during the nine-month period ended September 30, 2023 that was included in the opening contract liability was $2 million. The difference between the opening and closing balances of the contract liabilities primarily results from the timing difference between CenterPoint Energy’s performance and the customer’s payment.</w:t>
      </w:r>
    </w:p>
    <w:p>
      <w:pPr>
        <w:sectPr>
          <w:pgSz w:w="11900" w:h="16838" w:orient="portrait"/>
          <w:cols w:equalWidth="0" w:num="1">
            <w:col w:w="11240"/>
          </w:cols>
          <w:pgMar w:left="320" w:top="127" w:right="339" w:bottom="1440" w:gutter="0" w:footer="0" w:header="0"/>
        </w:sect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Opening balance as of December 31, 2022</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Closing balance as of September 30, 2023</w:t>
      </w:r>
    </w:p>
    <w:p>
      <w:pPr>
        <w:spacing w:after="0" w:line="1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Increase (decrease)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Accounts Receivable</w:t>
            </w:r>
          </w:p>
        </w:tc>
        <w:tc>
          <w:tcPr>
            <w:tcW w:w="14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Other Accrued</w:t>
            </w:r>
          </w:p>
        </w:tc>
        <w:tc>
          <w:tcPr>
            <w:tcW w:w="120" w:type="dxa"/>
            <w:vAlign w:val="bottom"/>
          </w:tcPr>
          <w:p>
            <w:pPr>
              <w:spacing w:after="0"/>
              <w:rPr>
                <w:sz w:val="14"/>
                <w:szCs w:val="14"/>
                <w:color w:val="auto"/>
              </w:rPr>
            </w:pPr>
          </w:p>
        </w:tc>
        <w:tc>
          <w:tcPr>
            <w:tcW w:w="132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3"/>
              </w:rPr>
              <w:t>Contract Liabilities</w:t>
            </w:r>
          </w:p>
        </w:tc>
        <w:tc>
          <w:tcPr>
            <w:tcW w:w="0" w:type="dxa"/>
            <w:vAlign w:val="bottom"/>
          </w:tcPr>
          <w:p>
            <w:pPr>
              <w:spacing w:after="0"/>
              <w:rPr>
                <w:sz w:val="1"/>
                <w:szCs w:val="1"/>
                <w:color w:val="auto"/>
              </w:rPr>
            </w:pPr>
          </w:p>
        </w:tc>
      </w:tr>
      <w:tr>
        <w:trPr>
          <w:trHeight w:val="190"/>
        </w:trPr>
        <w:tc>
          <w:tcPr>
            <w:tcW w:w="154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Unbilled Revenues</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millions)</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600" w:type="dxa"/>
            <w:vAlign w:val="bottom"/>
          </w:tcPr>
          <w:p>
            <w:pPr>
              <w:jc w:val="right"/>
              <w:ind w:right="417"/>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7"/>
        </w:trPr>
        <w:tc>
          <w:tcPr>
            <w:tcW w:w="6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9"/>
        </w:trPr>
        <w:tc>
          <w:tcPr>
            <w:tcW w:w="60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-4262755</wp:posOffset>
            </wp:positionH>
            <wp:positionV relativeFrom="paragraph">
              <wp:posOffset>-472440</wp:posOffset>
            </wp:positionV>
            <wp:extent cx="7134225" cy="143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143510"/>
                    </a:xfrm>
                    <a:prstGeom prst="rect">
                      <a:avLst/>
                    </a:prstGeom>
                    <a:noFill/>
                  </pic:spPr>
                </pic:pic>
              </a:graphicData>
            </a:graphic>
          </wp:anchor>
        </w:drawing>
        <w:drawing>
          <wp:anchor simplePos="0" relativeHeight="251657728" behindDoc="1" locked="0" layoutInCell="0" allowOverlap="1">
            <wp:simplePos x="0" y="0"/>
            <wp:positionH relativeFrom="column">
              <wp:posOffset>-4262755</wp:posOffset>
            </wp:positionH>
            <wp:positionV relativeFrom="paragraph">
              <wp:posOffset>-185420</wp:posOffset>
            </wp:positionV>
            <wp:extent cx="7134225" cy="168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1689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00" w:space="720"/>
            <w:col w:w="4520"/>
          </w:cols>
          <w:pgMar w:left="320" w:top="127" w:right="339" w:bottom="1440" w:gutter="0" w:footer="0" w:header="0"/>
          <w:type w:val="continuous"/>
        </w:sectPr>
      </w:pPr>
    </w:p>
    <w:p>
      <w:pPr>
        <w:spacing w:after="0" w:line="120"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221F1F"/>
        </w:rPr>
        <w:t>The amount of revenue recognized during the nine-month period ended September 30, 2023 that was included in the opening contract liability was $2 million. The difference between the opening and closing balances of the contract liabilities primarily results from the timing difference between Houston Electric’s performance and the customer’s payment.</w:t>
      </w:r>
    </w:p>
    <w:p>
      <w:pPr>
        <w:sectPr>
          <w:pgSz w:w="11900" w:h="16838" w:orient="portrait"/>
          <w:cols w:equalWidth="0" w:num="1">
            <w:col w:w="11240"/>
          </w:cols>
          <w:pgMar w:left="320" w:top="127" w:right="339"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Opening balance as of December 31, 2022</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Closing balance as of September 30, 2023</w:t>
      </w:r>
    </w:p>
    <w:p>
      <w:pPr>
        <w:spacing w:after="0" w:line="1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Decrease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6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Accounts Receivable</w:t>
            </w:r>
          </w:p>
        </w:tc>
        <w:tc>
          <w:tcPr>
            <w:tcW w:w="140" w:type="dxa"/>
            <w:vAlign w:val="bottom"/>
          </w:tcPr>
          <w:p>
            <w:pPr>
              <w:spacing w:after="0"/>
              <w:rPr>
                <w:sz w:val="14"/>
                <w:szCs w:val="14"/>
                <w:color w:val="auto"/>
              </w:rPr>
            </w:pPr>
          </w:p>
        </w:tc>
        <w:tc>
          <w:tcPr>
            <w:tcW w:w="1620" w:type="dxa"/>
            <w:vAlign w:val="bottom"/>
          </w:tcPr>
          <w:p>
            <w:pPr>
              <w:jc w:val="center"/>
              <w:ind w:right="38"/>
              <w:spacing w:after="0"/>
              <w:rPr>
                <w:sz w:val="20"/>
                <w:szCs w:val="20"/>
                <w:color w:val="auto"/>
              </w:rPr>
            </w:pPr>
            <w:r>
              <w:rPr>
                <w:rFonts w:ascii="Arial" w:cs="Arial" w:eastAsia="Arial" w:hAnsi="Arial"/>
                <w:sz w:val="14"/>
                <w:szCs w:val="14"/>
                <w:b w:val="1"/>
                <w:bCs w:val="1"/>
                <w:color w:val="auto"/>
                <w:w w:val="93"/>
              </w:rPr>
              <w:t>Other Accrued Unbilled</w:t>
            </w:r>
          </w:p>
        </w:tc>
        <w:tc>
          <w:tcPr>
            <w:tcW w:w="0" w:type="dxa"/>
            <w:vAlign w:val="bottom"/>
          </w:tcPr>
          <w:p>
            <w:pPr>
              <w:spacing w:after="0"/>
              <w:rPr>
                <w:sz w:val="1"/>
                <w:szCs w:val="1"/>
                <w:color w:val="auto"/>
              </w:rPr>
            </w:pPr>
          </w:p>
        </w:tc>
      </w:tr>
      <w:tr>
        <w:trPr>
          <w:trHeight w:val="193"/>
        </w:trPr>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84"/>
        </w:trPr>
        <w:tc>
          <w:tcPr>
            <w:tcW w:w="180" w:type="dxa"/>
            <w:vAlign w:val="bottom"/>
          </w:tcPr>
          <w:p>
            <w:pPr>
              <w:spacing w:after="0"/>
              <w:rPr>
                <w:sz w:val="16"/>
                <w:szCs w:val="16"/>
                <w:color w:val="auto"/>
              </w:rPr>
            </w:pPr>
          </w:p>
        </w:tc>
        <w:tc>
          <w:tcPr>
            <w:tcW w:w="3440" w:type="dxa"/>
            <w:vAlign w:val="bottom"/>
            <w:gridSpan w:val="4"/>
          </w:tcPr>
          <w:p>
            <w:pPr>
              <w:ind w:left="126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40"/>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center"/>
              <w:ind w:left="1078"/>
              <w:spacing w:after="0"/>
              <w:rPr>
                <w:sz w:val="20"/>
                <w:szCs w:val="20"/>
                <w:color w:val="auto"/>
              </w:rPr>
            </w:pPr>
            <w:r>
              <w:rPr>
                <w:rFonts w:ascii="Arial" w:cs="Arial" w:eastAsia="Arial" w:hAnsi="Arial"/>
                <w:sz w:val="18"/>
                <w:szCs w:val="18"/>
                <w:color w:val="auto"/>
                <w:w w:val="86"/>
              </w:rPr>
              <w:t>478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center"/>
              <w:ind w:left="1138"/>
              <w:spacing w:after="0"/>
              <w:rPr>
                <w:sz w:val="20"/>
                <w:szCs w:val="20"/>
                <w:color w:val="auto"/>
              </w:rPr>
            </w:pPr>
            <w:r>
              <w:rPr>
                <w:rFonts w:ascii="Arial" w:cs="Arial" w:eastAsia="Arial" w:hAnsi="Arial"/>
                <w:sz w:val="18"/>
                <w:szCs w:val="18"/>
                <w:color w:val="auto"/>
                <w:w w:val="93"/>
              </w:rPr>
              <w:t>573</w:t>
            </w:r>
          </w:p>
        </w:tc>
        <w:tc>
          <w:tcPr>
            <w:tcW w:w="0" w:type="dxa"/>
            <w:vAlign w:val="bottom"/>
          </w:tcPr>
          <w:p>
            <w:pPr>
              <w:spacing w:after="0"/>
              <w:rPr>
                <w:sz w:val="1"/>
                <w:szCs w:val="1"/>
                <w:color w:val="auto"/>
              </w:rPr>
            </w:pPr>
          </w:p>
        </w:tc>
      </w:tr>
      <w:tr>
        <w:trPr>
          <w:trHeight w:val="227"/>
        </w:trPr>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left="1078"/>
              <w:spacing w:after="0"/>
              <w:rPr>
                <w:sz w:val="20"/>
                <w:szCs w:val="20"/>
                <w:color w:val="auto"/>
              </w:rPr>
            </w:pPr>
            <w:r>
              <w:rPr>
                <w:rFonts w:ascii="Arial" w:cs="Arial" w:eastAsia="Arial" w:hAnsi="Arial"/>
                <w:sz w:val="18"/>
                <w:szCs w:val="18"/>
                <w:color w:val="auto"/>
                <w:w w:val="86"/>
              </w:rPr>
              <w:t>230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left="1158"/>
              <w:spacing w:after="0"/>
              <w:rPr>
                <w:sz w:val="20"/>
                <w:szCs w:val="20"/>
                <w:color w:val="auto"/>
              </w:rPr>
            </w:pPr>
            <w:r>
              <w:rPr>
                <w:rFonts w:ascii="Arial" w:cs="Arial" w:eastAsia="Arial" w:hAnsi="Arial"/>
                <w:sz w:val="18"/>
                <w:szCs w:val="18"/>
                <w:color w:val="auto"/>
                <w:w w:val="86"/>
              </w:rPr>
              <w:t>119</w:t>
            </w:r>
          </w:p>
        </w:tc>
        <w:tc>
          <w:tcPr>
            <w:tcW w:w="0" w:type="dxa"/>
            <w:vAlign w:val="bottom"/>
          </w:tcPr>
          <w:p>
            <w:pPr>
              <w:spacing w:after="0"/>
              <w:rPr>
                <w:sz w:val="1"/>
                <w:szCs w:val="1"/>
                <w:color w:val="auto"/>
              </w:rPr>
            </w:pPr>
          </w:p>
        </w:tc>
      </w:tr>
      <w:tr>
        <w:trPr>
          <w:trHeight w:val="219"/>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center"/>
              <w:ind w:left="1058"/>
              <w:spacing w:after="0"/>
              <w:rPr>
                <w:sz w:val="20"/>
                <w:szCs w:val="20"/>
                <w:color w:val="auto"/>
              </w:rPr>
            </w:pPr>
            <w:r>
              <w:rPr>
                <w:rFonts w:ascii="Arial" w:cs="Arial" w:eastAsia="Arial" w:hAnsi="Arial"/>
                <w:sz w:val="18"/>
                <w:szCs w:val="18"/>
                <w:color w:val="auto"/>
                <w:w w:val="95"/>
              </w:rPr>
              <w:t>(248)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center"/>
              <w:ind w:left="1118"/>
              <w:spacing w:after="0"/>
              <w:rPr>
                <w:sz w:val="20"/>
                <w:szCs w:val="20"/>
                <w:color w:val="auto"/>
              </w:rPr>
            </w:pPr>
            <w:r>
              <w:rPr>
                <w:rFonts w:ascii="Arial" w:cs="Arial" w:eastAsia="Arial" w:hAnsi="Arial"/>
                <w:sz w:val="18"/>
                <w:szCs w:val="18"/>
                <w:color w:val="auto"/>
                <w:w w:val="90"/>
              </w:rPr>
              <w:t>(454)</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-4834255</wp:posOffset>
            </wp:positionH>
            <wp:positionV relativeFrom="paragraph">
              <wp:posOffset>-472440</wp:posOffset>
            </wp:positionV>
            <wp:extent cx="7134225" cy="143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143510"/>
                    </a:xfrm>
                    <a:prstGeom prst="rect">
                      <a:avLst/>
                    </a:prstGeom>
                    <a:noFill/>
                  </pic:spPr>
                </pic:pic>
              </a:graphicData>
            </a:graphic>
          </wp:anchor>
        </w:drawing>
        <w:drawing>
          <wp:anchor simplePos="0" relativeHeight="251657728" behindDoc="1" locked="0" layoutInCell="0" allowOverlap="1">
            <wp:simplePos x="0" y="0"/>
            <wp:positionH relativeFrom="column">
              <wp:posOffset>-4834255</wp:posOffset>
            </wp:positionH>
            <wp:positionV relativeFrom="paragraph">
              <wp:posOffset>-185420</wp:posOffset>
            </wp:positionV>
            <wp:extent cx="7134225" cy="168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1689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00" w:space="720"/>
            <w:col w:w="3620"/>
          </w:cols>
          <w:pgMar w:left="320" w:top="127" w:right="339" w:bottom="1440" w:gutter="0" w:footer="0" w:header="0"/>
          <w:type w:val="continuous"/>
        </w:sectPr>
      </w:pP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color w:val="221F1F"/>
        </w:rPr>
        <w:t>CERC does not have any opening or closing contract asset or contract liability balances.</w:t>
      </w:r>
    </w:p>
    <w:p>
      <w:pPr>
        <w:spacing w:after="0" w:line="258"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b w:val="1"/>
          <w:bCs w:val="1"/>
          <w:i w:val="1"/>
          <w:iCs w:val="1"/>
          <w:color w:val="221E1F"/>
        </w:rPr>
        <w:t xml:space="preserve">Remaining Performance Obligations (CenterPoint Energy). </w:t>
      </w:r>
      <w:r>
        <w:rPr>
          <w:rFonts w:ascii="Arial" w:cs="Arial" w:eastAsia="Arial" w:hAnsi="Arial"/>
          <w:sz w:val="18"/>
          <w:szCs w:val="18"/>
          <w:color w:val="221E1F"/>
        </w:rPr>
        <w:t>Following the completed sale of Energy Systems Group on June 30, 2023, CenterPoint</w:t>
      </w:r>
      <w:r>
        <w:rPr>
          <w:rFonts w:ascii="Arial" w:cs="Arial" w:eastAsia="Arial" w:hAnsi="Arial"/>
          <w:sz w:val="18"/>
          <w:szCs w:val="18"/>
          <w:b w:val="1"/>
          <w:bCs w:val="1"/>
          <w:i w:val="1"/>
          <w:iCs w:val="1"/>
          <w:color w:val="221E1F"/>
        </w:rPr>
        <w:t xml:space="preserve"> </w:t>
      </w:r>
      <w:r>
        <w:rPr>
          <w:rFonts w:ascii="Arial" w:cs="Arial" w:eastAsia="Arial" w:hAnsi="Arial"/>
          <w:sz w:val="18"/>
          <w:szCs w:val="18"/>
          <w:color w:val="221E1F"/>
        </w:rPr>
        <w:t>Energy had no remaining performance obligations.</w:t>
      </w:r>
    </w:p>
    <w:p>
      <w:pPr>
        <w:spacing w:after="0" w:line="206"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b w:val="1"/>
          <w:bCs w:val="1"/>
          <w:i w:val="1"/>
          <w:iCs w:val="1"/>
          <w:color w:val="auto"/>
        </w:rPr>
        <w:t xml:space="preserve">Practical Expedients and Exemption. </w:t>
      </w:r>
      <w:r>
        <w:rPr>
          <w:rFonts w:ascii="Arial" w:cs="Arial" w:eastAsia="Arial" w:hAnsi="Arial"/>
          <w:sz w:val="18"/>
          <w:szCs w:val="18"/>
          <w:color w:val="auto"/>
        </w:rPr>
        <w:t>Sales taxes and other similar taxes collected from customers are excluded from the transaction price.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21F1F"/>
        </w:rPr>
        <w:t>For contracts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21F1F"/>
        </w:rPr>
        <w:t>for which revenue from the satisfaction of the performance obligations is recognized in the amount invoiced, the practical expedient was elected and revenue expected to be recognized on these contracts has not been disclosed.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221F1F"/>
        </w:rPr>
        <w:t>Allowance for Credit Losses</w:t>
      </w:r>
    </w:p>
    <w:p>
      <w:pPr>
        <w:spacing w:after="0" w:line="251" w:lineRule="exact"/>
        <w:rPr>
          <w:sz w:val="20"/>
          <w:szCs w:val="20"/>
          <w:color w:val="auto"/>
        </w:rPr>
      </w:pPr>
    </w:p>
    <w:p>
      <w:pPr>
        <w:jc w:val="both"/>
        <w:ind w:firstLine="319"/>
        <w:spacing w:after="0" w:line="286" w:lineRule="auto"/>
        <w:rPr>
          <w:sz w:val="20"/>
          <w:szCs w:val="20"/>
          <w:color w:val="auto"/>
        </w:rPr>
      </w:pPr>
      <w:r>
        <w:rPr>
          <w:rFonts w:ascii="Arial" w:cs="Arial" w:eastAsia="Arial" w:hAnsi="Arial"/>
          <w:sz w:val="16"/>
          <w:szCs w:val="16"/>
          <w:color w:val="221F1F"/>
        </w:rPr>
        <w:t>CenterPoint Energy and CERC segregate financial assets that fall under the scope of Topic 326, primarily trade receivables due in one year or less, into portfolio segments based on shared risk characteristics, such as geographical location and regulatory environment, for evaluation of expected credit losses. Historical and current information, such as average write-offs, are applied to each portfolio segment to estimate the allowance for losses on uncollectible receivables. Additionally, the allowance for losses on uncollectible receivables is adjusted for reasonable and supportable forecasts of future economic conditions, which can include changing weather, commodity prices, regulations, and macroeconomic factors, among others. Houston Electric had no material changes in its methodology to recognize losses on financial assets that fall under the scope of Topic 326, primarily due to the nature of its customers and regulatory environment. For a discussion of regulatory deferrals, including those related to COVID-19, see Note 6</w:t>
      </w:r>
      <w:r>
        <w:rPr>
          <w:rFonts w:ascii="Arial" w:cs="Arial" w:eastAsia="Arial" w:hAnsi="Arial"/>
          <w:sz w:val="16"/>
          <w:szCs w:val="16"/>
          <w:b w:val="1"/>
          <w:bCs w:val="1"/>
          <w:color w:val="221F1F"/>
        </w:rPr>
        <w: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Employee Benefit Plans</w:t>
      </w:r>
    </w:p>
    <w:p>
      <w:pPr>
        <w:spacing w:after="0" w:line="251"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color w:val="auto"/>
        </w:rPr>
        <w:t>The Registrants’ net periodic cost, before considering amounts subject to overhead allocations for capital expenditure projects or for amounts subject to deferral for regulatory purposes, includes the following components relating to pension and postretirement benefits: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 (CenterPoint Energy)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26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4"/>
        </w:trPr>
        <w:tc>
          <w:tcPr>
            <w:tcW w:w="52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5220" w:type="dxa"/>
            <w:vAlign w:val="bottom"/>
          </w:tcPr>
          <w:p>
            <w:pPr>
              <w:spacing w:after="0"/>
              <w:rPr>
                <w:sz w:val="16"/>
                <w:szCs w:val="16"/>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r>
      <w:tr>
        <w:trPr>
          <w:trHeight w:val="192"/>
        </w:trPr>
        <w:tc>
          <w:tcPr>
            <w:tcW w:w="5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(in millions)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7"/>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Service cost </w:t>
            </w:r>
            <w:r>
              <w:rPr>
                <w:rFonts w:ascii="Arial" w:cs="Arial" w:eastAsia="Arial" w:hAnsi="Arial"/>
                <w:sz w:val="14"/>
                <w:szCs w:val="14"/>
                <w:color w:val="auto"/>
              </w:rPr>
              <w:t>(1)</w:t>
            </w:r>
          </w:p>
        </w:tc>
        <w:tc>
          <w:tcPr>
            <w:tcW w:w="980" w:type="dxa"/>
            <w:vAlign w:val="bottom"/>
            <w:shd w:val="clear" w:color="auto" w:fill="CCEEFF"/>
          </w:tcPr>
          <w:p>
            <w:pPr>
              <w:jc w:val="right"/>
              <w:ind w:right="80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center"/>
              <w:ind w:left="656"/>
              <w:spacing w:after="0"/>
              <w:rPr>
                <w:sz w:val="20"/>
                <w:szCs w:val="20"/>
                <w:color w:val="auto"/>
              </w:rPr>
            </w:pPr>
            <w:r>
              <w:rPr>
                <w:rFonts w:ascii="Arial" w:cs="Arial" w:eastAsia="Arial" w:hAnsi="Arial"/>
                <w:sz w:val="18"/>
                <w:szCs w:val="18"/>
                <w:color w:val="auto"/>
                <w:w w:val="79"/>
              </w:rPr>
              <w:t>19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714"/>
              <w:spacing w:after="0"/>
              <w:rPr>
                <w:sz w:val="20"/>
                <w:szCs w:val="20"/>
                <w:color w:val="auto"/>
              </w:rPr>
            </w:pPr>
            <w:r>
              <w:rPr>
                <w:rFonts w:ascii="Arial" w:cs="Arial" w:eastAsia="Arial" w:hAnsi="Arial"/>
                <w:sz w:val="18"/>
                <w:szCs w:val="18"/>
                <w:color w:val="auto"/>
                <w:w w:val="89"/>
              </w:rPr>
              <w:t>23</w:t>
            </w:r>
          </w:p>
        </w:tc>
      </w:tr>
      <w:tr>
        <w:trPr>
          <w:trHeight w:val="239"/>
        </w:trPr>
        <w:tc>
          <w:tcPr>
            <w:tcW w:w="5220" w:type="dxa"/>
            <w:vAlign w:val="bottom"/>
          </w:tcPr>
          <w:p>
            <w:pPr>
              <w:ind w:left="20"/>
              <w:spacing w:after="0"/>
              <w:rPr>
                <w:sz w:val="20"/>
                <w:szCs w:val="20"/>
                <w:color w:val="auto"/>
              </w:rPr>
            </w:pPr>
            <w:r>
              <w:rPr>
                <w:rFonts w:ascii="Arial" w:cs="Arial" w:eastAsia="Arial" w:hAnsi="Arial"/>
                <w:sz w:val="18"/>
                <w:szCs w:val="18"/>
                <w:color w:val="auto"/>
              </w:rPr>
              <w:t xml:space="preserve">Interest cost </w:t>
            </w:r>
            <w:r>
              <w:rPr>
                <w:rFonts w:ascii="Arial" w:cs="Arial" w:eastAsia="Arial" w:hAnsi="Arial"/>
                <w:sz w:val="14"/>
                <w:szCs w:val="14"/>
                <w:color w:val="auto"/>
              </w:rPr>
              <w:t>(2)</w:t>
            </w:r>
          </w:p>
        </w:tc>
        <w:tc>
          <w:tcPr>
            <w:tcW w:w="9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center"/>
              <w:ind w:left="656"/>
              <w:spacing w:after="0"/>
              <w:rPr>
                <w:sz w:val="20"/>
                <w:szCs w:val="20"/>
                <w:color w:val="auto"/>
              </w:rPr>
            </w:pPr>
            <w:r>
              <w:rPr>
                <w:rFonts w:ascii="Arial" w:cs="Arial" w:eastAsia="Arial" w:hAnsi="Arial"/>
                <w:sz w:val="18"/>
                <w:szCs w:val="18"/>
                <w:color w:val="auto"/>
                <w:w w:val="79"/>
              </w:rPr>
              <w:t>57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center"/>
              <w:ind w:left="714"/>
              <w:spacing w:after="0"/>
              <w:rPr>
                <w:sz w:val="20"/>
                <w:szCs w:val="20"/>
                <w:color w:val="auto"/>
              </w:rPr>
            </w:pPr>
            <w:r>
              <w:rPr>
                <w:rFonts w:ascii="Arial" w:cs="Arial" w:eastAsia="Arial" w:hAnsi="Arial"/>
                <w:sz w:val="18"/>
                <w:szCs w:val="18"/>
                <w:color w:val="auto"/>
                <w:w w:val="89"/>
              </w:rPr>
              <w:t>52</w:t>
            </w:r>
          </w:p>
        </w:tc>
      </w:tr>
      <w:tr>
        <w:trPr>
          <w:trHeight w:val="24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Expected return on plan assets </w:t>
            </w:r>
            <w:r>
              <w:rPr>
                <w:rFonts w:ascii="Arial" w:cs="Arial" w:eastAsia="Arial" w:hAnsi="Arial"/>
                <w:sz w:val="14"/>
                <w:szCs w:val="14"/>
                <w:color w:val="auto"/>
              </w:rPr>
              <w:t>(2)</w:t>
            </w:r>
          </w:p>
        </w:tc>
        <w:tc>
          <w:tcPr>
            <w:tcW w:w="9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0" w:type="dxa"/>
            <w:vAlign w:val="bottom"/>
            <w:shd w:val="clear" w:color="auto" w:fill="CCEEFF"/>
          </w:tcPr>
          <w:p>
            <w:pPr>
              <w:jc w:val="center"/>
              <w:ind w:left="636"/>
              <w:spacing w:after="0"/>
              <w:rPr>
                <w:sz w:val="20"/>
                <w:szCs w:val="20"/>
                <w:color w:val="auto"/>
              </w:rPr>
            </w:pPr>
            <w:r>
              <w:rPr>
                <w:rFonts w:ascii="Arial" w:cs="Arial" w:eastAsia="Arial" w:hAnsi="Arial"/>
                <w:sz w:val="18"/>
                <w:szCs w:val="18"/>
                <w:color w:val="auto"/>
                <w:w w:val="93"/>
              </w:rPr>
              <w:t>(57)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center"/>
              <w:ind w:left="674"/>
              <w:spacing w:after="0"/>
              <w:rPr>
                <w:sz w:val="20"/>
                <w:szCs w:val="20"/>
                <w:color w:val="auto"/>
              </w:rPr>
            </w:pPr>
            <w:r>
              <w:rPr>
                <w:rFonts w:ascii="Arial" w:cs="Arial" w:eastAsia="Arial" w:hAnsi="Arial"/>
                <w:sz w:val="18"/>
                <w:szCs w:val="18"/>
                <w:color w:val="auto"/>
                <w:w w:val="93"/>
              </w:rPr>
              <w:t>(69)</w:t>
            </w:r>
          </w:p>
        </w:tc>
      </w:tr>
      <w:tr>
        <w:trPr>
          <w:trHeight w:val="239"/>
        </w:trPr>
        <w:tc>
          <w:tcPr>
            <w:tcW w:w="5220" w:type="dxa"/>
            <w:vAlign w:val="bottom"/>
          </w:tcPr>
          <w:p>
            <w:pPr>
              <w:ind w:left="20"/>
              <w:spacing w:after="0"/>
              <w:rPr>
                <w:sz w:val="20"/>
                <w:szCs w:val="20"/>
                <w:color w:val="auto"/>
              </w:rPr>
            </w:pPr>
            <w:r>
              <w:rPr>
                <w:rFonts w:ascii="Arial" w:cs="Arial" w:eastAsia="Arial" w:hAnsi="Arial"/>
                <w:sz w:val="18"/>
                <w:szCs w:val="18"/>
                <w:color w:val="auto"/>
              </w:rPr>
              <w:t xml:space="preserve">Amortization of net loss </w:t>
            </w:r>
            <w:r>
              <w:rPr>
                <w:rFonts w:ascii="Arial" w:cs="Arial" w:eastAsia="Arial" w:hAnsi="Arial"/>
                <w:sz w:val="14"/>
                <w:szCs w:val="14"/>
                <w:color w:val="auto"/>
              </w:rPr>
              <w:t>(2)</w:t>
            </w:r>
          </w:p>
        </w:tc>
        <w:tc>
          <w:tcPr>
            <w:tcW w:w="9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center"/>
              <w:ind w:left="656"/>
              <w:spacing w:after="0"/>
              <w:rPr>
                <w:sz w:val="20"/>
                <w:szCs w:val="20"/>
                <w:color w:val="auto"/>
              </w:rPr>
            </w:pPr>
            <w:r>
              <w:rPr>
                <w:rFonts w:ascii="Arial" w:cs="Arial" w:eastAsia="Arial" w:hAnsi="Arial"/>
                <w:sz w:val="18"/>
                <w:szCs w:val="18"/>
                <w:color w:val="auto"/>
                <w:w w:val="79"/>
              </w:rPr>
              <w:t>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center"/>
              <w:ind w:left="714"/>
              <w:spacing w:after="0"/>
              <w:rPr>
                <w:sz w:val="20"/>
                <w:szCs w:val="20"/>
                <w:color w:val="auto"/>
              </w:rPr>
            </w:pPr>
            <w:r>
              <w:rPr>
                <w:rFonts w:ascii="Arial" w:cs="Arial" w:eastAsia="Arial" w:hAnsi="Arial"/>
                <w:sz w:val="18"/>
                <w:szCs w:val="18"/>
                <w:color w:val="auto"/>
                <w:w w:val="89"/>
              </w:rPr>
              <w:t>22</w:t>
            </w:r>
          </w:p>
        </w:tc>
      </w:tr>
      <w:tr>
        <w:trPr>
          <w:trHeight w:val="23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Settlement cost </w:t>
            </w:r>
            <w:r>
              <w:rPr>
                <w:rFonts w:ascii="Arial" w:cs="Arial" w:eastAsia="Arial" w:hAnsi="Arial"/>
                <w:sz w:val="14"/>
                <w:szCs w:val="14"/>
                <w:color w:val="auto"/>
              </w:rPr>
              <w:t>(2) (3)</w:t>
            </w:r>
          </w:p>
        </w:tc>
        <w:tc>
          <w:tcPr>
            <w:tcW w:w="98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center"/>
              <w:ind w:left="556"/>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center"/>
              <w:ind w:left="714"/>
              <w:spacing w:after="0"/>
              <w:rPr>
                <w:sz w:val="20"/>
                <w:szCs w:val="20"/>
                <w:color w:val="auto"/>
              </w:rPr>
            </w:pPr>
            <w:r>
              <w:rPr>
                <w:rFonts w:ascii="Arial" w:cs="Arial" w:eastAsia="Arial" w:hAnsi="Arial"/>
                <w:sz w:val="18"/>
                <w:szCs w:val="18"/>
                <w:color w:val="auto"/>
                <w:w w:val="89"/>
              </w:rPr>
              <w:t>38</w:t>
            </w:r>
          </w:p>
        </w:tc>
      </w:tr>
      <w:tr>
        <w:trPr>
          <w:trHeight w:val="220"/>
        </w:trPr>
        <w:tc>
          <w:tcPr>
            <w:tcW w:w="5220" w:type="dxa"/>
            <w:vAlign w:val="bottom"/>
          </w:tcPr>
          <w:p>
            <w:pPr>
              <w:ind w:left="20"/>
              <w:spacing w:after="0"/>
              <w:rPr>
                <w:sz w:val="20"/>
                <w:szCs w:val="20"/>
                <w:color w:val="auto"/>
              </w:rPr>
            </w:pPr>
            <w:r>
              <w:rPr>
                <w:rFonts w:ascii="Arial" w:cs="Arial" w:eastAsia="Arial" w:hAnsi="Arial"/>
                <w:sz w:val="18"/>
                <w:szCs w:val="18"/>
                <w:color w:val="auto"/>
              </w:rPr>
              <w:t>Net periodic cost</w:t>
            </w:r>
          </w:p>
        </w:tc>
        <w:tc>
          <w:tcPr>
            <w:tcW w:w="980" w:type="dxa"/>
            <w:vAlign w:val="bottom"/>
            <w:tcBorders>
              <w:top w:val="single" w:sz="8" w:color="auto"/>
              <w:bottom w:val="single" w:sz="8" w:color="auto"/>
            </w:tcBorders>
          </w:tcPr>
          <w:p>
            <w:pPr>
              <w:jc w:val="right"/>
              <w:ind w:right="80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77"/>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center"/>
              <w:ind w:left="656"/>
              <w:spacing w:after="0"/>
              <w:rPr>
                <w:sz w:val="20"/>
                <w:szCs w:val="20"/>
                <w:color w:val="auto"/>
              </w:rPr>
            </w:pPr>
            <w:r>
              <w:rPr>
                <w:rFonts w:ascii="Arial" w:cs="Arial" w:eastAsia="Arial" w:hAnsi="Arial"/>
                <w:sz w:val="18"/>
                <w:szCs w:val="18"/>
                <w:color w:val="auto"/>
                <w:w w:val="79"/>
              </w:rPr>
              <w:t>40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center"/>
              <w:ind w:left="714"/>
              <w:spacing w:after="0"/>
              <w:rPr>
                <w:sz w:val="20"/>
                <w:szCs w:val="20"/>
                <w:color w:val="auto"/>
              </w:rPr>
            </w:pPr>
            <w:r>
              <w:rPr>
                <w:rFonts w:ascii="Arial" w:cs="Arial" w:eastAsia="Arial" w:hAnsi="Arial"/>
                <w:sz w:val="18"/>
                <w:szCs w:val="18"/>
                <w:color w:val="auto"/>
                <w:w w:val="89"/>
              </w:rPr>
              <w:t>66</w:t>
            </w:r>
          </w:p>
        </w:tc>
      </w:tr>
      <w:tr>
        <w:trPr>
          <w:trHeight w:val="20"/>
        </w:trPr>
        <w:tc>
          <w:tcPr>
            <w:tcW w:w="5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left="640" w:hanging="315"/>
        <w:spacing w:after="0" w:line="253" w:lineRule="auto"/>
        <w:tabs>
          <w:tab w:leader="none" w:pos="63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Amounts presented in the table above are included in Operation and maintenance expense in CenterPoint Energy’s Condensed Statements of Consolidated Income, net of amounts capitalized and regulatory deferrals.</w:t>
      </w:r>
    </w:p>
    <w:p>
      <w:pPr>
        <w:ind w:left="640" w:hanging="315"/>
        <w:spacing w:after="0" w:line="246" w:lineRule="auto"/>
        <w:tabs>
          <w:tab w:leader="none" w:pos="63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Amounts presented in the table above are included in Other income, net in CenterPoint Energy’s Condensed Statements of Consolidated Income, net of regulatory deferrals.</w:t>
      </w:r>
    </w:p>
    <w:p>
      <w:pPr>
        <w:spacing w:after="0" w:line="1" w:lineRule="exact"/>
        <w:rPr>
          <w:rFonts w:ascii="Arial" w:cs="Arial" w:eastAsia="Arial" w:hAnsi="Arial"/>
          <w:sz w:val="18"/>
          <w:szCs w:val="18"/>
          <w:color w:val="auto"/>
        </w:rPr>
      </w:pPr>
    </w:p>
    <w:p>
      <w:pPr>
        <w:jc w:val="both"/>
        <w:ind w:left="640" w:hanging="315"/>
        <w:spacing w:after="0" w:line="250" w:lineRule="auto"/>
        <w:tabs>
          <w:tab w:leader="none" w:pos="63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Amounts presented represent a one-time, non-cash settlement cost, prior to regulatory deferrals, which are required when the total lump sum distributions or other settlements of plan benefit obligations during a plan year exceed the service cost and interest cost components of the net periodic cost for that year.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1"/>
              </w:rPr>
              <w:t>Three Months Ended September 30,</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7" w:lineRule="exact"/>
              <w:rPr>
                <w:sz w:val="20"/>
                <w:szCs w:val="20"/>
                <w:color w:val="auto"/>
              </w:rPr>
            </w:pPr>
            <w:r>
              <w:rPr>
                <w:rFonts w:ascii="Arial" w:cs="Arial" w:eastAsia="Arial" w:hAnsi="Arial"/>
                <w:sz w:val="14"/>
                <w:szCs w:val="14"/>
                <w:b w:val="1"/>
                <w:bCs w:val="1"/>
                <w:color w:val="auto"/>
                <w:w w:val="90"/>
              </w:rPr>
              <w:t>CenterPoint</w:t>
            </w:r>
          </w:p>
        </w:tc>
        <w:tc>
          <w:tcPr>
            <w:tcW w:w="1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Houston Electric</w:t>
            </w:r>
          </w:p>
        </w:tc>
        <w:tc>
          <w:tcPr>
            <w:tcW w:w="220" w:type="dxa"/>
            <w:vAlign w:val="bottom"/>
          </w:tcPr>
          <w:p>
            <w:pPr>
              <w:spacing w:after="0"/>
              <w:rPr>
                <w:sz w:val="11"/>
                <w:szCs w:val="11"/>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CERC</w:t>
            </w:r>
          </w:p>
        </w:tc>
        <w:tc>
          <w:tcPr>
            <w:tcW w:w="140" w:type="dxa"/>
            <w:vAlign w:val="bottom"/>
          </w:tcPr>
          <w:p>
            <w:pPr>
              <w:spacing w:after="0"/>
              <w:rPr>
                <w:sz w:val="11"/>
                <w:szCs w:val="11"/>
                <w:color w:val="auto"/>
              </w:rPr>
            </w:pPr>
          </w:p>
        </w:tc>
        <w:tc>
          <w:tcPr>
            <w:tcW w:w="1060" w:type="dxa"/>
            <w:vAlign w:val="bottom"/>
            <w:gridSpan w:val="2"/>
          </w:tcPr>
          <w:p>
            <w:pPr>
              <w:jc w:val="center"/>
              <w:ind w:right="240"/>
              <w:spacing w:after="0" w:line="137" w:lineRule="exact"/>
              <w:rPr>
                <w:sz w:val="20"/>
                <w:szCs w:val="20"/>
                <w:color w:val="auto"/>
              </w:rPr>
            </w:pPr>
            <w:r>
              <w:rPr>
                <w:rFonts w:ascii="Arial" w:cs="Arial" w:eastAsia="Arial" w:hAnsi="Arial"/>
                <w:sz w:val="14"/>
                <w:szCs w:val="14"/>
                <w:b w:val="1"/>
                <w:bCs w:val="1"/>
                <w:color w:val="auto"/>
                <w:w w:val="93"/>
              </w:rPr>
              <w:t>CenterPoint</w:t>
            </w:r>
          </w:p>
        </w:tc>
        <w:tc>
          <w:tcPr>
            <w:tcW w:w="12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Houston Electric</w:t>
            </w:r>
          </w:p>
        </w:tc>
        <w:tc>
          <w:tcPr>
            <w:tcW w:w="220" w:type="dxa"/>
            <w:vAlign w:val="bottom"/>
          </w:tcPr>
          <w:p>
            <w:pPr>
              <w:spacing w:after="0"/>
              <w:rPr>
                <w:sz w:val="11"/>
                <w:szCs w:val="11"/>
                <w:color w:val="auto"/>
              </w:rPr>
            </w:pPr>
          </w:p>
        </w:tc>
        <w:tc>
          <w:tcPr>
            <w:tcW w:w="8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0"/>
        </w:trPr>
        <w:tc>
          <w:tcPr>
            <w:tcW w:w="4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Energy</w:t>
            </w:r>
          </w:p>
        </w:tc>
        <w:tc>
          <w:tcPr>
            <w:tcW w:w="120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Energy</w:t>
            </w:r>
          </w:p>
        </w:tc>
        <w:tc>
          <w:tcPr>
            <w:tcW w:w="122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(in millions)</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Service cost </w:t>
            </w:r>
            <w:r>
              <w:rPr>
                <w:rFonts w:ascii="Arial" w:cs="Arial" w:eastAsia="Arial" w:hAnsi="Arial"/>
                <w:sz w:val="14"/>
                <w:szCs w:val="14"/>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9"/>
        </w:trPr>
        <w:tc>
          <w:tcPr>
            <w:tcW w:w="4120" w:type="dxa"/>
            <w:vAlign w:val="bottom"/>
          </w:tcPr>
          <w:p>
            <w:pPr>
              <w:ind w:left="20"/>
              <w:spacing w:after="0"/>
              <w:rPr>
                <w:sz w:val="20"/>
                <w:szCs w:val="20"/>
                <w:color w:val="auto"/>
              </w:rPr>
            </w:pPr>
            <w:r>
              <w:rPr>
                <w:rFonts w:ascii="Arial" w:cs="Arial" w:eastAsia="Arial" w:hAnsi="Arial"/>
                <w:sz w:val="18"/>
                <w:szCs w:val="18"/>
                <w:color w:val="auto"/>
              </w:rPr>
              <w:t xml:space="preserve">Interest cost </w:t>
            </w:r>
            <w:r>
              <w:rPr>
                <w:rFonts w:ascii="Arial" w:cs="Arial" w:eastAsia="Arial" w:hAnsi="Arial"/>
                <w:sz w:val="14"/>
                <w:szCs w:val="14"/>
                <w:color w:val="auto"/>
              </w:rPr>
              <w:t>(2)</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Expected return on plan assets </w:t>
            </w:r>
            <w:r>
              <w:rPr>
                <w:rFonts w:ascii="Arial" w:cs="Arial" w:eastAsia="Arial" w:hAnsi="Arial"/>
                <w:sz w:val="14"/>
                <w:szCs w:val="14"/>
                <w:color w:val="auto"/>
              </w:rPr>
              <w:t>(2)</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9"/>
        </w:trPr>
        <w:tc>
          <w:tcPr>
            <w:tcW w:w="4120" w:type="dxa"/>
            <w:vAlign w:val="bottom"/>
          </w:tcPr>
          <w:p>
            <w:pPr>
              <w:ind w:left="20"/>
              <w:spacing w:after="0"/>
              <w:rPr>
                <w:sz w:val="20"/>
                <w:szCs w:val="20"/>
                <w:color w:val="auto"/>
              </w:rPr>
            </w:pPr>
            <w:r>
              <w:rPr>
                <w:rFonts w:ascii="Arial" w:cs="Arial" w:eastAsia="Arial" w:hAnsi="Arial"/>
                <w:sz w:val="18"/>
                <w:szCs w:val="18"/>
                <w:color w:val="auto"/>
              </w:rPr>
              <w:t xml:space="preserve">Amortization of prior service credit </w:t>
            </w:r>
            <w:r>
              <w:rPr>
                <w:rFonts w:ascii="Arial" w:cs="Arial" w:eastAsia="Arial" w:hAnsi="Arial"/>
                <w:sz w:val="14"/>
                <w:szCs w:val="14"/>
                <w:color w:val="auto"/>
              </w:rPr>
              <w:t>(2)</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Amortization of net loss </w:t>
            </w:r>
            <w:r>
              <w:rPr>
                <w:rFonts w:ascii="Arial" w:cs="Arial" w:eastAsia="Arial" w:hAnsi="Arial"/>
                <w:sz w:val="14"/>
                <w:szCs w:val="14"/>
                <w:color w:val="auto"/>
              </w:rPr>
              <w:t>(2)</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4120" w:type="dxa"/>
            <w:vAlign w:val="bottom"/>
          </w:tcPr>
          <w:p>
            <w:pPr>
              <w:ind w:left="20"/>
              <w:spacing w:after="0"/>
              <w:rPr>
                <w:sz w:val="20"/>
                <w:szCs w:val="20"/>
                <w:color w:val="auto"/>
              </w:rPr>
            </w:pPr>
            <w:r>
              <w:rPr>
                <w:rFonts w:ascii="Arial" w:cs="Arial" w:eastAsia="Arial" w:hAnsi="Arial"/>
                <w:sz w:val="18"/>
                <w:szCs w:val="18"/>
                <w:color w:val="auto"/>
              </w:rPr>
              <w:t>Net periodic cost (benefit)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4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2"/>
              </w:rPr>
              <w:t>Nine Months Ended September 30,</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7" w:lineRule="exact"/>
              <w:rPr>
                <w:sz w:val="20"/>
                <w:szCs w:val="20"/>
                <w:color w:val="auto"/>
              </w:rPr>
            </w:pPr>
            <w:r>
              <w:rPr>
                <w:rFonts w:ascii="Arial" w:cs="Arial" w:eastAsia="Arial" w:hAnsi="Arial"/>
                <w:sz w:val="14"/>
                <w:szCs w:val="14"/>
                <w:b w:val="1"/>
                <w:bCs w:val="1"/>
                <w:color w:val="auto"/>
                <w:w w:val="90"/>
              </w:rPr>
              <w:t>CenterPoint</w:t>
            </w:r>
          </w:p>
        </w:tc>
        <w:tc>
          <w:tcPr>
            <w:tcW w:w="1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Houston Electric</w:t>
            </w:r>
          </w:p>
        </w:tc>
        <w:tc>
          <w:tcPr>
            <w:tcW w:w="220" w:type="dxa"/>
            <w:vAlign w:val="bottom"/>
          </w:tcPr>
          <w:p>
            <w:pPr>
              <w:spacing w:after="0"/>
              <w:rPr>
                <w:sz w:val="11"/>
                <w:szCs w:val="11"/>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CERC</w:t>
            </w:r>
          </w:p>
        </w:tc>
        <w:tc>
          <w:tcPr>
            <w:tcW w:w="140" w:type="dxa"/>
            <w:vAlign w:val="bottom"/>
          </w:tcPr>
          <w:p>
            <w:pPr>
              <w:spacing w:after="0"/>
              <w:rPr>
                <w:sz w:val="11"/>
                <w:szCs w:val="11"/>
                <w:color w:val="auto"/>
              </w:rPr>
            </w:pPr>
          </w:p>
        </w:tc>
        <w:tc>
          <w:tcPr>
            <w:tcW w:w="1060" w:type="dxa"/>
            <w:vAlign w:val="bottom"/>
            <w:gridSpan w:val="2"/>
          </w:tcPr>
          <w:p>
            <w:pPr>
              <w:jc w:val="center"/>
              <w:ind w:right="240"/>
              <w:spacing w:after="0" w:line="137" w:lineRule="exact"/>
              <w:rPr>
                <w:sz w:val="20"/>
                <w:szCs w:val="20"/>
                <w:color w:val="auto"/>
              </w:rPr>
            </w:pPr>
            <w:r>
              <w:rPr>
                <w:rFonts w:ascii="Arial" w:cs="Arial" w:eastAsia="Arial" w:hAnsi="Arial"/>
                <w:sz w:val="14"/>
                <w:szCs w:val="14"/>
                <w:b w:val="1"/>
                <w:bCs w:val="1"/>
                <w:color w:val="auto"/>
                <w:w w:val="93"/>
              </w:rPr>
              <w:t>CenterPoint</w:t>
            </w:r>
          </w:p>
        </w:tc>
        <w:tc>
          <w:tcPr>
            <w:tcW w:w="12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Houston Electric</w:t>
            </w:r>
          </w:p>
        </w:tc>
        <w:tc>
          <w:tcPr>
            <w:tcW w:w="220" w:type="dxa"/>
            <w:vAlign w:val="bottom"/>
          </w:tcPr>
          <w:p>
            <w:pPr>
              <w:spacing w:after="0"/>
              <w:rPr>
                <w:sz w:val="11"/>
                <w:szCs w:val="11"/>
                <w:color w:val="auto"/>
              </w:rPr>
            </w:pPr>
          </w:p>
        </w:tc>
        <w:tc>
          <w:tcPr>
            <w:tcW w:w="8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0"/>
        </w:trPr>
        <w:tc>
          <w:tcPr>
            <w:tcW w:w="4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Energy</w:t>
            </w:r>
          </w:p>
        </w:tc>
        <w:tc>
          <w:tcPr>
            <w:tcW w:w="120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Energy</w:t>
            </w:r>
          </w:p>
        </w:tc>
        <w:tc>
          <w:tcPr>
            <w:tcW w:w="122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(in millions)</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Service cost </w:t>
            </w:r>
            <w:r>
              <w:rPr>
                <w:rFonts w:ascii="Arial" w:cs="Arial" w:eastAsia="Arial" w:hAnsi="Arial"/>
                <w:sz w:val="14"/>
                <w:szCs w:val="14"/>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9"/>
        </w:trPr>
        <w:tc>
          <w:tcPr>
            <w:tcW w:w="4120" w:type="dxa"/>
            <w:vAlign w:val="bottom"/>
          </w:tcPr>
          <w:p>
            <w:pPr>
              <w:ind w:left="20"/>
              <w:spacing w:after="0"/>
              <w:rPr>
                <w:sz w:val="20"/>
                <w:szCs w:val="20"/>
                <w:color w:val="auto"/>
              </w:rPr>
            </w:pPr>
            <w:r>
              <w:rPr>
                <w:rFonts w:ascii="Arial" w:cs="Arial" w:eastAsia="Arial" w:hAnsi="Arial"/>
                <w:sz w:val="18"/>
                <w:szCs w:val="18"/>
                <w:color w:val="auto"/>
              </w:rPr>
              <w:t xml:space="preserve">Interest cost </w:t>
            </w:r>
            <w:r>
              <w:rPr>
                <w:rFonts w:ascii="Arial" w:cs="Arial" w:eastAsia="Arial" w:hAnsi="Arial"/>
                <w:sz w:val="14"/>
                <w:szCs w:val="14"/>
                <w:color w:val="auto"/>
              </w:rPr>
              <w:t>(2)</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Expected return on plan assets </w:t>
            </w:r>
            <w:r>
              <w:rPr>
                <w:rFonts w:ascii="Arial" w:cs="Arial" w:eastAsia="Arial" w:hAnsi="Arial"/>
                <w:sz w:val="14"/>
                <w:szCs w:val="14"/>
                <w:color w:val="auto"/>
              </w:rPr>
              <w:t>(2)</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9"/>
        </w:trPr>
        <w:tc>
          <w:tcPr>
            <w:tcW w:w="4120" w:type="dxa"/>
            <w:vAlign w:val="bottom"/>
          </w:tcPr>
          <w:p>
            <w:pPr>
              <w:ind w:left="20"/>
              <w:spacing w:after="0"/>
              <w:rPr>
                <w:sz w:val="20"/>
                <w:szCs w:val="20"/>
                <w:color w:val="auto"/>
              </w:rPr>
            </w:pPr>
            <w:r>
              <w:rPr>
                <w:rFonts w:ascii="Arial" w:cs="Arial" w:eastAsia="Arial" w:hAnsi="Arial"/>
                <w:sz w:val="18"/>
                <w:szCs w:val="18"/>
                <w:color w:val="auto"/>
              </w:rPr>
              <w:t xml:space="preserve">Amortization of prior service cost (credit) </w:t>
            </w:r>
            <w:r>
              <w:rPr>
                <w:rFonts w:ascii="Arial" w:cs="Arial" w:eastAsia="Arial" w:hAnsi="Arial"/>
                <w:sz w:val="14"/>
                <w:szCs w:val="14"/>
                <w:color w:val="auto"/>
              </w:rPr>
              <w:t>(2)</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Amortization of net loss </w:t>
            </w:r>
            <w:r>
              <w:rPr>
                <w:rFonts w:ascii="Arial" w:cs="Arial" w:eastAsia="Arial" w:hAnsi="Arial"/>
                <w:sz w:val="14"/>
                <w:szCs w:val="14"/>
                <w:color w:val="auto"/>
              </w:rPr>
              <w:t>(2)</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0"/>
        </w:trPr>
        <w:tc>
          <w:tcPr>
            <w:tcW w:w="4120" w:type="dxa"/>
            <w:vAlign w:val="bottom"/>
          </w:tcPr>
          <w:p>
            <w:pPr>
              <w:ind w:left="20"/>
              <w:spacing w:after="0"/>
              <w:rPr>
                <w:sz w:val="20"/>
                <w:szCs w:val="20"/>
                <w:color w:val="auto"/>
              </w:rPr>
            </w:pPr>
            <w:r>
              <w:rPr>
                <w:rFonts w:ascii="Arial" w:cs="Arial" w:eastAsia="Arial" w:hAnsi="Arial"/>
                <w:sz w:val="18"/>
                <w:szCs w:val="18"/>
                <w:color w:val="auto"/>
              </w:rPr>
              <w:t>Net periodic cost (benefit)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20" w:type="dxa"/>
            <w:vAlign w:val="bottom"/>
          </w:tcPr>
          <w:p>
            <w:pPr>
              <w:jc w:val="right"/>
              <w:ind w:right="37"/>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7"/>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ind w:left="640" w:hanging="315"/>
        <w:spacing w:after="0" w:line="253" w:lineRule="auto"/>
        <w:tabs>
          <w:tab w:leader="none" w:pos="63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Amounts presented in the tables above are included in Operation and maintenance expense in each of the Registrants’ respective Condensed Statements of Consolidated Income, net of amounts capitalized and regulatory deferrals.</w:t>
      </w:r>
    </w:p>
    <w:p>
      <w:pPr>
        <w:ind w:left="640" w:hanging="315"/>
        <w:spacing w:after="0" w:line="253" w:lineRule="auto"/>
        <w:tabs>
          <w:tab w:leader="none" w:pos="63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Amounts presented in the tables above are included in Other income (expense), net in each of the Registrants’ respective Condensed Statements of Consolidated Income, net of regulatory deferrals.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reflects the expected contributions to be made to the pension and postretirement benefit plans during 2023:</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57"/>
              <w:spacing w:after="0"/>
              <w:rPr>
                <w:sz w:val="20"/>
                <w:szCs w:val="20"/>
                <w:color w:val="auto"/>
              </w:rPr>
            </w:pPr>
            <w:r>
              <w:rPr>
                <w:rFonts w:ascii="Arial" w:cs="Arial" w:eastAsia="Arial" w:hAnsi="Arial"/>
                <w:sz w:val="14"/>
                <w:szCs w:val="14"/>
                <w:b w:val="1"/>
                <w:bCs w:val="1"/>
                <w:color w:val="auto"/>
                <w:w w:val="91"/>
              </w:rPr>
              <w:t>CenterPoint Energy</w:t>
            </w:r>
          </w:p>
        </w:tc>
        <w:tc>
          <w:tcPr>
            <w:tcW w:w="240" w:type="dxa"/>
            <w:vAlign w:val="bottom"/>
          </w:tcPr>
          <w:p>
            <w:pPr>
              <w:spacing w:after="0"/>
              <w:rPr>
                <w:sz w:val="16"/>
                <w:szCs w:val="16"/>
                <w:color w:val="auto"/>
              </w:rPr>
            </w:pPr>
          </w:p>
        </w:tc>
        <w:tc>
          <w:tcPr>
            <w:tcW w:w="1700" w:type="dxa"/>
            <w:vAlign w:val="bottom"/>
          </w:tcPr>
          <w:p>
            <w:pPr>
              <w:jc w:val="center"/>
              <w:ind w:right="480"/>
              <w:spacing w:after="0"/>
              <w:rPr>
                <w:sz w:val="20"/>
                <w:szCs w:val="20"/>
                <w:color w:val="auto"/>
              </w:rPr>
            </w:pPr>
            <w:r>
              <w:rPr>
                <w:rFonts w:ascii="Arial" w:cs="Arial" w:eastAsia="Arial" w:hAnsi="Arial"/>
                <w:sz w:val="14"/>
                <w:szCs w:val="14"/>
                <w:b w:val="1"/>
                <w:bCs w:val="1"/>
                <w:color w:val="auto"/>
                <w:w w:val="91"/>
              </w:rPr>
              <w:t>Houston Electric</w:t>
            </w:r>
          </w:p>
        </w:tc>
        <w:tc>
          <w:tcPr>
            <w:tcW w:w="1120" w:type="dxa"/>
            <w:vAlign w:val="bottom"/>
          </w:tcPr>
          <w:p>
            <w:pPr>
              <w:jc w:val="right"/>
              <w:ind w:right="437"/>
              <w:spacing w:after="0"/>
              <w:rPr>
                <w:sz w:val="20"/>
                <w:szCs w:val="20"/>
                <w:color w:val="auto"/>
              </w:rPr>
            </w:pPr>
            <w:r>
              <w:rPr>
                <w:rFonts w:ascii="Arial" w:cs="Arial" w:eastAsia="Arial" w:hAnsi="Arial"/>
                <w:sz w:val="14"/>
                <w:szCs w:val="14"/>
                <w:b w:val="1"/>
                <w:bCs w:val="1"/>
                <w:color w:val="auto"/>
              </w:rPr>
              <w:t>CERC</w:t>
            </w:r>
          </w:p>
        </w:tc>
      </w:tr>
      <w:tr>
        <w:trPr>
          <w:trHeight w:val="24"/>
        </w:trPr>
        <w:tc>
          <w:tcPr>
            <w:tcW w:w="67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5"/>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center"/>
              <w:ind w:right="500"/>
              <w:spacing w:after="0"/>
              <w:rPr>
                <w:sz w:val="20"/>
                <w:szCs w:val="20"/>
                <w:color w:val="auto"/>
              </w:rPr>
            </w:pPr>
            <w:r>
              <w:rPr>
                <w:rFonts w:ascii="Arial" w:cs="Arial" w:eastAsia="Arial" w:hAnsi="Arial"/>
                <w:sz w:val="14"/>
                <w:szCs w:val="14"/>
                <w:b w:val="1"/>
                <w:bCs w:val="1"/>
                <w:color w:val="auto"/>
                <w:w w:val="91"/>
              </w:rPr>
              <w:t>(in millions)</w:t>
            </w:r>
          </w:p>
        </w:tc>
        <w:tc>
          <w:tcPr>
            <w:tcW w:w="1120" w:type="dxa"/>
            <w:vAlign w:val="bottom"/>
          </w:tcPr>
          <w:p>
            <w:pPr>
              <w:spacing w:after="0"/>
              <w:rPr>
                <w:sz w:val="16"/>
                <w:szCs w:val="16"/>
                <w:color w:val="auto"/>
              </w:rPr>
            </w:pPr>
          </w:p>
        </w:tc>
      </w:tr>
      <w:tr>
        <w:trPr>
          <w:trHeight w:val="234"/>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contribution to pension plans during 2023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Expected contribution to postretirement benefit plans in 2023</w:t>
            </w:r>
          </w:p>
        </w:tc>
        <w:tc>
          <w:tcPr>
            <w:tcW w:w="100" w:type="dxa"/>
            <w:vAlign w:val="bottom"/>
          </w:tcPr>
          <w:p>
            <w:pPr>
              <w:spacing w:after="0"/>
              <w:rPr>
                <w:sz w:val="19"/>
                <w:szCs w:val="19"/>
                <w:color w:val="auto"/>
              </w:rPr>
            </w:pP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1700" w:type="dxa"/>
            <w:vAlign w:val="bottom"/>
          </w:tcPr>
          <w:p>
            <w:pPr>
              <w:jc w:val="right"/>
              <w:ind w:right="420"/>
              <w:spacing w:after="0"/>
              <w:rPr>
                <w:sz w:val="20"/>
                <w:szCs w:val="20"/>
                <w:color w:val="auto"/>
              </w:rPr>
            </w:pPr>
            <w:r>
              <w:rPr>
                <w:rFonts w:ascii="Arial" w:cs="Arial" w:eastAsia="Arial" w:hAnsi="Arial"/>
                <w:sz w:val="18"/>
                <w:szCs w:val="18"/>
                <w:color w:val="auto"/>
              </w:rPr>
              <w:t>1</w:t>
            </w: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reflects the contributions made to the pension and postretirement benefit plans: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Three Months Ended September 30, 2023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80" w:type="dxa"/>
            <w:vAlign w:val="bottom"/>
            <w:gridSpan w:val="3"/>
          </w:tcPr>
          <w:p>
            <w:pPr>
              <w:jc w:val="center"/>
              <w:ind w:left="177"/>
              <w:spacing w:after="0"/>
              <w:rPr>
                <w:sz w:val="20"/>
                <w:szCs w:val="20"/>
                <w:color w:val="auto"/>
              </w:rPr>
            </w:pPr>
            <w:r>
              <w:rPr>
                <w:rFonts w:ascii="Arial" w:cs="Arial" w:eastAsia="Arial" w:hAnsi="Arial"/>
                <w:sz w:val="14"/>
                <w:szCs w:val="14"/>
                <w:b w:val="1"/>
                <w:bCs w:val="1"/>
                <w:color w:val="auto"/>
                <w:w w:val="91"/>
              </w:rPr>
              <w:t>Nine Months Ended September 30, 2023</w:t>
            </w:r>
          </w:p>
        </w:tc>
        <w:tc>
          <w:tcPr>
            <w:tcW w:w="860" w:type="dxa"/>
            <w:vAlign w:val="bottom"/>
          </w:tcPr>
          <w:p>
            <w:pPr>
              <w:spacing w:after="0"/>
              <w:rPr>
                <w:sz w:val="16"/>
                <w:szCs w:val="16"/>
                <w:color w:val="auto"/>
              </w:rPr>
            </w:pPr>
          </w:p>
        </w:tc>
      </w:tr>
      <w:tr>
        <w:trPr>
          <w:trHeight w:val="24"/>
        </w:trPr>
        <w:tc>
          <w:tcPr>
            <w:tcW w:w="28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6"/>
        </w:trPr>
        <w:tc>
          <w:tcPr>
            <w:tcW w:w="2880" w:type="dxa"/>
            <w:vAlign w:val="bottom"/>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CenterPoint Energy</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Houston Electric</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CERC</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CenterPoint Energy</w:t>
            </w: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577"/>
              <w:spacing w:after="0"/>
              <w:rPr>
                <w:sz w:val="20"/>
                <w:szCs w:val="20"/>
                <w:color w:val="auto"/>
              </w:rPr>
            </w:pPr>
            <w:r>
              <w:rPr>
                <w:rFonts w:ascii="Arial" w:cs="Arial" w:eastAsia="Arial" w:hAnsi="Arial"/>
                <w:sz w:val="14"/>
                <w:szCs w:val="14"/>
                <w:b w:val="1"/>
                <w:bCs w:val="1"/>
                <w:color w:val="auto"/>
                <w:w w:val="91"/>
              </w:rPr>
              <w:t>Houston Electric</w:t>
            </w:r>
          </w:p>
        </w:tc>
        <w:tc>
          <w:tcPr>
            <w:tcW w:w="8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CERC</w:t>
            </w:r>
          </w:p>
        </w:tc>
      </w:tr>
      <w:tr>
        <w:trPr>
          <w:trHeight w:val="192"/>
        </w:trPr>
        <w:tc>
          <w:tcPr>
            <w:tcW w:w="2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9"/>
              </w:rPr>
              <w:t>(in millions)</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47"/>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Pension plans </w:t>
            </w:r>
            <w:r>
              <w:rPr>
                <w:rFonts w:ascii="Arial" w:cs="Arial" w:eastAsia="Arial" w:hAnsi="Arial"/>
                <w:sz w:val="14"/>
                <w:szCs w:val="14"/>
                <w:color w:val="auto"/>
              </w:rPr>
              <w:t>(1)</w:t>
            </w:r>
          </w:p>
        </w:tc>
        <w:tc>
          <w:tcPr>
            <w:tcW w:w="460" w:type="dxa"/>
            <w:vAlign w:val="bottom"/>
            <w:shd w:val="clear" w:color="auto" w:fill="CCEEFF"/>
          </w:tcPr>
          <w:p>
            <w:pPr>
              <w:jc w:val="right"/>
              <w:ind w:right="28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40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  $</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2880" w:type="dxa"/>
            <w:vAlign w:val="bottom"/>
          </w:tcPr>
          <w:p>
            <w:pPr>
              <w:ind w:left="20"/>
              <w:spacing w:after="0"/>
              <w:rPr>
                <w:sz w:val="20"/>
                <w:szCs w:val="20"/>
                <w:color w:val="auto"/>
              </w:rPr>
            </w:pPr>
            <w:r>
              <w:rPr>
                <w:rFonts w:ascii="Arial" w:cs="Arial" w:eastAsia="Arial" w:hAnsi="Arial"/>
                <w:sz w:val="18"/>
                <w:szCs w:val="18"/>
                <w:color w:val="auto"/>
              </w:rPr>
              <w:t>Postretirement benefit plans</w:t>
            </w:r>
          </w:p>
        </w:tc>
        <w:tc>
          <w:tcPr>
            <w:tcW w:w="460" w:type="dxa"/>
            <w:vAlign w:val="bottom"/>
          </w:tcPr>
          <w:p>
            <w:pPr>
              <w:spacing w:after="0"/>
              <w:rPr>
                <w:sz w:val="19"/>
                <w:szCs w:val="19"/>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720" w:type="dxa"/>
            <w:vAlign w:val="bottom"/>
          </w:tcPr>
          <w:p>
            <w:pPr>
              <w:ind w:left="9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162" w:lineRule="exact"/>
        <w:rPr>
          <w:sz w:val="20"/>
          <w:szCs w:val="20"/>
          <w:color w:val="auto"/>
        </w:rPr>
      </w:pPr>
    </w:p>
    <w:p>
      <w:pPr>
        <w:ind w:left="640" w:hanging="315"/>
        <w:spacing w:after="0"/>
        <w:tabs>
          <w:tab w:leader="none" w:pos="6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discretionary contribution in the amount of $24 million was made in September 2023.</w:t>
      </w:r>
    </w:p>
    <w:p>
      <w:pPr>
        <w:spacing w:after="0" w:line="239" w:lineRule="exact"/>
        <w:rPr>
          <w:rFonts w:ascii="Arial" w:cs="Arial" w:eastAsia="Arial" w:hAnsi="Arial"/>
          <w:sz w:val="18"/>
          <w:szCs w:val="18"/>
          <w:color w:val="auto"/>
        </w:rPr>
      </w:pPr>
    </w:p>
    <w:p>
      <w:pPr>
        <w:ind w:left="260" w:hanging="254"/>
        <w:spacing w:after="0"/>
        <w:tabs>
          <w:tab w:leader="none" w:pos="2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Matters</w:t>
      </w:r>
    </w:p>
    <w:p>
      <w:pPr>
        <w:spacing w:after="0" w:line="25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Equity Return</w:t>
      </w:r>
    </w:p>
    <w:p>
      <w:pPr>
        <w:spacing w:after="0" w:line="245"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The Registrants are at times allowed by a regulator to defer an equity return as part of the recoverable carrying costs of a regulatory asset. A deferred equity return is capitalized for rate-making purposes, but it is not included in the Registrant’s regulatory assets on its Condensed Consolidated Balance Sheets. The allowed equity return is recognized in the Condensed Statements of Consolidated Income as it is recovered in rates. The recoverable allowed equity return not yet recognized by the Registrants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September 30, 2023</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 2022</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4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46"/>
              <w:spacing w:after="0" w:line="153" w:lineRule="exact"/>
              <w:rPr>
                <w:sz w:val="20"/>
                <w:szCs w:val="20"/>
                <w:color w:val="auto"/>
              </w:rPr>
            </w:pPr>
            <w:r>
              <w:rPr>
                <w:rFonts w:ascii="Arial" w:cs="Arial" w:eastAsia="Arial" w:hAnsi="Arial"/>
                <w:sz w:val="14"/>
                <w:szCs w:val="14"/>
                <w:b w:val="1"/>
                <w:bCs w:val="1"/>
                <w:color w:val="auto"/>
                <w:w w:val="90"/>
              </w:rPr>
              <w:t>CenterPoint</w:t>
            </w:r>
          </w:p>
        </w:tc>
        <w:tc>
          <w:tcPr>
            <w:tcW w:w="13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1"/>
              </w:rPr>
              <w:t>Houston Electric</w:t>
            </w:r>
          </w:p>
        </w:tc>
        <w:tc>
          <w:tcPr>
            <w:tcW w:w="200" w:type="dxa"/>
            <w:vAlign w:val="bottom"/>
          </w:tcPr>
          <w:p>
            <w:pPr>
              <w:spacing w:after="0"/>
              <w:rPr>
                <w:sz w:val="13"/>
                <w:szCs w:val="13"/>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 xml:space="preserve">CERC </w:t>
            </w:r>
            <w:r>
              <w:rPr>
                <w:rFonts w:ascii="Arial" w:cs="Arial" w:eastAsia="Arial" w:hAnsi="Arial"/>
                <w:sz w:val="10"/>
                <w:szCs w:val="10"/>
                <w:b w:val="1"/>
                <w:bCs w:val="1"/>
                <w:color w:val="auto"/>
              </w:rPr>
              <w:t>(3)</w:t>
            </w:r>
          </w:p>
        </w:tc>
        <w:tc>
          <w:tcPr>
            <w:tcW w:w="140" w:type="dxa"/>
            <w:vAlign w:val="bottom"/>
          </w:tcPr>
          <w:p>
            <w:pPr>
              <w:spacing w:after="0"/>
              <w:rPr>
                <w:sz w:val="13"/>
                <w:szCs w:val="13"/>
                <w:color w:val="auto"/>
              </w:rPr>
            </w:pPr>
          </w:p>
        </w:tc>
        <w:tc>
          <w:tcPr>
            <w:tcW w:w="960" w:type="dxa"/>
            <w:vAlign w:val="bottom"/>
          </w:tcPr>
          <w:p>
            <w:pPr>
              <w:jc w:val="center"/>
              <w:ind w:right="66"/>
              <w:spacing w:after="0" w:line="153" w:lineRule="exact"/>
              <w:rPr>
                <w:sz w:val="20"/>
                <w:szCs w:val="20"/>
                <w:color w:val="auto"/>
              </w:rPr>
            </w:pPr>
            <w:r>
              <w:rPr>
                <w:rFonts w:ascii="Arial" w:cs="Arial" w:eastAsia="Arial" w:hAnsi="Arial"/>
                <w:sz w:val="14"/>
                <w:szCs w:val="14"/>
                <w:b w:val="1"/>
                <w:bCs w:val="1"/>
                <w:color w:val="auto"/>
                <w:w w:val="93"/>
              </w:rPr>
              <w:t>CenterPoint</w:t>
            </w:r>
          </w:p>
        </w:tc>
        <w:tc>
          <w:tcPr>
            <w:tcW w:w="12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1"/>
              </w:rPr>
              <w:t>Houston Electric</w:t>
            </w:r>
          </w:p>
        </w:tc>
        <w:tc>
          <w:tcPr>
            <w:tcW w:w="220" w:type="dxa"/>
            <w:vAlign w:val="bottom"/>
          </w:tcPr>
          <w:p>
            <w:pPr>
              <w:spacing w:after="0"/>
              <w:rPr>
                <w:sz w:val="13"/>
                <w:szCs w:val="13"/>
                <w:color w:val="auto"/>
              </w:rPr>
            </w:pPr>
          </w:p>
        </w:tc>
        <w:tc>
          <w:tcPr>
            <w:tcW w:w="900" w:type="dxa"/>
            <w:vAlign w:val="bottom"/>
            <w:vMerge w:val="restart"/>
          </w:tcPr>
          <w:p>
            <w:pPr>
              <w:jc w:val="right"/>
              <w:ind w:right="185"/>
              <w:spacing w:after="0"/>
              <w:rPr>
                <w:sz w:val="20"/>
                <w:szCs w:val="20"/>
                <w:color w:val="auto"/>
              </w:rPr>
            </w:pPr>
            <w:r>
              <w:rPr>
                <w:rFonts w:ascii="Arial" w:cs="Arial" w:eastAsia="Arial" w:hAnsi="Arial"/>
                <w:sz w:val="14"/>
                <w:szCs w:val="14"/>
                <w:b w:val="1"/>
                <w:bCs w:val="1"/>
                <w:color w:val="auto"/>
              </w:rPr>
              <w:t xml:space="preserve">CERC </w:t>
            </w:r>
            <w:r>
              <w:rPr>
                <w:rFonts w:ascii="Arial" w:cs="Arial" w:eastAsia="Arial" w:hAnsi="Arial"/>
                <w:sz w:val="10"/>
                <w:szCs w:val="10"/>
                <w:b w:val="1"/>
                <w:bCs w:val="1"/>
                <w:color w:val="auto"/>
              </w:rPr>
              <w:t>(3)</w:t>
            </w: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46"/>
              <w:spacing w:after="0"/>
              <w:rPr>
                <w:sz w:val="20"/>
                <w:szCs w:val="20"/>
                <w:color w:val="auto"/>
              </w:rPr>
            </w:pPr>
            <w:r>
              <w:rPr>
                <w:rFonts w:ascii="Arial" w:cs="Arial" w:eastAsia="Arial" w:hAnsi="Arial"/>
                <w:sz w:val="14"/>
                <w:szCs w:val="14"/>
                <w:b w:val="1"/>
                <w:bCs w:val="1"/>
                <w:color w:val="auto"/>
                <w:w w:val="94"/>
              </w:rPr>
              <w:t xml:space="preserve">Energy </w:t>
            </w:r>
            <w:r>
              <w:rPr>
                <w:rFonts w:ascii="Arial" w:cs="Arial" w:eastAsia="Arial" w:hAnsi="Arial"/>
                <w:sz w:val="10"/>
                <w:szCs w:val="10"/>
                <w:b w:val="1"/>
                <w:bCs w:val="1"/>
                <w:color w:val="auto"/>
                <w:w w:val="94"/>
              </w:rPr>
              <w:t>(1)</w:t>
            </w: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14"/>
              <w:spacing w:after="0"/>
              <w:rPr>
                <w:sz w:val="20"/>
                <w:szCs w:val="20"/>
                <w:color w:val="auto"/>
              </w:rPr>
            </w:pPr>
            <w:r>
              <w:rPr>
                <w:rFonts w:ascii="Arial" w:cs="Arial" w:eastAsia="Arial" w:hAnsi="Arial"/>
                <w:sz w:val="11"/>
                <w:szCs w:val="11"/>
                <w:b w:val="1"/>
                <w:bCs w:val="1"/>
                <w:color w:val="auto"/>
                <w:w w:val="88"/>
              </w:rPr>
              <w:t>(2)</w:t>
            </w: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w w:val="94"/>
              </w:rPr>
              <w:t xml:space="preserve">Energy </w:t>
            </w:r>
            <w:r>
              <w:rPr>
                <w:rFonts w:ascii="Arial" w:cs="Arial" w:eastAsia="Arial" w:hAnsi="Arial"/>
                <w:sz w:val="10"/>
                <w:szCs w:val="10"/>
                <w:b w:val="1"/>
                <w:bCs w:val="1"/>
                <w:color w:val="auto"/>
                <w:w w:val="94"/>
              </w:rPr>
              <w:t>(1)</w:t>
            </w: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294"/>
              <w:spacing w:after="0"/>
              <w:rPr>
                <w:sz w:val="20"/>
                <w:szCs w:val="20"/>
                <w:color w:val="auto"/>
              </w:rPr>
            </w:pPr>
            <w:r>
              <w:rPr>
                <w:rFonts w:ascii="Arial" w:cs="Arial" w:eastAsia="Arial" w:hAnsi="Arial"/>
                <w:sz w:val="11"/>
                <w:szCs w:val="11"/>
                <w:b w:val="1"/>
                <w:bCs w:val="1"/>
                <w:color w:val="auto"/>
                <w:w w:val="88"/>
              </w:rPr>
              <w:t>(2)</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4"/>
          </w:tcPr>
          <w:p>
            <w:pPr>
              <w:jc w:val="right"/>
              <w:ind w:right="726"/>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Allowed equity return not recognized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400" w:type="dxa"/>
            <w:vAlign w:val="bottom"/>
            <w:shd w:val="clear" w:color="auto" w:fill="CCEEFF"/>
          </w:tcPr>
          <w:p>
            <w:pPr>
              <w:jc w:val="right"/>
              <w:ind w:right="106"/>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94"/>
              <w:spacing w:after="0"/>
              <w:rPr>
                <w:sz w:val="20"/>
                <w:szCs w:val="20"/>
                <w:color w:val="auto"/>
              </w:rPr>
            </w:pPr>
            <w:r>
              <w:rPr>
                <w:rFonts w:ascii="Arial" w:cs="Arial" w:eastAsia="Arial" w:hAnsi="Arial"/>
                <w:sz w:val="16"/>
                <w:szCs w:val="16"/>
                <w:color w:val="auto"/>
              </w:rPr>
              <w:t>81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188</w:t>
            </w:r>
          </w:p>
        </w:tc>
        <w:tc>
          <w:tcPr>
            <w:tcW w:w="40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6"/>
                <w:szCs w:val="16"/>
                <w:color w:val="auto"/>
              </w:rPr>
              <w:t>82</w:t>
            </w:r>
          </w:p>
        </w:tc>
        <w:tc>
          <w:tcPr>
            <w:tcW w:w="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bl>
    <w:p>
      <w:pPr>
        <w:spacing w:after="0" w:line="320" w:lineRule="exact"/>
        <w:rPr>
          <w:sz w:val="20"/>
          <w:szCs w:val="20"/>
          <w:color w:val="auto"/>
        </w:rPr>
      </w:pPr>
    </w:p>
    <w:p>
      <w:pPr>
        <w:jc w:val="both"/>
        <w:ind w:left="640" w:hanging="315"/>
        <w:spacing w:after="0" w:line="250" w:lineRule="auto"/>
        <w:tabs>
          <w:tab w:leader="none" w:pos="6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addition to the amounts described in (2) and (3) below, represents CenterPoint Energy’s allowed equity return on post in-service carrying cost, including investments at SIGECO and securitized qualified costs associated with the completed retirements of SIGECO’s A.B. Brown coal-fired generation facilities.</w:t>
      </w:r>
    </w:p>
    <w:p>
      <w:pPr>
        <w:spacing w:after="0" w:line="2" w:lineRule="exact"/>
        <w:rPr>
          <w:rFonts w:ascii="Arial" w:cs="Arial" w:eastAsia="Arial" w:hAnsi="Arial"/>
          <w:sz w:val="18"/>
          <w:szCs w:val="18"/>
          <w:color w:val="auto"/>
        </w:rPr>
      </w:pPr>
    </w:p>
    <w:p>
      <w:pPr>
        <w:jc w:val="both"/>
        <w:ind w:left="640" w:hanging="315"/>
        <w:spacing w:after="0" w:line="246" w:lineRule="auto"/>
        <w:tabs>
          <w:tab w:leader="none" w:pos="6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Houston Electric’s allowed equity return on its true-up balance of stranded costs, other changes and related interest resulting from the formerly integrated electric utilities prior to Texas deregulation to be recovered in rates through 2024 and certain storm restoration, TEEEF and LLTF balances.</w:t>
      </w:r>
    </w:p>
    <w:p>
      <w:pPr>
        <w:spacing w:after="0" w:line="1" w:lineRule="exact"/>
        <w:rPr>
          <w:rFonts w:ascii="Arial" w:cs="Arial" w:eastAsia="Arial" w:hAnsi="Arial"/>
          <w:sz w:val="18"/>
          <w:szCs w:val="18"/>
          <w:color w:val="auto"/>
        </w:rPr>
      </w:pPr>
    </w:p>
    <w:p>
      <w:pPr>
        <w:ind w:left="640" w:hanging="315"/>
        <w:spacing w:after="0" w:line="253" w:lineRule="auto"/>
        <w:tabs>
          <w:tab w:leader="none" w:pos="6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CERC’s allowed equity return on post in-service carrying cost associated with certain distribution facilities replacements expenditures in Texas and costs associated with investments in Indiana.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table below reflects the amount of allowed equity return recognized by each Registrant in its Condensed Statements of Consolidated Income: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3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Three Months Ended September 30,</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2023</w:t>
            </w:r>
          </w:p>
        </w:tc>
        <w:tc>
          <w:tcPr>
            <w:tcW w:w="8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245"/>
              <w:spacing w:after="0"/>
              <w:rPr>
                <w:sz w:val="20"/>
                <w:szCs w:val="20"/>
                <w:color w:val="auto"/>
              </w:rPr>
            </w:pPr>
            <w:r>
              <w:rPr>
                <w:rFonts w:ascii="Arial" w:cs="Arial" w:eastAsia="Arial" w:hAnsi="Arial"/>
                <w:sz w:val="14"/>
                <w:szCs w:val="14"/>
                <w:b w:val="1"/>
                <w:bCs w:val="1"/>
                <w:color w:val="auto"/>
                <w:w w:val="89"/>
              </w:rPr>
              <w:t>2022</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86"/>
              <w:spacing w:after="0" w:line="137" w:lineRule="exact"/>
              <w:rPr>
                <w:sz w:val="20"/>
                <w:szCs w:val="20"/>
                <w:color w:val="auto"/>
              </w:rPr>
            </w:pPr>
            <w:r>
              <w:rPr>
                <w:rFonts w:ascii="Arial" w:cs="Arial" w:eastAsia="Arial" w:hAnsi="Arial"/>
                <w:sz w:val="14"/>
                <w:szCs w:val="14"/>
                <w:b w:val="1"/>
                <w:bCs w:val="1"/>
                <w:color w:val="auto"/>
                <w:w w:val="90"/>
              </w:rPr>
              <w:t>CenterPoint</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97"/>
              </w:rPr>
              <w:t>Houston Electric</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CERC</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86"/>
              <w:spacing w:after="0" w:line="137" w:lineRule="exact"/>
              <w:rPr>
                <w:sz w:val="20"/>
                <w:szCs w:val="20"/>
                <w:color w:val="auto"/>
              </w:rPr>
            </w:pPr>
            <w:r>
              <w:rPr>
                <w:rFonts w:ascii="Arial" w:cs="Arial" w:eastAsia="Arial" w:hAnsi="Arial"/>
                <w:sz w:val="14"/>
                <w:szCs w:val="14"/>
                <w:b w:val="1"/>
                <w:bCs w:val="1"/>
                <w:color w:val="auto"/>
                <w:w w:val="93"/>
              </w:rPr>
              <w:t>CenterPoint</w:t>
            </w:r>
          </w:p>
        </w:tc>
        <w:tc>
          <w:tcPr>
            <w:tcW w:w="12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Houston Electric</w:t>
            </w:r>
          </w:p>
        </w:tc>
        <w:tc>
          <w:tcPr>
            <w:tcW w:w="300" w:type="dxa"/>
            <w:vAlign w:val="bottom"/>
          </w:tcPr>
          <w:p>
            <w:pPr>
              <w:spacing w:after="0"/>
              <w:rPr>
                <w:sz w:val="11"/>
                <w:szCs w:val="11"/>
                <w:color w:val="auto"/>
              </w:rPr>
            </w:pPr>
          </w:p>
        </w:tc>
        <w:tc>
          <w:tcPr>
            <w:tcW w:w="860" w:type="dxa"/>
            <w:vAlign w:val="bottom"/>
            <w:vMerge w:val="restart"/>
          </w:tcPr>
          <w:p>
            <w:pPr>
              <w:jc w:val="right"/>
              <w:ind w:right="265"/>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0"/>
        </w:trPr>
        <w:tc>
          <w:tcPr>
            <w:tcW w:w="4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w w:val="92"/>
              </w:rPr>
              <w:t>Energy</w:t>
            </w:r>
          </w:p>
        </w:tc>
        <w:tc>
          <w:tcPr>
            <w:tcW w:w="1220" w:type="dxa"/>
            <w:vAlign w:val="bottom"/>
            <w:tcBorders>
              <w:bottom w:val="single" w:sz="8" w:color="auto"/>
            </w:tcBorders>
            <w:gridSpan w:val="2"/>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6"/>
              <w:spacing w:after="0"/>
              <w:rPr>
                <w:sz w:val="20"/>
                <w:szCs w:val="20"/>
                <w:color w:val="auto"/>
              </w:rPr>
            </w:pPr>
            <w:r>
              <w:rPr>
                <w:rFonts w:ascii="Arial" w:cs="Arial" w:eastAsia="Arial" w:hAnsi="Arial"/>
                <w:sz w:val="14"/>
                <w:szCs w:val="14"/>
                <w:b w:val="1"/>
                <w:bCs w:val="1"/>
                <w:color w:val="auto"/>
                <w:w w:val="92"/>
              </w:rPr>
              <w:t>Energy</w:t>
            </w:r>
          </w:p>
        </w:tc>
        <w:tc>
          <w:tcPr>
            <w:tcW w:w="122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60" w:type="dxa"/>
            <w:vAlign w:val="bottom"/>
            <w:gridSpan w:val="4"/>
          </w:tcPr>
          <w:p>
            <w:pPr>
              <w:jc w:val="center"/>
              <w:ind w:right="726"/>
              <w:spacing w:after="0"/>
              <w:rPr>
                <w:sz w:val="20"/>
                <w:szCs w:val="20"/>
                <w:color w:val="auto"/>
              </w:rPr>
            </w:pPr>
            <w:r>
              <w:rPr>
                <w:rFonts w:ascii="Arial" w:cs="Arial" w:eastAsia="Arial" w:hAnsi="Arial"/>
                <w:sz w:val="14"/>
                <w:szCs w:val="14"/>
                <w:b w:val="1"/>
                <w:bCs w:val="1"/>
                <w:color w:val="auto"/>
                <w:w w:val="91"/>
              </w:rPr>
              <w:t>(in millions)</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Allowed equity return recognized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14</w:t>
            </w:r>
          </w:p>
        </w:tc>
        <w:tc>
          <w:tcPr>
            <w:tcW w:w="3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14</w:t>
            </w:r>
          </w:p>
        </w:tc>
        <w:tc>
          <w:tcPr>
            <w:tcW w:w="820" w:type="dxa"/>
            <w:vAlign w:val="bottom"/>
            <w:shd w:val="clear" w:color="auto" w:fill="CCEEFF"/>
          </w:tcPr>
          <w:p>
            <w:pPr>
              <w:jc w:val="right"/>
              <w:ind w:right="586"/>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14</w:t>
            </w:r>
          </w:p>
        </w:tc>
        <w:tc>
          <w:tcPr>
            <w:tcW w:w="34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12</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441"/>
        </w:trPr>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Nine Months Ended September 30,</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2023</w:t>
            </w:r>
          </w:p>
        </w:tc>
        <w:tc>
          <w:tcPr>
            <w:tcW w:w="8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245"/>
              <w:spacing w:after="0"/>
              <w:rPr>
                <w:sz w:val="20"/>
                <w:szCs w:val="20"/>
                <w:color w:val="auto"/>
              </w:rPr>
            </w:pPr>
            <w:r>
              <w:rPr>
                <w:rFonts w:ascii="Arial" w:cs="Arial" w:eastAsia="Arial" w:hAnsi="Arial"/>
                <w:sz w:val="14"/>
                <w:szCs w:val="14"/>
                <w:b w:val="1"/>
                <w:bCs w:val="1"/>
                <w:color w:val="auto"/>
                <w:w w:val="89"/>
              </w:rPr>
              <w:t>2022</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86"/>
              <w:spacing w:after="0" w:line="137" w:lineRule="exact"/>
              <w:rPr>
                <w:sz w:val="20"/>
                <w:szCs w:val="20"/>
                <w:color w:val="auto"/>
              </w:rPr>
            </w:pPr>
            <w:r>
              <w:rPr>
                <w:rFonts w:ascii="Arial" w:cs="Arial" w:eastAsia="Arial" w:hAnsi="Arial"/>
                <w:sz w:val="14"/>
                <w:szCs w:val="14"/>
                <w:b w:val="1"/>
                <w:bCs w:val="1"/>
                <w:color w:val="auto"/>
                <w:w w:val="90"/>
              </w:rPr>
              <w:t>CenterPoint</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97"/>
              </w:rPr>
              <w:t>Houston Electric</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CERC</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86"/>
              <w:spacing w:after="0" w:line="137" w:lineRule="exact"/>
              <w:rPr>
                <w:sz w:val="20"/>
                <w:szCs w:val="20"/>
                <w:color w:val="auto"/>
              </w:rPr>
            </w:pPr>
            <w:r>
              <w:rPr>
                <w:rFonts w:ascii="Arial" w:cs="Arial" w:eastAsia="Arial" w:hAnsi="Arial"/>
                <w:sz w:val="14"/>
                <w:szCs w:val="14"/>
                <w:b w:val="1"/>
                <w:bCs w:val="1"/>
                <w:color w:val="auto"/>
                <w:w w:val="93"/>
              </w:rPr>
              <w:t>CenterPoint</w:t>
            </w:r>
          </w:p>
        </w:tc>
        <w:tc>
          <w:tcPr>
            <w:tcW w:w="12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Houston Electric</w:t>
            </w:r>
          </w:p>
        </w:tc>
        <w:tc>
          <w:tcPr>
            <w:tcW w:w="300" w:type="dxa"/>
            <w:vAlign w:val="bottom"/>
          </w:tcPr>
          <w:p>
            <w:pPr>
              <w:spacing w:after="0"/>
              <w:rPr>
                <w:sz w:val="11"/>
                <w:szCs w:val="11"/>
                <w:color w:val="auto"/>
              </w:rPr>
            </w:pPr>
          </w:p>
        </w:tc>
        <w:tc>
          <w:tcPr>
            <w:tcW w:w="860" w:type="dxa"/>
            <w:vAlign w:val="bottom"/>
            <w:vMerge w:val="restart"/>
          </w:tcPr>
          <w:p>
            <w:pPr>
              <w:jc w:val="right"/>
              <w:ind w:right="265"/>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4"/>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86"/>
              <w:spacing w:after="0"/>
              <w:rPr>
                <w:sz w:val="20"/>
                <w:szCs w:val="20"/>
                <w:color w:val="auto"/>
              </w:rPr>
            </w:pPr>
            <w:r>
              <w:rPr>
                <w:rFonts w:ascii="Arial" w:cs="Arial" w:eastAsia="Arial" w:hAnsi="Arial"/>
                <w:sz w:val="14"/>
                <w:szCs w:val="14"/>
                <w:b w:val="1"/>
                <w:bCs w:val="1"/>
                <w:color w:val="auto"/>
                <w:w w:val="92"/>
              </w:rPr>
              <w:t>Energy</w:t>
            </w:r>
          </w:p>
        </w:tc>
        <w:tc>
          <w:tcPr>
            <w:tcW w:w="122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106"/>
              <w:spacing w:after="0"/>
              <w:rPr>
                <w:sz w:val="20"/>
                <w:szCs w:val="20"/>
                <w:color w:val="auto"/>
              </w:rPr>
            </w:pPr>
            <w:r>
              <w:rPr>
                <w:rFonts w:ascii="Arial" w:cs="Arial" w:eastAsia="Arial" w:hAnsi="Arial"/>
                <w:sz w:val="14"/>
                <w:szCs w:val="14"/>
                <w:b w:val="1"/>
                <w:bCs w:val="1"/>
                <w:color w:val="auto"/>
                <w:w w:val="92"/>
              </w:rPr>
              <w:t>Energy</w:t>
            </w:r>
          </w:p>
        </w:tc>
        <w:tc>
          <w:tcPr>
            <w:tcW w:w="12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60" w:type="dxa"/>
            <w:vAlign w:val="bottom"/>
            <w:gridSpan w:val="4"/>
          </w:tcPr>
          <w:p>
            <w:pPr>
              <w:jc w:val="center"/>
              <w:ind w:right="726"/>
              <w:spacing w:after="0"/>
              <w:rPr>
                <w:sz w:val="20"/>
                <w:szCs w:val="20"/>
                <w:color w:val="auto"/>
              </w:rPr>
            </w:pPr>
            <w:r>
              <w:rPr>
                <w:rFonts w:ascii="Arial" w:cs="Arial" w:eastAsia="Arial" w:hAnsi="Arial"/>
                <w:sz w:val="14"/>
                <w:szCs w:val="14"/>
                <w:b w:val="1"/>
                <w:bCs w:val="1"/>
                <w:color w:val="auto"/>
                <w:w w:val="91"/>
              </w:rPr>
              <w:t>(in millions)</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Allowed equity return recognized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32</w:t>
            </w:r>
          </w:p>
        </w:tc>
        <w:tc>
          <w:tcPr>
            <w:tcW w:w="3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30</w:t>
            </w:r>
          </w:p>
        </w:tc>
        <w:tc>
          <w:tcPr>
            <w:tcW w:w="820" w:type="dxa"/>
            <w:vAlign w:val="bottom"/>
            <w:shd w:val="clear" w:color="auto" w:fill="CCEEFF"/>
          </w:tcPr>
          <w:p>
            <w:pPr>
              <w:jc w:val="right"/>
              <w:ind w:right="586"/>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36</w:t>
            </w:r>
          </w:p>
        </w:tc>
        <w:tc>
          <w:tcPr>
            <w:tcW w:w="34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33</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February 2021 Winter Storm Event</w:t>
      </w:r>
    </w:p>
    <w:p>
      <w:pPr>
        <w:spacing w:after="0" w:line="245" w:lineRule="exact"/>
        <w:rPr>
          <w:sz w:val="20"/>
          <w:szCs w:val="20"/>
          <w:color w:val="auto"/>
        </w:rPr>
      </w:pPr>
    </w:p>
    <w:p>
      <w:pPr>
        <w:jc w:val="both"/>
        <w:ind w:firstLine="319"/>
        <w:spacing w:after="0" w:line="264" w:lineRule="auto"/>
        <w:rPr>
          <w:sz w:val="20"/>
          <w:szCs w:val="20"/>
          <w:color w:val="auto"/>
        </w:rPr>
      </w:pPr>
      <w:r>
        <w:rPr>
          <w:rFonts w:ascii="Arial" w:cs="Arial" w:eastAsia="Arial" w:hAnsi="Arial"/>
          <w:sz w:val="17"/>
          <w:szCs w:val="17"/>
          <w:color w:val="auto"/>
        </w:rPr>
        <w:t>In February 2021, certain of the Registrants’ jurisdictions experienced an extreme and unprecedented winter weather event that resulted in prolonged freezing temperatures, which impacted their businesses. The February 2021 Winter Storm Event impacted wholesale prices of CenterPoint Energy’s and CERC’s natural gas purchases and their ability to serve customers in their Natural Gas service territories, including due to the reduction in available natural gas capacity and impacts to CenterPoint Energy’s and CERC’s natural gas supply portfolio activities, and the effects of weather on their systems and their ability to transport natural gas, among other things. The overall natural gas market, including the markets from which CenterPoint Energy and CERC sourced a significant portion of their natural gas for their operations, experienced significant impacts caused by the February 2021 Winter Storm Event, resulting in extraordinary increases in the cost of natural gas purchased by CenterPoint Energy and CERC of approximately $2 billion. CenterPoint Energy and CERC have completed recovery of natural gas costs in Mississippi, Indiana and Texas discussed further below, and continue to recover the natural gas cost in Louisiana and Minnesota. As of September 30, 2023, CenterPoint Energy and CERC have each recorded current regulatory assets of $92 million and non-current regulatory assets of $141 million associated with the February 2021 Winter Storm Event. As of December 31, 2022, CenterPoint Energy and CERC have each recorded current regulatory assets of $1,175 million and non-current regulatory assets of $202 million associated with the February 2021 Winter Storm Event.</w:t>
      </w:r>
    </w:p>
    <w:p>
      <w:pPr>
        <w:spacing w:after="0" w:line="212"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In Minnesota, the MPUC issued its written order on October 19, 2022 disallowing CERC’s recovery of approximately $36 million of the $409 million incurred, and CERC’s regulatory asset balance was reduced to reflect the disallowance. CERC filed a petition for reconsideration on November 8, 2022 and a written order denying the petition for reconsideration was issued on January 6, 2023.</w:t>
      </w:r>
    </w:p>
    <w:p>
      <w:pPr>
        <w:spacing w:after="0" w:line="215"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CenterPoint Energy and CERC have approximately $75 million of the total $2 billion of natural gas costs incurred during the February 2021 Winter Storm Event remaining under prudence review in Louisiana, which may impact the amount ultimately recovered in Louisiana. On August 24, 2023, the LPSC Staff issued an Audit Report which recommends some prospective process changes to the gas supply bid process and did not recommend any disallowance of February 2021 Winter Storm Event gas costs incurred in Louisiana. Recovery of such costs remains subject to LPSC approval.</w:t>
      </w:r>
    </w:p>
    <w:p>
      <w:pPr>
        <w:spacing w:after="0" w:line="189"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As of both September 30, 2023 and December 31, 2022, as authorized by the PUCT, both CenterPoint Energy and Houston Electric recorded a regulatory asset of $8 million for bad debt expenses resulting from REPs’ default on their obligation to pay delivery charges to Houston Electric net of collateral. Additionally, both CenterPoint Energy and Houston Electric recorded a regulatory asset of $17 million and $16 million as of both September 30, 2023 and December 31, 2022, to defer operations and maintenance costs associated with the February 2021 Winter Storm Event.</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13(c) for further information regarding litigation related to the February 2021 Winter Storm Event.</w:t>
      </w:r>
    </w:p>
    <w:p>
      <w:pPr>
        <w:spacing w:after="0" w:line="24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Texas Public Securitization</w:t>
      </w:r>
    </w:p>
    <w:p>
      <w:pPr>
        <w:spacing w:after="0" w:line="245" w:lineRule="exact"/>
        <w:rPr>
          <w:sz w:val="20"/>
          <w:szCs w:val="20"/>
          <w:color w:val="auto"/>
        </w:rPr>
      </w:pPr>
    </w:p>
    <w:p>
      <w:pPr>
        <w:jc w:val="both"/>
        <w:ind w:right="20" w:firstLine="319"/>
        <w:spacing w:after="0" w:line="266" w:lineRule="auto"/>
        <w:rPr>
          <w:sz w:val="20"/>
          <w:szCs w:val="20"/>
          <w:color w:val="auto"/>
        </w:rPr>
      </w:pPr>
      <w:r>
        <w:rPr>
          <w:rFonts w:ascii="Arial" w:cs="Arial" w:eastAsia="Arial" w:hAnsi="Arial"/>
          <w:sz w:val="18"/>
          <w:szCs w:val="18"/>
          <w:color w:val="auto"/>
        </w:rPr>
        <w:t>The Texas Natural Gas Securitization Finance Corporation issued customer rate relief bonds in March 2023, and on March 23, 2023, CenterPoint Energy and CERC, collectively, received approximately $1.1 billion in cash proceeds from the state’s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customer rate relief bonds. The proceeds from the state’s customer rate relief bonds included carrying costs incurred through August 2022. Incremental carrying costs incurred after August 2022 until the date the proceeds were received are recorded in a separate regulatory asset to be included for recovery in a subsequent rate proceeding. As CenterPoint Energy and CERC have no future financial obligations for the repayment of the state’s customer rate relief bonds, the customer rate relief bonds are not recorded on CenterPoint Energy’s or CERC’s balance sheets. The $1.1 billion in cash proceeds from the customer rate relief bonds is considered to be a government grant. The state’s customer rate relief bonds are backed in part by customer rate relief property, including customer rate relief charges, which are non-bypassable uniform monthly volumetric charges to be paid by all existing and future customers as a component of each regulated utility’s gas cost or in another manner that the Railroad Commission determines reasonable, separate from their base rate. CERC only acts as a collection agent, whose duties include management, servicing and administration of a portion of the customer rate relief property which is associated with the customer rate relief charge imposed on customers of CERC under the guidance and direction from the Railroad Commission. The Texas Natural Gas Securitization Finance Corporation, and not CenterPoint Energy or CERC, is the owner of the customer rate relief property. The assets of the Texas Natural Gas Securitization Finance Corporation are not available to pay creditors of CenterPoint Energy, CERC, or their affiliates. While the customer rate relief charges will be included by CERC in their monthly billings, the billing amount is established by the Railroad Commission. CERC will remit all customer rate relief charges to the financing entity set up by the Railroad Commission. Therefore, the collection and servicing of customer rate relief charges have no impact on the respective Condensed Statements of Consolidated Income of CenterPoint Energy or CERC.</w:t>
      </w:r>
    </w:p>
    <w:p>
      <w:pPr>
        <w:spacing w:after="0" w:line="202"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As U.S. generally accepted accounting principles have no specific accounting guidance for government grants or assistance, the cash proceeds from the state’s customer rate relief bonds were accounted for as a government grant by analogy to the grant model under IAS 20—Accounting for Government Grants and Disclosures of Government Assistance. CenterPoint Energy and CERC reflect the proceeds from the grant as a deduction to natural gas costs and recognized the $1.1 billion of cash proceeds from the state’s customer rate relief bonds within Utility natural gas expense on their respective Condensed Statements of Consolidated Income in the nine months ended September 30, 2023, net of the recognition of natural gas cost related to relieving CenterPoint Energy and CERC’s regulatory assets related to the February 2021 Winter Storm Event in the same period.</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Indiana Electric Securitization of Generation Retirements (CenterPoint Energy)</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On January 4, 2023, the IURC issued an order in accordance with Indiana Senate Enrolled Act 386 authorizing the issuance of up to $350 million in</w:t>
      </w:r>
    </w:p>
    <w:p>
      <w:pPr>
        <w:spacing w:after="0" w:line="6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securitization bonds to securitize qualified costs associated with the retirements of Indiana Electric’s A.B. Brown coal-fired generation facilities. Accordingly, CenterPoint Energy determined that the retirement of property, plant and equipment became probable upon the issuance of the order. No loss on abandonment was recognized in connection with issuance of the order as there was no disallowance of all or part of the cost of the abandoned property, plant and equipment. In the first quarter of 2023, upon receipt of the order, CenterPoint Energy reclassified property, plant and equipment to be recovered through securitization to a regulatory asset and such amounts continued to earn a full return until recovered through securitization.</w:t>
      </w:r>
    </w:p>
    <w:p>
      <w:pPr>
        <w:spacing w:after="0" w:line="191"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On March 24, 2023, SIGECO and the SIGECO Securitization Subsidiary filed a registration statement on Form SF-1, amended on May 16, 2023, under the Securities Act of 1933, as amended, with the SEC registering the public offering and sale of approximately $341 million aggregate principal amount of the SIGECO Securitization Bonds. The registration statement became effective on June 12, 2023. The SIGECO Securitization Subsidiary issued $341 million aggregate principal amount of the SIGECO Securitization Bonds on June 29, 2023. See Note 11 for further details of the issuance. The SIGECO Securitization Subsidiary used the net proceeds from the issuance to purchase the securitization property from SIGECO. No gain or loss was recognized.</w:t>
      </w:r>
    </w:p>
    <w:p>
      <w:pPr>
        <w:spacing w:after="0" w:line="191"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The SIGECO Securitization Bonds are secured by the securitization property, which includes the right to recover, through non-bypassable securitization charges payable by SIGECO’s retail electric customers, the qualified costs of SIGECO authorized by the IURC order. SIGECO has no payment obligations with respect to the SIGECO Securitization Bonds except to remit collections of securitization charges as set forth in a servicing agreement between SIGECO and the SIGECO Securitization Subsidiary. The non-bypassable securitization charges are subject to a true-up mechanism.</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Houston Electric TEEEF</w:t>
      </w:r>
    </w:p>
    <w:p>
      <w:pPr>
        <w:spacing w:after="0" w:line="245"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Pursuant to legislation passed in 2021, Houston Electric entered into two leases for TEEEF (mobile generation) which are detailed in Note 19. Houston Electric initially sought recovery of deferred costs and the applicable return as of December 31, 2021 under these lease agreements of approximately $200 million in its DCRF application filed with the PUCT on April 5, 2022, and subsequently amended on July 1, 2022, to show mobile generation in a separate Rider TEEEF. The annual revenue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increase requested for these lease agreements was approximately $57 million. A final order was issued on April 5, 2023 approving a reduced revenue requirement of $39 million that results in full recovery of costs requested but lengthens the amortization period for the short-term lease to be collected over 82.5 months. On April 28, 2023, and May 1, 2023, certain intervenors filed motions for rehearing of the PUCT’s April 5, 2023 order. On May 25, 2023, the PUCT issued its order on rehearing which clarified some of the findings, but did not change the approval of TEEEF cost recovery. On June 19, 2023, certain intervenors filed motions for rehearing of the PUCT’s May 25, 2023 Order on Rehearing; the PUCT issued an order on August 3, 2023 denying the motions for rehearing. The deadline for a party to file a judicial appeal of the PUCT’s decision was September 5, 2023, and no appeal was filed. As such, the PUCT’s decision on the first TEEEF filing is now final and non-appealable.</w:t>
      </w:r>
    </w:p>
    <w:p>
      <w:pPr>
        <w:spacing w:after="0" w:line="206" w:lineRule="exact"/>
        <w:rPr>
          <w:sz w:val="20"/>
          <w:szCs w:val="20"/>
          <w:color w:val="auto"/>
        </w:rPr>
      </w:pPr>
    </w:p>
    <w:p>
      <w:pPr>
        <w:jc w:val="both"/>
        <w:ind w:firstLine="319"/>
        <w:spacing w:after="0" w:line="286" w:lineRule="auto"/>
        <w:rPr>
          <w:sz w:val="20"/>
          <w:szCs w:val="20"/>
          <w:color w:val="auto"/>
        </w:rPr>
      </w:pPr>
      <w:r>
        <w:rPr>
          <w:rFonts w:ascii="Arial" w:cs="Arial" w:eastAsia="Arial" w:hAnsi="Arial"/>
          <w:sz w:val="16"/>
          <w:szCs w:val="16"/>
          <w:color w:val="auto"/>
        </w:rPr>
        <w:t>On April 5, 2023, Houston Electric made its second TEEEF filing requesting recovery of TEEEF related costs incurred through December 31, 2022. Houston Electric is requesting a new annual revenue requirement of approximately $188 million using 78 months to amortize the related deferred costs for proposed rates beginning September 2023, a net increase in TEEEF revenues of approximately $149 million. On June 7, 2023, intervenors jointly requested a hearing, and on June 14, 2023, the PUCT staff indicated that it does not oppose a hearing in this docket. On June 21, 2023 Houston Electric made a filing that a hearing is not necessary given the PUCT’s decision in the TEEEF docket filed in 2022 and indicated that if the PUCT does refer this case to the State Office of Administrative Hearings, any preliminary order issued by the PUCT should be limited. On July 18, 2023 the PUCT referred the case to the State Office of Administrative Hearings and, on July 20, 2023, the PUCT issued a preliminary order identifying the issues to be addressed. On August 28, 2023, the State Office of Administrative Hearings issued an Order setting interim rates to collect an annual revenue requirement at the filed amount. Interim rates became effective on September 1, 2023 and are subject to surcharge or refund if they differ from the final rates approved by the PUCT. On October 12, 2023, a joint motion to abate was filed because the parties reached an agreement in principle on all issues. The agreement in principle is subject to PUCT approval. The ultimate outcome of these proceedings cannot be predicted at this time.</w:t>
      </w:r>
    </w:p>
    <w:p>
      <w:pPr>
        <w:spacing w:after="0" w:line="194"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Houston Electric defers costs associated with the short-term and long-term leases that are probable of recovery and would otherwise be charged to expense in a regulatory asset, including allowed debt returns, and determined that such regulatory assets remain probable of recovery as of September 30, 2023. Right of use finance lease assets, such as assets acquired under the long-term leases, are evaluated for impairment under the long-lived asset impairment model by assessing if a capital disallowance from a regulator is probable through monitoring the outcome of rate cases and other proceedings. Houston Electric continues to monitor the on-going proceedings and has not recorded any impairments on its right of use assets in the year ended December 31, 2022 or the nine months ended September 30, 2023. See Note 19 for further information.</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COVID-19 Regulatory Matters</w:t>
      </w:r>
    </w:p>
    <w:p>
      <w:pPr>
        <w:spacing w:after="0" w:line="245"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Regulatory commissions in Indiana Electric’s and CenterPoint Energy’s and CERC’s Natural Gas service territories have either (1) issued orders to record a regulatory asset for incremental bad debt expenses related to COVID-19, including costs associated with the suspension of disconnections and payment plans, or (2) provided authority to recover bad debt expense through an existing tracking mechanism. Both CenterPoint Energy and CERC have recorded estimated incremental uncollectible receivables to the associated regulatory asset of $18 million and $17 million, respectively, as of September 30, 2023 and December 31, 2022. CenterPoint Energy and CERC have $5 million and $4 million, respectively, remaining to recover through rates and other sources as of September 30, 2023, and $11 million and $10 million, respectively, remaining to recover through rates and other sources as of December 31, 2022.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w:t>
      </w:r>
    </w:p>
    <w:p>
      <w:pPr>
        <w:spacing w:after="0" w:line="25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Registrants are exposed to various market risks. These risks arise from transactions entered into in the normal course of business. The Registrants utilize derivative instruments such as swaps and options to mitigate the impact of changes in commodity prices, weather and interest rates on operating results and cash flows.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 Non-Trading Activities</w:t>
      </w:r>
    </w:p>
    <w:p>
      <w:pPr>
        <w:spacing w:after="0" w:line="245"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i w:val="1"/>
          <w:iCs w:val="1"/>
          <w:color w:val="auto"/>
        </w:rPr>
        <w:t xml:space="preserve">Commodity Derivative Instruments (CenterPoint Energy and CERC). </w:t>
      </w:r>
      <w:r>
        <w:rPr>
          <w:rFonts w:ascii="Arial" w:cs="Arial" w:eastAsia="Arial" w:hAnsi="Arial"/>
          <w:sz w:val="17"/>
          <w:szCs w:val="17"/>
          <w:color w:val="auto"/>
        </w:rPr>
        <w:t>CenterPoint Energy and CERC, through the Indiana Utilities they respectively own,</w:t>
      </w:r>
      <w:r>
        <w:rPr>
          <w:rFonts w:ascii="Arial" w:cs="Arial" w:eastAsia="Arial" w:hAnsi="Arial"/>
          <w:sz w:val="17"/>
          <w:szCs w:val="17"/>
          <w:i w:val="1"/>
          <w:iCs w:val="1"/>
          <w:color w:val="auto"/>
        </w:rPr>
        <w:t xml:space="preserve"> </w:t>
      </w:r>
      <w:r>
        <w:rPr>
          <w:rFonts w:ascii="Arial" w:cs="Arial" w:eastAsia="Arial" w:hAnsi="Arial"/>
          <w:sz w:val="17"/>
          <w:szCs w:val="17"/>
          <w:color w:val="auto"/>
        </w:rPr>
        <w:t>enter into certain derivative instruments to mitigate the effects of commodity price movements. Outstanding derivative instruments designated as economic hedges at the Indiana Utilities hedge long-term variable rate natural gas purchases. The Indiana Utilities have authority to refund and recover mark-to-market gains and losses associated with hedging natural gas purchases, and thus the gains and losses on derivatives are deferred in a regulatory liability or asset. All other financial instruments do not qualify or are not designated as cash flow or fair value hedges.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i w:val="1"/>
          <w:iCs w:val="1"/>
          <w:color w:val="auto"/>
        </w:rPr>
        <w:t xml:space="preserve">Interest Rate Risk Derivative Instruments. </w:t>
      </w:r>
      <w:r>
        <w:rPr>
          <w:rFonts w:ascii="Arial" w:cs="Arial" w:eastAsia="Arial" w:hAnsi="Arial"/>
          <w:sz w:val="16"/>
          <w:szCs w:val="16"/>
          <w:color w:val="auto"/>
        </w:rPr>
        <w:t>From time to time, the Registrants may enter into interest rate derivatives that are designated as economic or</w:t>
      </w:r>
      <w:r>
        <w:rPr>
          <w:rFonts w:ascii="Arial" w:cs="Arial" w:eastAsia="Arial" w:hAnsi="Arial"/>
          <w:sz w:val="16"/>
          <w:szCs w:val="16"/>
          <w:i w:val="1"/>
          <w:iCs w:val="1"/>
          <w:color w:val="auto"/>
        </w:rPr>
        <w:t xml:space="preserve"> </w:t>
      </w:r>
      <w:r>
        <w:rPr>
          <w:rFonts w:ascii="Arial" w:cs="Arial" w:eastAsia="Arial" w:hAnsi="Arial"/>
          <w:sz w:val="16"/>
          <w:szCs w:val="16"/>
          <w:color w:val="auto"/>
        </w:rPr>
        <w:t>cash flow hedges. The objective of these hedges is to offset risk associated with interest rates borne by the Registrants in connection with an anticipated future fixed rate debt offering or other exposure to variable rate debt. The Indiana Utilities have authority to refund and recover mark-to-market gains and losses associated with hedging financing activity, and thus the gains and losses on derivatives are deferred in a regulatory liability or asset.</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summarizes CenterPoint Energy’s outstanding interest rate hedging activity:</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center"/>
              <w:ind w:left="449"/>
              <w:spacing w:after="0"/>
              <w:rPr>
                <w:sz w:val="20"/>
                <w:szCs w:val="20"/>
                <w:color w:val="auto"/>
              </w:rPr>
            </w:pPr>
            <w:r>
              <w:rPr>
                <w:rFonts w:ascii="Arial" w:cs="Arial" w:eastAsia="Arial" w:hAnsi="Arial"/>
                <w:sz w:val="14"/>
                <w:szCs w:val="14"/>
                <w:b w:val="1"/>
                <w:bCs w:val="1"/>
                <w:color w:val="auto"/>
                <w:w w:val="90"/>
              </w:rPr>
              <w:t>September 30, 2023</w:t>
            </w:r>
          </w:p>
        </w:tc>
        <w:tc>
          <w:tcPr>
            <w:tcW w:w="1140" w:type="dxa"/>
            <w:vAlign w:val="bottom"/>
          </w:tcPr>
          <w:p>
            <w:pPr>
              <w:spacing w:after="0"/>
              <w:rPr>
                <w:sz w:val="16"/>
                <w:szCs w:val="16"/>
                <w:color w:val="auto"/>
              </w:rPr>
            </w:pPr>
          </w:p>
        </w:tc>
        <w:tc>
          <w:tcPr>
            <w:tcW w:w="1700" w:type="dxa"/>
            <w:vAlign w:val="bottom"/>
          </w:tcPr>
          <w:p>
            <w:pPr>
              <w:jc w:val="center"/>
              <w:ind w:right="445"/>
              <w:spacing w:after="0"/>
              <w:rPr>
                <w:sz w:val="20"/>
                <w:szCs w:val="20"/>
                <w:color w:val="auto"/>
              </w:rPr>
            </w:pPr>
            <w:r>
              <w:rPr>
                <w:rFonts w:ascii="Arial" w:cs="Arial" w:eastAsia="Arial" w:hAnsi="Arial"/>
                <w:sz w:val="14"/>
                <w:szCs w:val="14"/>
                <w:b w:val="1"/>
                <w:bCs w:val="1"/>
                <w:color w:val="auto"/>
                <w:w w:val="90"/>
              </w:rPr>
              <w:t>December 31, 2022</w:t>
            </w:r>
          </w:p>
        </w:tc>
      </w:tr>
      <w:tr>
        <w:trPr>
          <w:trHeight w:val="24"/>
        </w:trPr>
        <w:tc>
          <w:tcPr>
            <w:tcW w:w="2020" w:type="dxa"/>
            <w:vAlign w:val="bottom"/>
          </w:tcPr>
          <w:p>
            <w:pPr>
              <w:spacing w:after="0"/>
              <w:rPr>
                <w:sz w:val="2"/>
                <w:szCs w:val="2"/>
                <w:color w:val="auto"/>
              </w:rPr>
            </w:pPr>
          </w:p>
        </w:tc>
        <w:tc>
          <w:tcPr>
            <w:tcW w:w="6380" w:type="dxa"/>
            <w:vAlign w:val="bottom"/>
            <w:gridSpan w:val="3"/>
          </w:tcPr>
          <w:p>
            <w:pPr>
              <w:spacing w:after="0"/>
              <w:rPr>
                <w:sz w:val="2"/>
                <w:szCs w:val="2"/>
                <w:color w:val="auto"/>
              </w:rPr>
            </w:pPr>
          </w:p>
        </w:tc>
        <w:tc>
          <w:tcPr>
            <w:tcW w:w="11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186"/>
        </w:trPr>
        <w:tc>
          <w:tcPr>
            <w:tcW w:w="2020" w:type="dxa"/>
            <w:vAlign w:val="bottom"/>
          </w:tcPr>
          <w:p>
            <w:pPr>
              <w:spacing w:after="0"/>
              <w:rPr>
                <w:sz w:val="16"/>
                <w:szCs w:val="16"/>
                <w:color w:val="auto"/>
              </w:rPr>
            </w:pPr>
          </w:p>
        </w:tc>
        <w:tc>
          <w:tcPr>
            <w:tcW w:w="4680" w:type="dxa"/>
            <w:vAlign w:val="bottom"/>
            <w:gridSpan w:val="2"/>
          </w:tcPr>
          <w:p>
            <w:pPr>
              <w:ind w:left="600"/>
              <w:spacing w:after="0"/>
              <w:rPr>
                <w:sz w:val="20"/>
                <w:szCs w:val="20"/>
                <w:color w:val="auto"/>
              </w:rPr>
            </w:pPr>
            <w:r>
              <w:rPr>
                <w:rFonts w:ascii="Arial" w:cs="Arial" w:eastAsia="Arial" w:hAnsi="Arial"/>
                <w:sz w:val="14"/>
                <w:szCs w:val="14"/>
                <w:b w:val="1"/>
                <w:bCs w:val="1"/>
                <w:color w:val="auto"/>
              </w:rPr>
              <w:t>Hedging Classification</w:t>
            </w:r>
          </w:p>
        </w:tc>
        <w:tc>
          <w:tcPr>
            <w:tcW w:w="17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Notional Principal</w:t>
            </w:r>
          </w:p>
        </w:tc>
        <w:tc>
          <w:tcPr>
            <w:tcW w:w="1700" w:type="dxa"/>
            <w:vAlign w:val="bottom"/>
            <w:tcBorders>
              <w:top w:val="single" w:sz="8" w:color="auto"/>
            </w:tcBorders>
          </w:tcPr>
          <w:p>
            <w:pPr>
              <w:spacing w:after="0"/>
              <w:rPr>
                <w:sz w:val="16"/>
                <w:szCs w:val="16"/>
                <w:color w:val="auto"/>
              </w:rPr>
            </w:pPr>
          </w:p>
        </w:tc>
      </w:tr>
      <w:tr>
        <w:trPr>
          <w:trHeight w:val="133"/>
        </w:trPr>
        <w:tc>
          <w:tcPr>
            <w:tcW w:w="2020" w:type="dxa"/>
            <w:vAlign w:val="bottom"/>
            <w:tcBorders>
              <w:top w:val="single" w:sz="8" w:color="auto"/>
            </w:tcBorders>
          </w:tcPr>
          <w:p>
            <w:pPr>
              <w:spacing w:after="0"/>
              <w:rPr>
                <w:sz w:val="11"/>
                <w:szCs w:val="11"/>
                <w:color w:val="auto"/>
              </w:rPr>
            </w:pPr>
          </w:p>
        </w:tc>
        <w:tc>
          <w:tcPr>
            <w:tcW w:w="4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Borders>
              <w:top w:val="single" w:sz="8" w:color="auto"/>
            </w:tcBorders>
          </w:tcPr>
          <w:p>
            <w:pPr>
              <w:jc w:val="center"/>
              <w:ind w:left="449"/>
              <w:spacing w:after="0" w:line="133" w:lineRule="exact"/>
              <w:rPr>
                <w:sz w:val="20"/>
                <w:szCs w:val="20"/>
                <w:color w:val="auto"/>
              </w:rPr>
            </w:pPr>
            <w:r>
              <w:rPr>
                <w:rFonts w:ascii="Arial" w:cs="Arial" w:eastAsia="Arial" w:hAnsi="Arial"/>
                <w:sz w:val="14"/>
                <w:szCs w:val="14"/>
                <w:b w:val="1"/>
                <w:bCs w:val="1"/>
                <w:color w:val="auto"/>
                <w:w w:val="93"/>
              </w:rPr>
              <w:t>CenterPoint</w:t>
            </w:r>
          </w:p>
        </w:tc>
        <w:tc>
          <w:tcPr>
            <w:tcW w:w="1140" w:type="dxa"/>
            <w:vAlign w:val="bottom"/>
            <w:tcBorders>
              <w:top w:val="single" w:sz="8" w:color="auto"/>
            </w:tcBorders>
          </w:tcPr>
          <w:p>
            <w:pPr>
              <w:spacing w:after="0"/>
              <w:rPr>
                <w:sz w:val="11"/>
                <w:szCs w:val="11"/>
                <w:color w:val="auto"/>
              </w:rPr>
            </w:pPr>
          </w:p>
        </w:tc>
        <w:tc>
          <w:tcPr>
            <w:tcW w:w="1700" w:type="dxa"/>
            <w:vAlign w:val="bottom"/>
            <w:tcBorders>
              <w:top w:val="single" w:sz="8" w:color="auto"/>
            </w:tcBorders>
          </w:tcPr>
          <w:p>
            <w:pPr>
              <w:jc w:val="center"/>
              <w:ind w:right="445"/>
              <w:spacing w:after="0" w:line="133" w:lineRule="exact"/>
              <w:rPr>
                <w:sz w:val="20"/>
                <w:szCs w:val="20"/>
                <w:color w:val="auto"/>
              </w:rPr>
            </w:pPr>
            <w:r>
              <w:rPr>
                <w:rFonts w:ascii="Arial" w:cs="Arial" w:eastAsia="Arial" w:hAnsi="Arial"/>
                <w:sz w:val="14"/>
                <w:szCs w:val="14"/>
                <w:b w:val="1"/>
                <w:bCs w:val="1"/>
                <w:color w:val="auto"/>
                <w:w w:val="93"/>
              </w:rPr>
              <w:t>CenterPoint</w:t>
            </w:r>
          </w:p>
        </w:tc>
      </w:tr>
      <w:tr>
        <w:trPr>
          <w:trHeight w:val="193"/>
        </w:trPr>
        <w:tc>
          <w:tcPr>
            <w:tcW w:w="20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Borders>
              <w:bottom w:val="single" w:sz="8" w:color="auto"/>
            </w:tcBorders>
          </w:tcPr>
          <w:p>
            <w:pPr>
              <w:jc w:val="center"/>
              <w:ind w:left="469"/>
              <w:spacing w:after="0"/>
              <w:rPr>
                <w:sz w:val="20"/>
                <w:szCs w:val="20"/>
                <w:color w:val="auto"/>
              </w:rPr>
            </w:pPr>
            <w:r>
              <w:rPr>
                <w:rFonts w:ascii="Arial" w:cs="Arial" w:eastAsia="Arial" w:hAnsi="Arial"/>
                <w:sz w:val="14"/>
                <w:szCs w:val="14"/>
                <w:b w:val="1"/>
                <w:bCs w:val="1"/>
                <w:color w:val="auto"/>
                <w:w w:val="92"/>
              </w:rPr>
              <w:t>Energy</w:t>
            </w:r>
          </w:p>
        </w:tc>
        <w:tc>
          <w:tcPr>
            <w:tcW w:w="1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425"/>
              <w:spacing w:after="0"/>
              <w:rPr>
                <w:sz w:val="20"/>
                <w:szCs w:val="20"/>
                <w:color w:val="auto"/>
              </w:rPr>
            </w:pPr>
            <w:r>
              <w:rPr>
                <w:rFonts w:ascii="Arial" w:cs="Arial" w:eastAsia="Arial" w:hAnsi="Arial"/>
                <w:sz w:val="14"/>
                <w:szCs w:val="14"/>
                <w:b w:val="1"/>
                <w:bCs w:val="1"/>
                <w:color w:val="auto"/>
                <w:w w:val="92"/>
              </w:rPr>
              <w:t>Energy</w:t>
            </w:r>
          </w:p>
        </w:tc>
      </w:tr>
      <w:tr>
        <w:trPr>
          <w:trHeight w:val="192"/>
        </w:trPr>
        <w:tc>
          <w:tcPr>
            <w:tcW w:w="20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700" w:type="dxa"/>
            <w:vAlign w:val="bottom"/>
          </w:tcPr>
          <w:p>
            <w:pPr>
              <w:spacing w:after="0"/>
              <w:rPr>
                <w:sz w:val="16"/>
                <w:szCs w:val="16"/>
                <w:color w:val="auto"/>
              </w:rPr>
            </w:pPr>
          </w:p>
        </w:tc>
      </w:tr>
      <w:tr>
        <w:trPr>
          <w:trHeight w:val="247"/>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Economic hedge </w:t>
            </w:r>
            <w:r>
              <w:rPr>
                <w:rFonts w:ascii="Arial" w:cs="Arial" w:eastAsia="Arial" w:hAnsi="Arial"/>
                <w:sz w:val="14"/>
                <w:szCs w:val="14"/>
                <w:color w:val="auto"/>
              </w:rPr>
              <w:t>(1)</w:t>
            </w:r>
          </w:p>
        </w:tc>
        <w:tc>
          <w:tcPr>
            <w:tcW w:w="6380" w:type="dxa"/>
            <w:vAlign w:val="bottom"/>
            <w:gridSpan w:val="3"/>
            <w:shd w:val="clear" w:color="auto" w:fill="CCEEFF"/>
          </w:tcPr>
          <w:p>
            <w:pPr>
              <w:jc w:val="right"/>
              <w:ind w:right="1529"/>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bl>
    <w:p>
      <w:pPr>
        <w:spacing w:after="0" w:line="2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Relates to interest rate derivative instruments at SIGECO that terminated on May 1, 2023.</w:t>
      </w:r>
    </w:p>
    <w:p>
      <w:pPr>
        <w:spacing w:after="0" w:line="232" w:lineRule="exact"/>
        <w:rPr>
          <w:sz w:val="20"/>
          <w:szCs w:val="20"/>
          <w:color w:val="auto"/>
        </w:rPr>
      </w:pPr>
    </w:p>
    <w:p>
      <w:pPr>
        <w:jc w:val="both"/>
        <w:ind w:firstLine="319"/>
        <w:spacing w:after="0" w:line="277" w:lineRule="auto"/>
        <w:rPr>
          <w:sz w:val="20"/>
          <w:szCs w:val="20"/>
          <w:color w:val="auto"/>
        </w:rPr>
      </w:pPr>
      <w:r>
        <w:rPr>
          <w:rFonts w:ascii="Arial" w:cs="Arial" w:eastAsia="Arial" w:hAnsi="Arial"/>
          <w:sz w:val="16"/>
          <w:szCs w:val="16"/>
          <w:color w:val="auto"/>
        </w:rPr>
        <w:t>In May 2023, CenterPoint Energy entered into a forward interest rate agreement having an aggregate notional amount of $75 million, which agreement was amended in June 2023. The agreement was executed to hedge, in part, volatility in the 3-year U.S treasury rate by reducing CenterPoint Energy’s exposure to variability in cash flows related to interest payments of CenterPoint Energy’s $400 million issuance of fixed rate debt in August 2023. The forward interest rate agreement was designated as a cash flow hedge. The realized gains and losses associated with the agreement were immaterial.</w:t>
      </w:r>
    </w:p>
    <w:p>
      <w:pPr>
        <w:spacing w:after="0" w:line="201"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In September 2023, SIGECO entered into two forward interest rate agreements having aggregate notional amounts of $50 million and $38 million. The agreements were executed to hedge, in part, volatility in the 5-year and 7-year U.S. treasury rates, respectively, by reducing SIGECO’s exposure to variability in cash flows related to interest payments of SIGECO’s $470 million issuance of fixed rate debt in October 2023. The forward interest rate agreements were designated as cash flow hedges. The realized gains and losses associated with the agreements were immaterial.</w:t>
      </w:r>
    </w:p>
    <w:p>
      <w:pPr>
        <w:spacing w:after="0" w:line="191" w:lineRule="exact"/>
        <w:rPr>
          <w:sz w:val="20"/>
          <w:szCs w:val="20"/>
          <w:color w:val="auto"/>
        </w:rPr>
      </w:pPr>
    </w:p>
    <w:p>
      <w:pPr>
        <w:jc w:val="both"/>
        <w:ind w:firstLine="319"/>
        <w:spacing w:after="0" w:line="273" w:lineRule="auto"/>
        <w:rPr>
          <w:sz w:val="20"/>
          <w:szCs w:val="20"/>
          <w:color w:val="auto"/>
        </w:rPr>
      </w:pPr>
      <w:r>
        <w:rPr>
          <w:rFonts w:ascii="Arial" w:cs="Arial" w:eastAsia="Arial" w:hAnsi="Arial"/>
          <w:sz w:val="16"/>
          <w:szCs w:val="16"/>
          <w:i w:val="1"/>
          <w:iCs w:val="1"/>
          <w:color w:val="auto"/>
        </w:rPr>
        <w:t xml:space="preserve">Weather Normalization (CenterPoint Energy and CERC). </w:t>
      </w:r>
      <w:r>
        <w:rPr>
          <w:rFonts w:ascii="Arial" w:cs="Arial" w:eastAsia="Arial" w:hAnsi="Arial"/>
          <w:sz w:val="16"/>
          <w:szCs w:val="16"/>
          <w:color w:val="auto"/>
        </w:rPr>
        <w:t>CenterPoint Energy and CERC have weather normalization or other rate mechanisms that</w:t>
      </w:r>
      <w:r>
        <w:rPr>
          <w:rFonts w:ascii="Arial" w:cs="Arial" w:eastAsia="Arial" w:hAnsi="Arial"/>
          <w:sz w:val="16"/>
          <w:szCs w:val="16"/>
          <w:i w:val="1"/>
          <w:iCs w:val="1"/>
          <w:color w:val="auto"/>
        </w:rPr>
        <w:t xml:space="preserve"> </w:t>
      </w:r>
      <w:r>
        <w:rPr>
          <w:rFonts w:ascii="Arial" w:cs="Arial" w:eastAsia="Arial" w:hAnsi="Arial"/>
          <w:sz w:val="16"/>
          <w:szCs w:val="16"/>
          <w:color w:val="auto"/>
        </w:rPr>
        <w:t>largely mitigate the impact of weather on Natural Gas in Indiana, Louisiana, Mississippi, Minnesota and Ohio, as applicable. CenterPoint Energy’s and CERC’s Natural Gas in Texas and CenterPoint Energy’s electric operations in Texas and Indiana do not have such mechanisms. As a result, fluctuations from normal weather may have a positive or negative effect on CenterPoint Energy’s and CERC’s Natural Gas’ results in Texas and on CenterPoint Energy’s electric operations’ results in its Texas and Indiana service territories. The Registrants do not currently enter into weather hedges.</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 Derivative Fair Values and Income Statement Impacts (CenterPoint Energy and CERC)</w:t>
      </w:r>
    </w:p>
    <w:p>
      <w:pPr>
        <w:spacing w:after="0" w:line="24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following tables present information about derivative instruments and hedging activities. The first table provides a balance sheet overview of derivative assets and liabilities, while the last table provides a breakdown of the related income statement impacts.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 and Hedged Items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420" w:type="dxa"/>
            <w:vAlign w:val="bottom"/>
          </w:tcPr>
          <w:p>
            <w:pPr>
              <w:spacing w:after="0"/>
              <w:rPr>
                <w:sz w:val="16"/>
                <w:szCs w:val="16"/>
                <w:color w:val="auto"/>
              </w:rPr>
            </w:pPr>
          </w:p>
        </w:tc>
        <w:tc>
          <w:tcPr>
            <w:tcW w:w="2800" w:type="dxa"/>
            <w:vAlign w:val="bottom"/>
          </w:tcPr>
          <w:p>
            <w:pPr>
              <w:ind w:left="1400"/>
              <w:spacing w:after="0"/>
              <w:rPr>
                <w:sz w:val="20"/>
                <w:szCs w:val="20"/>
                <w:color w:val="auto"/>
              </w:rPr>
            </w:pPr>
            <w:r>
              <w:rPr>
                <w:rFonts w:ascii="Arial" w:cs="Arial" w:eastAsia="Arial" w:hAnsi="Arial"/>
                <w:sz w:val="14"/>
                <w:szCs w:val="14"/>
                <w:b w:val="1"/>
                <w:bCs w:val="1"/>
                <w:color w:val="auto"/>
                <w:w w:val="87"/>
              </w:rPr>
              <w:t>Balance Sheet Location</w:t>
            </w:r>
          </w:p>
        </w:tc>
      </w:tr>
      <w:tr>
        <w:trPr>
          <w:trHeight w:val="213"/>
        </w:trPr>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Derivatives not designated as hedging instruments:</w:t>
            </w:r>
          </w:p>
        </w:tc>
      </w:tr>
      <w:tr>
        <w:trPr>
          <w:trHeight w:val="199"/>
        </w:trPr>
        <w:tc>
          <w:tcPr>
            <w:tcW w:w="2420" w:type="dxa"/>
            <w:vAlign w:val="bottom"/>
          </w:tcPr>
          <w:p>
            <w:pPr>
              <w:spacing w:after="0"/>
              <w:rPr>
                <w:sz w:val="20"/>
                <w:szCs w:val="20"/>
                <w:color w:val="auto"/>
              </w:rPr>
            </w:pPr>
            <w:r>
              <w:rPr>
                <w:rFonts w:ascii="Arial" w:cs="Arial" w:eastAsia="Arial" w:hAnsi="Arial"/>
                <w:sz w:val="14"/>
                <w:szCs w:val="14"/>
                <w:color w:val="auto"/>
              </w:rPr>
              <w:t xml:space="preserve">Natural gas derivatives </w:t>
            </w:r>
            <w:r>
              <w:rPr>
                <w:rFonts w:ascii="Arial" w:cs="Arial" w:eastAsia="Arial" w:hAnsi="Arial"/>
                <w:sz w:val="10"/>
                <w:szCs w:val="10"/>
                <w:color w:val="auto"/>
              </w:rPr>
              <w:t>(1)</w:t>
            </w:r>
          </w:p>
        </w:tc>
        <w:tc>
          <w:tcPr>
            <w:tcW w:w="2800" w:type="dxa"/>
            <w:vAlign w:val="bottom"/>
          </w:tcPr>
          <w:p>
            <w:pPr>
              <w:ind w:left="360"/>
              <w:spacing w:after="0"/>
              <w:rPr>
                <w:sz w:val="20"/>
                <w:szCs w:val="20"/>
                <w:color w:val="auto"/>
              </w:rPr>
            </w:pPr>
            <w:r>
              <w:rPr>
                <w:rFonts w:ascii="Arial" w:cs="Arial" w:eastAsia="Arial" w:hAnsi="Arial"/>
                <w:sz w:val="12"/>
                <w:szCs w:val="12"/>
                <w:color w:val="auto"/>
              </w:rPr>
              <w:t>Current Assets: Non-trading derivative assets</w:t>
            </w:r>
          </w:p>
        </w:tc>
      </w:tr>
      <w:tr>
        <w:trPr>
          <w:trHeight w:val="213"/>
        </w:trPr>
        <w:tc>
          <w:tcPr>
            <w:tcW w:w="2420" w:type="dxa"/>
            <w:vAlign w:val="bottom"/>
          </w:tcPr>
          <w:p>
            <w:pPr>
              <w:spacing w:after="0"/>
              <w:rPr>
                <w:sz w:val="20"/>
                <w:szCs w:val="20"/>
                <w:color w:val="auto"/>
              </w:rPr>
            </w:pPr>
            <w:r>
              <w:rPr>
                <w:rFonts w:ascii="Arial" w:cs="Arial" w:eastAsia="Arial" w:hAnsi="Arial"/>
                <w:sz w:val="14"/>
                <w:szCs w:val="14"/>
                <w:color w:val="auto"/>
              </w:rPr>
              <w:t xml:space="preserve">Natural gas derivatives </w:t>
            </w:r>
            <w:r>
              <w:rPr>
                <w:rFonts w:ascii="Arial" w:cs="Arial" w:eastAsia="Arial" w:hAnsi="Arial"/>
                <w:sz w:val="10"/>
                <w:szCs w:val="10"/>
                <w:color w:val="auto"/>
              </w:rPr>
              <w:t>(1)</w:t>
            </w:r>
          </w:p>
        </w:tc>
        <w:tc>
          <w:tcPr>
            <w:tcW w:w="2800" w:type="dxa"/>
            <w:vAlign w:val="bottom"/>
          </w:tcPr>
          <w:p>
            <w:pPr>
              <w:ind w:left="360"/>
              <w:spacing w:after="0"/>
              <w:rPr>
                <w:sz w:val="20"/>
                <w:szCs w:val="20"/>
                <w:color w:val="auto"/>
              </w:rPr>
            </w:pPr>
            <w:r>
              <w:rPr>
                <w:rFonts w:ascii="Arial" w:cs="Arial" w:eastAsia="Arial" w:hAnsi="Arial"/>
                <w:sz w:val="12"/>
                <w:szCs w:val="12"/>
                <w:color w:val="auto"/>
              </w:rPr>
              <w:t>Other Assets: Non-trading derivative assets</w:t>
            </w:r>
          </w:p>
        </w:tc>
      </w:tr>
      <w:tr>
        <w:trPr>
          <w:trHeight w:val="213"/>
        </w:trPr>
        <w:tc>
          <w:tcPr>
            <w:tcW w:w="2420" w:type="dxa"/>
            <w:vAlign w:val="bottom"/>
          </w:tcPr>
          <w:p>
            <w:pPr>
              <w:spacing w:after="0"/>
              <w:rPr>
                <w:sz w:val="20"/>
                <w:szCs w:val="20"/>
                <w:color w:val="auto"/>
              </w:rPr>
            </w:pPr>
            <w:r>
              <w:rPr>
                <w:rFonts w:ascii="Arial" w:cs="Arial" w:eastAsia="Arial" w:hAnsi="Arial"/>
                <w:sz w:val="14"/>
                <w:szCs w:val="14"/>
                <w:color w:val="auto"/>
              </w:rPr>
              <w:t>Interest rate derivatives</w:t>
            </w:r>
          </w:p>
        </w:tc>
        <w:tc>
          <w:tcPr>
            <w:tcW w:w="2800" w:type="dxa"/>
            <w:vAlign w:val="bottom"/>
          </w:tcPr>
          <w:p>
            <w:pPr>
              <w:ind w:left="360"/>
              <w:spacing w:after="0"/>
              <w:rPr>
                <w:sz w:val="20"/>
                <w:szCs w:val="20"/>
                <w:color w:val="auto"/>
              </w:rPr>
            </w:pPr>
            <w:r>
              <w:rPr>
                <w:rFonts w:ascii="Arial" w:cs="Arial" w:eastAsia="Arial" w:hAnsi="Arial"/>
                <w:sz w:val="12"/>
                <w:szCs w:val="12"/>
                <w:color w:val="auto"/>
              </w:rPr>
              <w:t>Current Assets: Non-trading derivative assets</w:t>
            </w:r>
          </w:p>
        </w:tc>
      </w:tr>
      <w:tr>
        <w:trPr>
          <w:trHeight w:val="213"/>
        </w:trPr>
        <w:tc>
          <w:tcPr>
            <w:tcW w:w="2420" w:type="dxa"/>
            <w:vAlign w:val="bottom"/>
          </w:tcPr>
          <w:p>
            <w:pPr>
              <w:spacing w:after="0"/>
              <w:rPr>
                <w:sz w:val="20"/>
                <w:szCs w:val="20"/>
                <w:color w:val="auto"/>
              </w:rPr>
            </w:pPr>
            <w:r>
              <w:rPr>
                <w:rFonts w:ascii="Arial" w:cs="Arial" w:eastAsia="Arial" w:hAnsi="Arial"/>
                <w:sz w:val="14"/>
                <w:szCs w:val="14"/>
                <w:color w:val="auto"/>
              </w:rPr>
              <w:t xml:space="preserve">Indexed debt securities derivative </w:t>
            </w:r>
            <w:r>
              <w:rPr>
                <w:rFonts w:ascii="Arial" w:cs="Arial" w:eastAsia="Arial" w:hAnsi="Arial"/>
                <w:sz w:val="10"/>
                <w:szCs w:val="10"/>
                <w:color w:val="auto"/>
              </w:rPr>
              <w:t>(2)</w:t>
            </w:r>
          </w:p>
        </w:tc>
        <w:tc>
          <w:tcPr>
            <w:tcW w:w="2800" w:type="dxa"/>
            <w:vAlign w:val="bottom"/>
          </w:tcPr>
          <w:p>
            <w:pPr>
              <w:ind w:left="360"/>
              <w:spacing w:after="0"/>
              <w:rPr>
                <w:sz w:val="20"/>
                <w:szCs w:val="20"/>
                <w:color w:val="auto"/>
              </w:rPr>
            </w:pPr>
            <w:r>
              <w:rPr>
                <w:rFonts w:ascii="Arial" w:cs="Arial" w:eastAsia="Arial" w:hAnsi="Arial"/>
                <w:sz w:val="12"/>
                <w:szCs w:val="12"/>
                <w:color w:val="auto"/>
              </w:rPr>
              <w:t>Current Liabilities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-515620</wp:posOffset>
            </wp:positionV>
            <wp:extent cx="7134225" cy="135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-245745</wp:posOffset>
            </wp:positionV>
            <wp:extent cx="7134225" cy="135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24130</wp:posOffset>
            </wp:positionV>
            <wp:extent cx="7134225" cy="1606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160655"/>
                    </a:xfrm>
                    <a:prstGeom prst="rect">
                      <a:avLst/>
                    </a:prstGeom>
                    <a:noFill/>
                  </pic:spPr>
                </pic:pic>
              </a:graphicData>
            </a:graphic>
          </wp:anchor>
        </w:drawing>
      </w:r>
    </w:p>
    <w:p>
      <w:pPr>
        <w:spacing w:after="0" w:line="57"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80" w:type="dxa"/>
            <w:vAlign w:val="bottom"/>
          </w:tcPr>
          <w:p>
            <w:pPr>
              <w:spacing w:after="0"/>
              <w:rPr>
                <w:sz w:val="16"/>
                <w:szCs w:val="16"/>
                <w:color w:val="auto"/>
              </w:rPr>
            </w:pPr>
          </w:p>
        </w:tc>
        <w:tc>
          <w:tcPr>
            <w:tcW w:w="2300" w:type="dxa"/>
            <w:vAlign w:val="bottom"/>
            <w:gridSpan w:val="5"/>
          </w:tcPr>
          <w:p>
            <w:pPr>
              <w:ind w:left="400"/>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Pr>
          <w:p>
            <w:pPr>
              <w:spacing w:after="0"/>
              <w:rPr>
                <w:sz w:val="16"/>
                <w:szCs w:val="16"/>
                <w:color w:val="auto"/>
              </w:rPr>
            </w:pPr>
          </w:p>
        </w:tc>
        <w:tc>
          <w:tcPr>
            <w:tcW w:w="2200" w:type="dxa"/>
            <w:vAlign w:val="bottom"/>
            <w:gridSpan w:val="4"/>
          </w:tcPr>
          <w:p>
            <w:pPr>
              <w:jc w:val="right"/>
              <w:ind w:right="524"/>
              <w:spacing w:after="0"/>
              <w:rPr>
                <w:sz w:val="20"/>
                <w:szCs w:val="20"/>
                <w:color w:val="auto"/>
              </w:rPr>
            </w:pPr>
            <w:r>
              <w:rPr>
                <w:rFonts w:ascii="Arial" w:cs="Arial" w:eastAsia="Arial" w:hAnsi="Arial"/>
                <w:sz w:val="14"/>
                <w:szCs w:val="14"/>
                <w:b w:val="1"/>
                <w:bCs w:val="1"/>
                <w:color w:val="auto"/>
              </w:rPr>
              <w:t>December 31, 2022</w:t>
            </w:r>
          </w:p>
        </w:tc>
      </w:tr>
      <w:tr>
        <w:trPr>
          <w:trHeight w:val="24"/>
        </w:trPr>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30"/>
        </w:trPr>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95"/>
              </w:rPr>
              <w:t>Derivative</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4"/>
                <w:szCs w:val="14"/>
                <w:b w:val="1"/>
                <w:bCs w:val="1"/>
                <w:color w:val="auto"/>
              </w:rPr>
              <w:t>Derivative</w:t>
            </w: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300"/>
              <w:spacing w:after="0" w:line="131" w:lineRule="exact"/>
              <w:rPr>
                <w:sz w:val="20"/>
                <w:szCs w:val="20"/>
                <w:color w:val="auto"/>
              </w:rPr>
            </w:pPr>
            <w:r>
              <w:rPr>
                <w:rFonts w:ascii="Arial" w:cs="Arial" w:eastAsia="Arial" w:hAnsi="Arial"/>
                <w:sz w:val="14"/>
                <w:szCs w:val="14"/>
                <w:b w:val="1"/>
                <w:bCs w:val="1"/>
                <w:color w:val="auto"/>
                <w:w w:val="92"/>
              </w:rPr>
              <w:t>Derivative</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4"/>
                <w:szCs w:val="14"/>
                <w:b w:val="1"/>
                <w:bCs w:val="1"/>
                <w:color w:val="auto"/>
              </w:rPr>
              <w:t>Derivative</w:t>
            </w:r>
          </w:p>
        </w:tc>
      </w:tr>
      <w:tr>
        <w:trPr>
          <w:trHeight w:val="146"/>
        </w:trPr>
        <w:tc>
          <w:tcPr>
            <w:tcW w:w="180" w:type="dxa"/>
            <w:vAlign w:val="bottom"/>
          </w:tcPr>
          <w:p>
            <w:pPr>
              <w:spacing w:after="0"/>
              <w:rPr>
                <w:sz w:val="12"/>
                <w:szCs w:val="12"/>
                <w:color w:val="auto"/>
              </w:rPr>
            </w:pPr>
          </w:p>
        </w:tc>
        <w:tc>
          <w:tcPr>
            <w:tcW w:w="104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78"/>
              </w:rPr>
              <w:t>Assets</w:t>
            </w:r>
          </w:p>
        </w:tc>
        <w:tc>
          <w:tcPr>
            <w:tcW w:w="180" w:type="dxa"/>
            <w:vAlign w:val="bottom"/>
          </w:tcPr>
          <w:p>
            <w:pPr>
              <w:spacing w:after="0"/>
              <w:rPr>
                <w:sz w:val="12"/>
                <w:szCs w:val="12"/>
                <w:color w:val="auto"/>
              </w:rPr>
            </w:pPr>
          </w:p>
        </w:tc>
        <w:tc>
          <w:tcPr>
            <w:tcW w:w="108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2"/>
                <w:szCs w:val="12"/>
                <w:color w:val="auto"/>
              </w:rPr>
            </w:pPr>
          </w:p>
        </w:tc>
        <w:tc>
          <w:tcPr>
            <w:tcW w:w="10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2"/>
                <w:szCs w:val="12"/>
                <w:color w:val="auto"/>
              </w:rPr>
            </w:pPr>
          </w:p>
        </w:tc>
        <w:tc>
          <w:tcPr>
            <w:tcW w:w="940" w:type="dxa"/>
            <w:vAlign w:val="bottom"/>
          </w:tcPr>
          <w:p>
            <w:pPr>
              <w:ind w:left="60"/>
              <w:spacing w:after="0" w:line="147" w:lineRule="exact"/>
              <w:rPr>
                <w:sz w:val="20"/>
                <w:szCs w:val="20"/>
                <w:color w:val="auto"/>
              </w:rPr>
            </w:pPr>
            <w:r>
              <w:rPr>
                <w:rFonts w:ascii="Arial" w:cs="Arial" w:eastAsia="Arial" w:hAnsi="Arial"/>
                <w:sz w:val="14"/>
                <w:szCs w:val="14"/>
                <w:b w:val="1"/>
                <w:bCs w:val="1"/>
                <w:color w:val="auto"/>
              </w:rPr>
              <w:t>Liabilities</w:t>
            </w:r>
          </w:p>
        </w:tc>
      </w:tr>
      <w:tr>
        <w:trPr>
          <w:trHeight w:val="190"/>
        </w:trPr>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20" w:type="dxa"/>
            <w:vAlign w:val="bottom"/>
            <w:gridSpan w:val="5"/>
          </w:tcPr>
          <w:p>
            <w:pPr>
              <w:ind w:left="6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23"/>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630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578</w:t>
            </w:r>
          </w:p>
        </w:tc>
      </w:tr>
      <w:tr>
        <w:trPr>
          <w:trHeight w:val="206"/>
        </w:trPr>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630</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578</w:t>
            </w:r>
          </w:p>
        </w:tc>
      </w:tr>
      <w:tr>
        <w:trPr>
          <w:trHeight w:val="22"/>
        </w:trPr>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680" w:space="720"/>
            <w:col w:w="4840"/>
          </w:cols>
          <w:pgMar w:left="320" w:top="12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200" w:lineRule="exact"/>
        <w:rPr>
          <w:sz w:val="20"/>
          <w:szCs w:val="20"/>
          <w:color w:val="auto"/>
        </w:rPr>
      </w:pP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120" w:type="dxa"/>
            <w:vAlign w:val="bottom"/>
          </w:tcPr>
          <w:p>
            <w:pPr>
              <w:spacing w:after="0"/>
              <w:rPr>
                <w:sz w:val="16"/>
                <w:szCs w:val="16"/>
                <w:color w:val="auto"/>
              </w:rPr>
            </w:pPr>
          </w:p>
        </w:tc>
        <w:tc>
          <w:tcPr>
            <w:tcW w:w="3100" w:type="dxa"/>
            <w:vAlign w:val="bottom"/>
          </w:tcPr>
          <w:p>
            <w:pPr>
              <w:ind w:left="1700"/>
              <w:spacing w:after="0"/>
              <w:rPr>
                <w:sz w:val="20"/>
                <w:szCs w:val="20"/>
                <w:color w:val="auto"/>
              </w:rPr>
            </w:pPr>
            <w:r>
              <w:rPr>
                <w:rFonts w:ascii="Arial" w:cs="Arial" w:eastAsia="Arial" w:hAnsi="Arial"/>
                <w:sz w:val="14"/>
                <w:szCs w:val="14"/>
                <w:b w:val="1"/>
                <w:bCs w:val="1"/>
                <w:color w:val="auto"/>
                <w:w w:val="87"/>
              </w:rPr>
              <w:t>Balance Sheet Location</w:t>
            </w:r>
          </w:p>
        </w:tc>
      </w:tr>
      <w:tr>
        <w:trPr>
          <w:trHeight w:val="213"/>
        </w:trPr>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Derivatives not designated as hedging instruments:</w:t>
            </w:r>
          </w:p>
        </w:tc>
      </w:tr>
      <w:tr>
        <w:trPr>
          <w:trHeight w:val="199"/>
        </w:trPr>
        <w:tc>
          <w:tcPr>
            <w:tcW w:w="2120" w:type="dxa"/>
            <w:vAlign w:val="bottom"/>
          </w:tcPr>
          <w:p>
            <w:pPr>
              <w:spacing w:after="0"/>
              <w:rPr>
                <w:sz w:val="20"/>
                <w:szCs w:val="20"/>
                <w:color w:val="auto"/>
              </w:rPr>
            </w:pPr>
            <w:r>
              <w:rPr>
                <w:rFonts w:ascii="Arial" w:cs="Arial" w:eastAsia="Arial" w:hAnsi="Arial"/>
                <w:sz w:val="14"/>
                <w:szCs w:val="14"/>
                <w:color w:val="auto"/>
              </w:rPr>
              <w:t xml:space="preserve">Natural gas derivatives </w:t>
            </w:r>
            <w:r>
              <w:rPr>
                <w:rFonts w:ascii="Arial" w:cs="Arial" w:eastAsia="Arial" w:hAnsi="Arial"/>
                <w:sz w:val="10"/>
                <w:szCs w:val="10"/>
                <w:color w:val="auto"/>
              </w:rPr>
              <w:t>(1)</w:t>
            </w:r>
          </w:p>
        </w:tc>
        <w:tc>
          <w:tcPr>
            <w:tcW w:w="3100" w:type="dxa"/>
            <w:vAlign w:val="bottom"/>
          </w:tcPr>
          <w:p>
            <w:pPr>
              <w:ind w:left="660"/>
              <w:spacing w:after="0"/>
              <w:rPr>
                <w:sz w:val="20"/>
                <w:szCs w:val="20"/>
                <w:color w:val="auto"/>
              </w:rPr>
            </w:pPr>
            <w:r>
              <w:rPr>
                <w:rFonts w:ascii="Arial" w:cs="Arial" w:eastAsia="Arial" w:hAnsi="Arial"/>
                <w:sz w:val="12"/>
                <w:szCs w:val="12"/>
                <w:color w:val="auto"/>
              </w:rPr>
              <w:t>Current Assets: Non-trading derivative assets</w:t>
            </w:r>
          </w:p>
        </w:tc>
      </w:tr>
      <w:tr>
        <w:trPr>
          <w:trHeight w:val="213"/>
        </w:trPr>
        <w:tc>
          <w:tcPr>
            <w:tcW w:w="2120" w:type="dxa"/>
            <w:vAlign w:val="bottom"/>
          </w:tcPr>
          <w:p>
            <w:pPr>
              <w:spacing w:after="0"/>
              <w:rPr>
                <w:sz w:val="20"/>
                <w:szCs w:val="20"/>
                <w:color w:val="auto"/>
              </w:rPr>
            </w:pPr>
            <w:r>
              <w:rPr>
                <w:rFonts w:ascii="Arial" w:cs="Arial" w:eastAsia="Arial" w:hAnsi="Arial"/>
                <w:sz w:val="14"/>
                <w:szCs w:val="14"/>
                <w:color w:val="auto"/>
              </w:rPr>
              <w:t xml:space="preserve">Natural gas derivatives </w:t>
            </w:r>
            <w:r>
              <w:rPr>
                <w:rFonts w:ascii="Arial" w:cs="Arial" w:eastAsia="Arial" w:hAnsi="Arial"/>
                <w:sz w:val="10"/>
                <w:szCs w:val="10"/>
                <w:color w:val="auto"/>
              </w:rPr>
              <w:t>(1)</w:t>
            </w:r>
          </w:p>
        </w:tc>
        <w:tc>
          <w:tcPr>
            <w:tcW w:w="3100" w:type="dxa"/>
            <w:vAlign w:val="bottom"/>
          </w:tcPr>
          <w:p>
            <w:pPr>
              <w:ind w:left="660"/>
              <w:spacing w:after="0"/>
              <w:rPr>
                <w:sz w:val="20"/>
                <w:szCs w:val="20"/>
                <w:color w:val="auto"/>
              </w:rPr>
            </w:pPr>
            <w:r>
              <w:rPr>
                <w:rFonts w:ascii="Arial" w:cs="Arial" w:eastAsia="Arial" w:hAnsi="Arial"/>
                <w:sz w:val="12"/>
                <w:szCs w:val="12"/>
                <w:color w:val="auto"/>
              </w:rPr>
              <w:t>Other Assets: Non-trading derivative assets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-245745</wp:posOffset>
            </wp:positionV>
            <wp:extent cx="7134225" cy="135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24130</wp:posOffset>
            </wp:positionV>
            <wp:extent cx="7134225" cy="1606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225" cy="160655"/>
                    </a:xfrm>
                    <a:prstGeom prst="rect">
                      <a:avLst/>
                    </a:prstGeom>
                    <a:noFill/>
                  </pic:spPr>
                </pic:pic>
              </a:graphicData>
            </a:graphic>
          </wp:anchor>
        </w:drawing>
      </w:r>
    </w:p>
    <w:p>
      <w:pPr>
        <w:spacing w:after="0" w:line="57"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80" w:type="dxa"/>
            <w:vAlign w:val="bottom"/>
          </w:tcPr>
          <w:p>
            <w:pPr>
              <w:spacing w:after="0"/>
              <w:rPr>
                <w:sz w:val="16"/>
                <w:szCs w:val="16"/>
                <w:color w:val="auto"/>
              </w:rPr>
            </w:pPr>
          </w:p>
        </w:tc>
        <w:tc>
          <w:tcPr>
            <w:tcW w:w="2300" w:type="dxa"/>
            <w:vAlign w:val="bottom"/>
            <w:gridSpan w:val="5"/>
          </w:tcPr>
          <w:p>
            <w:pPr>
              <w:ind w:left="400"/>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Pr>
          <w:p>
            <w:pPr>
              <w:spacing w:after="0"/>
              <w:rPr>
                <w:sz w:val="16"/>
                <w:szCs w:val="16"/>
                <w:color w:val="auto"/>
              </w:rPr>
            </w:pPr>
          </w:p>
        </w:tc>
        <w:tc>
          <w:tcPr>
            <w:tcW w:w="2200" w:type="dxa"/>
            <w:vAlign w:val="bottom"/>
            <w:gridSpan w:val="4"/>
          </w:tcPr>
          <w:p>
            <w:pPr>
              <w:ind w:left="440"/>
              <w:spacing w:after="0"/>
              <w:rPr>
                <w:sz w:val="20"/>
                <w:szCs w:val="20"/>
                <w:color w:val="auto"/>
              </w:rPr>
            </w:pPr>
            <w:r>
              <w:rPr>
                <w:rFonts w:ascii="Arial" w:cs="Arial" w:eastAsia="Arial" w:hAnsi="Arial"/>
                <w:sz w:val="14"/>
                <w:szCs w:val="14"/>
                <w:b w:val="1"/>
                <w:bCs w:val="1"/>
                <w:color w:val="auto"/>
              </w:rPr>
              <w:t>December 31, 2022</w:t>
            </w:r>
          </w:p>
        </w:tc>
      </w:tr>
      <w:tr>
        <w:trPr>
          <w:trHeight w:val="24"/>
        </w:trPr>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26"/>
        </w:trPr>
        <w:tc>
          <w:tcPr>
            <w:tcW w:w="1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center"/>
              <w:ind w:right="280"/>
              <w:spacing w:after="0" w:line="127" w:lineRule="exact"/>
              <w:rPr>
                <w:sz w:val="20"/>
                <w:szCs w:val="20"/>
                <w:color w:val="auto"/>
              </w:rPr>
            </w:pPr>
            <w:r>
              <w:rPr>
                <w:rFonts w:ascii="Arial" w:cs="Arial" w:eastAsia="Arial" w:hAnsi="Arial"/>
                <w:sz w:val="14"/>
                <w:szCs w:val="14"/>
                <w:b w:val="1"/>
                <w:bCs w:val="1"/>
                <w:color w:val="auto"/>
                <w:w w:val="95"/>
              </w:rPr>
              <w:t>Derivative</w:t>
            </w: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ind w:left="60"/>
              <w:spacing w:after="0" w:line="127" w:lineRule="exact"/>
              <w:rPr>
                <w:sz w:val="20"/>
                <w:szCs w:val="20"/>
                <w:color w:val="auto"/>
              </w:rPr>
            </w:pPr>
            <w:r>
              <w:rPr>
                <w:rFonts w:ascii="Arial" w:cs="Arial" w:eastAsia="Arial" w:hAnsi="Arial"/>
                <w:sz w:val="14"/>
                <w:szCs w:val="14"/>
                <w:b w:val="1"/>
                <w:bCs w:val="1"/>
                <w:color w:val="auto"/>
              </w:rPr>
              <w:t>Derivative</w:t>
            </w: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ind w:right="300"/>
              <w:spacing w:after="0" w:line="127" w:lineRule="exact"/>
              <w:rPr>
                <w:sz w:val="20"/>
                <w:szCs w:val="20"/>
                <w:color w:val="auto"/>
              </w:rPr>
            </w:pPr>
            <w:r>
              <w:rPr>
                <w:rFonts w:ascii="Arial" w:cs="Arial" w:eastAsia="Arial" w:hAnsi="Arial"/>
                <w:sz w:val="14"/>
                <w:szCs w:val="14"/>
                <w:b w:val="1"/>
                <w:bCs w:val="1"/>
                <w:color w:val="auto"/>
                <w:w w:val="92"/>
              </w:rPr>
              <w:t>Derivative</w:t>
            </w: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ind w:left="60"/>
              <w:spacing w:after="0" w:line="127" w:lineRule="exact"/>
              <w:rPr>
                <w:sz w:val="20"/>
                <w:szCs w:val="20"/>
                <w:color w:val="auto"/>
              </w:rPr>
            </w:pPr>
            <w:r>
              <w:rPr>
                <w:rFonts w:ascii="Arial" w:cs="Arial" w:eastAsia="Arial" w:hAnsi="Arial"/>
                <w:sz w:val="14"/>
                <w:szCs w:val="14"/>
                <w:b w:val="1"/>
                <w:bCs w:val="1"/>
                <w:color w:val="auto"/>
              </w:rPr>
              <w:t>Derivative</w:t>
            </w:r>
          </w:p>
        </w:tc>
      </w:tr>
      <w:tr>
        <w:trPr>
          <w:trHeight w:val="137"/>
        </w:trPr>
        <w:tc>
          <w:tcPr>
            <w:tcW w:w="180" w:type="dxa"/>
            <w:vAlign w:val="bottom"/>
          </w:tcPr>
          <w:p>
            <w:pPr>
              <w:spacing w:after="0"/>
              <w:rPr>
                <w:sz w:val="11"/>
                <w:szCs w:val="11"/>
                <w:color w:val="auto"/>
              </w:rPr>
            </w:pPr>
          </w:p>
        </w:tc>
        <w:tc>
          <w:tcPr>
            <w:tcW w:w="1040" w:type="dxa"/>
            <w:vAlign w:val="bottom"/>
            <w:gridSpan w:val="2"/>
          </w:tcPr>
          <w:p>
            <w:pPr>
              <w:jc w:val="center"/>
              <w:ind w:right="280"/>
              <w:spacing w:after="0" w:line="137" w:lineRule="exact"/>
              <w:rPr>
                <w:sz w:val="20"/>
                <w:szCs w:val="20"/>
                <w:color w:val="auto"/>
              </w:rPr>
            </w:pPr>
            <w:r>
              <w:rPr>
                <w:rFonts w:ascii="Arial" w:cs="Arial" w:eastAsia="Arial" w:hAnsi="Arial"/>
                <w:sz w:val="14"/>
                <w:szCs w:val="14"/>
                <w:b w:val="1"/>
                <w:bCs w:val="1"/>
                <w:color w:val="auto"/>
                <w:w w:val="78"/>
              </w:rPr>
              <w:t>Assets</w:t>
            </w:r>
          </w:p>
        </w:tc>
        <w:tc>
          <w:tcPr>
            <w:tcW w:w="180" w:type="dxa"/>
            <w:vAlign w:val="bottom"/>
          </w:tcPr>
          <w:p>
            <w:pPr>
              <w:spacing w:after="0"/>
              <w:rPr>
                <w:sz w:val="11"/>
                <w:szCs w:val="11"/>
                <w:color w:val="auto"/>
              </w:rPr>
            </w:pPr>
          </w:p>
        </w:tc>
        <w:tc>
          <w:tcPr>
            <w:tcW w:w="1080" w:type="dxa"/>
            <w:vAlign w:val="bottom"/>
            <w:gridSpan w:val="2"/>
          </w:tcPr>
          <w:p>
            <w:pPr>
              <w:ind w:left="60"/>
              <w:spacing w:after="0" w:line="137" w:lineRule="exact"/>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1"/>
                <w:szCs w:val="11"/>
                <w:color w:val="auto"/>
              </w:rPr>
            </w:pPr>
          </w:p>
        </w:tc>
        <w:tc>
          <w:tcPr>
            <w:tcW w:w="1080" w:type="dxa"/>
            <w:vAlign w:val="bottom"/>
            <w:gridSpan w:val="2"/>
          </w:tcPr>
          <w:p>
            <w:pPr>
              <w:jc w:val="center"/>
              <w:ind w:right="300"/>
              <w:spacing w:after="0" w:line="137" w:lineRule="exact"/>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1"/>
                <w:szCs w:val="11"/>
                <w:color w:val="auto"/>
              </w:rPr>
            </w:pPr>
          </w:p>
        </w:tc>
        <w:tc>
          <w:tcPr>
            <w:tcW w:w="940" w:type="dxa"/>
            <w:vAlign w:val="bottom"/>
          </w:tcPr>
          <w:p>
            <w:pPr>
              <w:ind w:left="60"/>
              <w:spacing w:after="0" w:line="137" w:lineRule="exact"/>
              <w:rPr>
                <w:sz w:val="20"/>
                <w:szCs w:val="20"/>
                <w:color w:val="auto"/>
              </w:rPr>
            </w:pPr>
            <w:r>
              <w:rPr>
                <w:rFonts w:ascii="Arial" w:cs="Arial" w:eastAsia="Arial" w:hAnsi="Arial"/>
                <w:sz w:val="14"/>
                <w:szCs w:val="14"/>
                <w:b w:val="1"/>
                <w:bCs w:val="1"/>
                <w:color w:val="auto"/>
              </w:rPr>
              <w:t>Liabilities</w:t>
            </w:r>
          </w:p>
        </w:tc>
      </w:tr>
      <w:tr>
        <w:trPr>
          <w:trHeight w:val="184"/>
        </w:trPr>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4"/>
                <w:szCs w:val="14"/>
                <w:b w:val="1"/>
                <w:bCs w:val="1"/>
                <w:color w:val="auto"/>
              </w:rPr>
              <w:t>Fair Value</w:t>
            </w:r>
          </w:p>
        </w:tc>
      </w:tr>
      <w:tr>
        <w:trPr>
          <w:trHeight w:val="24"/>
        </w:trPr>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78"/>
        </w:trPr>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20" w:type="dxa"/>
            <w:vAlign w:val="bottom"/>
            <w:gridSpan w:val="5"/>
          </w:tcPr>
          <w:p>
            <w:pPr>
              <w:ind w:left="6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23"/>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5"/>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ind w:left="720"/>
              <w:spacing w:after="0"/>
              <w:rPr>
                <w:sz w:val="20"/>
                <w:szCs w:val="20"/>
                <w:color w:val="auto"/>
              </w:rPr>
            </w:pPr>
            <w:r>
              <w:rPr>
                <w:rFonts w:ascii="Arial" w:cs="Arial" w:eastAsia="Arial" w:hAnsi="Arial"/>
                <w:sz w:val="16"/>
                <w:szCs w:val="16"/>
                <w:color w:val="auto"/>
              </w:rPr>
              <w:t>—</w:t>
            </w:r>
          </w:p>
        </w:tc>
      </w:tr>
      <w:tr>
        <w:trPr>
          <w:trHeight w:val="215"/>
        </w:trPr>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w:t>
            </w:r>
          </w:p>
        </w:tc>
      </w:tr>
      <w:tr>
        <w:trPr>
          <w:trHeight w:val="206"/>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5"/>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ind w:left="720"/>
              <w:spacing w:after="0"/>
              <w:rPr>
                <w:sz w:val="20"/>
                <w:szCs w:val="20"/>
                <w:color w:val="auto"/>
              </w:rPr>
            </w:pPr>
            <w:r>
              <w:rPr>
                <w:rFonts w:ascii="Arial" w:cs="Arial" w:eastAsia="Arial" w:hAnsi="Arial"/>
                <w:sz w:val="16"/>
                <w:szCs w:val="16"/>
                <w:color w:val="auto"/>
              </w:rPr>
              <w:t>—</w:t>
            </w:r>
          </w:p>
        </w:tc>
      </w:tr>
      <w:tr>
        <w:trPr>
          <w:trHeight w:val="22"/>
        </w:trPr>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680" w:space="720"/>
            <w:col w:w="4840"/>
          </w:cols>
          <w:pgMar w:left="320" w:top="127" w:right="339" w:bottom="1440" w:gutter="0" w:footer="0" w:header="0"/>
        </w:sectPr>
      </w:pPr>
    </w:p>
    <w:p>
      <w:pPr>
        <w:spacing w:after="0" w:line="200" w:lineRule="exact"/>
        <w:rPr>
          <w:sz w:val="20"/>
          <w:szCs w:val="20"/>
          <w:color w:val="auto"/>
        </w:rPr>
      </w:pPr>
    </w:p>
    <w:p>
      <w:pPr>
        <w:ind w:left="640" w:hanging="315"/>
        <w:spacing w:after="0" w:line="253" w:lineRule="auto"/>
        <w:tabs>
          <w:tab w:leader="none" w:pos="634"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Natural gas contracts are subject to master netting arrangements. This netting applies to all undisputed amounts due or past due. However, the mark-to-market fair value of each natural gas contract is in an asset position with no offsetting amounts.</w:t>
      </w:r>
    </w:p>
    <w:p>
      <w:pPr>
        <w:ind w:left="640" w:right="20" w:hanging="315"/>
        <w:spacing w:after="0" w:line="253" w:lineRule="auto"/>
        <w:tabs>
          <w:tab w:leader="none" w:pos="634"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Derivative component of the ZENS obligation that represents the ZENS holder’s option to receive the appreciated value of the reference shares at maturity and other payments to which they may be entitled. See Note 10 for further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 Impact of Hedge Accounting Activity (CenterPoint Energy)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Three Months Ended September</w:t>
            </w:r>
          </w:p>
        </w:tc>
        <w:tc>
          <w:tcPr>
            <w:tcW w:w="22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93"/>
        </w:trPr>
        <w:tc>
          <w:tcPr>
            <w:tcW w:w="39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ind w:right="585"/>
              <w:spacing w:after="0"/>
              <w:rPr>
                <w:sz w:val="20"/>
                <w:szCs w:val="20"/>
                <w:color w:val="auto"/>
              </w:rPr>
            </w:pPr>
            <w:r>
              <w:rPr>
                <w:rFonts w:ascii="Arial" w:cs="Arial" w:eastAsia="Arial" w:hAnsi="Arial"/>
                <w:sz w:val="14"/>
                <w:szCs w:val="14"/>
                <w:b w:val="1"/>
                <w:bCs w:val="1"/>
                <w:color w:val="auto"/>
              </w:rPr>
              <w:t>30,</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960" w:type="dxa"/>
            <w:vAlign w:val="bottom"/>
          </w:tcPr>
          <w:p>
            <w:pPr>
              <w:spacing w:after="0"/>
              <w:rPr>
                <w:sz w:val="16"/>
                <w:szCs w:val="16"/>
                <w:color w:val="auto"/>
              </w:rPr>
            </w:pPr>
          </w:p>
        </w:tc>
        <w:tc>
          <w:tcPr>
            <w:tcW w:w="2780" w:type="dxa"/>
            <w:vAlign w:val="bottom"/>
            <w:gridSpan w:val="2"/>
          </w:tcPr>
          <w:p>
            <w:pPr>
              <w:ind w:left="500"/>
              <w:spacing w:after="0"/>
              <w:rPr>
                <w:sz w:val="20"/>
                <w:szCs w:val="20"/>
                <w:color w:val="auto"/>
              </w:rPr>
            </w:pPr>
            <w:r>
              <w:rPr>
                <w:rFonts w:ascii="Arial" w:cs="Arial" w:eastAsia="Arial" w:hAnsi="Arial"/>
                <w:sz w:val="14"/>
                <w:szCs w:val="14"/>
                <w:b w:val="1"/>
                <w:bCs w:val="1"/>
                <w:color w:val="auto"/>
              </w:rPr>
              <w:t>Income Statement Location</w:t>
            </w:r>
          </w:p>
        </w:tc>
        <w:tc>
          <w:tcPr>
            <w:tcW w:w="100" w:type="dxa"/>
            <w:vAlign w:val="bottom"/>
          </w:tcPr>
          <w:p>
            <w:pPr>
              <w:spacing w:after="0"/>
              <w:rPr>
                <w:sz w:val="16"/>
                <w:szCs w:val="16"/>
                <w:color w:val="auto"/>
              </w:rPr>
            </w:pPr>
          </w:p>
        </w:tc>
        <w:tc>
          <w:tcPr>
            <w:tcW w:w="980" w:type="dxa"/>
            <w:vAlign w:val="bottom"/>
          </w:tcPr>
          <w:p>
            <w:pPr>
              <w:jc w:val="right"/>
              <w:ind w:right="347"/>
              <w:spacing w:after="0"/>
              <w:rPr>
                <w:sz w:val="20"/>
                <w:szCs w:val="20"/>
                <w:color w:val="auto"/>
              </w:rPr>
            </w:pPr>
            <w:r>
              <w:rPr>
                <w:rFonts w:ascii="Arial" w:cs="Arial" w:eastAsia="Arial" w:hAnsi="Arial"/>
                <w:sz w:val="14"/>
                <w:szCs w:val="14"/>
                <w:b w:val="1"/>
                <w:bCs w:val="1"/>
                <w:color w:val="auto"/>
              </w:rPr>
              <w:t>2023</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ind w:right="365"/>
              <w:spacing w:after="0"/>
              <w:rPr>
                <w:sz w:val="20"/>
                <w:szCs w:val="20"/>
                <w:color w:val="auto"/>
              </w:rPr>
            </w:pPr>
            <w:r>
              <w:rPr>
                <w:rFonts w:ascii="Arial" w:cs="Arial" w:eastAsia="Arial" w:hAnsi="Arial"/>
                <w:sz w:val="14"/>
                <w:szCs w:val="14"/>
                <w:b w:val="1"/>
                <w:bCs w:val="1"/>
                <w:color w:val="auto"/>
                <w:w w:val="96"/>
              </w:rPr>
              <w:t>2023</w:t>
            </w:r>
          </w:p>
        </w:tc>
        <w:tc>
          <w:tcPr>
            <w:tcW w:w="300" w:type="dxa"/>
            <w:vAlign w:val="bottom"/>
          </w:tcPr>
          <w:p>
            <w:pPr>
              <w:spacing w:after="0"/>
              <w:rPr>
                <w:sz w:val="16"/>
                <w:szCs w:val="16"/>
                <w:color w:val="auto"/>
              </w:rPr>
            </w:pPr>
          </w:p>
        </w:tc>
        <w:tc>
          <w:tcPr>
            <w:tcW w:w="800" w:type="dxa"/>
            <w:vAlign w:val="bottom"/>
          </w:tcPr>
          <w:p>
            <w:pPr>
              <w:jc w:val="right"/>
              <w:ind w:right="30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2"/>
        </w:trPr>
        <w:tc>
          <w:tcPr>
            <w:tcW w:w="3960" w:type="dxa"/>
            <w:vAlign w:val="bottom"/>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6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4"/>
              </w:rPr>
              <w:t>(in millions)</w:t>
            </w:r>
          </w:p>
        </w:tc>
        <w:tc>
          <w:tcPr>
            <w:tcW w:w="7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Indexed debt securities derivative </w:t>
            </w:r>
            <w:r>
              <w:rPr>
                <w:rFonts w:ascii="Arial" w:cs="Arial" w:eastAsia="Arial" w:hAnsi="Arial"/>
                <w:sz w:val="12"/>
                <w:szCs w:val="12"/>
                <w:color w:val="auto"/>
              </w:rPr>
              <w:t>(1)</w:t>
            </w: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Gain (loss) on indexed debt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(47)</w:t>
            </w:r>
          </w:p>
        </w:tc>
        <w:tc>
          <w:tcPr>
            <w:tcW w:w="760" w:type="dxa"/>
            <w:vAlign w:val="bottom"/>
            <w:shd w:val="clear" w:color="auto" w:fill="CCEEFF"/>
          </w:tcPr>
          <w:p>
            <w:pPr>
              <w:jc w:val="right"/>
              <w:ind w:right="525"/>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(52)</w:t>
            </w:r>
          </w:p>
        </w:tc>
        <w:tc>
          <w:tcPr>
            <w:tcW w:w="3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640" w:hanging="315"/>
        <w:spacing w:after="0" w:line="266" w:lineRule="auto"/>
        <w:tabs>
          <w:tab w:leader="none" w:pos="634"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indexed debt securities derivative is recorded at fair value and changes in the fair value are recorded in CenterPoint Energy’s Condensed Statements of Consolidated Income.</w:t>
      </w:r>
    </w:p>
    <w:p>
      <w:pPr>
        <w:spacing w:after="0" w:line="299" w:lineRule="exact"/>
        <w:rPr>
          <w:rFonts w:ascii="Arial" w:cs="Arial" w:eastAsia="Arial" w:hAnsi="Arial"/>
          <w:sz w:val="18"/>
          <w:szCs w:val="18"/>
          <w:color w:val="auto"/>
        </w:rPr>
      </w:pPr>
    </w:p>
    <w:p>
      <w:pPr>
        <w:ind w:left="400" w:hanging="234"/>
        <w:spacing w:after="0"/>
        <w:tabs>
          <w:tab w:leader="none" w:pos="40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Credit Risk Contingent Features (CenterPoint Energy)</w:t>
      </w:r>
    </w:p>
    <w:p>
      <w:pPr>
        <w:spacing w:after="0" w:line="245" w:lineRule="exact"/>
        <w:rPr>
          <w:sz w:val="20"/>
          <w:szCs w:val="20"/>
          <w:color w:val="auto"/>
        </w:rPr>
      </w:pPr>
    </w:p>
    <w:p>
      <w:pPr>
        <w:jc w:val="both"/>
        <w:ind w:firstLine="319"/>
        <w:spacing w:after="0" w:line="283" w:lineRule="auto"/>
        <w:rPr>
          <w:sz w:val="20"/>
          <w:szCs w:val="20"/>
          <w:color w:val="auto"/>
        </w:rPr>
      </w:pPr>
      <w:r>
        <w:rPr>
          <w:rFonts w:ascii="Arial" w:cs="Arial" w:eastAsia="Arial" w:hAnsi="Arial"/>
          <w:sz w:val="17"/>
          <w:szCs w:val="17"/>
          <w:color w:val="auto"/>
        </w:rPr>
        <w:t>Certain of CenterPoint Energy’s derivative instruments contain provisions that require CenterPoint Energy’s debt to maintain an investment grade credit rating on its long-term unsecured unsubordinated debt from S&amp;P and Moody’s. If CenterPoint Energy’s debt were to fall below investment grade, it would be in violation of these provisions, and the counterparties to the derivative instruments could request immediate payment. As of September 30, 2023 and December 31, 2022, all derivatives with credit risk-related contingent features were in an asset position.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25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Assets and liabilities that are recorded at fair value in the Registrants’ Condensed Consolidated Balance Sheets are categorized based upon the level of judgment associated with the inputs used to measure their value. Hierarchical levels, as defined below and directly related to the amount of subjectivity associated with the inputs to fair valuations of these assets and liabilities, are as follows:</w:t>
      </w:r>
    </w:p>
    <w:p>
      <w:pPr>
        <w:spacing w:after="0" w:line="215" w:lineRule="exact"/>
        <w:rPr>
          <w:sz w:val="20"/>
          <w:szCs w:val="20"/>
          <w:color w:val="auto"/>
        </w:rPr>
      </w:pPr>
    </w:p>
    <w:p>
      <w:pPr>
        <w:jc w:val="both"/>
        <w:ind w:left="320"/>
        <w:spacing w:after="0" w:line="266" w:lineRule="auto"/>
        <w:rPr>
          <w:sz w:val="20"/>
          <w:szCs w:val="20"/>
          <w:color w:val="auto"/>
        </w:rPr>
      </w:pPr>
      <w:r>
        <w:rPr>
          <w:rFonts w:ascii="Arial" w:cs="Arial" w:eastAsia="Arial" w:hAnsi="Arial"/>
          <w:sz w:val="18"/>
          <w:szCs w:val="18"/>
          <w:color w:val="auto"/>
        </w:rPr>
        <w:t>Level 1: Inputs are unadjusted quoted prices in active markets for identical assets or liabilities at the measurement date. The types of assets carried at Level 1 fair value generally are exchange-traded derivatives and equity securities.</w:t>
      </w:r>
    </w:p>
    <w:p>
      <w:pPr>
        <w:spacing w:after="0" w:line="206" w:lineRule="exact"/>
        <w:rPr>
          <w:sz w:val="20"/>
          <w:szCs w:val="20"/>
          <w:color w:val="auto"/>
        </w:rPr>
      </w:pPr>
    </w:p>
    <w:p>
      <w:pPr>
        <w:jc w:val="both"/>
        <w:ind w:left="320"/>
        <w:spacing w:after="0" w:line="267" w:lineRule="auto"/>
        <w:rPr>
          <w:sz w:val="20"/>
          <w:szCs w:val="20"/>
          <w:color w:val="auto"/>
        </w:rPr>
      </w:pPr>
      <w:r>
        <w:rPr>
          <w:rFonts w:ascii="Arial" w:cs="Arial" w:eastAsia="Arial" w:hAnsi="Arial"/>
          <w:sz w:val="17"/>
          <w:szCs w:val="17"/>
          <w:color w:val="auto"/>
        </w:rPr>
        <w:t>Level 2: Inputs, other than quoted prices included in Level 1, are observable for the asset or liability, either directly or indirectly. Level 2 inputs include quoted prices for similar instruments in active markets, quoted prices for identical or similar assets or liabilities in inactive markets, inputs other than quoted prices that are observable for the asset or liability and inputs that are derived principally from or corroborated by observable market data by correlation or other means. Fair value assets and liabilities that are generally included in this category are derivatives with fair values based on inputs from actively quoted markets. A market approach is utilized to value the Registrants’ Level 2 natural gas derivative assets or liabilities. CenterPoint Energy’s Level 2 indexed debt securities derivative is valued using an option model and a discounted cash flow model, which uses projected dividends on the ZENS-Related Securities and a discount rate as observable inputs.</w:t>
      </w:r>
    </w:p>
    <w:p>
      <w:pPr>
        <w:spacing w:after="0" w:line="206" w:lineRule="exact"/>
        <w:rPr>
          <w:sz w:val="20"/>
          <w:szCs w:val="20"/>
          <w:color w:val="auto"/>
        </w:rPr>
      </w:pPr>
    </w:p>
    <w:p>
      <w:pPr>
        <w:jc w:val="both"/>
        <w:ind w:left="320"/>
        <w:spacing w:after="0" w:line="266" w:lineRule="auto"/>
        <w:rPr>
          <w:sz w:val="20"/>
          <w:szCs w:val="20"/>
          <w:color w:val="auto"/>
        </w:rPr>
      </w:pPr>
      <w:r>
        <w:rPr>
          <w:rFonts w:ascii="Arial" w:cs="Arial" w:eastAsia="Arial" w:hAnsi="Arial"/>
          <w:sz w:val="18"/>
          <w:szCs w:val="18"/>
          <w:color w:val="auto"/>
        </w:rPr>
        <w:t>Level 3: Inputs are unobservable for the asset or liability, and include situations where there is little, if any, market activity for the asset or liability. Unobservable inputs reflect the Registrants’ judgments about the assumptions market participants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ind w:left="320"/>
        <w:spacing w:after="0" w:line="266" w:lineRule="auto"/>
        <w:rPr>
          <w:sz w:val="20"/>
          <w:szCs w:val="20"/>
          <w:color w:val="auto"/>
        </w:rPr>
      </w:pPr>
      <w:r>
        <w:rPr>
          <w:rFonts w:ascii="Arial" w:cs="Arial" w:eastAsia="Arial" w:hAnsi="Arial"/>
          <w:sz w:val="18"/>
          <w:szCs w:val="18"/>
          <w:color w:val="auto"/>
        </w:rPr>
        <w:t>would use in pricing the asset or liability since limited market data exists. The Registrants develop these inputs based on the best information available, including the Registrants’ own data.</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Registrants determine the appropriate level for each financial asset and liability on a quarterly basis.</w:t>
      </w:r>
    </w:p>
    <w:p>
      <w:pPr>
        <w:spacing w:after="0" w:line="245" w:lineRule="exact"/>
        <w:rPr>
          <w:sz w:val="20"/>
          <w:szCs w:val="20"/>
          <w:color w:val="auto"/>
        </w:rPr>
      </w:pPr>
    </w:p>
    <w:p>
      <w:pPr>
        <w:ind w:firstLine="319"/>
        <w:spacing w:after="0" w:line="329" w:lineRule="auto"/>
        <w:rPr>
          <w:sz w:val="20"/>
          <w:szCs w:val="20"/>
          <w:color w:val="auto"/>
        </w:rPr>
      </w:pPr>
      <w:r>
        <w:rPr>
          <w:rFonts w:ascii="Arial" w:cs="Arial" w:eastAsia="Arial" w:hAnsi="Arial"/>
          <w:sz w:val="16"/>
          <w:szCs w:val="16"/>
          <w:color w:val="auto"/>
        </w:rPr>
        <w:t>The following tables present information about the Registrants’ assets and liabilities measured at fair value on a recurring basis as of September 30, 2023 and December 31, 2022 and indicate the fair value hierarchy of the valuation techniques utilized by the Registrants to determine such fair value.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September 30, 2023</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5"/>
          </w:tcPr>
          <w:p>
            <w:pPr>
              <w:ind w:left="120"/>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4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Level 1</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2</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Level 3</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Total</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1</w:t>
            </w: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2</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3</w:t>
            </w: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9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97"/>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5"/>
          </w:tcPr>
          <w:p>
            <w:pPr>
              <w:ind w:left="30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31"/>
              <w:spacing w:after="0"/>
              <w:rPr>
                <w:sz w:val="20"/>
                <w:szCs w:val="20"/>
                <w:color w:val="auto"/>
              </w:rPr>
            </w:pPr>
            <w:r>
              <w:rPr>
                <w:rFonts w:ascii="Arial" w:cs="Arial" w:eastAsia="Arial" w:hAnsi="Arial"/>
                <w:sz w:val="14"/>
                <w:szCs w:val="14"/>
                <w:color w:val="auto"/>
                <w:w w:val="76"/>
              </w:rPr>
              <w:t>$</w:t>
            </w:r>
          </w:p>
        </w:tc>
        <w:tc>
          <w:tcPr>
            <w:tcW w:w="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190"/>
        </w:trPr>
        <w:tc>
          <w:tcPr>
            <w:tcW w:w="4020" w:type="dxa"/>
            <w:vAlign w:val="bottom"/>
          </w:tcPr>
          <w:p>
            <w:pPr>
              <w:ind w:left="140"/>
              <w:spacing w:after="0"/>
              <w:rPr>
                <w:sz w:val="20"/>
                <w:szCs w:val="20"/>
                <w:color w:val="auto"/>
              </w:rPr>
            </w:pPr>
            <w:r>
              <w:rPr>
                <w:rFonts w:ascii="Arial" w:cs="Arial" w:eastAsia="Arial" w:hAnsi="Arial"/>
                <w:sz w:val="14"/>
                <w:szCs w:val="14"/>
                <w:color w:val="auto"/>
              </w:rPr>
              <w:t xml:space="preserve">Investments, including money market funds </w:t>
            </w:r>
            <w:r>
              <w:rPr>
                <w:rFonts w:ascii="Arial" w:cs="Arial" w:eastAsia="Arial" w:hAnsi="Arial"/>
                <w:sz w:val="10"/>
                <w:szCs w:val="10"/>
                <w:color w:val="auto"/>
              </w:rPr>
              <w:t>(1)</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6"/>
                <w:szCs w:val="16"/>
                <w:color w:val="auto"/>
              </w:rPr>
            </w:pPr>
          </w:p>
        </w:tc>
        <w:tc>
          <w:tcPr>
            <w:tcW w:w="320" w:type="dxa"/>
            <w:vAlign w:val="bottom"/>
            <w:gridSpan w:val="2"/>
          </w:tcPr>
          <w:p>
            <w:pP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9"/>
        </w:trPr>
        <w:tc>
          <w:tcPr>
            <w:tcW w:w="4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rate derivatives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3"/>
        </w:trPr>
        <w:tc>
          <w:tcPr>
            <w:tcW w:w="4020" w:type="dxa"/>
            <w:vAlign w:val="bottom"/>
          </w:tcPr>
          <w:p>
            <w:pPr>
              <w:ind w:left="140"/>
              <w:spacing w:after="0"/>
              <w:rPr>
                <w:sz w:val="20"/>
                <w:szCs w:val="20"/>
                <w:color w:val="auto"/>
              </w:rPr>
            </w:pPr>
            <w:r>
              <w:rPr>
                <w:rFonts w:ascii="Arial" w:cs="Arial" w:eastAsia="Arial" w:hAnsi="Arial"/>
                <w:sz w:val="14"/>
                <w:szCs w:val="14"/>
                <w:color w:val="auto"/>
              </w:rPr>
              <w:t>Natural gas derivatives</w:t>
            </w:r>
          </w:p>
        </w:tc>
        <w:tc>
          <w:tcPr>
            <w:tcW w:w="16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gridSpan w:val="2"/>
          </w:tcPr>
          <w:p>
            <w:pP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24"/>
        </w:trPr>
        <w:tc>
          <w:tcPr>
            <w:tcW w:w="40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431"/>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Indexed debt securities derivative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31"/>
              <w:spacing w:after="0"/>
              <w:rPr>
                <w:sz w:val="20"/>
                <w:szCs w:val="20"/>
                <w:color w:val="auto"/>
              </w:rPr>
            </w:pPr>
            <w:r>
              <w:rPr>
                <w:rFonts w:ascii="Arial" w:cs="Arial" w:eastAsia="Arial" w:hAnsi="Arial"/>
                <w:sz w:val="14"/>
                <w:szCs w:val="14"/>
                <w:color w:val="auto"/>
                <w:w w:val="76"/>
              </w:rPr>
              <w:t>$</w:t>
            </w:r>
          </w:p>
        </w:tc>
        <w:tc>
          <w:tcPr>
            <w:tcW w:w="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193"/>
        </w:trPr>
        <w:tc>
          <w:tcPr>
            <w:tcW w:w="4020" w:type="dxa"/>
            <w:vAlign w:val="bottom"/>
          </w:tcPr>
          <w:p>
            <w:pPr>
              <w:ind w:left="340"/>
              <w:spacing w:after="0"/>
              <w:rPr>
                <w:sz w:val="20"/>
                <w:szCs w:val="20"/>
                <w:color w:val="auto"/>
              </w:rPr>
            </w:pPr>
            <w:r>
              <w:rPr>
                <w:rFonts w:ascii="Arial" w:cs="Arial" w:eastAsia="Arial" w:hAnsi="Arial"/>
                <w:sz w:val="14"/>
                <w:szCs w:val="14"/>
                <w:color w:val="auto"/>
              </w:rPr>
              <w:t>Total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630</w:t>
            </w:r>
          </w:p>
        </w:tc>
        <w:tc>
          <w:tcPr>
            <w:tcW w:w="120" w:type="dxa"/>
            <w:vAlign w:val="bottom"/>
          </w:tcPr>
          <w:p>
            <w:pPr>
              <w:spacing w:after="0"/>
              <w:rPr>
                <w:sz w:val="16"/>
                <w:szCs w:val="16"/>
                <w:color w:val="auto"/>
              </w:rPr>
            </w:pPr>
          </w:p>
        </w:tc>
        <w:tc>
          <w:tcPr>
            <w:tcW w:w="58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630</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578</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September 30, 2023</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5"/>
          </w:tcPr>
          <w:p>
            <w:pPr>
              <w:ind w:left="120"/>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4"/>
        </w:trPr>
        <w:tc>
          <w:tcPr>
            <w:tcW w:w="4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79"/>
        </w:trPr>
        <w:tc>
          <w:tcPr>
            <w:tcW w:w="4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Level 1</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2</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Level 3</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Total</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1</w:t>
            </w: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2</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3</w:t>
            </w: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2"/>
                <w:szCs w:val="12"/>
                <w:b w:val="1"/>
                <w:bCs w:val="1"/>
                <w:color w:val="auto"/>
              </w:rPr>
              <w:t>Total</w:t>
            </w:r>
          </w:p>
        </w:tc>
      </w:tr>
      <w:tr>
        <w:trPr>
          <w:trHeight w:val="197"/>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5"/>
          </w:tcPr>
          <w:p>
            <w:pPr>
              <w:ind w:left="30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2"/>
        </w:trPr>
        <w:tc>
          <w:tcPr>
            <w:tcW w:w="4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Investments, including money market funds </w:t>
            </w:r>
            <w:r>
              <w:rPr>
                <w:rFonts w:ascii="Arial" w:cs="Arial" w:eastAsia="Arial" w:hAnsi="Arial"/>
                <w:sz w:val="10"/>
                <w:szCs w:val="10"/>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32"/>
              <w:spacing w:after="0"/>
              <w:rPr>
                <w:sz w:val="20"/>
                <w:szCs w:val="20"/>
                <w:color w:val="auto"/>
              </w:rPr>
            </w:pPr>
            <w:r>
              <w:rPr>
                <w:rFonts w:ascii="Arial" w:cs="Arial" w:eastAsia="Arial" w:hAnsi="Arial"/>
                <w:sz w:val="14"/>
                <w:szCs w:val="14"/>
                <w:color w:val="auto"/>
                <w:w w:val="76"/>
              </w:rPr>
              <w:t>$</w:t>
            </w:r>
          </w:p>
        </w:tc>
        <w:tc>
          <w:tcPr>
            <w:tcW w:w="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93"/>
        </w:trPr>
        <w:tc>
          <w:tcPr>
            <w:tcW w:w="4020" w:type="dxa"/>
            <w:vAlign w:val="bottom"/>
          </w:tcPr>
          <w:p>
            <w:pPr>
              <w:ind w:left="340"/>
              <w:spacing w:after="0"/>
              <w:rPr>
                <w:sz w:val="20"/>
                <w:szCs w:val="20"/>
                <w:color w:val="auto"/>
              </w:rPr>
            </w:pPr>
            <w:r>
              <w:rPr>
                <w:rFonts w:ascii="Arial" w:cs="Arial" w:eastAsia="Arial" w:hAnsi="Arial"/>
                <w:sz w:val="14"/>
                <w:szCs w:val="14"/>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w:t>
            </w:r>
          </w:p>
        </w:tc>
      </w:tr>
      <w:tr>
        <w:trPr>
          <w:trHeight w:val="20"/>
        </w:trPr>
        <w:tc>
          <w:tcPr>
            <w:tcW w:w="4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7" w:right="339" w:bottom="1440" w:gutter="0" w:footer="0" w:header="0"/>
        </w:sectPr>
      </w:pP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Assets</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Investments, including money market funds </w:t>
      </w:r>
      <w:r>
        <w:rPr>
          <w:rFonts w:ascii="Arial" w:cs="Arial" w:eastAsia="Arial" w:hAnsi="Arial"/>
          <w:sz w:val="9"/>
          <w:szCs w:val="9"/>
          <w:color w:val="auto"/>
        </w:rPr>
        <w:t>(1)</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Natural gas derivatives</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Total assets</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gridSpan w:val="4"/>
          </w:tcPr>
          <w:p>
            <w:pPr>
              <w:ind w:left="120"/>
              <w:spacing w:after="0"/>
              <w:rPr>
                <w:sz w:val="20"/>
                <w:szCs w:val="20"/>
                <w:color w:val="auto"/>
              </w:rPr>
            </w:pPr>
            <w:r>
              <w:rPr>
                <w:rFonts w:ascii="Arial" w:cs="Arial" w:eastAsia="Arial" w:hAnsi="Arial"/>
                <w:sz w:val="14"/>
                <w:szCs w:val="14"/>
                <w:b w:val="1"/>
                <w:bCs w:val="1"/>
                <w:color w:val="auto"/>
              </w:rPr>
              <w:t>September 30, 2023</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gridSpan w:val="6"/>
          </w:tcPr>
          <w:p>
            <w:pPr>
              <w:jc w:val="right"/>
              <w:ind w:right="489"/>
              <w:spacing w:after="0"/>
              <w:rPr>
                <w:sz w:val="20"/>
                <w:szCs w:val="20"/>
                <w:color w:val="auto"/>
              </w:rPr>
            </w:pPr>
            <w:r>
              <w:rPr>
                <w:rFonts w:ascii="Arial" w:cs="Arial" w:eastAsia="Arial" w:hAnsi="Arial"/>
                <w:sz w:val="14"/>
                <w:szCs w:val="14"/>
                <w:b w:val="1"/>
                <w:bCs w:val="1"/>
                <w:color w:val="auto"/>
                <w:w w:val="99"/>
              </w:rPr>
              <w:t>December 31, 2022</w:t>
            </w:r>
          </w:p>
        </w:tc>
        <w:tc>
          <w:tcPr>
            <w:tcW w:w="620" w:type="dxa"/>
            <w:vAlign w:val="bottom"/>
          </w:tcPr>
          <w:p>
            <w:pPr>
              <w:spacing w:after="0"/>
              <w:rPr>
                <w:sz w:val="16"/>
                <w:szCs w:val="16"/>
                <w:color w:val="auto"/>
              </w:rPr>
            </w:pPr>
          </w:p>
        </w:tc>
      </w:tr>
      <w:tr>
        <w:trPr>
          <w:trHeight w:val="24"/>
        </w:trPr>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79"/>
        </w:trPr>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1</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2</w:t>
            </w: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Level 3</w:t>
            </w: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auto"/>
              </w:rPr>
              <w:t>Total</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1</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2</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ind w:left="60"/>
              <w:spacing w:after="0"/>
              <w:rPr>
                <w:sz w:val="20"/>
                <w:szCs w:val="20"/>
                <w:color w:val="auto"/>
              </w:rPr>
            </w:pPr>
            <w:r>
              <w:rPr>
                <w:rFonts w:ascii="Arial" w:cs="Arial" w:eastAsia="Arial" w:hAnsi="Arial"/>
                <w:sz w:val="12"/>
                <w:szCs w:val="12"/>
                <w:b w:val="1"/>
                <w:bCs w:val="1"/>
                <w:color w:val="auto"/>
              </w:rPr>
              <w:t>Level 3</w:t>
            </w:r>
          </w:p>
        </w:tc>
        <w:tc>
          <w:tcPr>
            <w:tcW w:w="620" w:type="dxa"/>
            <w:vAlign w:val="bottom"/>
            <w:tcBorders>
              <w:bottom w:val="single" w:sz="8" w:color="auto"/>
            </w:tcBorders>
          </w:tcPr>
          <w:p>
            <w:pPr>
              <w:jc w:val="right"/>
              <w:ind w:right="191"/>
              <w:spacing w:after="0"/>
              <w:rPr>
                <w:sz w:val="20"/>
                <w:szCs w:val="20"/>
                <w:color w:val="auto"/>
              </w:rPr>
            </w:pPr>
            <w:r>
              <w:rPr>
                <w:rFonts w:ascii="Arial" w:cs="Arial" w:eastAsia="Arial" w:hAnsi="Arial"/>
                <w:sz w:val="12"/>
                <w:szCs w:val="12"/>
                <w:b w:val="1"/>
                <w:bCs w:val="1"/>
                <w:color w:val="auto"/>
              </w:rPr>
              <w:t>Total</w:t>
            </w:r>
          </w:p>
        </w:tc>
      </w:tr>
      <w:tr>
        <w:trPr>
          <w:trHeight w:val="184"/>
        </w:trPr>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40" w:type="dxa"/>
            <w:vAlign w:val="bottom"/>
            <w:gridSpan w:val="5"/>
          </w:tcPr>
          <w:p>
            <w:pPr>
              <w:ind w:left="3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90"/>
        </w:trPr>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920" w:type="dxa"/>
            <w:vAlign w:val="bottom"/>
          </w:tcPr>
          <w:p>
            <w:pPr>
              <w:ind w:left="440"/>
              <w:spacing w:after="0"/>
              <w:rPr>
                <w:sz w:val="20"/>
                <w:szCs w:val="20"/>
                <w:color w:val="auto"/>
              </w:rPr>
            </w:pPr>
            <w:r>
              <w:rPr>
                <w:rFonts w:ascii="Arial" w:cs="Arial" w:eastAsia="Arial" w:hAnsi="Arial"/>
                <w:sz w:val="14"/>
                <w:szCs w:val="14"/>
                <w:color w:val="auto"/>
              </w:rPr>
              <w:t>—   $</w:t>
            </w:r>
          </w:p>
        </w:tc>
        <w:tc>
          <w:tcPr>
            <w:tcW w:w="62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940" w:type="dxa"/>
            <w:vAlign w:val="bottom"/>
            <w:gridSpan w:val="3"/>
          </w:tcPr>
          <w:p>
            <w:pPr>
              <w:ind w:left="460"/>
              <w:spacing w:after="0"/>
              <w:rPr>
                <w:sz w:val="20"/>
                <w:szCs w:val="20"/>
                <w:color w:val="auto"/>
              </w:rPr>
            </w:pPr>
            <w:r>
              <w:rPr>
                <w:rFonts w:ascii="Arial" w:cs="Arial" w:eastAsia="Arial" w:hAnsi="Arial"/>
                <w:sz w:val="14"/>
                <w:szCs w:val="14"/>
                <w:color w:val="auto"/>
              </w:rPr>
              <w:t>—   $</w:t>
            </w:r>
          </w:p>
        </w:tc>
        <w:tc>
          <w:tcPr>
            <w:tcW w:w="62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199"/>
        </w:trPr>
        <w:tc>
          <w:tcPr>
            <w:tcW w:w="14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ind w:left="4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3"/>
          </w:tcPr>
          <w:p>
            <w:pPr>
              <w:ind w:left="4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4"/>
        </w:trPr>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3"/>
          </w:tcPr>
          <w:p>
            <w:pPr>
              <w:spacing w:after="0"/>
              <w:rPr>
                <w:sz w:val="2"/>
                <w:szCs w:val="2"/>
                <w:color w:val="auto"/>
              </w:rPr>
            </w:pPr>
          </w:p>
        </w:tc>
        <w:tc>
          <w:tcPr>
            <w:tcW w:w="620" w:type="dxa"/>
            <w:vAlign w:val="bottom"/>
          </w:tcPr>
          <w:p>
            <w:pPr>
              <w:spacing w:after="0"/>
              <w:rPr>
                <w:sz w:val="2"/>
                <w:szCs w:val="2"/>
                <w:color w:val="auto"/>
              </w:rPr>
            </w:pPr>
          </w:p>
        </w:tc>
      </w:tr>
      <w:tr>
        <w:trPr>
          <w:trHeight w:val="186"/>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   $</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w:t>
            </w:r>
          </w:p>
        </w:tc>
      </w:tr>
      <w:tr>
        <w:trPr>
          <w:trHeight w:val="27"/>
        </w:trPr>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-2611755</wp:posOffset>
            </wp:positionH>
            <wp:positionV relativeFrom="paragraph">
              <wp:posOffset>-421640</wp:posOffset>
            </wp:positionV>
            <wp:extent cx="7134225" cy="1263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225" cy="126365"/>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-168275</wp:posOffset>
            </wp:positionV>
            <wp:extent cx="7134225" cy="1517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225" cy="1517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0" w:space="720"/>
            <w:col w:w="7120"/>
          </w:cols>
          <w:pgMar w:left="320" w:top="127" w:right="339" w:bottom="1440" w:gutter="0" w:footer="0" w:header="0"/>
          <w:type w:val="continuous"/>
        </w:sectPr>
      </w:pPr>
    </w:p>
    <w:p>
      <w:pPr>
        <w:spacing w:after="0" w:line="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Amounts are included in Prepaid expenses and other current assets in the Condensed Consolidated Balance Sheets.</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Estimated Fair Value of Financial Instruments</w:t>
      </w:r>
    </w:p>
    <w:p>
      <w:pPr>
        <w:spacing w:after="0" w:line="245"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The fair values of cash and cash equivalents, investments in debt and equity securities measured at fair value and short-term borrowings are estimated to be approximately equivalent to carrying amounts and have been excluded from the table below. The carrying amounts of non-trading derivative assets and liabilities and CenterPoint Energy’s ZENS indexed debt securities derivative are stated at fair value and are excluded from the table below. The fair value of each debt instrument is determined by multiplying the principal amount of each debt instrument by a combination of historical trading prices and comparable issue data. These liabilities, which are not measured at fair value in the Registrants’ Condensed Consolidated Balance Sheets, but for which the fair value is disclosed, would be classified as Level 2 in the fair value hierarchy.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ind w:right="69"/>
              <w:spacing w:after="0"/>
              <w:rPr>
                <w:sz w:val="20"/>
                <w:szCs w:val="20"/>
                <w:color w:val="auto"/>
              </w:rPr>
            </w:pPr>
            <w:r>
              <w:rPr>
                <w:rFonts w:ascii="Arial" w:cs="Arial" w:eastAsia="Arial" w:hAnsi="Arial"/>
                <w:sz w:val="14"/>
                <w:szCs w:val="14"/>
                <w:b w:val="1"/>
                <w:bCs w:val="1"/>
                <w:color w:val="auto"/>
                <w:w w:val="90"/>
              </w:rPr>
              <w:t>September 30, 2023</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ind w:left="20"/>
              <w:spacing w:after="0"/>
              <w:rPr>
                <w:sz w:val="20"/>
                <w:szCs w:val="20"/>
                <w:color w:val="auto"/>
              </w:rPr>
            </w:pPr>
            <w:r>
              <w:rPr>
                <w:rFonts w:ascii="Arial" w:cs="Arial" w:eastAsia="Arial" w:hAnsi="Arial"/>
                <w:sz w:val="14"/>
                <w:szCs w:val="14"/>
                <w:b w:val="1"/>
                <w:bCs w:val="1"/>
                <w:color w:val="auto"/>
              </w:rPr>
              <w:t>December 31, 2022</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24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240" w:type="dxa"/>
            <w:vAlign w:val="bottom"/>
          </w:tcPr>
          <w:p>
            <w:pPr>
              <w:spacing w:after="0"/>
              <w:rPr>
                <w:sz w:val="16"/>
                <w:szCs w:val="16"/>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 xml:space="preserve">CenterPoint Energy </w:t>
            </w:r>
            <w:r>
              <w:rPr>
                <w:rFonts w:ascii="Arial" w:cs="Arial" w:eastAsia="Arial" w:hAnsi="Arial"/>
                <w:sz w:val="10"/>
                <w:szCs w:val="10"/>
                <w:b w:val="1"/>
                <w:bCs w:val="1"/>
                <w:color w:val="auto"/>
                <w:w w:val="98"/>
              </w:rPr>
              <w:t>(1)</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92"/>
              </w:rPr>
              <w:t xml:space="preserve">Houston Electric </w:t>
            </w:r>
            <w:r>
              <w:rPr>
                <w:rFonts w:ascii="Arial" w:cs="Arial" w:eastAsia="Arial" w:hAnsi="Arial"/>
                <w:sz w:val="10"/>
                <w:szCs w:val="10"/>
                <w:b w:val="1"/>
                <w:bCs w:val="1"/>
                <w:color w:val="auto"/>
                <w:w w:val="92"/>
              </w:rPr>
              <w:t>(1)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CERC</w:t>
            </w: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 xml:space="preserve">CenterPoint Energy </w:t>
            </w:r>
            <w:r>
              <w:rPr>
                <w:rFonts w:ascii="Arial" w:cs="Arial" w:eastAsia="Arial" w:hAnsi="Arial"/>
                <w:sz w:val="10"/>
                <w:szCs w:val="10"/>
                <w:b w:val="1"/>
                <w:bCs w:val="1"/>
                <w:color w:val="auto"/>
                <w:w w:val="96"/>
              </w:rPr>
              <w:t>(1)</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Houston Electric </w:t>
            </w:r>
            <w:r>
              <w:rPr>
                <w:rFonts w:ascii="Arial" w:cs="Arial" w:eastAsia="Arial" w:hAnsi="Arial"/>
                <w:sz w:val="10"/>
                <w:szCs w:val="10"/>
                <w:b w:val="1"/>
                <w:bCs w:val="1"/>
                <w:color w:val="auto"/>
              </w:rPr>
              <w:t>(1)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20"/>
        </w:trPr>
        <w:tc>
          <w:tcPr>
            <w:tcW w:w="2240" w:type="dxa"/>
            <w:vAlign w:val="bottom"/>
          </w:tcPr>
          <w:p>
            <w:pPr>
              <w:ind w:left="20"/>
              <w:spacing w:after="0" w:line="120" w:lineRule="exact"/>
              <w:rPr>
                <w:sz w:val="20"/>
                <w:szCs w:val="20"/>
                <w:color w:val="auto"/>
              </w:rPr>
            </w:pPr>
            <w:r>
              <w:rPr>
                <w:rFonts w:ascii="Arial" w:cs="Arial" w:eastAsia="Arial" w:hAnsi="Arial"/>
                <w:sz w:val="13"/>
                <w:szCs w:val="13"/>
                <w:b w:val="1"/>
                <w:bCs w:val="1"/>
                <w:color w:val="auto"/>
              </w:rPr>
              <w:t>Long-term debt, including current</w:t>
            </w:r>
          </w:p>
        </w:tc>
        <w:tc>
          <w:tcPr>
            <w:tcW w:w="5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80" w:type="dxa"/>
            <w:vAlign w:val="bottom"/>
            <w:gridSpan w:val="3"/>
            <w:vMerge w:val="restart"/>
          </w:tcPr>
          <w:p>
            <w:pPr>
              <w:ind w:left="820"/>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maturities</w:t>
            </w:r>
          </w:p>
        </w:tc>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80" w:type="dxa"/>
            <w:vAlign w:val="bottom"/>
            <w:gridSpan w:val="3"/>
            <w:vMerge w:val="continue"/>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2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2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Carrying amount</w:t>
            </w:r>
          </w:p>
        </w:tc>
        <w:tc>
          <w:tcPr>
            <w:tcW w:w="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18,263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7,665</w:t>
            </w:r>
          </w:p>
        </w:tc>
        <w:tc>
          <w:tcPr>
            <w:tcW w:w="3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16,338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6,353</w:t>
            </w:r>
          </w:p>
        </w:tc>
        <w:tc>
          <w:tcPr>
            <w:tcW w:w="3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4,826</w:t>
            </w:r>
          </w:p>
        </w:tc>
        <w:tc>
          <w:tcPr>
            <w:tcW w:w="0" w:type="dxa"/>
            <w:vAlign w:val="bottom"/>
          </w:tcPr>
          <w:p>
            <w:pPr>
              <w:spacing w:after="0"/>
              <w:rPr>
                <w:sz w:val="1"/>
                <w:szCs w:val="1"/>
                <w:color w:val="auto"/>
              </w:rPr>
            </w:pPr>
          </w:p>
        </w:tc>
      </w:tr>
      <w:tr>
        <w:trPr>
          <w:trHeight w:val="180"/>
        </w:trPr>
        <w:tc>
          <w:tcPr>
            <w:tcW w:w="2240" w:type="dxa"/>
            <w:vAlign w:val="bottom"/>
          </w:tcPr>
          <w:p>
            <w:pPr>
              <w:ind w:left="340"/>
              <w:spacing w:after="0"/>
              <w:rPr>
                <w:sz w:val="20"/>
                <w:szCs w:val="20"/>
                <w:color w:val="auto"/>
              </w:rPr>
            </w:pPr>
            <w:r>
              <w:rPr>
                <w:rFonts w:ascii="Arial" w:cs="Arial" w:eastAsia="Arial" w:hAnsi="Arial"/>
                <w:sz w:val="14"/>
                <w:szCs w:val="14"/>
                <w:color w:val="auto"/>
              </w:rPr>
              <w:t>Fair value</w:t>
            </w:r>
          </w:p>
        </w:tc>
        <w:tc>
          <w:tcPr>
            <w:tcW w:w="520" w:type="dxa"/>
            <w:vAlign w:val="bottom"/>
          </w:tcPr>
          <w:p>
            <w:pPr>
              <w:spacing w:after="0"/>
              <w:rPr>
                <w:sz w:val="15"/>
                <w:szCs w:val="15"/>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16,283</w:t>
            </w:r>
          </w:p>
        </w:tc>
        <w:tc>
          <w:tcPr>
            <w:tcW w:w="140" w:type="dxa"/>
            <w:vAlign w:val="bottom"/>
          </w:tcPr>
          <w:p>
            <w:pPr>
              <w:spacing w:after="0"/>
              <w:rPr>
                <w:sz w:val="15"/>
                <w:szCs w:val="15"/>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6,397</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3,908</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14,990</w:t>
            </w:r>
          </w:p>
        </w:tc>
        <w:tc>
          <w:tcPr>
            <w:tcW w:w="160" w:type="dxa"/>
            <w:vAlign w:val="bottom"/>
          </w:tcPr>
          <w:p>
            <w:pPr>
              <w:spacing w:after="0"/>
              <w:rPr>
                <w:sz w:val="15"/>
                <w:szCs w:val="15"/>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5,504</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4,637</w:t>
            </w:r>
          </w:p>
        </w:tc>
        <w:tc>
          <w:tcPr>
            <w:tcW w:w="0" w:type="dxa"/>
            <w:vAlign w:val="bottom"/>
          </w:tcPr>
          <w:p>
            <w:pPr>
              <w:spacing w:after="0"/>
              <w:rPr>
                <w:sz w:val="1"/>
                <w:szCs w:val="1"/>
                <w:color w:val="auto"/>
              </w:rPr>
            </w:pPr>
          </w:p>
        </w:tc>
      </w:tr>
    </w:tbl>
    <w:p>
      <w:pPr>
        <w:spacing w:after="0" w:line="326" w:lineRule="exact"/>
        <w:rPr>
          <w:sz w:val="20"/>
          <w:szCs w:val="20"/>
          <w:color w:val="auto"/>
        </w:rPr>
      </w:pPr>
    </w:p>
    <w:p>
      <w:pPr>
        <w:ind w:left="640" w:hanging="315"/>
        <w:spacing w:after="0"/>
        <w:tabs>
          <w:tab w:leader="none" w:pos="6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Includes Securitization Bonds, as applicable.</w:t>
      </w:r>
    </w:p>
    <w:p>
      <w:pPr>
        <w:spacing w:after="0" w:line="239" w:lineRule="exact"/>
        <w:rPr>
          <w:rFonts w:ascii="Arial" w:cs="Arial" w:eastAsia="Arial" w:hAnsi="Arial"/>
          <w:sz w:val="18"/>
          <w:szCs w:val="18"/>
          <w:color w:val="auto"/>
        </w:rPr>
      </w:pPr>
    </w:p>
    <w:p>
      <w:pPr>
        <w:ind w:left="260" w:hanging="254"/>
        <w:spacing w:after="0"/>
        <w:tabs>
          <w:tab w:leader="none" w:pos="2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Intangibles (CenterPoint Energy and CERC)</w:t>
      </w:r>
    </w:p>
    <w:p>
      <w:pPr>
        <w:spacing w:after="0" w:line="25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Goodwill (CenterPoint Energy and CERC)</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CenterPoint Energy’s goodwill by reportable segment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2022</w:t>
            </w:r>
          </w:p>
        </w:tc>
        <w:tc>
          <w:tcPr>
            <w:tcW w:w="200" w:type="dxa"/>
            <w:vAlign w:val="bottom"/>
          </w:tcPr>
          <w:p>
            <w:pPr>
              <w:spacing w:after="0"/>
              <w:rPr>
                <w:sz w:val="16"/>
                <w:szCs w:val="16"/>
                <w:color w:val="auto"/>
              </w:rPr>
            </w:pPr>
          </w:p>
        </w:tc>
        <w:tc>
          <w:tcPr>
            <w:tcW w:w="1060" w:type="dxa"/>
            <w:vAlign w:val="bottom"/>
          </w:tcPr>
          <w:p>
            <w:pPr>
              <w:jc w:val="right"/>
              <w:ind w:right="257"/>
              <w:spacing w:after="0"/>
              <w:rPr>
                <w:sz w:val="20"/>
                <w:szCs w:val="20"/>
                <w:color w:val="auto"/>
              </w:rPr>
            </w:pPr>
            <w:r>
              <w:rPr>
                <w:rFonts w:ascii="Arial" w:cs="Arial" w:eastAsia="Arial" w:hAnsi="Arial"/>
                <w:sz w:val="14"/>
                <w:szCs w:val="14"/>
                <w:b w:val="1"/>
                <w:bCs w:val="1"/>
                <w:color w:val="auto"/>
              </w:rPr>
              <w:t>Disposals</w:t>
            </w:r>
          </w:p>
        </w:tc>
        <w:tc>
          <w:tcPr>
            <w:tcW w:w="30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September 30, 2023</w:t>
            </w:r>
          </w:p>
        </w:tc>
      </w:tr>
      <w:tr>
        <w:trPr>
          <w:trHeight w:val="24"/>
        </w:trPr>
        <w:tc>
          <w:tcPr>
            <w:tcW w:w="67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5"/>
        </w:trPr>
        <w:tc>
          <w:tcPr>
            <w:tcW w:w="6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177"/>
              <w:spacing w:after="0"/>
              <w:rPr>
                <w:sz w:val="20"/>
                <w:szCs w:val="20"/>
                <w:color w:val="auto"/>
              </w:rPr>
            </w:pPr>
            <w:r>
              <w:rPr>
                <w:rFonts w:ascii="Arial" w:cs="Arial" w:eastAsia="Arial" w:hAnsi="Arial"/>
                <w:sz w:val="14"/>
                <w:szCs w:val="14"/>
                <w:b w:val="1"/>
                <w:bCs w:val="1"/>
                <w:color w:val="auto"/>
                <w:w w:val="99"/>
              </w:rPr>
              <w:t>(in millions)</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47"/>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Electric </w:t>
            </w:r>
            <w:r>
              <w:rPr>
                <w:rFonts w:ascii="Arial" w:cs="Arial" w:eastAsia="Arial" w:hAnsi="Arial"/>
                <w:sz w:val="14"/>
                <w:szCs w:val="14"/>
                <w:color w:val="auto"/>
              </w:rPr>
              <w:t>(1)</w:t>
            </w:r>
          </w:p>
        </w:tc>
        <w:tc>
          <w:tcPr>
            <w:tcW w:w="46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r>
      <w:tr>
        <w:trPr>
          <w:trHeight w:val="225"/>
        </w:trPr>
        <w:tc>
          <w:tcPr>
            <w:tcW w:w="670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2,920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2,920</w:t>
            </w:r>
          </w:p>
        </w:tc>
      </w:tr>
      <w:tr>
        <w:trPr>
          <w:trHeight w:val="22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20"/>
        </w:trPr>
        <w:tc>
          <w:tcPr>
            <w:tcW w:w="6700" w:type="dxa"/>
            <w:vAlign w:val="bottom"/>
          </w:tcPr>
          <w:p>
            <w:pPr>
              <w:ind w:left="14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4,294</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300" w:type="dxa"/>
            <w:vAlign w:val="bottom"/>
          </w:tcPr>
          <w:p>
            <w:pPr>
              <w:spacing w:after="0"/>
              <w:rPr>
                <w:sz w:val="19"/>
                <w:szCs w:val="19"/>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4,160</w:t>
            </w:r>
          </w:p>
        </w:tc>
      </w:tr>
      <w:tr>
        <w:trPr>
          <w:trHeight w:val="20"/>
        </w:trPr>
        <w:tc>
          <w:tcPr>
            <w:tcW w:w="67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640" w:hanging="315"/>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 presented is net of the accumulated goodwill impairment charge of $185 million recorded in 2020.</w:t>
      </w:r>
    </w:p>
    <w:p>
      <w:pPr>
        <w:spacing w:after="0" w:line="125" w:lineRule="exact"/>
        <w:rPr>
          <w:rFonts w:ascii="Arial" w:cs="Arial" w:eastAsia="Arial" w:hAnsi="Arial"/>
          <w:sz w:val="18"/>
          <w:szCs w:val="18"/>
          <w:color w:val="auto"/>
        </w:rPr>
      </w:pPr>
    </w:p>
    <w:p>
      <w:pPr>
        <w:ind w:left="320" w:right="3040" w:firstLine="5"/>
        <w:spacing w:after="0" w:line="434" w:lineRule="auto"/>
        <w:tabs>
          <w:tab w:leader="none" w:pos="633"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Represents goodwill attributable to the sale of Energy Systems Group. For further information, see Note 3. CERC’s goodwill as of both September 30, 2023 and December 31, 2022 is as follows:</w:t>
      </w:r>
    </w:p>
    <w:p>
      <w:pPr>
        <w:spacing w:after="0" w:line="1" w:lineRule="exact"/>
        <w:rPr>
          <w:sz w:val="20"/>
          <w:szCs w:val="20"/>
          <w:color w:val="auto"/>
        </w:rPr>
      </w:pPr>
    </w:p>
    <w:p>
      <w:pPr>
        <w:ind w:left="1000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30480</wp:posOffset>
            </wp:positionV>
            <wp:extent cx="7134225" cy="143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spacing w:after="0" w:line="29" w:lineRule="exact"/>
        <w:rPr>
          <w:sz w:val="20"/>
          <w:szCs w:val="20"/>
          <w:color w:val="auto"/>
        </w:rPr>
      </w:pPr>
    </w:p>
    <w:p>
      <w:pPr>
        <w:ind w:left="20"/>
        <w:spacing w:after="0"/>
        <w:tabs>
          <w:tab w:leader="none" w:pos="9480" w:val="left"/>
          <w:tab w:leader="none" w:pos="10760" w:val="left"/>
        </w:tabs>
        <w:rPr>
          <w:sz w:val="20"/>
          <w:szCs w:val="20"/>
          <w:color w:val="auto"/>
        </w:rPr>
      </w:pPr>
      <w:r>
        <w:rPr>
          <w:rFonts w:ascii="Arial" w:cs="Arial" w:eastAsia="Arial" w:hAnsi="Arial"/>
          <w:sz w:val="18"/>
          <w:szCs w:val="18"/>
          <w:color w:val="auto"/>
        </w:rPr>
        <w:t>Goodwill</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1,583</w:t>
      </w:r>
    </w:p>
    <w:p>
      <w:pPr>
        <w:spacing w:after="0" w:line="218"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When a disposal group reflects a component of a reporting unit and meets the definition of a business, the goodwill within that reporting unit is allocated to the disposal group based on the relative fair value of the components representing a business that will be retained and disposed. As described further in Note 3, certain assets and liabilities of Energy Systems Group, including goodwill of $134 million at CenterPoint Energy, were disposed of upon consummation of the sale of Energy Systems Group in the second quarter of 2023. The disposal of goodwill attributable to Energy Systems Group was reflected in the loss on sale of $12 million during the nine months ended September 30, 2023.</w:t>
      </w:r>
    </w:p>
    <w:p>
      <w:pPr>
        <w:spacing w:after="0" w:line="208"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CenterPoint Energy and CERC perform goodwill impairment tests at least annually and evaluate goodwill when events or changes in circumstances indicate that its carrying value may not be recoverable. The impairment evaluation for goodwill is performed by comparing the fair value of each reporting unit with the carrying amount of the reporting unit, including goodwill. The reporting units approximate the reportable segments. The estimated fair value of the reporting unit is primarily determined based on an income approach or a weighted combination of income and market approaches. If the carrying amount is in excess of the estimated fair value of the reporting unit, then the excess amount is recorded as an impairment charge, not to exceed the carrying amount of goodwill.</w:t>
      </w:r>
    </w:p>
    <w:p>
      <w:pPr>
        <w:spacing w:after="0" w:line="222"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CenterPoint Energy and CERC performed their annual goodwill impairment tests in the third quarter of 2023 and determined that no goodwill impairment charge was required for any reporting unit as a result of those tests.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Intangibles (CenterPoint Energy)</w:t>
      </w:r>
    </w:p>
    <w:p>
      <w:pPr>
        <w:spacing w:after="0" w:line="245"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The tables below present information on CenterPoint Energy’s intangible assets, excluding goodwill, recorded in Other non-current assets on CenterPoint Energy’s Condensed Consolidated Balance Sheets and the related amortization expense included in Depreciation and amortization on CenterPoint Energy’s Condensed Statements of Consolidated Income. The intangible assets and associated amortization expense are primarily related to Energy Systems Group prior to the completion of the sale in June 2023 as indicated below. See Note 3 for further information.</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80" w:type="dxa"/>
            <w:vAlign w:val="bottom"/>
            <w:gridSpan w:val="4"/>
          </w:tcPr>
          <w:p>
            <w:pPr>
              <w:ind w:left="40"/>
              <w:spacing w:after="0"/>
              <w:rPr>
                <w:sz w:val="20"/>
                <w:szCs w:val="20"/>
                <w:color w:val="auto"/>
              </w:rPr>
            </w:pPr>
            <w:r>
              <w:rPr>
                <w:rFonts w:ascii="Arial" w:cs="Arial" w:eastAsia="Arial" w:hAnsi="Arial"/>
                <w:sz w:val="14"/>
                <w:szCs w:val="14"/>
                <w:b w:val="1"/>
                <w:bCs w:val="1"/>
                <w:color w:val="auto"/>
              </w:rPr>
              <w:t>September 30, 2023</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4"/>
          </w:tcPr>
          <w:p>
            <w:pPr>
              <w:ind w:left="60"/>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20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200" w:type="dxa"/>
            <w:vAlign w:val="bottom"/>
          </w:tcPr>
          <w:p>
            <w:pPr>
              <w:spacing w:after="0"/>
              <w:rPr>
                <w:sz w:val="10"/>
                <w:szCs w:val="10"/>
                <w:color w:val="auto"/>
              </w:rPr>
            </w:pPr>
          </w:p>
        </w:tc>
        <w:tc>
          <w:tcPr>
            <w:tcW w:w="1100" w:type="dxa"/>
            <w:vAlign w:val="bottom"/>
            <w:gridSpan w:val="2"/>
          </w:tcPr>
          <w:p>
            <w:pPr>
              <w:jc w:val="right"/>
              <w:spacing w:after="0" w:line="127" w:lineRule="exact"/>
              <w:rPr>
                <w:sz w:val="20"/>
                <w:szCs w:val="20"/>
                <w:color w:val="auto"/>
              </w:rPr>
            </w:pPr>
            <w:r>
              <w:rPr>
                <w:rFonts w:ascii="Arial" w:cs="Arial" w:eastAsia="Arial" w:hAnsi="Arial"/>
                <w:sz w:val="14"/>
                <w:szCs w:val="14"/>
                <w:b w:val="1"/>
                <w:bCs w:val="1"/>
                <w:color w:val="auto"/>
                <w:w w:val="98"/>
              </w:rPr>
              <w:t>Gross Carrying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ind w:left="40"/>
              <w:spacing w:after="0" w:line="127"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0"/>
                <w:szCs w:val="10"/>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Balance</w:t>
            </w:r>
          </w:p>
        </w:tc>
        <w:tc>
          <w:tcPr>
            <w:tcW w:w="1100" w:type="dxa"/>
            <w:vAlign w:val="bottom"/>
            <w:gridSpan w:val="2"/>
          </w:tcPr>
          <w:p>
            <w:pPr>
              <w:jc w:val="right"/>
              <w:spacing w:after="0" w:line="127" w:lineRule="exact"/>
              <w:rPr>
                <w:sz w:val="20"/>
                <w:szCs w:val="20"/>
                <w:color w:val="auto"/>
              </w:rPr>
            </w:pPr>
            <w:r>
              <w:rPr>
                <w:rFonts w:ascii="Arial" w:cs="Arial" w:eastAsia="Arial" w:hAnsi="Arial"/>
                <w:sz w:val="14"/>
                <w:szCs w:val="14"/>
                <w:b w:val="1"/>
                <w:bCs w:val="1"/>
                <w:color w:val="auto"/>
                <w:w w:val="98"/>
              </w:rPr>
              <w:t>Gross Carrying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ind w:left="40"/>
              <w:spacing w:after="0" w:line="127"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0"/>
                <w:szCs w:val="10"/>
                <w:color w:val="auto"/>
              </w:rPr>
            </w:pPr>
          </w:p>
        </w:tc>
        <w:tc>
          <w:tcPr>
            <w:tcW w:w="8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89"/>
              </w:rPr>
              <w:t>Net Balance</w:t>
            </w:r>
          </w:p>
        </w:tc>
        <w:tc>
          <w:tcPr>
            <w:tcW w:w="0" w:type="dxa"/>
            <w:vAlign w:val="bottom"/>
          </w:tcPr>
          <w:p>
            <w:pPr>
              <w:spacing w:after="0"/>
              <w:rPr>
                <w:sz w:val="1"/>
                <w:szCs w:val="1"/>
                <w:color w:val="auto"/>
              </w:rPr>
            </w:pPr>
          </w:p>
        </w:tc>
      </w:tr>
      <w:tr>
        <w:trPr>
          <w:trHeight w:val="193"/>
        </w:trPr>
        <w:tc>
          <w:tcPr>
            <w:tcW w:w="4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Customer relationships </w:t>
            </w:r>
            <w:r>
              <w:rPr>
                <w:rFonts w:ascii="Arial" w:cs="Arial" w:eastAsia="Arial" w:hAnsi="Arial"/>
                <w:sz w:val="14"/>
                <w:szCs w:val="14"/>
                <w:color w:val="auto"/>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64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9"/>
        </w:trPr>
        <w:tc>
          <w:tcPr>
            <w:tcW w:w="4200" w:type="dxa"/>
            <w:vAlign w:val="bottom"/>
          </w:tcPr>
          <w:p>
            <w:pPr>
              <w:ind w:left="20"/>
              <w:spacing w:after="0"/>
              <w:rPr>
                <w:sz w:val="20"/>
                <w:szCs w:val="20"/>
                <w:color w:val="auto"/>
              </w:rPr>
            </w:pPr>
            <w:r>
              <w:rPr>
                <w:rFonts w:ascii="Arial" w:cs="Arial" w:eastAsia="Arial" w:hAnsi="Arial"/>
                <w:sz w:val="18"/>
                <w:szCs w:val="18"/>
                <w:color w:val="auto"/>
              </w:rPr>
              <w:t xml:space="preserve">Trade names </w:t>
            </w:r>
            <w:r>
              <w:rPr>
                <w:rFonts w:ascii="Arial" w:cs="Arial" w:eastAsia="Arial" w:hAnsi="Arial"/>
                <w:sz w:val="14"/>
                <w:szCs w:val="14"/>
                <w:color w:val="auto"/>
              </w:rPr>
              <w:t>(1)</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9"/>
              </w:rPr>
              <w:t>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Operation and maintenance agreements </w:t>
            </w:r>
            <w:r>
              <w:rPr>
                <w:rFonts w:ascii="Arial" w:cs="Arial" w:eastAsia="Arial" w:hAnsi="Arial"/>
                <w:sz w:val="14"/>
                <w:szCs w:val="14"/>
                <w:color w:val="auto"/>
              </w:rPr>
              <w:t>(1) (2)</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5"/>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4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left="640" w:hanging="315"/>
        <w:spacing w:after="0" w:line="266" w:lineRule="auto"/>
        <w:tabs>
          <w:tab w:leader="none" w:pos="634"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Related to Energy Systems Group prior to the completion of the sale in June 2023. Amortization ceased at June 30, 2023, the end of the quarter in which the held for sale criteria was met. See Note 3 for further information.</w:t>
      </w:r>
    </w:p>
    <w:p>
      <w:pPr>
        <w:spacing w:after="0" w:line="99" w:lineRule="exact"/>
        <w:rPr>
          <w:rFonts w:ascii="Arial" w:cs="Arial" w:eastAsia="Arial" w:hAnsi="Arial"/>
          <w:sz w:val="18"/>
          <w:szCs w:val="18"/>
          <w:color w:val="auto"/>
        </w:rPr>
      </w:pPr>
    </w:p>
    <w:p>
      <w:pPr>
        <w:jc w:val="both"/>
        <w:ind w:left="640" w:hanging="315"/>
        <w:spacing w:after="0" w:line="256" w:lineRule="auto"/>
        <w:tabs>
          <w:tab w:leader="none" w:pos="63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Amortization expense related to the operation and maintenance agreements is included in Non-utility cost of revenues, including natural gas on CenterPoint Energy’s Condensed Statements of Consolidated Income. Amortization ceased at June 30, 2023, the end of the quarter in which the held for sale criteria was met. See Note 3 for further information.</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260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4"/>
        </w:trPr>
        <w:tc>
          <w:tcPr>
            <w:tcW w:w="5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5220" w:type="dxa"/>
            <w:vAlign w:val="bottom"/>
          </w:tcPr>
          <w:p>
            <w:pPr>
              <w:spacing w:after="0"/>
              <w:rPr>
                <w:sz w:val="16"/>
                <w:szCs w:val="16"/>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2023</w:t>
            </w:r>
          </w:p>
        </w:tc>
        <w:tc>
          <w:tcPr>
            <w:tcW w:w="15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2022</w:t>
            </w:r>
          </w:p>
        </w:tc>
      </w:tr>
      <w:tr>
        <w:trPr>
          <w:trHeight w:val="192"/>
        </w:trPr>
        <w:tc>
          <w:tcPr>
            <w:tcW w:w="5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(in millions)</w:t>
            </w: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1"/>
        </w:trPr>
        <w:tc>
          <w:tcPr>
            <w:tcW w:w="52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1"/>
              </w:rPr>
              <w:t>Amortization expense of intangible assets recorded in Depreciation and</w:t>
            </w:r>
          </w:p>
        </w:tc>
        <w:tc>
          <w:tcPr>
            <w:tcW w:w="10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38"/>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1020" w:type="dxa"/>
            <w:vAlign w:val="bottom"/>
            <w:shd w:val="clear" w:color="auto" w:fill="CCEEFF"/>
          </w:tcPr>
          <w:p>
            <w:pPr>
              <w:jc w:val="right"/>
              <w:ind w:right="843"/>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880"/>
              <w:spacing w:after="0"/>
              <w:rPr>
                <w:sz w:val="20"/>
                <w:szCs w:val="20"/>
                <w:color w:val="auto"/>
              </w:rPr>
            </w:pPr>
            <w:r>
              <w:rPr>
                <w:rFonts w:ascii="Arial" w:cs="Arial" w:eastAsia="Arial" w:hAnsi="Arial"/>
                <w:sz w:val="18"/>
                <w:szCs w:val="18"/>
                <w:color w:val="auto"/>
              </w:rPr>
              <w:t>—  $</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bl>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CenterPoint Energy estimates that amortization expense of intangible assets with finite lives for the next five years will not be significant.</w:t>
      </w:r>
    </w:p>
    <w:p>
      <w:pPr>
        <w:spacing w:after="0" w:line="239" w:lineRule="exact"/>
        <w:rPr>
          <w:sz w:val="20"/>
          <w:szCs w:val="20"/>
          <w:color w:val="auto"/>
        </w:rPr>
      </w:pPr>
    </w:p>
    <w:p>
      <w:pPr>
        <w:ind w:left="340" w:hanging="334"/>
        <w:spacing w:after="0"/>
        <w:tabs>
          <w:tab w:leader="none" w:pos="3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Equity Securities and Indexed Debt Securities (ZENS) (CenterPoint Energy)</w:t>
      </w:r>
    </w:p>
    <w:p>
      <w:pPr>
        <w:spacing w:after="0" w:line="251" w:lineRule="exact"/>
        <w:rPr>
          <w:rFonts w:ascii="Arial" w:cs="Arial" w:eastAsia="Arial" w:hAnsi="Arial"/>
          <w:sz w:val="18"/>
          <w:szCs w:val="18"/>
          <w:b w:val="1"/>
          <w:bCs w:val="1"/>
          <w:color w:val="auto"/>
        </w:rPr>
      </w:pPr>
    </w:p>
    <w:p>
      <w:pPr>
        <w:ind w:left="580" w:hanging="255"/>
        <w:spacing w:after="0"/>
        <w:tabs>
          <w:tab w:leader="none" w:pos="580" w:val="left"/>
        </w:tabs>
        <w:numPr>
          <w:ilvl w:val="1"/>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Equity Securities</w:t>
      </w:r>
    </w:p>
    <w:p>
      <w:pPr>
        <w:spacing w:after="0" w:line="245"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color w:val="auto"/>
        </w:rPr>
        <w:t>During the nine months ended September 30, 2022, CenterPoint Energy completed the execution of its previously announced plan to exit the midstream sector by selling the remaining Energy Transfer Common Units and Energy Transfer Series G Preferred Units it held.</w:t>
      </w:r>
    </w:p>
    <w:p>
      <w:pPr>
        <w:spacing w:after="0" w:line="206" w:lineRule="exact"/>
        <w:rPr>
          <w:sz w:val="20"/>
          <w:szCs w:val="20"/>
          <w:color w:val="auto"/>
        </w:rPr>
      </w:pPr>
    </w:p>
    <w:p>
      <w:pPr>
        <w:ind w:firstLine="319"/>
        <w:spacing w:after="0" w:line="263" w:lineRule="auto"/>
        <w:rPr>
          <w:sz w:val="20"/>
          <w:szCs w:val="20"/>
          <w:color w:val="auto"/>
        </w:rPr>
      </w:pPr>
      <w:r>
        <w:rPr>
          <w:rFonts w:ascii="Arial" w:cs="Arial" w:eastAsia="Arial" w:hAnsi="Arial"/>
          <w:sz w:val="18"/>
          <w:szCs w:val="18"/>
          <w:color w:val="auto"/>
        </w:rPr>
        <w:t>Gains and losses on equity securities, net of transaction costs, are recorded in Gain (Loss) on Equity Securities in CenterPoint Energy’s Condensed Statements of Consolidated Income.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4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89"/>
              </w:rPr>
              <w:t>Gains (Losses) on Equity Securities</w:t>
            </w: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4"/>
        </w:trPr>
        <w:tc>
          <w:tcPr>
            <w:tcW w:w="4000" w:type="dxa"/>
            <w:vAlign w:val="bottom"/>
          </w:tcPr>
          <w:p>
            <w:pPr>
              <w:spacing w:after="0"/>
              <w:rPr>
                <w:sz w:val="2"/>
                <w:szCs w:val="2"/>
                <w:color w:val="auto"/>
              </w:rPr>
            </w:pPr>
          </w:p>
        </w:tc>
        <w:tc>
          <w:tcPr>
            <w:tcW w:w="3680" w:type="dxa"/>
            <w:vAlign w:val="bottom"/>
            <w:tcBorders>
              <w:bottom w:val="single" w:sz="8" w:color="auto"/>
            </w:tcBorders>
            <w:gridSpan w:val="6"/>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4"/>
          </w:tcPr>
          <w:p>
            <w:pPr>
              <w:spacing w:after="0"/>
              <w:rPr>
                <w:sz w:val="2"/>
                <w:szCs w:val="2"/>
                <w:color w:val="auto"/>
              </w:rPr>
            </w:pPr>
          </w:p>
        </w:tc>
      </w:tr>
      <w:tr>
        <w:trPr>
          <w:trHeight w:val="186"/>
        </w:trPr>
        <w:tc>
          <w:tcPr>
            <w:tcW w:w="4000" w:type="dxa"/>
            <w:vAlign w:val="bottom"/>
          </w:tcPr>
          <w:p>
            <w:pPr>
              <w:spacing w:after="0"/>
              <w:rPr>
                <w:sz w:val="16"/>
                <w:szCs w:val="16"/>
                <w:color w:val="auto"/>
              </w:rPr>
            </w:pPr>
          </w:p>
        </w:tc>
        <w:tc>
          <w:tcPr>
            <w:tcW w:w="3680" w:type="dxa"/>
            <w:vAlign w:val="bottom"/>
            <w:gridSpan w:val="6"/>
          </w:tcPr>
          <w:p>
            <w:pPr>
              <w:ind w:left="700"/>
              <w:spacing w:after="0"/>
              <w:rPr>
                <w:sz w:val="20"/>
                <w:szCs w:val="20"/>
                <w:color w:val="auto"/>
              </w:rPr>
            </w:pPr>
            <w:r>
              <w:rPr>
                <w:rFonts w:ascii="Arial" w:cs="Arial" w:eastAsia="Arial" w:hAnsi="Arial"/>
                <w:sz w:val="14"/>
                <w:szCs w:val="14"/>
                <w:b w:val="1"/>
                <w:bCs w:val="1"/>
                <w:color w:val="auto"/>
              </w:rPr>
              <w:t>Three Months Ended September 30,</w:t>
            </w:r>
          </w:p>
        </w:tc>
        <w:tc>
          <w:tcPr>
            <w:tcW w:w="520" w:type="dxa"/>
            <w:vAlign w:val="bottom"/>
          </w:tcPr>
          <w:p>
            <w:pPr>
              <w:spacing w:after="0"/>
              <w:rPr>
                <w:sz w:val="16"/>
                <w:szCs w:val="16"/>
                <w:color w:val="auto"/>
              </w:rPr>
            </w:pPr>
          </w:p>
        </w:tc>
        <w:tc>
          <w:tcPr>
            <w:tcW w:w="3040" w:type="dxa"/>
            <w:vAlign w:val="bottom"/>
            <w:gridSpan w:val="4"/>
          </w:tcPr>
          <w:p>
            <w:pPr>
              <w:jc w:val="right"/>
              <w:ind w:right="63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93"/>
        </w:trPr>
        <w:tc>
          <w:tcPr>
            <w:tcW w:w="4000" w:type="dxa"/>
            <w:vAlign w:val="bottom"/>
          </w:tcPr>
          <w:p>
            <w:pPr>
              <w:spacing w:after="0"/>
              <w:rPr>
                <w:sz w:val="16"/>
                <w:szCs w:val="16"/>
                <w:color w:val="auto"/>
              </w:rPr>
            </w:pPr>
          </w:p>
        </w:tc>
        <w:tc>
          <w:tcPr>
            <w:tcW w:w="122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2022</w:t>
            </w:r>
          </w:p>
        </w:tc>
      </w:tr>
      <w:tr>
        <w:trPr>
          <w:trHeight w:val="192"/>
        </w:trPr>
        <w:tc>
          <w:tcPr>
            <w:tcW w:w="40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40" w:type="dxa"/>
            <w:vAlign w:val="bottom"/>
            <w:gridSpan w:val="3"/>
          </w:tcPr>
          <w:p>
            <w:pPr>
              <w:jc w:val="center"/>
              <w:ind w:left="697"/>
              <w:spacing w:after="0"/>
              <w:rPr>
                <w:sz w:val="20"/>
                <w:szCs w:val="20"/>
                <w:color w:val="auto"/>
              </w:rPr>
            </w:pPr>
            <w:r>
              <w:rPr>
                <w:rFonts w:ascii="Arial" w:cs="Arial" w:eastAsia="Arial" w:hAnsi="Arial"/>
                <w:sz w:val="14"/>
                <w:szCs w:val="14"/>
                <w:b w:val="1"/>
                <w:bCs w:val="1"/>
                <w:color w:val="auto"/>
                <w:w w:val="91"/>
              </w:rPr>
              <w:t>(in millions)</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4"/>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AT&amp;T Common</w:t>
            </w:r>
          </w:p>
        </w:tc>
        <w:tc>
          <w:tcPr>
            <w:tcW w:w="1220" w:type="dxa"/>
            <w:vAlign w:val="bottom"/>
            <w:shd w:val="clear" w:color="auto" w:fill="CCEEFF"/>
          </w:tcPr>
          <w:p>
            <w:pPr>
              <w:jc w:val="right"/>
              <w:ind w:right="10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25"/>
        </w:trPr>
        <w:tc>
          <w:tcPr>
            <w:tcW w:w="4000" w:type="dxa"/>
            <w:vAlign w:val="bottom"/>
          </w:tcPr>
          <w:p>
            <w:pPr>
              <w:ind w:left="20"/>
              <w:spacing w:after="0"/>
              <w:rPr>
                <w:sz w:val="20"/>
                <w:szCs w:val="20"/>
                <w:color w:val="auto"/>
              </w:rPr>
            </w:pPr>
            <w:r>
              <w:rPr>
                <w:rFonts w:ascii="Arial" w:cs="Arial" w:eastAsia="Arial" w:hAnsi="Arial"/>
                <w:sz w:val="18"/>
                <w:szCs w:val="18"/>
                <w:color w:val="auto"/>
              </w:rPr>
              <w:t>Charter Common</w:t>
            </w: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(304)</w:t>
            </w:r>
          </w:p>
        </w:tc>
      </w:tr>
      <w:tr>
        <w:trPr>
          <w:trHeight w:val="227"/>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WBD Common</w:t>
            </w: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5"/>
        </w:trPr>
        <w:tc>
          <w:tcPr>
            <w:tcW w:w="4000" w:type="dxa"/>
            <w:vAlign w:val="bottom"/>
          </w:tcPr>
          <w:p>
            <w:pPr>
              <w:ind w:left="20"/>
              <w:spacing w:after="0"/>
              <w:rPr>
                <w:sz w:val="20"/>
                <w:szCs w:val="20"/>
                <w:color w:val="auto"/>
              </w:rPr>
            </w:pPr>
            <w:r>
              <w:rPr>
                <w:rFonts w:ascii="Arial" w:cs="Arial" w:eastAsia="Arial" w:hAnsi="Arial"/>
                <w:sz w:val="18"/>
                <w:szCs w:val="18"/>
                <w:color w:val="auto"/>
              </w:rPr>
              <w:t>Energy Transfer Common Units</w:t>
            </w:r>
          </w:p>
        </w:tc>
        <w:tc>
          <w:tcPr>
            <w:tcW w:w="122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27"/>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 Transfer Series G Preferred Units</w:t>
            </w:r>
          </w:p>
        </w:tc>
        <w:tc>
          <w:tcPr>
            <w:tcW w:w="12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5"/>
        </w:trPr>
        <w:tc>
          <w:tcPr>
            <w:tcW w:w="4000" w:type="dxa"/>
            <w:vAlign w:val="bottom"/>
          </w:tcPr>
          <w:p>
            <w:pPr>
              <w:ind w:left="20"/>
              <w:spacing w:after="0"/>
              <w:rPr>
                <w:sz w:val="20"/>
                <w:szCs w:val="20"/>
                <w:color w:val="auto"/>
              </w:rPr>
            </w:pPr>
            <w:r>
              <w:rPr>
                <w:rFonts w:ascii="Arial" w:cs="Arial" w:eastAsia="Arial" w:hAnsi="Arial"/>
                <w:sz w:val="18"/>
                <w:szCs w:val="18"/>
                <w:color w:val="auto"/>
              </w:rPr>
              <w:t>Other</w:t>
            </w: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40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auto"/>
              <w:bottom w:val="single" w:sz="8" w:color="auto"/>
            </w:tcBorders>
            <w:shd w:val="clear" w:color="auto" w:fill="CCEEFF"/>
          </w:tcPr>
          <w:p>
            <w:pPr>
              <w:jc w:val="right"/>
              <w:ind w:right="102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889"/>
        </w:trPr>
        <w:tc>
          <w:tcPr>
            <w:tcW w:w="4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14"/>
        </w:trPr>
        <w:tc>
          <w:tcPr>
            <w:tcW w:w="40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CenterPoint Energy recorded net unrealized gains of $49 million and $56 million for the three and nine months ended September 30, 2023 and net unrealized losses of $206 million and $370 million for the three and nine months ended September 30, 2022 respectively, for equity securities held as of September 30, 2023 and 2022.</w:t>
      </w:r>
    </w:p>
    <w:p>
      <w:pPr>
        <w:spacing w:after="0" w:line="21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CenterPoint Energy and its subsidiaries hold shares of certain securities detailed in the table below, which are classified as trading securities. Shares of AT&amp;T Common, Charter Common and WBD Common are expected to be held to facilitate CenterPoint Energy’s ability to meet its obligation under the ZENS.</w:t>
      </w:r>
    </w:p>
    <w:p>
      <w:pPr>
        <w:sectPr>
          <w:pgSz w:w="11900" w:h="16838" w:orient="portrait"/>
          <w:cols w:equalWidth="0" w:num="1">
            <w:col w:w="11240"/>
          </w:cols>
          <w:pgMar w:left="320" w:top="127" w:right="339" w:bottom="1440" w:gutter="0" w:footer="0" w:header="0"/>
        </w:sectPr>
      </w:pPr>
    </w:p>
    <w:p>
      <w:pPr>
        <w:spacing w:after="0" w:line="14" w:lineRule="exact"/>
        <w:rPr>
          <w:sz w:val="20"/>
          <w:szCs w:val="20"/>
          <w:color w:val="auto"/>
        </w:rPr>
      </w:pPr>
    </w:p>
    <w:p>
      <w:pPr>
        <w:jc w:val="center"/>
        <w:ind w:left="4620"/>
        <w:spacing w:after="0"/>
        <w:rPr>
          <w:sz w:val="20"/>
          <w:szCs w:val="20"/>
          <w:color w:val="auto"/>
        </w:rPr>
      </w:pPr>
      <w:r>
        <w:rPr>
          <w:rFonts w:ascii="Arial" w:cs="Arial" w:eastAsia="Arial" w:hAnsi="Arial"/>
          <w:sz w:val="16"/>
          <w:szCs w:val="16"/>
          <w:b w:val="1"/>
          <w:bCs w:val="1"/>
          <w:color w:val="auto"/>
        </w:rPr>
        <w:t>Shares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18415</wp:posOffset>
            </wp:positionV>
            <wp:extent cx="215328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3285" cy="8255"/>
                    </a:xfrm>
                    <a:prstGeom prst="rect">
                      <a:avLst/>
                    </a:prstGeom>
                    <a:noFill/>
                  </pic:spPr>
                </pic:pic>
              </a:graphicData>
            </a:graphic>
          </wp:anchor>
        </w:drawing>
      </w:r>
    </w:p>
    <w:p>
      <w:pPr>
        <w:spacing w:after="0" w:line="13" w:lineRule="exact"/>
        <w:rPr>
          <w:sz w:val="20"/>
          <w:szCs w:val="20"/>
          <w:color w:val="auto"/>
        </w:rPr>
      </w:pPr>
    </w:p>
    <w:p>
      <w:pPr>
        <w:ind w:left="4600"/>
        <w:spacing w:after="0"/>
        <w:tabs>
          <w:tab w:leader="none" w:pos="6340" w:val="left"/>
        </w:tabs>
        <w:rPr>
          <w:sz w:val="20"/>
          <w:szCs w:val="20"/>
          <w:color w:val="auto"/>
        </w:rPr>
      </w:pPr>
      <w:r>
        <w:rPr>
          <w:rFonts w:ascii="Arial" w:cs="Arial" w:eastAsia="Arial" w:hAnsi="Arial"/>
          <w:sz w:val="14"/>
          <w:szCs w:val="14"/>
          <w:b w:val="1"/>
          <w:bCs w:val="1"/>
          <w:color w:val="auto"/>
        </w:rPr>
        <w:t>September 30, 2023</w:t>
      </w:r>
      <w:r>
        <w:rPr>
          <w:sz w:val="20"/>
          <w:szCs w:val="20"/>
          <w:color w:val="auto"/>
        </w:rPr>
        <w:tab/>
      </w:r>
      <w:r>
        <w:rPr>
          <w:rFonts w:ascii="Arial" w:cs="Arial" w:eastAsia="Arial" w:hAnsi="Arial"/>
          <w:sz w:val="12"/>
          <w:szCs w:val="12"/>
          <w:b w:val="1"/>
          <w:bCs w:val="1"/>
          <w:color w:val="auto"/>
        </w:rPr>
        <w:t>December 31, 2022</w:t>
      </w:r>
    </w:p>
    <w:p>
      <w:pPr>
        <w:spacing w:after="0" w:line="20" w:lineRule="exact"/>
        <w:rPr>
          <w:sz w:val="20"/>
          <w:szCs w:val="20"/>
          <w:color w:val="auto"/>
        </w:rPr>
      </w:pPr>
      <w:r>
        <w:rPr>
          <w:sz w:val="20"/>
          <w:szCs w:val="20"/>
          <w:color w:val="auto"/>
        </w:rPr>
        <w:br w:type="column"/>
      </w:r>
    </w:p>
    <w:p>
      <w:pPr>
        <w:jc w:val="center"/>
        <w:ind w:right="220"/>
        <w:spacing w:after="0"/>
        <w:rPr>
          <w:sz w:val="20"/>
          <w:szCs w:val="20"/>
          <w:color w:val="auto"/>
        </w:rPr>
      </w:pPr>
      <w:r>
        <w:rPr>
          <w:rFonts w:ascii="Arial" w:cs="Arial" w:eastAsia="Arial" w:hAnsi="Arial"/>
          <w:sz w:val="16"/>
          <w:szCs w:val="16"/>
          <w:b w:val="1"/>
          <w:bCs w:val="1"/>
          <w:color w:val="auto"/>
        </w:rPr>
        <w:t>Carrying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18415</wp:posOffset>
            </wp:positionV>
            <wp:extent cx="21443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44395" cy="8255"/>
                    </a:xfrm>
                    <a:prstGeom prst="rect">
                      <a:avLst/>
                    </a:prstGeom>
                    <a:noFill/>
                  </pic:spPr>
                </pic:pic>
              </a:graphicData>
            </a:graphic>
          </wp:anchor>
        </w:drawing>
      </w:r>
    </w:p>
    <w:p>
      <w:pPr>
        <w:spacing w:after="0" w:line="13"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b w:val="1"/>
          <w:bCs w:val="1"/>
          <w:color w:val="auto"/>
        </w:rPr>
        <w:t>September 30, 2023</w:t>
      </w:r>
      <w:r>
        <w:rPr>
          <w:sz w:val="20"/>
          <w:szCs w:val="20"/>
          <w:color w:val="auto"/>
        </w:rPr>
        <w:tab/>
      </w:r>
      <w:r>
        <w:rPr>
          <w:rFonts w:ascii="Arial" w:cs="Arial" w:eastAsia="Arial" w:hAnsi="Arial"/>
          <w:sz w:val="12"/>
          <w:szCs w:val="12"/>
          <w:b w:val="1"/>
          <w:bCs w:val="1"/>
          <w:color w:val="auto"/>
        </w:rPr>
        <w:t>December 31, 2022</w:t>
      </w:r>
    </w:p>
    <w:p>
      <w:pPr>
        <w:spacing w:after="0" w:line="28" w:lineRule="exact"/>
        <w:rPr>
          <w:sz w:val="20"/>
          <w:szCs w:val="20"/>
          <w:color w:val="auto"/>
        </w:rPr>
      </w:pPr>
    </w:p>
    <w:p>
      <w:pPr>
        <w:sectPr>
          <w:pgSz w:w="11900" w:h="16838" w:orient="portrait"/>
          <w:cols w:equalWidth="0" w:num="2">
            <w:col w:w="7500" w:space="580"/>
            <w:col w:w="316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205"/>
        </w:trPr>
        <w:tc>
          <w:tcPr>
            <w:tcW w:w="4360" w:type="dxa"/>
            <w:vAlign w:val="bottom"/>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gridSpan w:val="3"/>
          </w:tcPr>
          <w:p>
            <w:pPr>
              <w:jc w:val="right"/>
              <w:ind w:right="411"/>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Borders>
              <w:top w:val="single" w:sz="8" w:color="auto"/>
            </w:tcBorders>
          </w:tcPr>
          <w:p>
            <w:pPr>
              <w:spacing w:after="0"/>
              <w:rPr>
                <w:sz w:val="17"/>
                <w:szCs w:val="17"/>
                <w:color w:val="auto"/>
              </w:rPr>
            </w:pPr>
          </w:p>
        </w:tc>
      </w:tr>
      <w:tr>
        <w:trPr>
          <w:trHeight w:val="234"/>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AT&amp;T Common</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10,212,945</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10,212,945</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25"/>
        </w:trPr>
        <w:tc>
          <w:tcPr>
            <w:tcW w:w="4360" w:type="dxa"/>
            <w:vAlign w:val="bottom"/>
          </w:tcPr>
          <w:p>
            <w:pPr>
              <w:ind w:left="20"/>
              <w:spacing w:after="0"/>
              <w:rPr>
                <w:sz w:val="20"/>
                <w:szCs w:val="20"/>
                <w:color w:val="auto"/>
              </w:rPr>
            </w:pPr>
            <w:r>
              <w:rPr>
                <w:rFonts w:ascii="Arial" w:cs="Arial" w:eastAsia="Arial" w:hAnsi="Arial"/>
                <w:sz w:val="18"/>
                <w:szCs w:val="18"/>
                <w:color w:val="auto"/>
              </w:rPr>
              <w:t>Charter Common</w:t>
            </w:r>
          </w:p>
        </w:tc>
        <w:tc>
          <w:tcPr>
            <w:tcW w:w="1640" w:type="dxa"/>
            <w:vAlign w:val="bottom"/>
          </w:tcPr>
          <w:p>
            <w:pPr>
              <w:jc w:val="right"/>
              <w:spacing w:after="0"/>
              <w:rPr>
                <w:sz w:val="20"/>
                <w:szCs w:val="20"/>
                <w:color w:val="auto"/>
              </w:rPr>
            </w:pPr>
            <w:r>
              <w:rPr>
                <w:rFonts w:ascii="Arial" w:cs="Arial" w:eastAsia="Arial" w:hAnsi="Arial"/>
                <w:sz w:val="18"/>
                <w:szCs w:val="18"/>
                <w:color w:val="auto"/>
              </w:rPr>
              <w:t>872,503</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872,503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27"/>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WBD Common</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2,470,685</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2,470,685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5"/>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5"/>
        </w:trPr>
        <w:tc>
          <w:tcPr>
            <w:tcW w:w="4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11"/>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 ZENS</w:t>
      </w:r>
    </w:p>
    <w:p>
      <w:pPr>
        <w:spacing w:after="0" w:line="245"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6"/>
          <w:szCs w:val="16"/>
          <w:color w:val="auto"/>
        </w:rPr>
        <w:t>In September 1999, CenterPoint Energy issued ZENS having an original principal amount of $1.0 billion of which $828 million remained outstanding as of September 30, 2023. Each ZENS is exchangeable at the holder’s option at any time for an amount of cash equal to 95% of the market value of the reference shares attributable to such note. The number and identity of the reference shares attributable to each ZENS are adjusted for certain corporate events.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CenterPoint Energy’s reference shares for each ZENS consisted of the following:</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20" w:type="dxa"/>
            <w:vAlign w:val="bottom"/>
          </w:tcPr>
          <w:p>
            <w:pPr>
              <w:spacing w:after="0"/>
              <w:rPr>
                <w:sz w:val="16"/>
                <w:szCs w:val="16"/>
                <w:color w:val="auto"/>
              </w:rPr>
            </w:pPr>
          </w:p>
        </w:tc>
        <w:tc>
          <w:tcPr>
            <w:tcW w:w="2160" w:type="dxa"/>
            <w:vAlign w:val="bottom"/>
          </w:tcPr>
          <w:p>
            <w:pPr>
              <w:jc w:val="right"/>
              <w:ind w:right="598"/>
              <w:spacing w:after="0"/>
              <w:rPr>
                <w:sz w:val="20"/>
                <w:szCs w:val="20"/>
                <w:color w:val="auto"/>
              </w:rPr>
            </w:pPr>
            <w:r>
              <w:rPr>
                <w:rFonts w:ascii="Arial" w:cs="Arial" w:eastAsia="Arial" w:hAnsi="Arial"/>
                <w:sz w:val="14"/>
                <w:szCs w:val="14"/>
                <w:b w:val="1"/>
                <w:bCs w:val="1"/>
                <w:color w:val="auto"/>
              </w:rPr>
              <w:t>September 30, 2023</w:t>
            </w:r>
          </w:p>
        </w:tc>
        <w:tc>
          <w:tcPr>
            <w:tcW w:w="1460" w:type="dxa"/>
            <w:vAlign w:val="bottom"/>
          </w:tcPr>
          <w:p>
            <w:pPr>
              <w:jc w:val="right"/>
              <w:ind w:right="216"/>
              <w:spacing w:after="0"/>
              <w:rPr>
                <w:sz w:val="20"/>
                <w:szCs w:val="20"/>
                <w:color w:val="auto"/>
              </w:rPr>
            </w:pPr>
            <w:r>
              <w:rPr>
                <w:rFonts w:ascii="Arial" w:cs="Arial" w:eastAsia="Arial" w:hAnsi="Arial"/>
                <w:sz w:val="14"/>
                <w:szCs w:val="14"/>
                <w:b w:val="1"/>
                <w:bCs w:val="1"/>
                <w:color w:val="auto"/>
                <w:w w:val="90"/>
              </w:rPr>
              <w:t>December 31, 2022</w:t>
            </w:r>
          </w:p>
        </w:tc>
      </w:tr>
      <w:tr>
        <w:trPr>
          <w:trHeight w:val="24"/>
        </w:trPr>
        <w:tc>
          <w:tcPr>
            <w:tcW w:w="76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5"/>
        </w:trPr>
        <w:tc>
          <w:tcPr>
            <w:tcW w:w="7620" w:type="dxa"/>
            <w:vAlign w:val="bottom"/>
          </w:tcPr>
          <w:p>
            <w:pPr>
              <w:spacing w:after="0"/>
              <w:rPr>
                <w:sz w:val="16"/>
                <w:szCs w:val="16"/>
                <w:color w:val="auto"/>
              </w:rPr>
            </w:pPr>
          </w:p>
        </w:tc>
        <w:tc>
          <w:tcPr>
            <w:tcW w:w="2160" w:type="dxa"/>
            <w:vAlign w:val="bottom"/>
          </w:tcPr>
          <w:p>
            <w:pPr>
              <w:jc w:val="right"/>
              <w:spacing w:after="0"/>
              <w:rPr>
                <w:sz w:val="20"/>
                <w:szCs w:val="20"/>
                <w:color w:val="auto"/>
              </w:rPr>
            </w:pPr>
            <w:r>
              <w:rPr>
                <w:rFonts w:ascii="Arial" w:cs="Arial" w:eastAsia="Arial" w:hAnsi="Arial"/>
                <w:sz w:val="14"/>
                <w:szCs w:val="14"/>
                <w:b w:val="1"/>
                <w:bCs w:val="1"/>
                <w:color w:val="auto"/>
              </w:rPr>
              <w:t>(in shares)</w:t>
            </w:r>
          </w:p>
        </w:tc>
        <w:tc>
          <w:tcPr>
            <w:tcW w:w="1460" w:type="dxa"/>
            <w:vAlign w:val="bottom"/>
          </w:tcPr>
          <w:p>
            <w:pPr>
              <w:spacing w:after="0"/>
              <w:rPr>
                <w:sz w:val="16"/>
                <w:szCs w:val="16"/>
                <w:color w:val="auto"/>
              </w:rPr>
            </w:pPr>
          </w:p>
        </w:tc>
      </w:tr>
      <w:tr>
        <w:trPr>
          <w:trHeight w:val="234"/>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AT&amp;T Common</w:t>
            </w:r>
          </w:p>
        </w:tc>
        <w:tc>
          <w:tcPr>
            <w:tcW w:w="2160" w:type="dxa"/>
            <w:vAlign w:val="bottom"/>
            <w:shd w:val="clear" w:color="auto" w:fill="CCEEFF"/>
          </w:tcPr>
          <w:p>
            <w:pPr>
              <w:jc w:val="right"/>
              <w:ind w:right="398"/>
              <w:spacing w:after="0"/>
              <w:rPr>
                <w:sz w:val="20"/>
                <w:szCs w:val="20"/>
                <w:color w:val="auto"/>
              </w:rPr>
            </w:pPr>
            <w:r>
              <w:rPr>
                <w:rFonts w:ascii="Arial" w:cs="Arial" w:eastAsia="Arial" w:hAnsi="Arial"/>
                <w:sz w:val="18"/>
                <w:szCs w:val="18"/>
                <w:color w:val="auto"/>
              </w:rPr>
              <w:t>0.7185</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0.7185</w:t>
            </w:r>
          </w:p>
        </w:tc>
      </w:tr>
      <w:tr>
        <w:trPr>
          <w:trHeight w:val="225"/>
        </w:trPr>
        <w:tc>
          <w:tcPr>
            <w:tcW w:w="7620" w:type="dxa"/>
            <w:vAlign w:val="bottom"/>
          </w:tcPr>
          <w:p>
            <w:pPr>
              <w:ind w:left="20"/>
              <w:spacing w:after="0"/>
              <w:rPr>
                <w:sz w:val="20"/>
                <w:szCs w:val="20"/>
                <w:color w:val="auto"/>
              </w:rPr>
            </w:pPr>
            <w:r>
              <w:rPr>
                <w:rFonts w:ascii="Arial" w:cs="Arial" w:eastAsia="Arial" w:hAnsi="Arial"/>
                <w:sz w:val="18"/>
                <w:szCs w:val="18"/>
                <w:color w:val="auto"/>
              </w:rPr>
              <w:t>Charter Common</w:t>
            </w:r>
          </w:p>
        </w:tc>
        <w:tc>
          <w:tcPr>
            <w:tcW w:w="2160" w:type="dxa"/>
            <w:vAlign w:val="bottom"/>
          </w:tcPr>
          <w:p>
            <w:pPr>
              <w:jc w:val="right"/>
              <w:ind w:right="398"/>
              <w:spacing w:after="0"/>
              <w:rPr>
                <w:sz w:val="20"/>
                <w:szCs w:val="20"/>
                <w:color w:val="auto"/>
              </w:rPr>
            </w:pPr>
            <w:r>
              <w:rPr>
                <w:rFonts w:ascii="Arial" w:cs="Arial" w:eastAsia="Arial" w:hAnsi="Arial"/>
                <w:sz w:val="18"/>
                <w:szCs w:val="18"/>
                <w:color w:val="auto"/>
              </w:rPr>
              <w:t>0.061382</w:t>
            </w:r>
          </w:p>
        </w:tc>
        <w:tc>
          <w:tcPr>
            <w:tcW w:w="1460" w:type="dxa"/>
            <w:vAlign w:val="bottom"/>
          </w:tcPr>
          <w:p>
            <w:pPr>
              <w:jc w:val="right"/>
              <w:spacing w:after="0"/>
              <w:rPr>
                <w:sz w:val="20"/>
                <w:szCs w:val="20"/>
                <w:color w:val="auto"/>
              </w:rPr>
            </w:pPr>
            <w:r>
              <w:rPr>
                <w:rFonts w:ascii="Arial" w:cs="Arial" w:eastAsia="Arial" w:hAnsi="Arial"/>
                <w:sz w:val="18"/>
                <w:szCs w:val="18"/>
                <w:color w:val="auto"/>
              </w:rPr>
              <w:t>0.061382</w:t>
            </w:r>
          </w:p>
        </w:tc>
      </w:tr>
      <w:tr>
        <w:trPr>
          <w:trHeight w:val="227"/>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WBD Common</w:t>
            </w:r>
          </w:p>
        </w:tc>
        <w:tc>
          <w:tcPr>
            <w:tcW w:w="2160" w:type="dxa"/>
            <w:vAlign w:val="bottom"/>
            <w:shd w:val="clear" w:color="auto" w:fill="CCEEFF"/>
          </w:tcPr>
          <w:p>
            <w:pPr>
              <w:jc w:val="right"/>
              <w:ind w:right="398"/>
              <w:spacing w:after="0"/>
              <w:rPr>
                <w:sz w:val="20"/>
                <w:szCs w:val="20"/>
                <w:color w:val="auto"/>
              </w:rPr>
            </w:pPr>
            <w:r>
              <w:rPr>
                <w:rFonts w:ascii="Arial" w:cs="Arial" w:eastAsia="Arial" w:hAnsi="Arial"/>
                <w:sz w:val="18"/>
                <w:szCs w:val="18"/>
                <w:color w:val="auto"/>
              </w:rPr>
              <w:t>0.173817</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0.173817</w:t>
            </w:r>
          </w:p>
        </w:tc>
      </w:tr>
    </w:tbl>
    <w:p>
      <w:pPr>
        <w:spacing w:after="0" w:line="320"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CenterPoint Energy pays interest on the ZENS at an annual rate of 2% plus the amount of any quarterly cash dividends paid in respect of the reference shares attributable to the ZENS. The principal amount of the ZENS is subject to increases or decreases to the extent that the annual yield from interest and cash dividends on the reference shares attributable to the ZENS is less than or more than 2.309%. The adjusted principal amount is defined in the ZENS instrument as “contingent principal.” As of September 30, 2023, the ZENS, having an original principal amount of $828 million and a contingent principal amount of $20 million, were outstanding and were exchangeable, at the option of the holders, for cash equal to 95% of the market value of the reference shares attributable to the ZENS.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Short-term Borrowings and Long-term Debt</w:t>
      </w:r>
    </w:p>
    <w:p>
      <w:pPr>
        <w:spacing w:after="0" w:line="251"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i w:val="1"/>
          <w:iCs w:val="1"/>
          <w:color w:val="auto"/>
        </w:rPr>
        <w:t xml:space="preserve">Inventory Financing. </w:t>
      </w:r>
      <w:r>
        <w:rPr>
          <w:rFonts w:ascii="Arial" w:cs="Arial" w:eastAsia="Arial" w:hAnsi="Arial"/>
          <w:sz w:val="17"/>
          <w:szCs w:val="17"/>
          <w:color w:val="auto"/>
        </w:rPr>
        <w:t>CenterPoint Energy’s and CERC’s Natural Gas businesses have third-party AMAs associated with their utility distribution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in Indiana, Louisiana, Minnesota, Mississippi and Texas. The AMAs have varying terms, the longest of which expires in 2027. Pursuant to the provisions of the agreements, CenterPoint Energy’s and CERC’s Natural Gas either sells natural gas to the asset manager and agrees to repurchase an equivalent amount of natural gas throughout the year at the same cost, or simply purchases its full natural gas requirements at each delivery point from the asset manager. Certain of these transactions are accounted for as an inventory financing. CenterPoint Energy and CERC had $4 million and $11 million outstanding obligations related to the AMAs as of September 30, 2023 and December 31, 2022, respectively, recorded in Short-term borrowings on CenterPoint Energy’s and CERC’s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Debt Transactions. </w:t>
      </w:r>
      <w:r>
        <w:rPr>
          <w:rFonts w:ascii="Arial" w:cs="Arial" w:eastAsia="Arial" w:hAnsi="Arial"/>
          <w:sz w:val="18"/>
          <w:szCs w:val="18"/>
          <w:color w:val="auto"/>
        </w:rPr>
        <w:t>During the nine months ended September 30, 2023, the following debt instruments were issued or incurred: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20" w:type="dxa"/>
            <w:vAlign w:val="bottom"/>
            <w:gridSpan w:val="2"/>
            <w:vMerge w:val="restart"/>
          </w:tcPr>
          <w:p>
            <w:pPr>
              <w:ind w:left="700"/>
              <w:spacing w:after="0"/>
              <w:rPr>
                <w:sz w:val="20"/>
                <w:szCs w:val="20"/>
                <w:color w:val="auto"/>
              </w:rPr>
            </w:pPr>
            <w:r>
              <w:rPr>
                <w:rFonts w:ascii="Arial" w:cs="Arial" w:eastAsia="Arial" w:hAnsi="Arial"/>
                <w:sz w:val="16"/>
                <w:szCs w:val="16"/>
                <w:b w:val="1"/>
                <w:bCs w:val="1"/>
                <w:color w:val="auto"/>
              </w:rPr>
              <w:t>Registrant</w:t>
            </w:r>
          </w:p>
        </w:tc>
        <w:tc>
          <w:tcPr>
            <w:tcW w:w="14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Issuance Date</w:t>
            </w:r>
          </w:p>
        </w:tc>
        <w:tc>
          <w:tcPr>
            <w:tcW w:w="2660" w:type="dxa"/>
            <w:vAlign w:val="bottom"/>
            <w:vMerge w:val="restart"/>
          </w:tcPr>
          <w:p>
            <w:pPr>
              <w:ind w:left="800"/>
              <w:spacing w:after="0"/>
              <w:rPr>
                <w:sz w:val="20"/>
                <w:szCs w:val="20"/>
                <w:color w:val="auto"/>
              </w:rPr>
            </w:pPr>
            <w:r>
              <w:rPr>
                <w:rFonts w:ascii="Arial" w:cs="Arial" w:eastAsia="Arial" w:hAnsi="Arial"/>
                <w:sz w:val="16"/>
                <w:szCs w:val="16"/>
                <w:b w:val="1"/>
                <w:bCs w:val="1"/>
                <w:color w:val="auto"/>
              </w:rPr>
              <w:t>Debt Instrument</w:t>
            </w:r>
          </w:p>
        </w:tc>
        <w:tc>
          <w:tcPr>
            <w:tcW w:w="15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Aggregate Principal</w:t>
            </w:r>
          </w:p>
        </w:tc>
        <w:tc>
          <w:tcPr>
            <w:tcW w:w="2060" w:type="dxa"/>
            <w:vAlign w:val="bottom"/>
            <w:vMerge w:val="restart"/>
          </w:tcPr>
          <w:p>
            <w:pPr>
              <w:jc w:val="center"/>
              <w:ind w:left="200"/>
              <w:spacing w:after="0"/>
              <w:rPr>
                <w:sz w:val="20"/>
                <w:szCs w:val="20"/>
                <w:color w:val="auto"/>
              </w:rPr>
            </w:pPr>
            <w:r>
              <w:rPr>
                <w:rFonts w:ascii="Arial" w:cs="Arial" w:eastAsia="Arial" w:hAnsi="Arial"/>
                <w:sz w:val="16"/>
                <w:szCs w:val="16"/>
                <w:b w:val="1"/>
                <w:bCs w:val="1"/>
                <w:color w:val="auto"/>
                <w:w w:val="92"/>
              </w:rPr>
              <w:t>Interest Rate</w:t>
            </w:r>
          </w:p>
        </w:tc>
        <w:tc>
          <w:tcPr>
            <w:tcW w:w="1320" w:type="dxa"/>
            <w:vAlign w:val="bottom"/>
            <w:vMerge w:val="restart"/>
          </w:tcPr>
          <w:p>
            <w:pPr>
              <w:ind w:left="300"/>
              <w:spacing w:after="0"/>
              <w:rPr>
                <w:sz w:val="20"/>
                <w:szCs w:val="20"/>
                <w:color w:val="auto"/>
              </w:rPr>
            </w:pPr>
            <w:r>
              <w:rPr>
                <w:rFonts w:ascii="Arial" w:cs="Arial" w:eastAsia="Arial" w:hAnsi="Arial"/>
                <w:sz w:val="16"/>
                <w:szCs w:val="16"/>
                <w:b w:val="1"/>
                <w:bCs w:val="1"/>
                <w:color w:val="auto"/>
                <w:w w:val="98"/>
              </w:rPr>
              <w:t>Maturity Date</w:t>
            </w:r>
          </w:p>
        </w:tc>
        <w:tc>
          <w:tcPr>
            <w:tcW w:w="0" w:type="dxa"/>
            <w:vAlign w:val="bottom"/>
          </w:tcPr>
          <w:p>
            <w:pPr>
              <w:spacing w:after="0"/>
              <w:rPr>
                <w:sz w:val="1"/>
                <w:szCs w:val="1"/>
                <w:color w:val="auto"/>
              </w:rPr>
            </w:pPr>
          </w:p>
        </w:tc>
      </w:tr>
      <w:tr>
        <w:trPr>
          <w:trHeight w:val="210"/>
        </w:trPr>
        <w:tc>
          <w:tcPr>
            <w:tcW w:w="2220" w:type="dxa"/>
            <w:vAlign w:val="bottom"/>
            <w:gridSpan w:val="2"/>
            <w:vMerge w:val="continue"/>
          </w:tcPr>
          <w:p>
            <w:pPr>
              <w:spacing w:after="0"/>
              <w:rPr>
                <w:sz w:val="18"/>
                <w:szCs w:val="18"/>
                <w:color w:val="auto"/>
              </w:rPr>
            </w:pPr>
          </w:p>
        </w:tc>
        <w:tc>
          <w:tcPr>
            <w:tcW w:w="1480" w:type="dxa"/>
            <w:vAlign w:val="bottom"/>
            <w:vMerge w:val="continue"/>
          </w:tcPr>
          <w:p>
            <w:pPr>
              <w:spacing w:after="0"/>
              <w:rPr>
                <w:sz w:val="18"/>
                <w:szCs w:val="18"/>
                <w:color w:val="auto"/>
              </w:rPr>
            </w:pPr>
          </w:p>
        </w:tc>
        <w:tc>
          <w:tcPr>
            <w:tcW w:w="2660" w:type="dxa"/>
            <w:vAlign w:val="bottom"/>
            <w:vMerge w:val="continue"/>
          </w:tcPr>
          <w:p>
            <w:pPr>
              <w:spacing w:after="0"/>
              <w:rPr>
                <w:sz w:val="18"/>
                <w:szCs w:val="18"/>
                <w:color w:val="auto"/>
              </w:rPr>
            </w:pPr>
          </w:p>
        </w:tc>
        <w:tc>
          <w:tcPr>
            <w:tcW w:w="1060" w:type="dxa"/>
            <w:vAlign w:val="bottom"/>
          </w:tcPr>
          <w:p>
            <w:pPr>
              <w:jc w:val="center"/>
              <w:ind w:left="382"/>
              <w:spacing w:after="0"/>
              <w:rPr>
                <w:sz w:val="20"/>
                <w:szCs w:val="20"/>
                <w:color w:val="auto"/>
              </w:rPr>
            </w:pPr>
            <w:r>
              <w:rPr>
                <w:rFonts w:ascii="Arial" w:cs="Arial" w:eastAsia="Arial" w:hAnsi="Arial"/>
                <w:sz w:val="16"/>
                <w:szCs w:val="16"/>
                <w:b w:val="1"/>
                <w:bCs w:val="1"/>
                <w:color w:val="auto"/>
                <w:w w:val="92"/>
              </w:rPr>
              <w:t>Amount</w:t>
            </w:r>
          </w:p>
        </w:tc>
        <w:tc>
          <w:tcPr>
            <w:tcW w:w="440" w:type="dxa"/>
            <w:vAlign w:val="bottom"/>
          </w:tcPr>
          <w:p>
            <w:pPr>
              <w:spacing w:after="0"/>
              <w:rPr>
                <w:sz w:val="18"/>
                <w:szCs w:val="18"/>
                <w:color w:val="auto"/>
              </w:rPr>
            </w:pPr>
          </w:p>
        </w:tc>
        <w:tc>
          <w:tcPr>
            <w:tcW w:w="206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26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top w:val="single" w:sz="8" w:color="auto"/>
            </w:tcBorders>
          </w:tcPr>
          <w:p>
            <w:pPr>
              <w:spacing w:after="0"/>
              <w:rPr>
                <w:sz w:val="16"/>
                <w:szCs w:val="16"/>
                <w:color w:val="auto"/>
              </w:rPr>
            </w:pPr>
          </w:p>
        </w:tc>
        <w:tc>
          <w:tcPr>
            <w:tcW w:w="20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Houston Electric</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March 2023</w:t>
            </w:r>
          </w:p>
        </w:tc>
        <w:tc>
          <w:tcPr>
            <w:tcW w:w="2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General Mortgage Bonds </w:t>
            </w:r>
            <w:r>
              <w:rPr>
                <w:rFonts w:ascii="Arial" w:cs="Arial" w:eastAsia="Arial" w:hAnsi="Arial"/>
                <w:sz w:val="12"/>
                <w:szCs w:val="12"/>
                <w:color w:val="auto"/>
              </w:rPr>
              <w:t>(1)</w:t>
            </w:r>
          </w:p>
        </w:tc>
        <w:tc>
          <w:tcPr>
            <w:tcW w:w="1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2060" w:type="dxa"/>
            <w:vAlign w:val="bottom"/>
            <w:shd w:val="clear" w:color="auto" w:fill="CCEEFF"/>
          </w:tcPr>
          <w:p>
            <w:pPr>
              <w:jc w:val="center"/>
              <w:ind w:left="200"/>
              <w:spacing w:after="0"/>
              <w:rPr>
                <w:sz w:val="20"/>
                <w:szCs w:val="20"/>
                <w:color w:val="auto"/>
              </w:rPr>
            </w:pPr>
            <w:r>
              <w:rPr>
                <w:rFonts w:ascii="Arial" w:cs="Arial" w:eastAsia="Arial" w:hAnsi="Arial"/>
                <w:sz w:val="16"/>
                <w:szCs w:val="16"/>
                <w:color w:val="auto"/>
                <w:w w:val="92"/>
              </w:rPr>
              <w:t>4.95%</w:t>
            </w:r>
          </w:p>
        </w:tc>
        <w:tc>
          <w:tcPr>
            <w:tcW w:w="1320" w:type="dxa"/>
            <w:vAlign w:val="bottom"/>
            <w:shd w:val="clear" w:color="auto" w:fill="CCEEFF"/>
          </w:tcPr>
          <w:p>
            <w:pPr>
              <w:jc w:val="center"/>
              <w:ind w:left="200"/>
              <w:spacing w:after="0"/>
              <w:rPr>
                <w:sz w:val="20"/>
                <w:szCs w:val="20"/>
                <w:color w:val="auto"/>
              </w:rPr>
            </w:pPr>
            <w:r>
              <w:rPr>
                <w:rFonts w:ascii="Arial" w:cs="Arial" w:eastAsia="Arial" w:hAnsi="Arial"/>
                <w:sz w:val="16"/>
                <w:szCs w:val="16"/>
                <w:color w:val="auto"/>
                <w:w w:val="89"/>
              </w:rPr>
              <w:t>2033</w:t>
            </w:r>
          </w:p>
        </w:tc>
        <w:tc>
          <w:tcPr>
            <w:tcW w:w="0" w:type="dxa"/>
            <w:vAlign w:val="bottom"/>
          </w:tcPr>
          <w:p>
            <w:pPr>
              <w:spacing w:after="0"/>
              <w:rPr>
                <w:sz w:val="1"/>
                <w:szCs w:val="1"/>
                <w:color w:val="auto"/>
              </w:rPr>
            </w:pPr>
          </w:p>
        </w:tc>
      </w:tr>
      <w:tr>
        <w:trPr>
          <w:trHeight w:val="210"/>
        </w:trPr>
        <w:tc>
          <w:tcPr>
            <w:tcW w:w="2220" w:type="dxa"/>
            <w:vAlign w:val="bottom"/>
            <w:gridSpan w:val="2"/>
          </w:tcPr>
          <w:p>
            <w:pPr>
              <w:ind w:left="20"/>
              <w:spacing w:after="0"/>
              <w:rPr>
                <w:sz w:val="20"/>
                <w:szCs w:val="20"/>
                <w:color w:val="auto"/>
              </w:rPr>
            </w:pPr>
            <w:r>
              <w:rPr>
                <w:rFonts w:ascii="Arial" w:cs="Arial" w:eastAsia="Arial" w:hAnsi="Arial"/>
                <w:sz w:val="16"/>
                <w:szCs w:val="16"/>
                <w:color w:val="auto"/>
              </w:rPr>
              <w:t>Houston Electric</w:t>
            </w:r>
          </w:p>
        </w:tc>
        <w:tc>
          <w:tcPr>
            <w:tcW w:w="1480" w:type="dxa"/>
            <w:vAlign w:val="bottom"/>
          </w:tcPr>
          <w:p>
            <w:pPr>
              <w:jc w:val="center"/>
              <w:spacing w:after="0"/>
              <w:rPr>
                <w:sz w:val="20"/>
                <w:szCs w:val="20"/>
                <w:color w:val="auto"/>
              </w:rPr>
            </w:pPr>
            <w:r>
              <w:rPr>
                <w:rFonts w:ascii="Arial" w:cs="Arial" w:eastAsia="Arial" w:hAnsi="Arial"/>
                <w:sz w:val="16"/>
                <w:szCs w:val="16"/>
                <w:color w:val="auto"/>
                <w:w w:val="92"/>
              </w:rPr>
              <w:t>March 2023</w:t>
            </w:r>
          </w:p>
        </w:tc>
        <w:tc>
          <w:tcPr>
            <w:tcW w:w="2660" w:type="dxa"/>
            <w:vAlign w:val="bottom"/>
          </w:tcPr>
          <w:p>
            <w:pPr>
              <w:ind w:left="180"/>
              <w:spacing w:after="0"/>
              <w:rPr>
                <w:sz w:val="20"/>
                <w:szCs w:val="20"/>
                <w:color w:val="auto"/>
              </w:rPr>
            </w:pPr>
            <w:r>
              <w:rPr>
                <w:rFonts w:ascii="Arial" w:cs="Arial" w:eastAsia="Arial" w:hAnsi="Arial"/>
                <w:sz w:val="16"/>
                <w:szCs w:val="16"/>
                <w:color w:val="auto"/>
              </w:rPr>
              <w:t xml:space="preserve">General Mortgage Bonds </w:t>
            </w:r>
            <w:r>
              <w:rPr>
                <w:rFonts w:ascii="Arial" w:cs="Arial" w:eastAsia="Arial" w:hAnsi="Arial"/>
                <w:sz w:val="12"/>
                <w:szCs w:val="12"/>
                <w:color w:val="auto"/>
              </w:rPr>
              <w:t>(1)</w:t>
            </w: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300</w:t>
            </w:r>
          </w:p>
        </w:tc>
        <w:tc>
          <w:tcPr>
            <w:tcW w:w="2060" w:type="dxa"/>
            <w:vAlign w:val="bottom"/>
          </w:tcPr>
          <w:p>
            <w:pPr>
              <w:jc w:val="center"/>
              <w:ind w:left="200"/>
              <w:spacing w:after="0"/>
              <w:rPr>
                <w:sz w:val="20"/>
                <w:szCs w:val="20"/>
                <w:color w:val="auto"/>
              </w:rPr>
            </w:pPr>
            <w:r>
              <w:rPr>
                <w:rFonts w:ascii="Arial" w:cs="Arial" w:eastAsia="Arial" w:hAnsi="Arial"/>
                <w:sz w:val="16"/>
                <w:szCs w:val="16"/>
                <w:color w:val="auto"/>
                <w:w w:val="92"/>
              </w:rPr>
              <w:t>5.30%</w:t>
            </w:r>
          </w:p>
        </w:tc>
        <w:tc>
          <w:tcPr>
            <w:tcW w:w="1320" w:type="dxa"/>
            <w:vAlign w:val="bottom"/>
          </w:tcPr>
          <w:p>
            <w:pPr>
              <w:jc w:val="center"/>
              <w:ind w:left="200"/>
              <w:spacing w:after="0"/>
              <w:rPr>
                <w:sz w:val="20"/>
                <w:szCs w:val="20"/>
                <w:color w:val="auto"/>
              </w:rPr>
            </w:pPr>
            <w:r>
              <w:rPr>
                <w:rFonts w:ascii="Arial" w:cs="Arial" w:eastAsia="Arial" w:hAnsi="Arial"/>
                <w:sz w:val="16"/>
                <w:szCs w:val="16"/>
                <w:color w:val="auto"/>
                <w:w w:val="89"/>
              </w:rPr>
              <w:t>2053</w:t>
            </w:r>
          </w:p>
        </w:tc>
        <w:tc>
          <w:tcPr>
            <w:tcW w:w="0" w:type="dxa"/>
            <w:vAlign w:val="bottom"/>
          </w:tcPr>
          <w:p>
            <w:pPr>
              <w:spacing w:after="0"/>
              <w:rPr>
                <w:sz w:val="1"/>
                <w:szCs w:val="1"/>
                <w:color w:val="auto"/>
              </w:rPr>
            </w:pPr>
          </w:p>
        </w:tc>
      </w:tr>
      <w:tr>
        <w:trPr>
          <w:trHeight w:val="215"/>
        </w:trPr>
        <w:tc>
          <w:tcPr>
            <w:tcW w:w="2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Houston Electric</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September 2023</w:t>
            </w:r>
          </w:p>
        </w:tc>
        <w:tc>
          <w:tcPr>
            <w:tcW w:w="2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General Mortgage Bonds </w:t>
            </w:r>
            <w:r>
              <w:rPr>
                <w:rFonts w:ascii="Arial" w:cs="Arial" w:eastAsia="Arial" w:hAnsi="Arial"/>
                <w:sz w:val="12"/>
                <w:szCs w:val="12"/>
                <w:color w:val="auto"/>
              </w:rPr>
              <w:t>(13)</w:t>
            </w:r>
          </w:p>
        </w:tc>
        <w:tc>
          <w:tcPr>
            <w:tcW w:w="10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2060" w:type="dxa"/>
            <w:vAlign w:val="bottom"/>
            <w:shd w:val="clear" w:color="auto" w:fill="CCEEFF"/>
          </w:tcPr>
          <w:p>
            <w:pPr>
              <w:jc w:val="center"/>
              <w:ind w:left="200"/>
              <w:spacing w:after="0"/>
              <w:rPr>
                <w:sz w:val="20"/>
                <w:szCs w:val="20"/>
                <w:color w:val="auto"/>
              </w:rPr>
            </w:pPr>
            <w:r>
              <w:rPr>
                <w:rFonts w:ascii="Arial" w:cs="Arial" w:eastAsia="Arial" w:hAnsi="Arial"/>
                <w:sz w:val="16"/>
                <w:szCs w:val="16"/>
                <w:color w:val="auto"/>
                <w:w w:val="92"/>
              </w:rPr>
              <w:t>5.20%</w:t>
            </w:r>
          </w:p>
        </w:tc>
        <w:tc>
          <w:tcPr>
            <w:tcW w:w="1320" w:type="dxa"/>
            <w:vAlign w:val="bottom"/>
            <w:shd w:val="clear" w:color="auto" w:fill="CCEEFF"/>
          </w:tcPr>
          <w:p>
            <w:pPr>
              <w:jc w:val="center"/>
              <w:ind w:left="200"/>
              <w:spacing w:after="0"/>
              <w:rPr>
                <w:sz w:val="20"/>
                <w:szCs w:val="20"/>
                <w:color w:val="auto"/>
              </w:rPr>
            </w:pPr>
            <w:r>
              <w:rPr>
                <w:rFonts w:ascii="Arial" w:cs="Arial" w:eastAsia="Arial" w:hAnsi="Arial"/>
                <w:sz w:val="16"/>
                <w:szCs w:val="16"/>
                <w:color w:val="auto"/>
                <w:w w:val="89"/>
              </w:rPr>
              <w:t>2028</w:t>
            </w:r>
          </w:p>
        </w:tc>
        <w:tc>
          <w:tcPr>
            <w:tcW w:w="0" w:type="dxa"/>
            <w:vAlign w:val="bottom"/>
          </w:tcPr>
          <w:p>
            <w:pPr>
              <w:spacing w:after="0"/>
              <w:rPr>
                <w:sz w:val="1"/>
                <w:szCs w:val="1"/>
                <w:color w:val="auto"/>
              </w:rPr>
            </w:pPr>
          </w:p>
        </w:tc>
      </w:tr>
      <w:tr>
        <w:trPr>
          <w:trHeight w:val="203"/>
        </w:trPr>
        <w:tc>
          <w:tcPr>
            <w:tcW w:w="2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2660" w:type="dxa"/>
            <w:vAlign w:val="bottom"/>
            <w:tcBorders>
              <w:bottom w:val="single" w:sz="8" w:color="CCEEFF"/>
            </w:tcBorders>
          </w:tcPr>
          <w:p>
            <w:pPr>
              <w:ind w:left="180"/>
              <w:spacing w:after="0"/>
              <w:rPr>
                <w:sz w:val="20"/>
                <w:szCs w:val="20"/>
                <w:color w:val="auto"/>
              </w:rPr>
            </w:pPr>
            <w:r>
              <w:rPr>
                <w:rFonts w:ascii="Arial" w:cs="Arial" w:eastAsia="Arial" w:hAnsi="Arial"/>
                <w:sz w:val="16"/>
                <w:szCs w:val="16"/>
                <w:b w:val="1"/>
                <w:bCs w:val="1"/>
                <w:color w:val="auto"/>
              </w:rPr>
              <w:t>Total Houston Electric</w:t>
            </w:r>
          </w:p>
        </w:tc>
        <w:tc>
          <w:tcPr>
            <w:tcW w:w="10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1,400</w:t>
            </w:r>
          </w:p>
        </w:tc>
        <w:tc>
          <w:tcPr>
            <w:tcW w:w="206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CERC</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February 2023</w:t>
            </w:r>
          </w:p>
        </w:tc>
        <w:tc>
          <w:tcPr>
            <w:tcW w:w="2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Term Loan </w:t>
            </w:r>
            <w:r>
              <w:rPr>
                <w:rFonts w:ascii="Arial" w:cs="Arial" w:eastAsia="Arial" w:hAnsi="Arial"/>
                <w:sz w:val="12"/>
                <w:szCs w:val="12"/>
                <w:color w:val="auto"/>
              </w:rPr>
              <w:t>(2)</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2060" w:type="dxa"/>
            <w:vAlign w:val="bottom"/>
            <w:shd w:val="clear" w:color="auto" w:fill="CCEEFF"/>
          </w:tcPr>
          <w:p>
            <w:pPr>
              <w:jc w:val="center"/>
              <w:ind w:left="200"/>
              <w:spacing w:after="0"/>
              <w:rPr>
                <w:sz w:val="20"/>
                <w:szCs w:val="20"/>
                <w:color w:val="auto"/>
              </w:rPr>
            </w:pPr>
            <w:r>
              <w:rPr>
                <w:rFonts w:ascii="Arial" w:cs="Arial" w:eastAsia="Arial" w:hAnsi="Arial"/>
                <w:sz w:val="16"/>
                <w:szCs w:val="16"/>
                <w:color w:val="auto"/>
                <w:w w:val="92"/>
              </w:rPr>
              <w:t xml:space="preserve">SOFR </w:t>
            </w:r>
            <w:r>
              <w:rPr>
                <w:rFonts w:ascii="Arial" w:cs="Arial" w:eastAsia="Arial" w:hAnsi="Arial"/>
                <w:sz w:val="12"/>
                <w:szCs w:val="12"/>
                <w:color w:val="auto"/>
                <w:w w:val="92"/>
              </w:rPr>
              <w:t>(3)</w:t>
            </w:r>
            <w:r>
              <w:rPr>
                <w:rFonts w:ascii="Arial" w:cs="Arial" w:eastAsia="Arial" w:hAnsi="Arial"/>
                <w:sz w:val="16"/>
                <w:szCs w:val="16"/>
                <w:color w:val="auto"/>
                <w:w w:val="92"/>
              </w:rPr>
              <w:t xml:space="preserve"> + 0.85%</w:t>
            </w:r>
          </w:p>
        </w:tc>
        <w:tc>
          <w:tcPr>
            <w:tcW w:w="1320" w:type="dxa"/>
            <w:vAlign w:val="bottom"/>
            <w:shd w:val="clear" w:color="auto" w:fill="CCEEFF"/>
          </w:tcPr>
          <w:p>
            <w:pPr>
              <w:jc w:val="center"/>
              <w:ind w:left="200"/>
              <w:spacing w:after="0"/>
              <w:rPr>
                <w:sz w:val="20"/>
                <w:szCs w:val="20"/>
                <w:color w:val="auto"/>
              </w:rPr>
            </w:pPr>
            <w:r>
              <w:rPr>
                <w:rFonts w:ascii="Arial" w:cs="Arial" w:eastAsia="Arial" w:hAnsi="Arial"/>
                <w:sz w:val="16"/>
                <w:szCs w:val="16"/>
                <w:color w:val="auto"/>
                <w:w w:val="89"/>
              </w:rPr>
              <w:t>2024</w:t>
            </w:r>
          </w:p>
        </w:tc>
        <w:tc>
          <w:tcPr>
            <w:tcW w:w="0" w:type="dxa"/>
            <w:vAlign w:val="bottom"/>
          </w:tcPr>
          <w:p>
            <w:pPr>
              <w:spacing w:after="0"/>
              <w:rPr>
                <w:sz w:val="1"/>
                <w:szCs w:val="1"/>
                <w:color w:val="auto"/>
              </w:rPr>
            </w:pPr>
          </w:p>
        </w:tc>
      </w:tr>
      <w:tr>
        <w:trPr>
          <w:trHeight w:val="210"/>
        </w:trPr>
        <w:tc>
          <w:tcPr>
            <w:tcW w:w="2220" w:type="dxa"/>
            <w:vAlign w:val="bottom"/>
            <w:gridSpan w:val="2"/>
          </w:tcPr>
          <w:p>
            <w:pPr>
              <w:ind w:left="20"/>
              <w:spacing w:after="0"/>
              <w:rPr>
                <w:sz w:val="20"/>
                <w:szCs w:val="20"/>
                <w:color w:val="auto"/>
              </w:rPr>
            </w:pPr>
            <w:r>
              <w:rPr>
                <w:rFonts w:ascii="Arial" w:cs="Arial" w:eastAsia="Arial" w:hAnsi="Arial"/>
                <w:sz w:val="16"/>
                <w:szCs w:val="16"/>
                <w:color w:val="auto"/>
              </w:rPr>
              <w:t>CERC</w:t>
            </w:r>
          </w:p>
        </w:tc>
        <w:tc>
          <w:tcPr>
            <w:tcW w:w="1480" w:type="dxa"/>
            <w:vAlign w:val="bottom"/>
          </w:tcPr>
          <w:p>
            <w:pPr>
              <w:jc w:val="center"/>
              <w:spacing w:after="0"/>
              <w:rPr>
                <w:sz w:val="20"/>
                <w:szCs w:val="20"/>
                <w:color w:val="auto"/>
              </w:rPr>
            </w:pPr>
            <w:r>
              <w:rPr>
                <w:rFonts w:ascii="Arial" w:cs="Arial" w:eastAsia="Arial" w:hAnsi="Arial"/>
                <w:sz w:val="16"/>
                <w:szCs w:val="16"/>
                <w:color w:val="auto"/>
                <w:w w:val="90"/>
              </w:rPr>
              <w:t>February 2023</w:t>
            </w:r>
          </w:p>
        </w:tc>
        <w:tc>
          <w:tcPr>
            <w:tcW w:w="2660" w:type="dxa"/>
            <w:vAlign w:val="bottom"/>
          </w:tcPr>
          <w:p>
            <w:pPr>
              <w:ind w:left="180"/>
              <w:spacing w:after="0"/>
              <w:rPr>
                <w:sz w:val="20"/>
                <w:szCs w:val="20"/>
                <w:color w:val="auto"/>
              </w:rPr>
            </w:pPr>
            <w:r>
              <w:rPr>
                <w:rFonts w:ascii="Arial" w:cs="Arial" w:eastAsia="Arial" w:hAnsi="Arial"/>
                <w:sz w:val="16"/>
                <w:szCs w:val="16"/>
                <w:color w:val="auto"/>
              </w:rPr>
              <w:t xml:space="preserve">Senior Notes </w:t>
            </w:r>
            <w:r>
              <w:rPr>
                <w:rFonts w:ascii="Arial" w:cs="Arial" w:eastAsia="Arial" w:hAnsi="Arial"/>
                <w:sz w:val="12"/>
                <w:szCs w:val="12"/>
                <w:color w:val="auto"/>
              </w:rPr>
              <w:t>(4)</w:t>
            </w: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600</w:t>
            </w:r>
          </w:p>
        </w:tc>
        <w:tc>
          <w:tcPr>
            <w:tcW w:w="2060" w:type="dxa"/>
            <w:vAlign w:val="bottom"/>
          </w:tcPr>
          <w:p>
            <w:pPr>
              <w:jc w:val="center"/>
              <w:ind w:left="200"/>
              <w:spacing w:after="0"/>
              <w:rPr>
                <w:sz w:val="20"/>
                <w:szCs w:val="20"/>
                <w:color w:val="auto"/>
              </w:rPr>
            </w:pPr>
            <w:r>
              <w:rPr>
                <w:rFonts w:ascii="Arial" w:cs="Arial" w:eastAsia="Arial" w:hAnsi="Arial"/>
                <w:sz w:val="16"/>
                <w:szCs w:val="16"/>
                <w:color w:val="auto"/>
                <w:w w:val="92"/>
              </w:rPr>
              <w:t>5.25%</w:t>
            </w:r>
          </w:p>
        </w:tc>
        <w:tc>
          <w:tcPr>
            <w:tcW w:w="1320" w:type="dxa"/>
            <w:vAlign w:val="bottom"/>
          </w:tcPr>
          <w:p>
            <w:pPr>
              <w:jc w:val="center"/>
              <w:ind w:left="200"/>
              <w:spacing w:after="0"/>
              <w:rPr>
                <w:sz w:val="20"/>
                <w:szCs w:val="20"/>
                <w:color w:val="auto"/>
              </w:rPr>
            </w:pPr>
            <w:r>
              <w:rPr>
                <w:rFonts w:ascii="Arial" w:cs="Arial" w:eastAsia="Arial" w:hAnsi="Arial"/>
                <w:sz w:val="16"/>
                <w:szCs w:val="16"/>
                <w:color w:val="auto"/>
                <w:w w:val="89"/>
              </w:rPr>
              <w:t>2028</w:t>
            </w:r>
          </w:p>
        </w:tc>
        <w:tc>
          <w:tcPr>
            <w:tcW w:w="0" w:type="dxa"/>
            <w:vAlign w:val="bottom"/>
          </w:tcPr>
          <w:p>
            <w:pPr>
              <w:spacing w:after="0"/>
              <w:rPr>
                <w:sz w:val="1"/>
                <w:szCs w:val="1"/>
                <w:color w:val="auto"/>
              </w:rPr>
            </w:pPr>
          </w:p>
        </w:tc>
      </w:tr>
      <w:tr>
        <w:trPr>
          <w:trHeight w:val="215"/>
        </w:trPr>
        <w:tc>
          <w:tcPr>
            <w:tcW w:w="2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CERC</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February 2023</w:t>
            </w:r>
          </w:p>
        </w:tc>
        <w:tc>
          <w:tcPr>
            <w:tcW w:w="2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Senior Notes </w:t>
            </w:r>
            <w:r>
              <w:rPr>
                <w:rFonts w:ascii="Arial" w:cs="Arial" w:eastAsia="Arial" w:hAnsi="Arial"/>
                <w:sz w:val="12"/>
                <w:szCs w:val="12"/>
                <w:color w:val="auto"/>
              </w:rPr>
              <w:t>(4)</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2060" w:type="dxa"/>
            <w:vAlign w:val="bottom"/>
            <w:shd w:val="clear" w:color="auto" w:fill="CCEEFF"/>
          </w:tcPr>
          <w:p>
            <w:pPr>
              <w:jc w:val="center"/>
              <w:ind w:left="200"/>
              <w:spacing w:after="0"/>
              <w:rPr>
                <w:sz w:val="20"/>
                <w:szCs w:val="20"/>
                <w:color w:val="auto"/>
              </w:rPr>
            </w:pPr>
            <w:r>
              <w:rPr>
                <w:rFonts w:ascii="Arial" w:cs="Arial" w:eastAsia="Arial" w:hAnsi="Arial"/>
                <w:sz w:val="16"/>
                <w:szCs w:val="16"/>
                <w:color w:val="auto"/>
                <w:w w:val="92"/>
              </w:rPr>
              <w:t>5.40%</w:t>
            </w:r>
          </w:p>
        </w:tc>
        <w:tc>
          <w:tcPr>
            <w:tcW w:w="1320" w:type="dxa"/>
            <w:vAlign w:val="bottom"/>
            <w:shd w:val="clear" w:color="auto" w:fill="CCEEFF"/>
          </w:tcPr>
          <w:p>
            <w:pPr>
              <w:jc w:val="center"/>
              <w:ind w:left="200"/>
              <w:spacing w:after="0"/>
              <w:rPr>
                <w:sz w:val="20"/>
                <w:szCs w:val="20"/>
                <w:color w:val="auto"/>
              </w:rPr>
            </w:pPr>
            <w:r>
              <w:rPr>
                <w:rFonts w:ascii="Arial" w:cs="Arial" w:eastAsia="Arial" w:hAnsi="Arial"/>
                <w:sz w:val="16"/>
                <w:szCs w:val="16"/>
                <w:color w:val="auto"/>
                <w:w w:val="89"/>
              </w:rPr>
              <w:t>2033</w:t>
            </w:r>
          </w:p>
        </w:tc>
        <w:tc>
          <w:tcPr>
            <w:tcW w:w="0" w:type="dxa"/>
            <w:vAlign w:val="bottom"/>
          </w:tcPr>
          <w:p>
            <w:pPr>
              <w:spacing w:after="0"/>
              <w:rPr>
                <w:sz w:val="1"/>
                <w:szCs w:val="1"/>
                <w:color w:val="auto"/>
              </w:rPr>
            </w:pPr>
          </w:p>
        </w:tc>
      </w:tr>
      <w:tr>
        <w:trPr>
          <w:trHeight w:val="210"/>
        </w:trPr>
        <w:tc>
          <w:tcPr>
            <w:tcW w:w="22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CERC</w:t>
            </w:r>
          </w:p>
        </w:tc>
        <w:tc>
          <w:tcPr>
            <w:tcW w:w="14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3"/>
              </w:rPr>
              <w:t>May 2023</w:t>
            </w:r>
          </w:p>
        </w:tc>
        <w:tc>
          <w:tcPr>
            <w:tcW w:w="26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 xml:space="preserve">Senior Notes </w:t>
            </w:r>
            <w:r>
              <w:rPr>
                <w:rFonts w:ascii="Arial" w:cs="Arial" w:eastAsia="Arial" w:hAnsi="Arial"/>
                <w:sz w:val="12"/>
                <w:szCs w:val="12"/>
                <w:color w:val="auto"/>
              </w:rPr>
              <w:t>(5)</w:t>
            </w:r>
          </w:p>
        </w:tc>
        <w:tc>
          <w:tcPr>
            <w:tcW w:w="10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w:t>
            </w:r>
          </w:p>
        </w:tc>
        <w:tc>
          <w:tcPr>
            <w:tcW w:w="2060" w:type="dxa"/>
            <w:vAlign w:val="bottom"/>
            <w:tcBorders>
              <w:bottom w:val="single" w:sz="8" w:color="CCEEFF"/>
            </w:tcBorders>
          </w:tcPr>
          <w:p>
            <w:pPr>
              <w:jc w:val="center"/>
              <w:ind w:left="200"/>
              <w:spacing w:after="0"/>
              <w:rPr>
                <w:sz w:val="20"/>
                <w:szCs w:val="20"/>
                <w:color w:val="auto"/>
              </w:rPr>
            </w:pPr>
            <w:r>
              <w:rPr>
                <w:rFonts w:ascii="Arial" w:cs="Arial" w:eastAsia="Arial" w:hAnsi="Arial"/>
                <w:sz w:val="16"/>
                <w:szCs w:val="16"/>
                <w:color w:val="auto"/>
                <w:w w:val="92"/>
              </w:rPr>
              <w:t>5.25%</w:t>
            </w:r>
          </w:p>
        </w:tc>
        <w:tc>
          <w:tcPr>
            <w:tcW w:w="1320" w:type="dxa"/>
            <w:vAlign w:val="bottom"/>
            <w:tcBorders>
              <w:bottom w:val="single" w:sz="8" w:color="CCEEFF"/>
            </w:tcBorders>
          </w:tcPr>
          <w:p>
            <w:pPr>
              <w:jc w:val="center"/>
              <w:ind w:left="200"/>
              <w:spacing w:after="0"/>
              <w:rPr>
                <w:sz w:val="20"/>
                <w:szCs w:val="20"/>
                <w:color w:val="auto"/>
              </w:rPr>
            </w:pPr>
            <w:r>
              <w:rPr>
                <w:rFonts w:ascii="Arial" w:cs="Arial" w:eastAsia="Arial" w:hAnsi="Arial"/>
                <w:sz w:val="16"/>
                <w:szCs w:val="16"/>
                <w:color w:val="auto"/>
                <w:w w:val="89"/>
              </w:rPr>
              <w:t>2028</w:t>
            </w:r>
          </w:p>
        </w:tc>
        <w:tc>
          <w:tcPr>
            <w:tcW w:w="0" w:type="dxa"/>
            <w:vAlign w:val="bottom"/>
          </w:tcPr>
          <w:p>
            <w:pPr>
              <w:spacing w:after="0"/>
              <w:rPr>
                <w:sz w:val="1"/>
                <w:szCs w:val="1"/>
                <w:color w:val="auto"/>
              </w:rPr>
            </w:pPr>
          </w:p>
        </w:tc>
      </w:tr>
      <w:tr>
        <w:trPr>
          <w:trHeight w:val="209"/>
        </w:trPr>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6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Total CERC</w:t>
            </w:r>
          </w:p>
        </w:tc>
        <w:tc>
          <w:tcPr>
            <w:tcW w:w="10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2,000</w:t>
            </w:r>
          </w:p>
        </w:tc>
        <w:tc>
          <w:tcPr>
            <w:tcW w:w="20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20" w:type="dxa"/>
            <w:vAlign w:val="bottom"/>
            <w:gridSpan w:val="2"/>
          </w:tcPr>
          <w:p>
            <w:pPr>
              <w:ind w:left="20"/>
              <w:spacing w:after="0"/>
              <w:rPr>
                <w:sz w:val="20"/>
                <w:szCs w:val="20"/>
                <w:color w:val="auto"/>
              </w:rPr>
            </w:pPr>
            <w:r>
              <w:rPr>
                <w:rFonts w:ascii="Arial" w:cs="Arial" w:eastAsia="Arial" w:hAnsi="Arial"/>
                <w:sz w:val="16"/>
                <w:szCs w:val="16"/>
                <w:color w:val="auto"/>
              </w:rPr>
              <w:t xml:space="preserve">CenterPoint Energy </w:t>
            </w:r>
            <w:r>
              <w:rPr>
                <w:rFonts w:ascii="Arial" w:cs="Arial" w:eastAsia="Arial" w:hAnsi="Arial"/>
                <w:sz w:val="12"/>
                <w:szCs w:val="12"/>
                <w:color w:val="auto"/>
              </w:rPr>
              <w:t>(6)</w:t>
            </w:r>
          </w:p>
        </w:tc>
        <w:tc>
          <w:tcPr>
            <w:tcW w:w="1480" w:type="dxa"/>
            <w:vAlign w:val="bottom"/>
          </w:tcPr>
          <w:p>
            <w:pPr>
              <w:jc w:val="center"/>
              <w:spacing w:after="0"/>
              <w:rPr>
                <w:sz w:val="20"/>
                <w:szCs w:val="20"/>
                <w:color w:val="auto"/>
              </w:rPr>
            </w:pPr>
            <w:r>
              <w:rPr>
                <w:rFonts w:ascii="Arial" w:cs="Arial" w:eastAsia="Arial" w:hAnsi="Arial"/>
                <w:sz w:val="16"/>
                <w:szCs w:val="16"/>
                <w:color w:val="auto"/>
                <w:w w:val="92"/>
              </w:rPr>
              <w:t>March 2023</w:t>
            </w:r>
          </w:p>
        </w:tc>
        <w:tc>
          <w:tcPr>
            <w:tcW w:w="2660" w:type="dxa"/>
            <w:vAlign w:val="bottom"/>
          </w:tcPr>
          <w:p>
            <w:pPr>
              <w:ind w:left="180"/>
              <w:spacing w:after="0"/>
              <w:rPr>
                <w:sz w:val="20"/>
                <w:szCs w:val="20"/>
                <w:color w:val="auto"/>
              </w:rPr>
            </w:pPr>
            <w:r>
              <w:rPr>
                <w:rFonts w:ascii="Arial" w:cs="Arial" w:eastAsia="Arial" w:hAnsi="Arial"/>
                <w:sz w:val="16"/>
                <w:szCs w:val="16"/>
                <w:color w:val="auto"/>
              </w:rPr>
              <w:t xml:space="preserve">First Mortgage Bonds </w:t>
            </w:r>
            <w:r>
              <w:rPr>
                <w:rFonts w:ascii="Arial" w:cs="Arial" w:eastAsia="Arial" w:hAnsi="Arial"/>
                <w:sz w:val="12"/>
                <w:szCs w:val="12"/>
                <w:color w:val="auto"/>
              </w:rPr>
              <w:t>(7)</w:t>
            </w:r>
          </w:p>
        </w:tc>
        <w:tc>
          <w:tcPr>
            <w:tcW w:w="10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100</w:t>
            </w:r>
          </w:p>
        </w:tc>
        <w:tc>
          <w:tcPr>
            <w:tcW w:w="2060" w:type="dxa"/>
            <w:vAlign w:val="bottom"/>
          </w:tcPr>
          <w:p>
            <w:pPr>
              <w:jc w:val="center"/>
              <w:ind w:left="200"/>
              <w:spacing w:after="0"/>
              <w:rPr>
                <w:sz w:val="20"/>
                <w:szCs w:val="20"/>
                <w:color w:val="auto"/>
              </w:rPr>
            </w:pPr>
            <w:r>
              <w:rPr>
                <w:rFonts w:ascii="Arial" w:cs="Arial" w:eastAsia="Arial" w:hAnsi="Arial"/>
                <w:sz w:val="16"/>
                <w:szCs w:val="16"/>
                <w:color w:val="auto"/>
                <w:w w:val="92"/>
              </w:rPr>
              <w:t>4.98%</w:t>
            </w:r>
          </w:p>
        </w:tc>
        <w:tc>
          <w:tcPr>
            <w:tcW w:w="1320" w:type="dxa"/>
            <w:vAlign w:val="bottom"/>
          </w:tcPr>
          <w:p>
            <w:pPr>
              <w:jc w:val="center"/>
              <w:ind w:left="200"/>
              <w:spacing w:after="0"/>
              <w:rPr>
                <w:sz w:val="20"/>
                <w:szCs w:val="20"/>
                <w:color w:val="auto"/>
              </w:rPr>
            </w:pPr>
            <w:r>
              <w:rPr>
                <w:rFonts w:ascii="Arial" w:cs="Arial" w:eastAsia="Arial" w:hAnsi="Arial"/>
                <w:sz w:val="16"/>
                <w:szCs w:val="16"/>
                <w:color w:val="auto"/>
                <w:w w:val="89"/>
              </w:rPr>
              <w:t>2028</w:t>
            </w:r>
          </w:p>
        </w:tc>
        <w:tc>
          <w:tcPr>
            <w:tcW w:w="0" w:type="dxa"/>
            <w:vAlign w:val="bottom"/>
          </w:tcPr>
          <w:p>
            <w:pPr>
              <w:spacing w:after="0"/>
              <w:rPr>
                <w:sz w:val="1"/>
                <w:szCs w:val="1"/>
                <w:color w:val="auto"/>
              </w:rPr>
            </w:pPr>
          </w:p>
        </w:tc>
      </w:tr>
      <w:tr>
        <w:trPr>
          <w:trHeight w:val="215"/>
        </w:trPr>
        <w:tc>
          <w:tcPr>
            <w:tcW w:w="2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CenterPoint Energy </w:t>
            </w:r>
            <w:r>
              <w:rPr>
                <w:rFonts w:ascii="Arial" w:cs="Arial" w:eastAsia="Arial" w:hAnsi="Arial"/>
                <w:sz w:val="12"/>
                <w:szCs w:val="12"/>
                <w:color w:val="auto"/>
              </w:rPr>
              <w:t>(6)</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March 2023</w:t>
            </w:r>
          </w:p>
        </w:tc>
        <w:tc>
          <w:tcPr>
            <w:tcW w:w="2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First Mortgage Bonds </w:t>
            </w:r>
            <w:r>
              <w:rPr>
                <w:rFonts w:ascii="Arial" w:cs="Arial" w:eastAsia="Arial" w:hAnsi="Arial"/>
                <w:sz w:val="12"/>
                <w:szCs w:val="12"/>
                <w:color w:val="auto"/>
              </w:rPr>
              <w:t>(7)</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2060" w:type="dxa"/>
            <w:vAlign w:val="bottom"/>
            <w:shd w:val="clear" w:color="auto" w:fill="CCEEFF"/>
          </w:tcPr>
          <w:p>
            <w:pPr>
              <w:jc w:val="center"/>
              <w:ind w:left="200"/>
              <w:spacing w:after="0"/>
              <w:rPr>
                <w:sz w:val="20"/>
                <w:szCs w:val="20"/>
                <w:color w:val="auto"/>
              </w:rPr>
            </w:pPr>
            <w:r>
              <w:rPr>
                <w:rFonts w:ascii="Arial" w:cs="Arial" w:eastAsia="Arial" w:hAnsi="Arial"/>
                <w:sz w:val="16"/>
                <w:szCs w:val="16"/>
                <w:color w:val="auto"/>
                <w:w w:val="92"/>
              </w:rPr>
              <w:t>5.04%</w:t>
            </w:r>
          </w:p>
        </w:tc>
        <w:tc>
          <w:tcPr>
            <w:tcW w:w="1320" w:type="dxa"/>
            <w:vAlign w:val="bottom"/>
            <w:shd w:val="clear" w:color="auto" w:fill="CCEEFF"/>
          </w:tcPr>
          <w:p>
            <w:pPr>
              <w:jc w:val="center"/>
              <w:ind w:left="200"/>
              <w:spacing w:after="0"/>
              <w:rPr>
                <w:sz w:val="20"/>
                <w:szCs w:val="20"/>
                <w:color w:val="auto"/>
              </w:rPr>
            </w:pPr>
            <w:r>
              <w:rPr>
                <w:rFonts w:ascii="Arial" w:cs="Arial" w:eastAsia="Arial" w:hAnsi="Arial"/>
                <w:sz w:val="16"/>
                <w:szCs w:val="16"/>
                <w:color w:val="auto"/>
                <w:w w:val="89"/>
              </w:rPr>
              <w:t>2033</w:t>
            </w:r>
          </w:p>
        </w:tc>
        <w:tc>
          <w:tcPr>
            <w:tcW w:w="0" w:type="dxa"/>
            <w:vAlign w:val="bottom"/>
          </w:tcPr>
          <w:p>
            <w:pPr>
              <w:spacing w:after="0"/>
              <w:rPr>
                <w:sz w:val="1"/>
                <w:szCs w:val="1"/>
                <w:color w:val="auto"/>
              </w:rPr>
            </w:pPr>
          </w:p>
        </w:tc>
      </w:tr>
      <w:tr>
        <w:trPr>
          <w:trHeight w:val="210"/>
        </w:trPr>
        <w:tc>
          <w:tcPr>
            <w:tcW w:w="2220" w:type="dxa"/>
            <w:vAlign w:val="bottom"/>
            <w:gridSpan w:val="2"/>
          </w:tcPr>
          <w:p>
            <w:pPr>
              <w:ind w:left="20"/>
              <w:spacing w:after="0"/>
              <w:rPr>
                <w:sz w:val="20"/>
                <w:szCs w:val="20"/>
                <w:color w:val="auto"/>
              </w:rPr>
            </w:pPr>
            <w:r>
              <w:rPr>
                <w:rFonts w:ascii="Arial" w:cs="Arial" w:eastAsia="Arial" w:hAnsi="Arial"/>
                <w:sz w:val="16"/>
                <w:szCs w:val="16"/>
                <w:color w:val="auto"/>
              </w:rPr>
              <w:t>CenterPoint Energy</w:t>
            </w:r>
          </w:p>
        </w:tc>
        <w:tc>
          <w:tcPr>
            <w:tcW w:w="1480" w:type="dxa"/>
            <w:vAlign w:val="bottom"/>
          </w:tcPr>
          <w:p>
            <w:pPr>
              <w:jc w:val="center"/>
              <w:spacing w:after="0"/>
              <w:rPr>
                <w:sz w:val="20"/>
                <w:szCs w:val="20"/>
                <w:color w:val="auto"/>
              </w:rPr>
            </w:pPr>
            <w:r>
              <w:rPr>
                <w:rFonts w:ascii="Arial" w:cs="Arial" w:eastAsia="Arial" w:hAnsi="Arial"/>
                <w:sz w:val="16"/>
                <w:szCs w:val="16"/>
                <w:color w:val="auto"/>
                <w:w w:val="92"/>
              </w:rPr>
              <w:t>March 2023</w:t>
            </w:r>
          </w:p>
        </w:tc>
        <w:tc>
          <w:tcPr>
            <w:tcW w:w="2660" w:type="dxa"/>
            <w:vAlign w:val="bottom"/>
          </w:tcPr>
          <w:p>
            <w:pPr>
              <w:ind w:left="180"/>
              <w:spacing w:after="0"/>
              <w:rPr>
                <w:sz w:val="20"/>
                <w:szCs w:val="20"/>
                <w:color w:val="auto"/>
              </w:rPr>
            </w:pPr>
            <w:r>
              <w:rPr>
                <w:rFonts w:ascii="Arial" w:cs="Arial" w:eastAsia="Arial" w:hAnsi="Arial"/>
                <w:sz w:val="16"/>
                <w:szCs w:val="16"/>
                <w:color w:val="auto"/>
              </w:rPr>
              <w:t xml:space="preserve">Term Loan </w:t>
            </w:r>
            <w:r>
              <w:rPr>
                <w:rFonts w:ascii="Arial" w:cs="Arial" w:eastAsia="Arial" w:hAnsi="Arial"/>
                <w:sz w:val="12"/>
                <w:szCs w:val="12"/>
                <w:color w:val="auto"/>
              </w:rPr>
              <w:t>(8)</w:t>
            </w: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250</w:t>
            </w:r>
          </w:p>
        </w:tc>
        <w:tc>
          <w:tcPr>
            <w:tcW w:w="2060" w:type="dxa"/>
            <w:vAlign w:val="bottom"/>
          </w:tcPr>
          <w:p>
            <w:pPr>
              <w:jc w:val="center"/>
              <w:ind w:left="200"/>
              <w:spacing w:after="0"/>
              <w:rPr>
                <w:sz w:val="20"/>
                <w:szCs w:val="20"/>
                <w:color w:val="auto"/>
              </w:rPr>
            </w:pPr>
            <w:r>
              <w:rPr>
                <w:rFonts w:ascii="Arial" w:cs="Arial" w:eastAsia="Arial" w:hAnsi="Arial"/>
                <w:sz w:val="16"/>
                <w:szCs w:val="16"/>
                <w:color w:val="auto"/>
                <w:w w:val="92"/>
              </w:rPr>
              <w:t xml:space="preserve">SOFR </w:t>
            </w:r>
            <w:r>
              <w:rPr>
                <w:rFonts w:ascii="Arial" w:cs="Arial" w:eastAsia="Arial" w:hAnsi="Arial"/>
                <w:sz w:val="12"/>
                <w:szCs w:val="12"/>
                <w:color w:val="auto"/>
                <w:w w:val="92"/>
              </w:rPr>
              <w:t>(3)</w:t>
            </w:r>
            <w:r>
              <w:rPr>
                <w:rFonts w:ascii="Arial" w:cs="Arial" w:eastAsia="Arial" w:hAnsi="Arial"/>
                <w:sz w:val="16"/>
                <w:szCs w:val="16"/>
                <w:color w:val="auto"/>
                <w:w w:val="92"/>
              </w:rPr>
              <w:t xml:space="preserve"> + 1.50%</w:t>
            </w:r>
          </w:p>
        </w:tc>
        <w:tc>
          <w:tcPr>
            <w:tcW w:w="1320" w:type="dxa"/>
            <w:vAlign w:val="bottom"/>
          </w:tcPr>
          <w:p>
            <w:pPr>
              <w:jc w:val="center"/>
              <w:ind w:left="200"/>
              <w:spacing w:after="0"/>
              <w:rPr>
                <w:sz w:val="20"/>
                <w:szCs w:val="20"/>
                <w:color w:val="auto"/>
              </w:rPr>
            </w:pPr>
            <w:r>
              <w:rPr>
                <w:rFonts w:ascii="Arial" w:cs="Arial" w:eastAsia="Arial" w:hAnsi="Arial"/>
                <w:sz w:val="16"/>
                <w:szCs w:val="16"/>
                <w:color w:val="auto"/>
                <w:w w:val="89"/>
              </w:rPr>
              <w:t>2023</w:t>
            </w:r>
          </w:p>
        </w:tc>
        <w:tc>
          <w:tcPr>
            <w:tcW w:w="0" w:type="dxa"/>
            <w:vAlign w:val="bottom"/>
          </w:tcPr>
          <w:p>
            <w:pPr>
              <w:spacing w:after="0"/>
              <w:rPr>
                <w:sz w:val="1"/>
                <w:szCs w:val="1"/>
                <w:color w:val="auto"/>
              </w:rPr>
            </w:pPr>
          </w:p>
        </w:tc>
      </w:tr>
      <w:tr>
        <w:trPr>
          <w:trHeight w:val="215"/>
        </w:trPr>
        <w:tc>
          <w:tcPr>
            <w:tcW w:w="2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CenterPoint Energy </w:t>
            </w:r>
            <w:r>
              <w:rPr>
                <w:rFonts w:ascii="Arial" w:cs="Arial" w:eastAsia="Arial" w:hAnsi="Arial"/>
                <w:sz w:val="12"/>
                <w:szCs w:val="12"/>
                <w:color w:val="auto"/>
              </w:rPr>
              <w:t>(9)</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June 2023</w:t>
            </w:r>
          </w:p>
        </w:tc>
        <w:tc>
          <w:tcPr>
            <w:tcW w:w="2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Securitization Bonds </w:t>
            </w:r>
            <w:r>
              <w:rPr>
                <w:rFonts w:ascii="Arial" w:cs="Arial" w:eastAsia="Arial" w:hAnsi="Arial"/>
                <w:sz w:val="12"/>
                <w:szCs w:val="12"/>
                <w:color w:val="auto"/>
              </w:rPr>
              <w:t>(10)</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2060" w:type="dxa"/>
            <w:vAlign w:val="bottom"/>
            <w:shd w:val="clear" w:color="auto" w:fill="CCEEFF"/>
          </w:tcPr>
          <w:p>
            <w:pPr>
              <w:jc w:val="center"/>
              <w:ind w:left="180"/>
              <w:spacing w:after="0"/>
              <w:rPr>
                <w:sz w:val="20"/>
                <w:szCs w:val="20"/>
                <w:color w:val="auto"/>
              </w:rPr>
            </w:pPr>
            <w:r>
              <w:rPr>
                <w:rFonts w:ascii="Arial" w:cs="Arial" w:eastAsia="Arial" w:hAnsi="Arial"/>
                <w:sz w:val="16"/>
                <w:szCs w:val="16"/>
                <w:color w:val="auto"/>
                <w:w w:val="91"/>
              </w:rPr>
              <w:t>5.026% - 5.172%</w:t>
            </w:r>
          </w:p>
        </w:tc>
        <w:tc>
          <w:tcPr>
            <w:tcW w:w="1320" w:type="dxa"/>
            <w:vAlign w:val="bottom"/>
            <w:shd w:val="clear" w:color="auto" w:fill="CCEEFF"/>
          </w:tcPr>
          <w:p>
            <w:pPr>
              <w:jc w:val="center"/>
              <w:ind w:left="200"/>
              <w:spacing w:after="0"/>
              <w:rPr>
                <w:sz w:val="20"/>
                <w:szCs w:val="20"/>
                <w:color w:val="auto"/>
              </w:rPr>
            </w:pPr>
            <w:r>
              <w:rPr>
                <w:rFonts w:ascii="Arial" w:cs="Arial" w:eastAsia="Arial" w:hAnsi="Arial"/>
                <w:sz w:val="16"/>
                <w:szCs w:val="16"/>
                <w:color w:val="auto"/>
                <w:w w:val="88"/>
              </w:rPr>
              <w:t>2038-2043</w:t>
            </w:r>
          </w:p>
        </w:tc>
        <w:tc>
          <w:tcPr>
            <w:tcW w:w="0" w:type="dxa"/>
            <w:vAlign w:val="bottom"/>
          </w:tcPr>
          <w:p>
            <w:pPr>
              <w:spacing w:after="0"/>
              <w:rPr>
                <w:sz w:val="1"/>
                <w:szCs w:val="1"/>
                <w:color w:val="auto"/>
              </w:rPr>
            </w:pPr>
          </w:p>
        </w:tc>
      </w:tr>
      <w:tr>
        <w:trPr>
          <w:trHeight w:val="210"/>
        </w:trPr>
        <w:tc>
          <w:tcPr>
            <w:tcW w:w="2220" w:type="dxa"/>
            <w:vAlign w:val="bottom"/>
            <w:gridSpan w:val="2"/>
          </w:tcPr>
          <w:p>
            <w:pPr>
              <w:ind w:left="20"/>
              <w:spacing w:after="0"/>
              <w:rPr>
                <w:sz w:val="20"/>
                <w:szCs w:val="20"/>
                <w:color w:val="auto"/>
              </w:rPr>
            </w:pPr>
            <w:r>
              <w:rPr>
                <w:rFonts w:ascii="Arial" w:cs="Arial" w:eastAsia="Arial" w:hAnsi="Arial"/>
                <w:sz w:val="16"/>
                <w:szCs w:val="16"/>
                <w:color w:val="auto"/>
              </w:rPr>
              <w:t>CenterPoint Energy</w:t>
            </w:r>
          </w:p>
        </w:tc>
        <w:tc>
          <w:tcPr>
            <w:tcW w:w="1480" w:type="dxa"/>
            <w:vAlign w:val="bottom"/>
          </w:tcPr>
          <w:p>
            <w:pPr>
              <w:jc w:val="center"/>
              <w:spacing w:after="0"/>
              <w:rPr>
                <w:sz w:val="20"/>
                <w:szCs w:val="20"/>
                <w:color w:val="auto"/>
              </w:rPr>
            </w:pPr>
            <w:r>
              <w:rPr>
                <w:rFonts w:ascii="Arial" w:cs="Arial" w:eastAsia="Arial" w:hAnsi="Arial"/>
                <w:sz w:val="16"/>
                <w:szCs w:val="16"/>
                <w:color w:val="auto"/>
                <w:w w:val="91"/>
              </w:rPr>
              <w:t>August 2023</w:t>
            </w:r>
          </w:p>
        </w:tc>
        <w:tc>
          <w:tcPr>
            <w:tcW w:w="2660" w:type="dxa"/>
            <w:vAlign w:val="bottom"/>
          </w:tcPr>
          <w:p>
            <w:pPr>
              <w:ind w:left="180"/>
              <w:spacing w:after="0"/>
              <w:rPr>
                <w:sz w:val="20"/>
                <w:szCs w:val="20"/>
                <w:color w:val="auto"/>
              </w:rPr>
            </w:pPr>
            <w:r>
              <w:rPr>
                <w:rFonts w:ascii="Arial" w:cs="Arial" w:eastAsia="Arial" w:hAnsi="Arial"/>
                <w:sz w:val="16"/>
                <w:szCs w:val="16"/>
                <w:color w:val="auto"/>
              </w:rPr>
              <w:t xml:space="preserve">Convertible Notes </w:t>
            </w:r>
            <w:r>
              <w:rPr>
                <w:rFonts w:ascii="Arial" w:cs="Arial" w:eastAsia="Arial" w:hAnsi="Arial"/>
                <w:sz w:val="12"/>
                <w:szCs w:val="12"/>
                <w:color w:val="auto"/>
              </w:rPr>
              <w:t>(11)</w:t>
            </w: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1,000</w:t>
            </w:r>
          </w:p>
        </w:tc>
        <w:tc>
          <w:tcPr>
            <w:tcW w:w="2060" w:type="dxa"/>
            <w:vAlign w:val="bottom"/>
          </w:tcPr>
          <w:p>
            <w:pPr>
              <w:jc w:val="center"/>
              <w:ind w:left="200"/>
              <w:spacing w:after="0"/>
              <w:rPr>
                <w:sz w:val="20"/>
                <w:szCs w:val="20"/>
                <w:color w:val="auto"/>
              </w:rPr>
            </w:pPr>
            <w:r>
              <w:rPr>
                <w:rFonts w:ascii="Arial" w:cs="Arial" w:eastAsia="Arial" w:hAnsi="Arial"/>
                <w:sz w:val="16"/>
                <w:szCs w:val="16"/>
                <w:color w:val="auto"/>
                <w:w w:val="92"/>
              </w:rPr>
              <w:t>4.25%</w:t>
            </w:r>
          </w:p>
        </w:tc>
        <w:tc>
          <w:tcPr>
            <w:tcW w:w="1320" w:type="dxa"/>
            <w:vAlign w:val="bottom"/>
          </w:tcPr>
          <w:p>
            <w:pPr>
              <w:jc w:val="center"/>
              <w:ind w:left="200"/>
              <w:spacing w:after="0"/>
              <w:rPr>
                <w:sz w:val="20"/>
                <w:szCs w:val="20"/>
                <w:color w:val="auto"/>
              </w:rPr>
            </w:pPr>
            <w:r>
              <w:rPr>
                <w:rFonts w:ascii="Arial" w:cs="Arial" w:eastAsia="Arial" w:hAnsi="Arial"/>
                <w:sz w:val="16"/>
                <w:szCs w:val="16"/>
                <w:color w:val="auto"/>
                <w:w w:val="89"/>
              </w:rPr>
              <w:t>2026</w:t>
            </w:r>
          </w:p>
        </w:tc>
        <w:tc>
          <w:tcPr>
            <w:tcW w:w="0" w:type="dxa"/>
            <w:vAlign w:val="bottom"/>
          </w:tcPr>
          <w:p>
            <w:pPr>
              <w:spacing w:after="0"/>
              <w:rPr>
                <w:sz w:val="1"/>
                <w:szCs w:val="1"/>
                <w:color w:val="auto"/>
              </w:rPr>
            </w:pPr>
          </w:p>
        </w:tc>
      </w:tr>
      <w:tr>
        <w:trPr>
          <w:trHeight w:val="213"/>
        </w:trPr>
        <w:tc>
          <w:tcPr>
            <w:tcW w:w="2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CenterPoint Energy</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August 2023</w:t>
            </w:r>
          </w:p>
        </w:tc>
        <w:tc>
          <w:tcPr>
            <w:tcW w:w="2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Senior Notes </w:t>
            </w:r>
            <w:r>
              <w:rPr>
                <w:rFonts w:ascii="Arial" w:cs="Arial" w:eastAsia="Arial" w:hAnsi="Arial"/>
                <w:sz w:val="12"/>
                <w:szCs w:val="12"/>
                <w:color w:val="auto"/>
              </w:rPr>
              <w:t>(12)</w:t>
            </w:r>
          </w:p>
        </w:tc>
        <w:tc>
          <w:tcPr>
            <w:tcW w:w="10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2060" w:type="dxa"/>
            <w:vAlign w:val="bottom"/>
            <w:shd w:val="clear" w:color="auto" w:fill="CCEEFF"/>
          </w:tcPr>
          <w:p>
            <w:pPr>
              <w:jc w:val="center"/>
              <w:ind w:left="200"/>
              <w:spacing w:after="0"/>
              <w:rPr>
                <w:sz w:val="20"/>
                <w:szCs w:val="20"/>
                <w:color w:val="auto"/>
              </w:rPr>
            </w:pPr>
            <w:r>
              <w:rPr>
                <w:rFonts w:ascii="Arial" w:cs="Arial" w:eastAsia="Arial" w:hAnsi="Arial"/>
                <w:sz w:val="16"/>
                <w:szCs w:val="16"/>
                <w:color w:val="auto"/>
                <w:w w:val="92"/>
              </w:rPr>
              <w:t>5.25%</w:t>
            </w:r>
          </w:p>
        </w:tc>
        <w:tc>
          <w:tcPr>
            <w:tcW w:w="1320" w:type="dxa"/>
            <w:vAlign w:val="bottom"/>
            <w:shd w:val="clear" w:color="auto" w:fill="CCEEFF"/>
          </w:tcPr>
          <w:p>
            <w:pPr>
              <w:jc w:val="center"/>
              <w:ind w:left="200"/>
              <w:spacing w:after="0"/>
              <w:rPr>
                <w:sz w:val="20"/>
                <w:szCs w:val="20"/>
                <w:color w:val="auto"/>
              </w:rPr>
            </w:pPr>
            <w:r>
              <w:rPr>
                <w:rFonts w:ascii="Arial" w:cs="Arial" w:eastAsia="Arial" w:hAnsi="Arial"/>
                <w:sz w:val="16"/>
                <w:szCs w:val="16"/>
                <w:color w:val="auto"/>
                <w:w w:val="89"/>
              </w:rPr>
              <w:t>2026</w:t>
            </w:r>
          </w:p>
        </w:tc>
        <w:tc>
          <w:tcPr>
            <w:tcW w:w="0" w:type="dxa"/>
            <w:vAlign w:val="bottom"/>
          </w:tcPr>
          <w:p>
            <w:pPr>
              <w:spacing w:after="0"/>
              <w:rPr>
                <w:sz w:val="1"/>
                <w:szCs w:val="1"/>
                <w:color w:val="auto"/>
              </w:rPr>
            </w:pPr>
          </w:p>
        </w:tc>
      </w:tr>
      <w:tr>
        <w:trPr>
          <w:trHeight w:val="209"/>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60" w:type="dxa"/>
            <w:vAlign w:val="bottom"/>
          </w:tcPr>
          <w:p>
            <w:pPr>
              <w:ind w:left="180"/>
              <w:spacing w:after="0"/>
              <w:rPr>
                <w:sz w:val="20"/>
                <w:szCs w:val="20"/>
                <w:color w:val="auto"/>
              </w:rPr>
            </w:pPr>
            <w:r>
              <w:rPr>
                <w:rFonts w:ascii="Arial" w:cs="Arial" w:eastAsia="Arial" w:hAnsi="Arial"/>
                <w:sz w:val="16"/>
                <w:szCs w:val="16"/>
                <w:b w:val="1"/>
                <w:bCs w:val="1"/>
                <w:color w:val="auto"/>
              </w:rPr>
              <w:t>Total CenterPoint Energy</w:t>
            </w: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5,571</w:t>
            </w:r>
          </w:p>
        </w:tc>
        <w:tc>
          <w:tcPr>
            <w:tcW w:w="2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jc w:val="both"/>
        <w:ind w:left="640" w:hanging="315"/>
        <w:spacing w:after="0" w:line="249" w:lineRule="auto"/>
        <w:tabs>
          <w:tab w:leader="none" w:pos="63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Total proceeds from Houston Electric’s March 2023 issuances of general mortgage bonds, net of transaction expenses and fees, were approximately $890 million. Approximately $593 million of such proceeds were used for general limited liability company purposes, including capital expenditures, working capital and the repayment of all or a portion of Houston Electric’s borrowings under the CenterPoint Energy money pool, and approximately $296 million of such proceeds will be disbursed or allocated to finance or refinance, in part or in full, new or existing projects that meet stated criteria.</w:t>
      </w:r>
    </w:p>
    <w:p>
      <w:pPr>
        <w:spacing w:after="0" w:line="1" w:lineRule="exact"/>
        <w:rPr>
          <w:rFonts w:ascii="Arial" w:cs="Arial" w:eastAsia="Arial" w:hAnsi="Arial"/>
          <w:sz w:val="18"/>
          <w:szCs w:val="18"/>
          <w:color w:val="auto"/>
        </w:rPr>
      </w:pPr>
    </w:p>
    <w:p>
      <w:pPr>
        <w:ind w:left="640" w:hanging="315"/>
        <w:spacing w:after="0" w:line="246" w:lineRule="auto"/>
        <w:tabs>
          <w:tab w:leader="none" w:pos="63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Total proceeds, net of transaction expenses and fees, of approximately $500 million were used for general corporate purposes, including the repayment of CERC’s outstanding commercial paper balances.</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defined in the applicable term loan agreement, which includes an adjustment of 0.10% per annum.</w:t>
      </w:r>
    </w:p>
    <w:p>
      <w:pPr>
        <w:spacing w:after="0" w:line="5" w:lineRule="exact"/>
        <w:rPr>
          <w:rFonts w:ascii="Arial" w:cs="Arial" w:eastAsia="Arial" w:hAnsi="Arial"/>
          <w:sz w:val="18"/>
          <w:szCs w:val="18"/>
          <w:color w:val="auto"/>
        </w:rPr>
      </w:pPr>
    </w:p>
    <w:p>
      <w:pPr>
        <w:jc w:val="both"/>
        <w:ind w:left="640" w:hanging="315"/>
        <w:spacing w:after="0" w:line="277" w:lineRule="auto"/>
        <w:tabs>
          <w:tab w:leader="none" w:pos="634"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Total proceeds from CERC’s February 2023 issuances of senior notes, net of transaction expenses and fees, of approximately $1.2 billion were used for general corporate purposes, including the repayment of (i) all or a portion of CERC’s outstanding 0.700% senior notes due 2023, (ii) all or a portion of CERC’s outstanding floating rate senior notes due 2023 and (iii) a portion of CERC’s outstanding commercial paper balances.</w:t>
      </w:r>
    </w:p>
    <w:p>
      <w:pPr>
        <w:spacing w:after="0" w:line="1" w:lineRule="exact"/>
        <w:rPr>
          <w:rFonts w:ascii="Arial" w:cs="Arial" w:eastAsia="Arial" w:hAnsi="Arial"/>
          <w:sz w:val="16"/>
          <w:szCs w:val="16"/>
          <w:color w:val="auto"/>
        </w:rPr>
      </w:pPr>
    </w:p>
    <w:p>
      <w:pPr>
        <w:jc w:val="both"/>
        <w:ind w:left="640" w:hanging="315"/>
        <w:spacing w:after="0" w:line="246" w:lineRule="auto"/>
        <w:tabs>
          <w:tab w:leader="none" w:pos="63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Total proceeds, net of issuance premiums, transaction expenses and fees, of approximately $308 million, which includes approximately $3 million of accrued interest, were used for general corporate purposes, including repayment of all or a portion of CERC’s outstanding $500 million term loan due February 2024.</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Issued by SIGECO.</w:t>
      </w:r>
    </w:p>
    <w:p>
      <w:pPr>
        <w:spacing w:after="0" w:line="5" w:lineRule="exact"/>
        <w:rPr>
          <w:rFonts w:ascii="Arial" w:cs="Arial" w:eastAsia="Arial" w:hAnsi="Arial"/>
          <w:sz w:val="18"/>
          <w:szCs w:val="18"/>
          <w:color w:val="auto"/>
        </w:rPr>
      </w:pPr>
    </w:p>
    <w:p>
      <w:pPr>
        <w:ind w:left="640" w:hanging="315"/>
        <w:spacing w:after="0" w:line="254" w:lineRule="auto"/>
        <w:tabs>
          <w:tab w:leader="none" w:pos="634" w:val="left"/>
        </w:tabs>
        <w:numPr>
          <w:ilvl w:val="0"/>
          <w:numId w:val="24"/>
        </w:numPr>
        <w:rPr>
          <w:rFonts w:ascii="Arial" w:cs="Arial" w:eastAsia="Arial" w:hAnsi="Arial"/>
          <w:sz w:val="17"/>
          <w:szCs w:val="17"/>
          <w:color w:val="auto"/>
        </w:rPr>
      </w:pPr>
      <w:r>
        <w:rPr>
          <w:rFonts w:ascii="Arial" w:cs="Arial" w:eastAsia="Arial" w:hAnsi="Arial"/>
          <w:sz w:val="17"/>
          <w:szCs w:val="17"/>
          <w:color w:val="auto"/>
        </w:rPr>
        <w:t>Total proceeds from SIGECO’s March 2023 issuances of first mortgage bonds, net of transaction expenses and fees, of approximately $179 million were used for general corporate purposes, including repaying short-term debt and refunding long-term debt at maturity or otherwise.</w:t>
      </w:r>
    </w:p>
    <w:p>
      <w:pPr>
        <w:spacing w:after="0" w:line="1" w:lineRule="exact"/>
        <w:rPr>
          <w:rFonts w:ascii="Arial" w:cs="Arial" w:eastAsia="Arial" w:hAnsi="Arial"/>
          <w:sz w:val="17"/>
          <w:szCs w:val="17"/>
          <w:color w:val="auto"/>
        </w:rPr>
      </w:pPr>
    </w:p>
    <w:p>
      <w:pPr>
        <w:jc w:val="both"/>
        <w:ind w:left="640" w:hanging="315"/>
        <w:spacing w:after="0" w:line="249" w:lineRule="auto"/>
        <w:tabs>
          <w:tab w:leader="none" w:pos="634" w:val="left"/>
        </w:tabs>
        <w:numPr>
          <w:ilvl w:val="0"/>
          <w:numId w:val="24"/>
        </w:numPr>
        <w:rPr>
          <w:rFonts w:ascii="Arial" w:cs="Arial" w:eastAsia="Arial" w:hAnsi="Arial"/>
          <w:sz w:val="17"/>
          <w:szCs w:val="17"/>
          <w:color w:val="auto"/>
        </w:rPr>
      </w:pPr>
      <w:r>
        <w:rPr>
          <w:rFonts w:ascii="Arial" w:cs="Arial" w:eastAsia="Arial" w:hAnsi="Arial"/>
          <w:sz w:val="17"/>
          <w:szCs w:val="17"/>
          <w:color w:val="auto"/>
        </w:rPr>
        <w:t>Total proceeds, net of transaction expenses and fees, of approximately $250 million were used for general corporate purposes, including the repayment of CenterPoint Energy’s outstanding commercial paper balances. The full outstanding amount of the term loan, including accrued and unpaid interest, was repaid in March 2023 and, following the repayment, the term loan agreement was terminated.</w:t>
      </w:r>
    </w:p>
    <w:p>
      <w:pPr>
        <w:jc w:val="both"/>
        <w:ind w:left="640" w:hanging="315"/>
        <w:spacing w:after="0" w:line="228" w:lineRule="auto"/>
        <w:tabs>
          <w:tab w:leader="none" w:pos="628" w:val="left"/>
        </w:tabs>
        <w:numPr>
          <w:ilvl w:val="0"/>
          <w:numId w:val="24"/>
        </w:numPr>
        <w:rPr>
          <w:rFonts w:ascii="Arial" w:cs="Arial" w:eastAsia="Arial" w:hAnsi="Arial"/>
          <w:sz w:val="19"/>
          <w:szCs w:val="19"/>
          <w:color w:val="auto"/>
        </w:rPr>
      </w:pPr>
      <w:r>
        <w:rPr>
          <w:rFonts w:ascii="Arial" w:cs="Arial" w:eastAsia="Arial" w:hAnsi="Arial"/>
          <w:sz w:val="18"/>
          <w:szCs w:val="18"/>
          <w:color w:val="auto"/>
        </w:rPr>
        <w:t>Issued by the SIGECO Securitization Subsidiary. Scheduled final payment dates are November 15, 2036 and May 15, 2041. The SIGECO Securitization Bonds will be repaid over time through a securitization charge imposed on retail electric customers in SIGECO’s service territory. See Notes 1 and 6 for further details.</w:t>
      </w:r>
    </w:p>
    <w:p>
      <w:pPr>
        <w:jc w:val="both"/>
        <w:ind w:left="640" w:hanging="315"/>
        <w:spacing w:after="0" w:line="244" w:lineRule="auto"/>
        <w:tabs>
          <w:tab w:leader="none" w:pos="629" w:val="left"/>
        </w:tabs>
        <w:numPr>
          <w:ilvl w:val="0"/>
          <w:numId w:val="24"/>
        </w:numPr>
        <w:rPr>
          <w:rFonts w:ascii="Arial" w:cs="Arial" w:eastAsia="Arial" w:hAnsi="Arial"/>
          <w:sz w:val="17"/>
          <w:szCs w:val="17"/>
          <w:color w:val="auto"/>
        </w:rPr>
      </w:pPr>
      <w:r>
        <w:rPr>
          <w:rFonts w:ascii="Arial" w:cs="Arial" w:eastAsia="Arial" w:hAnsi="Arial"/>
          <w:sz w:val="17"/>
          <w:szCs w:val="17"/>
          <w:color w:val="auto"/>
        </w:rPr>
        <w:t>Total proceeds from the SIGECO Securitization Subsidiary’s June 2023 issuance of SIGECO Securitization Bonds, net of transaction expenses and fees, of approximately $337 million were used to pay SIGECO the purchase price of the securitization property. SIGECO used the net proceeds from the sale of the securitization property (after payment of upfront financing costs) to reimburse or pay for qualified costs approved by the IURC related to the completed retirement of its A.B. Brown 1 and 2 coal-powered generation units.</w:t>
      </w:r>
    </w:p>
    <w:p>
      <w:pPr>
        <w:spacing w:after="0" w:line="2" w:lineRule="exact"/>
        <w:rPr>
          <w:rFonts w:ascii="Arial" w:cs="Arial" w:eastAsia="Arial" w:hAnsi="Arial"/>
          <w:sz w:val="17"/>
          <w:szCs w:val="17"/>
          <w:color w:val="auto"/>
        </w:rPr>
      </w:pPr>
    </w:p>
    <w:p>
      <w:pPr>
        <w:jc w:val="both"/>
        <w:ind w:left="640" w:hanging="315"/>
        <w:spacing w:after="0" w:line="277" w:lineRule="auto"/>
        <w:tabs>
          <w:tab w:leader="none" w:pos="623"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Total proceeds, net of discounts, transaction fees and expenses, of $985 million were used for general corporate purposes, including the redemption of CenterPoint Energy’s Series A Preferred Stock on September 1, 2023, and the repayment of a portion of CenterPoint Energy’s outstanding commercial paper. See additional information below.</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ind w:left="640" w:right="20" w:hanging="315"/>
        <w:spacing w:after="0" w:line="253" w:lineRule="auto"/>
        <w:tabs>
          <w:tab w:leader="none" w:pos="629" w:val="left"/>
        </w:tabs>
        <w:numPr>
          <w:ilvl w:val="0"/>
          <w:numId w:val="25"/>
        </w:numPr>
        <w:rPr>
          <w:rFonts w:ascii="Arial" w:cs="Arial" w:eastAsia="Arial" w:hAnsi="Arial"/>
          <w:sz w:val="17"/>
          <w:szCs w:val="17"/>
          <w:color w:val="auto"/>
        </w:rPr>
      </w:pPr>
      <w:r>
        <w:rPr>
          <w:rFonts w:ascii="Arial" w:cs="Arial" w:eastAsia="Arial" w:hAnsi="Arial"/>
          <w:sz w:val="17"/>
          <w:szCs w:val="17"/>
          <w:color w:val="auto"/>
        </w:rPr>
        <w:t>Total proceeds, net of discounts, transaction fees and expenses, of $397 million were used for general corporate purposes, including the repayment of a portion of CenterPoint Energy’s outstanding commercial paper.</w:t>
      </w:r>
    </w:p>
    <w:p>
      <w:pPr>
        <w:jc w:val="both"/>
        <w:ind w:left="640" w:hanging="315"/>
        <w:spacing w:after="0" w:line="253" w:lineRule="auto"/>
        <w:tabs>
          <w:tab w:leader="none" w:pos="629" w:val="left"/>
        </w:tabs>
        <w:numPr>
          <w:ilvl w:val="0"/>
          <w:numId w:val="25"/>
        </w:numPr>
        <w:rPr>
          <w:rFonts w:ascii="Arial" w:cs="Arial" w:eastAsia="Arial" w:hAnsi="Arial"/>
          <w:sz w:val="17"/>
          <w:szCs w:val="17"/>
          <w:color w:val="auto"/>
        </w:rPr>
      </w:pPr>
      <w:r>
        <w:rPr>
          <w:rFonts w:ascii="Arial" w:cs="Arial" w:eastAsia="Arial" w:hAnsi="Arial"/>
          <w:sz w:val="17"/>
          <w:szCs w:val="17"/>
          <w:color w:val="auto"/>
        </w:rPr>
        <w:t>Total proceeds from Houston Electric’s September 2023 issuances of general mortgage bonds, net of transaction expenses and fees, of approximately $496 million were used for general limited liability company purposes, including capital expenditures, working capital and the repayment of all of Houston Electric’s borrowings under the CenterPoint Energy money pool.</w:t>
      </w:r>
    </w:p>
    <w:p>
      <w:pPr>
        <w:spacing w:after="0" w:line="205" w:lineRule="exact"/>
        <w:rPr>
          <w:sz w:val="20"/>
          <w:szCs w:val="20"/>
          <w:color w:val="auto"/>
        </w:rPr>
      </w:pPr>
    </w:p>
    <w:p>
      <w:pPr>
        <w:jc w:val="both"/>
        <w:ind w:firstLine="319"/>
        <w:spacing w:after="0" w:line="233" w:lineRule="auto"/>
        <w:rPr>
          <w:sz w:val="20"/>
          <w:szCs w:val="20"/>
          <w:color w:val="auto"/>
        </w:rPr>
      </w:pPr>
      <w:r>
        <w:rPr>
          <w:rFonts w:ascii="Arial" w:cs="Arial" w:eastAsia="Arial" w:hAnsi="Arial"/>
          <w:sz w:val="18"/>
          <w:szCs w:val="18"/>
          <w:i w:val="1"/>
          <w:iCs w:val="1"/>
          <w:color w:val="auto"/>
        </w:rPr>
        <w:t xml:space="preserve">SIGECO Debt Remarketing. </w:t>
      </w:r>
      <w:r>
        <w:rPr>
          <w:rFonts w:ascii="Arial" w:cs="Arial" w:eastAsia="Arial" w:hAnsi="Arial"/>
          <w:sz w:val="18"/>
          <w:szCs w:val="18"/>
          <w:color w:val="auto"/>
        </w:rPr>
        <w:t>In April 2023, SIGECO executed a remarketing agreement to remarket five series of tax-exempt debt issued by the Indiana</w:t>
      </w:r>
      <w:r>
        <w:rPr>
          <w:rFonts w:ascii="Arial" w:cs="Arial" w:eastAsia="Arial" w:hAnsi="Arial"/>
          <w:sz w:val="18"/>
          <w:szCs w:val="18"/>
          <w:i w:val="1"/>
          <w:iCs w:val="1"/>
          <w:color w:val="auto"/>
        </w:rPr>
        <w:t xml:space="preserve"> </w:t>
      </w:r>
      <w:r>
        <w:rPr>
          <w:rFonts w:ascii="Arial" w:cs="Arial" w:eastAsia="Arial" w:hAnsi="Arial"/>
          <w:sz w:val="18"/>
          <w:szCs w:val="18"/>
          <w:color w:val="auto"/>
        </w:rPr>
        <w:t>Finance Authority, and secured by SIGECO first mortgage bonds, of approximately $148 million, comprised of: (i) $107 million aggregate principal amount of Environmental Improvement Refunding Revenue Bonds, Series 2013, originally issued by the Indiana Finance Authority on April 26, 2013, and (ii) $41 million aggregate principal amount of Environmental Improvement Refunding Revenue Bonds, Series 2014, originally issued by the Indiana Finance Authority on September 24, 2014, which closed on May 1, 2023.</w:t>
      </w:r>
    </w:p>
    <w:p>
      <w:pPr>
        <w:spacing w:after="0" w:line="219" w:lineRule="exact"/>
        <w:rPr>
          <w:sz w:val="20"/>
          <w:szCs w:val="20"/>
          <w:color w:val="auto"/>
        </w:rPr>
      </w:pPr>
    </w:p>
    <w:p>
      <w:pPr>
        <w:jc w:val="both"/>
        <w:ind w:firstLine="319"/>
        <w:spacing w:after="0" w:line="235" w:lineRule="auto"/>
        <w:rPr>
          <w:sz w:val="20"/>
          <w:szCs w:val="20"/>
          <w:color w:val="auto"/>
        </w:rPr>
      </w:pPr>
      <w:r>
        <w:rPr>
          <w:rFonts w:ascii="Arial" w:cs="Arial" w:eastAsia="Arial" w:hAnsi="Arial"/>
          <w:sz w:val="18"/>
          <w:szCs w:val="18"/>
          <w:color w:val="auto"/>
        </w:rPr>
        <w:t>In July 2023, SIGECO executed a remarketing agreement to remarket two series of tax-exempt debt issued by the City of Mount Vernon, Indiana and Warrick County, Indiana, and secured by SIGECO first mortgage bonds, of approximately $38 million, comprised of: (i) $23 million aggregate principal amount of Environmental Improvement Revenue Bonds, Series 2015 issued by the City of Mount Vernon and (ii) $15 million aggregate principal amount of Environmental Improvement Revenue Bonds, Series 2015 issued by Warrick County, which closed on September 1, 2023. Effective September 1, 2023, the bonds of each series bear interest at a fixed rate of 4.250% per annum to the earlier of (i) its redemption date or (ii) September 1, 2028, at which time the bonds are subject to mandatory tender.</w:t>
      </w:r>
    </w:p>
    <w:p>
      <w:pPr>
        <w:spacing w:after="0" w:line="220" w:lineRule="exact"/>
        <w:rPr>
          <w:sz w:val="20"/>
          <w:szCs w:val="20"/>
          <w:color w:val="auto"/>
        </w:rPr>
      </w:pPr>
    </w:p>
    <w:p>
      <w:pPr>
        <w:jc w:val="both"/>
        <w:ind w:firstLine="319"/>
        <w:spacing w:after="0" w:line="241" w:lineRule="auto"/>
        <w:rPr>
          <w:sz w:val="20"/>
          <w:szCs w:val="20"/>
          <w:color w:val="auto"/>
        </w:rPr>
      </w:pPr>
      <w:r>
        <w:rPr>
          <w:rFonts w:ascii="Arial" w:cs="Arial" w:eastAsia="Arial" w:hAnsi="Arial"/>
          <w:sz w:val="18"/>
          <w:szCs w:val="18"/>
          <w:i w:val="1"/>
          <w:iCs w:val="1"/>
          <w:color w:val="auto"/>
        </w:rPr>
        <w:t xml:space="preserve">Convertible Senior Notes. </w:t>
      </w:r>
      <w:r>
        <w:rPr>
          <w:rFonts w:ascii="Arial" w:cs="Arial" w:eastAsia="Arial" w:hAnsi="Arial"/>
          <w:sz w:val="18"/>
          <w:szCs w:val="18"/>
          <w:color w:val="auto"/>
        </w:rPr>
        <w:t>Interest on the Convertible Notes described in the table above is payable semiannually in arrears on February 15 and August 15</w:t>
      </w:r>
      <w:r>
        <w:rPr>
          <w:rFonts w:ascii="Arial" w:cs="Arial" w:eastAsia="Arial" w:hAnsi="Arial"/>
          <w:sz w:val="18"/>
          <w:szCs w:val="18"/>
          <w:i w:val="1"/>
          <w:iCs w:val="1"/>
          <w:color w:val="auto"/>
        </w:rPr>
        <w:t xml:space="preserve"> </w:t>
      </w:r>
      <w:r>
        <w:rPr>
          <w:rFonts w:ascii="Arial" w:cs="Arial" w:eastAsia="Arial" w:hAnsi="Arial"/>
          <w:sz w:val="18"/>
          <w:szCs w:val="18"/>
          <w:color w:val="auto"/>
        </w:rPr>
        <w:t>of each year, beginning on February 15, 2024. The Convertible Notes will mature on August 15, 2026, unless earlier converted or repurchased by CenterPoint Energy in accordance with their terms.</w:t>
      </w:r>
    </w:p>
    <w:p>
      <w:pPr>
        <w:spacing w:after="0" w:line="214" w:lineRule="exact"/>
        <w:rPr>
          <w:sz w:val="20"/>
          <w:szCs w:val="20"/>
          <w:color w:val="auto"/>
        </w:rPr>
      </w:pPr>
    </w:p>
    <w:p>
      <w:pPr>
        <w:jc w:val="both"/>
        <w:ind w:firstLine="319"/>
        <w:spacing w:after="0" w:line="271" w:lineRule="auto"/>
        <w:rPr>
          <w:sz w:val="20"/>
          <w:szCs w:val="20"/>
          <w:color w:val="auto"/>
        </w:rPr>
      </w:pPr>
      <w:r>
        <w:rPr>
          <w:rFonts w:ascii="Arial" w:cs="Arial" w:eastAsia="Arial" w:hAnsi="Arial"/>
          <w:sz w:val="16"/>
          <w:szCs w:val="16"/>
          <w:color w:val="auto"/>
        </w:rPr>
        <w:t>Prior to the close of business on the business day immediately preceding May 15, 2026, the Convertible Notes are convertible only under certain conditions. On or after May 15, 2026 until the close of business on the second scheduled trading day immediately preceding the maturity date, holders of the Convertible Notes may convert all or any portion of their Convertible Notes at any time at the conversion rate then in effect, irrespective of the conditions. CenterPoint Energy may not redeem the Convertible Notes prior to the maturity date and no sinking fund is provided for the Convertible Notes.</w:t>
      </w:r>
    </w:p>
    <w:p>
      <w:pPr>
        <w:spacing w:after="0" w:line="193"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6"/>
          <w:szCs w:val="16"/>
          <w:color w:val="auto"/>
        </w:rPr>
        <w:t>Upon conversion of the Convertible Notes, CenterPoint Energy will pay cash up to the aggregate principal amount of the Convertible Notes to be converted and pay or deliver, as the case may be, cash, shares of Common Stock, or a combination of cash and shares of Common Stock, at CenterPoint Energy’s election, in respect of the remainder, if any, of CenterPoint Energy’s conversion obligation in excess of the aggregate principal amount of the Convertible Notes being converted. The conversion rate for the Convertible Notes is initially 27.1278 shares of Common Stock per $1,000 principal amount of Convertible Notes (equivalent to an initial conversion price of approximately $36.86 per share of Common Stock). The initial conversion price of the Convertible Notes represents a premium of approximately 25.0% over the last reported sale price of the Common Stock on the New York Stock Exchange on August 1, 2023. Initially, a maximum of 33,909,700 shares of Common Stock may be issued upon conversion of the Convertible Notes based on the initial maximum conversion rate of 33.9097 shares of Common Stock per $1,000 principal amount of Convertible Notes. The conversion rate will be subject to adjustment in some events (as described in the Convertible Notes Indenture) but will not be adjusted for any accrued and unpaid interest.</w:t>
      </w:r>
    </w:p>
    <w:p>
      <w:pPr>
        <w:spacing w:after="0" w:line="199" w:lineRule="exact"/>
        <w:rPr>
          <w:sz w:val="20"/>
          <w:szCs w:val="20"/>
          <w:color w:val="auto"/>
        </w:rPr>
      </w:pPr>
    </w:p>
    <w:p>
      <w:pPr>
        <w:jc w:val="both"/>
        <w:ind w:firstLine="319"/>
        <w:spacing w:after="0" w:line="248" w:lineRule="auto"/>
        <w:rPr>
          <w:sz w:val="20"/>
          <w:szCs w:val="20"/>
          <w:color w:val="auto"/>
        </w:rPr>
      </w:pPr>
      <w:r>
        <w:rPr>
          <w:rFonts w:ascii="Arial" w:cs="Arial" w:eastAsia="Arial" w:hAnsi="Arial"/>
          <w:sz w:val="17"/>
          <w:szCs w:val="17"/>
          <w:color w:val="auto"/>
        </w:rPr>
        <w:t>In addition, following certain corporate events that occur prior to the maturity date of the Convertible Notes, CenterPoint Energy will, in certain circumstances, increase the conversion rate for a holder of Convertible Notes who elects to convert its Convertible Notes in connection with such a corporate event. If CenterPoint Energy undergoes a fundamental change (as described in the Convertible Notes Indenture) (other than an exempted fundamental change, as described in the Convertible Notes Indenture), holders of the Convertible Notes may require CenterPoint Energy to repurchase for cash all or any portion of their Convertible Notes at a fundamental change repurchase price equal to 100% of the principal amount of the Convertible Notes to be repurchased, plus accrued and unpaid interest to, but excluding, the fundamental change repurchase date.</w:t>
      </w:r>
    </w:p>
    <w:p>
      <w:pPr>
        <w:spacing w:after="0" w:line="211"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7"/>
          <w:szCs w:val="17"/>
          <w:color w:val="auto"/>
        </w:rPr>
        <w:t>The Convertible Notes are senior unsecured obligations of CenterPoint Energy and rank senior in right of payment to any of CenterPoint Energy’s indebtedness that is expressly subordinated in right of payment to the Convertible Notes; equal in right of payment to any of CenterPoint Energy’s unsecured indebtedness that is not so subordinated; effectively junior in right of payment to any of CenterPoint Energy’s secured indebtedness it may incur in the future to the extent of the value of the assets securing such future secured indebtedness; and structurally junior to all indebtedness and other liabilities (including trade payables but excluding intercompany obligations and liabilities of a type not required to be reflected on a balance sheet of such subsidiaries in accordance with generally accepted accounting principles) of CenterPoint Energy’s subsidiaries.</w:t>
      </w:r>
    </w:p>
    <w:p>
      <w:pPr>
        <w:spacing w:after="0" w:line="209" w:lineRule="exact"/>
        <w:rPr>
          <w:sz w:val="20"/>
          <w:szCs w:val="20"/>
          <w:color w:val="auto"/>
        </w:rPr>
      </w:pPr>
    </w:p>
    <w:p>
      <w:pPr>
        <w:jc w:val="both"/>
        <w:ind w:firstLine="319"/>
        <w:spacing w:after="0" w:line="235" w:lineRule="auto"/>
        <w:rPr>
          <w:sz w:val="20"/>
          <w:szCs w:val="20"/>
          <w:color w:val="auto"/>
        </w:rPr>
      </w:pPr>
      <w:r>
        <w:rPr>
          <w:rFonts w:ascii="Arial" w:cs="Arial" w:eastAsia="Arial" w:hAnsi="Arial"/>
          <w:sz w:val="18"/>
          <w:szCs w:val="18"/>
          <w:i w:val="1"/>
          <w:iCs w:val="1"/>
          <w:color w:val="auto"/>
        </w:rPr>
        <w:t xml:space="preserve">SIGECO First Mortgage Bonds. </w:t>
      </w:r>
      <w:r>
        <w:rPr>
          <w:rFonts w:ascii="Arial" w:cs="Arial" w:eastAsia="Arial" w:hAnsi="Arial"/>
          <w:sz w:val="18"/>
          <w:szCs w:val="18"/>
          <w:color w:val="auto"/>
        </w:rPr>
        <w:t>On October 13, 2023, SIGECO issued a total of $470 million aggregate principal amount of first mortgage bonds in</w:t>
      </w:r>
      <w:r>
        <w:rPr>
          <w:rFonts w:ascii="Arial" w:cs="Arial" w:eastAsia="Arial" w:hAnsi="Arial"/>
          <w:sz w:val="18"/>
          <w:szCs w:val="18"/>
          <w:i w:val="1"/>
          <w:iCs w:val="1"/>
          <w:color w:val="auto"/>
        </w:rPr>
        <w:t xml:space="preserve"> </w:t>
      </w:r>
      <w:r>
        <w:rPr>
          <w:rFonts w:ascii="Arial" w:cs="Arial" w:eastAsia="Arial" w:hAnsi="Arial"/>
          <w:sz w:val="18"/>
          <w:szCs w:val="18"/>
          <w:color w:val="auto"/>
        </w:rPr>
        <w:t>three tranches: (i) $180 million first mortgage bonds bearing interest at 5.75% due 2029; (ii) $105 million first mortgage bonds bearing interest at 5.91% due 2030; and (iii) $185 million first mortgage bonds bearing</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interest at 6.00% due 2034. The net proceeds of $467 million will be used for general corporate purposes, including repaying short-term debt and refunding long-term debt at maturity or otherwise.</w:t>
      </w:r>
    </w:p>
    <w:p>
      <w:pPr>
        <w:spacing w:after="0" w:line="220"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i w:val="1"/>
          <w:iCs w:val="1"/>
          <w:color w:val="auto"/>
        </w:rPr>
        <w:t xml:space="preserve">Debt Repayments and Redemptions. </w:t>
      </w:r>
      <w:r>
        <w:rPr>
          <w:rFonts w:ascii="Arial" w:cs="Arial" w:eastAsia="Arial" w:hAnsi="Arial"/>
          <w:sz w:val="18"/>
          <w:szCs w:val="18"/>
          <w:color w:val="auto"/>
        </w:rPr>
        <w:t>During the nine months ended September 30, 2023, the following debt instruments were repaid at maturity or</w:t>
      </w:r>
      <w:r>
        <w:rPr>
          <w:rFonts w:ascii="Arial" w:cs="Arial" w:eastAsia="Arial" w:hAnsi="Arial"/>
          <w:sz w:val="18"/>
          <w:szCs w:val="18"/>
          <w:i w:val="1"/>
          <w:iCs w:val="1"/>
          <w:color w:val="auto"/>
        </w:rPr>
        <w:t xml:space="preserve"> </w:t>
      </w:r>
      <w:r>
        <w:rPr>
          <w:rFonts w:ascii="Arial" w:cs="Arial" w:eastAsia="Arial" w:hAnsi="Arial"/>
          <w:sz w:val="18"/>
          <w:szCs w:val="18"/>
          <w:color w:val="auto"/>
        </w:rPr>
        <w:t>redeemed prior to maturity with proceeds received from the Texas securitization discussed further in Note 6 or through the issuance of new debt. The table does not include Bond Company payments for which there is a dedicated revenue stream,</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0"/>
              </w:rPr>
              <w:t>Repayment/Redemption</w:t>
            </w:r>
          </w:p>
        </w:tc>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center"/>
              <w:ind w:right="75"/>
              <w:spacing w:after="0"/>
              <w:rPr>
                <w:sz w:val="20"/>
                <w:szCs w:val="20"/>
                <w:color w:val="auto"/>
              </w:rPr>
            </w:pPr>
            <w:r>
              <w:rPr>
                <w:rFonts w:ascii="Arial" w:cs="Arial" w:eastAsia="Arial" w:hAnsi="Arial"/>
                <w:sz w:val="16"/>
                <w:szCs w:val="16"/>
                <w:b w:val="1"/>
                <w:bCs w:val="1"/>
                <w:color w:val="auto"/>
                <w:w w:val="88"/>
              </w:rPr>
              <w:t>Aggregate</w:t>
            </w: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Maturity</w:t>
            </w:r>
          </w:p>
        </w:tc>
        <w:tc>
          <w:tcPr>
            <w:tcW w:w="0" w:type="dxa"/>
            <w:vAlign w:val="bottom"/>
          </w:tcPr>
          <w:p>
            <w:pPr>
              <w:spacing w:after="0"/>
              <w:rPr>
                <w:sz w:val="1"/>
                <w:szCs w:val="1"/>
                <w:color w:val="auto"/>
              </w:rPr>
            </w:pPr>
          </w:p>
        </w:tc>
      </w:tr>
      <w:tr>
        <w:trPr>
          <w:trHeight w:val="160"/>
        </w:trPr>
        <w:tc>
          <w:tcPr>
            <w:tcW w:w="2060" w:type="dxa"/>
            <w:vAlign w:val="bottom"/>
            <w:gridSpan w:val="2"/>
            <w:vMerge w:val="restart"/>
          </w:tcPr>
          <w:p>
            <w:pPr>
              <w:ind w:left="640"/>
              <w:spacing w:after="0"/>
              <w:rPr>
                <w:sz w:val="20"/>
                <w:szCs w:val="20"/>
                <w:color w:val="auto"/>
              </w:rPr>
            </w:pPr>
            <w:r>
              <w:rPr>
                <w:rFonts w:ascii="Arial" w:cs="Arial" w:eastAsia="Arial" w:hAnsi="Arial"/>
                <w:sz w:val="16"/>
                <w:szCs w:val="16"/>
                <w:b w:val="1"/>
                <w:bCs w:val="1"/>
                <w:color w:val="auto"/>
              </w:rPr>
              <w:t>Registrant</w:t>
            </w:r>
          </w:p>
        </w:tc>
        <w:tc>
          <w:tcPr>
            <w:tcW w:w="1800" w:type="dxa"/>
            <w:vAlign w:val="bottom"/>
            <w:gridSpan w:val="2"/>
            <w:vMerge w:val="continue"/>
          </w:tcPr>
          <w:p>
            <w:pPr>
              <w:spacing w:after="0"/>
              <w:rPr>
                <w:sz w:val="13"/>
                <w:szCs w:val="13"/>
                <w:color w:val="auto"/>
              </w:rPr>
            </w:pPr>
          </w:p>
        </w:tc>
        <w:tc>
          <w:tcPr>
            <w:tcW w:w="3140" w:type="dxa"/>
            <w:vAlign w:val="bottom"/>
            <w:gridSpan w:val="2"/>
            <w:vMerge w:val="restart"/>
          </w:tcPr>
          <w:p>
            <w:pPr>
              <w:ind w:left="960"/>
              <w:spacing w:after="0"/>
              <w:rPr>
                <w:sz w:val="20"/>
                <w:szCs w:val="20"/>
                <w:color w:val="auto"/>
              </w:rPr>
            </w:pPr>
            <w:r>
              <w:rPr>
                <w:rFonts w:ascii="Arial" w:cs="Arial" w:eastAsia="Arial" w:hAnsi="Arial"/>
                <w:sz w:val="16"/>
                <w:szCs w:val="16"/>
                <w:b w:val="1"/>
                <w:bCs w:val="1"/>
                <w:color w:val="auto"/>
              </w:rPr>
              <w:t>Debt Instrument</w:t>
            </w:r>
          </w:p>
        </w:tc>
        <w:tc>
          <w:tcPr>
            <w:tcW w:w="160" w:type="dxa"/>
            <w:vAlign w:val="bottom"/>
          </w:tcPr>
          <w:p>
            <w:pPr>
              <w:spacing w:after="0"/>
              <w:rPr>
                <w:sz w:val="13"/>
                <w:szCs w:val="13"/>
                <w:color w:val="auto"/>
              </w:rPr>
            </w:pPr>
          </w:p>
        </w:tc>
        <w:tc>
          <w:tcPr>
            <w:tcW w:w="1020" w:type="dxa"/>
            <w:vAlign w:val="bottom"/>
          </w:tcPr>
          <w:p>
            <w:pPr>
              <w:jc w:val="center"/>
              <w:ind w:right="75"/>
              <w:spacing w:after="0" w:line="160" w:lineRule="exact"/>
              <w:rPr>
                <w:sz w:val="20"/>
                <w:szCs w:val="20"/>
                <w:color w:val="auto"/>
              </w:rPr>
            </w:pPr>
            <w:r>
              <w:rPr>
                <w:rFonts w:ascii="Arial" w:cs="Arial" w:eastAsia="Arial" w:hAnsi="Arial"/>
                <w:sz w:val="16"/>
                <w:szCs w:val="16"/>
                <w:b w:val="1"/>
                <w:bCs w:val="1"/>
                <w:color w:val="auto"/>
                <w:w w:val="91"/>
              </w:rPr>
              <w:t>Principal</w:t>
            </w:r>
          </w:p>
        </w:tc>
        <w:tc>
          <w:tcPr>
            <w:tcW w:w="80" w:type="dxa"/>
            <w:vAlign w:val="bottom"/>
          </w:tcPr>
          <w:p>
            <w:pPr>
              <w:spacing w:after="0"/>
              <w:rPr>
                <w:sz w:val="13"/>
                <w:szCs w:val="13"/>
                <w:color w:val="auto"/>
              </w:rPr>
            </w:pPr>
          </w:p>
        </w:tc>
        <w:tc>
          <w:tcPr>
            <w:tcW w:w="20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0"/>
              </w:rPr>
              <w:t>Interest Rate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60" w:type="dxa"/>
            <w:vAlign w:val="bottom"/>
            <w:gridSpan w:val="2"/>
            <w:vMerge w:val="continue"/>
          </w:tcPr>
          <w:p>
            <w:pPr>
              <w:spacing w:after="0"/>
              <w:rPr>
                <w:sz w:val="18"/>
                <w:szCs w:val="18"/>
                <w:color w:val="auto"/>
              </w:rPr>
            </w:pPr>
          </w:p>
        </w:tc>
        <w:tc>
          <w:tcPr>
            <w:tcW w:w="18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Date</w:t>
            </w:r>
          </w:p>
        </w:tc>
        <w:tc>
          <w:tcPr>
            <w:tcW w:w="31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95"/>
              <w:spacing w:after="0"/>
              <w:rPr>
                <w:sz w:val="20"/>
                <w:szCs w:val="20"/>
                <w:color w:val="auto"/>
              </w:rPr>
            </w:pPr>
            <w:r>
              <w:rPr>
                <w:rFonts w:ascii="Arial" w:cs="Arial" w:eastAsia="Arial" w:hAnsi="Arial"/>
                <w:sz w:val="16"/>
                <w:szCs w:val="16"/>
                <w:b w:val="1"/>
                <w:bCs w:val="1"/>
                <w:color w:val="auto"/>
                <w:w w:val="92"/>
              </w:rPr>
              <w:t>Amount</w:t>
            </w:r>
          </w:p>
        </w:tc>
        <w:tc>
          <w:tcPr>
            <w:tcW w:w="8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187"/>
        </w:trPr>
        <w:tc>
          <w:tcPr>
            <w:tcW w:w="19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1"/>
              </w:rPr>
              <w:t>(in millions)</w:t>
            </w:r>
          </w:p>
        </w:tc>
        <w:tc>
          <w:tcPr>
            <w:tcW w:w="80" w:type="dxa"/>
            <w:vAlign w:val="bottom"/>
          </w:tcPr>
          <w:p>
            <w:pPr>
              <w:spacing w:after="0"/>
              <w:rPr>
                <w:sz w:val="16"/>
                <w:szCs w:val="16"/>
                <w:color w:val="auto"/>
              </w:rPr>
            </w:pPr>
          </w:p>
        </w:tc>
        <w:tc>
          <w:tcPr>
            <w:tcW w:w="1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CERC</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March 2023</w:t>
            </w: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Term Loan </w:t>
            </w:r>
            <w:r>
              <w:rPr>
                <w:rFonts w:ascii="Arial" w:cs="Arial" w:eastAsia="Arial" w:hAnsi="Arial"/>
                <w:sz w:val="14"/>
                <w:szCs w:val="14"/>
                <w:color w:val="auto"/>
              </w:rPr>
              <w:t>(3)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 xml:space="preserve">SOFR </w:t>
            </w:r>
            <w:r>
              <w:rPr>
                <w:rFonts w:ascii="Arial" w:cs="Arial" w:eastAsia="Arial" w:hAnsi="Arial"/>
                <w:sz w:val="14"/>
                <w:szCs w:val="14"/>
                <w:color w:val="auto"/>
                <w:w w:val="90"/>
              </w:rPr>
              <w:t>(2) + 0.70%</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0" w:type="dxa"/>
            <w:vAlign w:val="bottom"/>
          </w:tcPr>
          <w:p>
            <w:pPr>
              <w:spacing w:after="0"/>
              <w:rPr>
                <w:sz w:val="1"/>
                <w:szCs w:val="1"/>
                <w:color w:val="auto"/>
              </w:rPr>
            </w:pPr>
          </w:p>
        </w:tc>
      </w:tr>
      <w:tr>
        <w:trPr>
          <w:trHeight w:val="225"/>
        </w:trPr>
        <w:tc>
          <w:tcPr>
            <w:tcW w:w="2060" w:type="dxa"/>
            <w:vAlign w:val="bottom"/>
            <w:gridSpan w:val="2"/>
          </w:tcPr>
          <w:p>
            <w:pPr>
              <w:ind w:left="20"/>
              <w:spacing w:after="0"/>
              <w:rPr>
                <w:sz w:val="20"/>
                <w:szCs w:val="20"/>
                <w:color w:val="auto"/>
              </w:rPr>
            </w:pPr>
            <w:r>
              <w:rPr>
                <w:rFonts w:ascii="Arial" w:cs="Arial" w:eastAsia="Arial" w:hAnsi="Arial"/>
                <w:sz w:val="18"/>
                <w:szCs w:val="18"/>
                <w:color w:val="auto"/>
              </w:rPr>
              <w:t>CERC</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March 2023</w:t>
            </w:r>
          </w:p>
        </w:tc>
        <w:tc>
          <w:tcPr>
            <w:tcW w:w="3140" w:type="dxa"/>
            <w:vAlign w:val="bottom"/>
            <w:gridSpan w:val="2"/>
          </w:tcPr>
          <w:p>
            <w:pPr>
              <w:ind w:left="20"/>
              <w:spacing w:after="0"/>
              <w:rPr>
                <w:sz w:val="20"/>
                <w:szCs w:val="20"/>
                <w:color w:val="auto"/>
              </w:rPr>
            </w:pPr>
            <w:r>
              <w:rPr>
                <w:rFonts w:ascii="Arial" w:cs="Arial" w:eastAsia="Arial" w:hAnsi="Arial"/>
                <w:sz w:val="18"/>
                <w:szCs w:val="18"/>
                <w:color w:val="auto"/>
              </w:rPr>
              <w:t>Senior Notes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700</w:t>
            </w:r>
          </w:p>
        </w:tc>
        <w:tc>
          <w:tcPr>
            <w:tcW w:w="2000" w:type="dxa"/>
            <w:vAlign w:val="bottom"/>
            <w:gridSpan w:val="2"/>
          </w:tcPr>
          <w:p>
            <w:pPr>
              <w:jc w:val="center"/>
              <w:spacing w:after="0"/>
              <w:rPr>
                <w:sz w:val="20"/>
                <w:szCs w:val="20"/>
                <w:color w:val="auto"/>
              </w:rPr>
            </w:pPr>
            <w:r>
              <w:rPr>
                <w:rFonts w:ascii="Arial" w:cs="Arial" w:eastAsia="Arial" w:hAnsi="Arial"/>
                <w:sz w:val="18"/>
                <w:szCs w:val="18"/>
                <w:color w:val="auto"/>
                <w:w w:val="86"/>
              </w:rPr>
              <w:t>0.70%</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0" w:type="dxa"/>
            <w:vAlign w:val="bottom"/>
          </w:tcPr>
          <w:p>
            <w:pPr>
              <w:spacing w:after="0"/>
              <w:rPr>
                <w:sz w:val="1"/>
                <w:szCs w:val="1"/>
                <w:color w:val="auto"/>
              </w:rPr>
            </w:pPr>
          </w:p>
        </w:tc>
      </w:tr>
      <w:tr>
        <w:trPr>
          <w:trHeight w:val="174"/>
        </w:trPr>
        <w:tc>
          <w:tcPr>
            <w:tcW w:w="1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20" w:type="dxa"/>
            <w:vAlign w:val="bottom"/>
            <w:gridSpan w:val="2"/>
            <w:shd w:val="clear" w:color="auto" w:fill="CCEEFF"/>
          </w:tcPr>
          <w:p>
            <w:pPr>
              <w:jc w:val="center"/>
              <w:ind w:right="100"/>
              <w:spacing w:after="0" w:line="175" w:lineRule="exact"/>
              <w:rPr>
                <w:sz w:val="20"/>
                <w:szCs w:val="20"/>
                <w:color w:val="auto"/>
              </w:rPr>
            </w:pPr>
            <w:r>
              <w:rPr>
                <w:rFonts w:ascii="Arial" w:cs="Arial" w:eastAsia="Arial" w:hAnsi="Arial"/>
                <w:sz w:val="18"/>
                <w:szCs w:val="18"/>
                <w:color w:val="auto"/>
                <w:w w:val="91"/>
              </w:rPr>
              <w:t>Three-month LIBOR plus</w:t>
            </w: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CERC</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March 2023</w:t>
            </w: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Floating Rate Senior Notes</w:t>
            </w: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2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0.5%</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0" w:type="dxa"/>
            <w:vAlign w:val="bottom"/>
          </w:tcPr>
          <w:p>
            <w:pPr>
              <w:spacing w:after="0"/>
              <w:rPr>
                <w:sz w:val="1"/>
                <w:szCs w:val="1"/>
                <w:color w:val="auto"/>
              </w:rPr>
            </w:pPr>
          </w:p>
        </w:tc>
      </w:tr>
      <w:tr>
        <w:trPr>
          <w:trHeight w:val="239"/>
        </w:trPr>
        <w:tc>
          <w:tcPr>
            <w:tcW w:w="2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CERC</w:t>
            </w:r>
          </w:p>
        </w:tc>
        <w:tc>
          <w:tcPr>
            <w:tcW w:w="180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8"/>
                <w:szCs w:val="18"/>
                <w:color w:val="auto"/>
                <w:w w:val="91"/>
              </w:rPr>
              <w:t>May 2023</w:t>
            </w:r>
          </w:p>
        </w:tc>
        <w:tc>
          <w:tcPr>
            <w:tcW w:w="3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 xml:space="preserve">Term Loan </w:t>
            </w:r>
            <w:r>
              <w:rPr>
                <w:rFonts w:ascii="Arial" w:cs="Arial" w:eastAsia="Arial" w:hAnsi="Arial"/>
                <w:sz w:val="14"/>
                <w:szCs w:val="14"/>
                <w:color w:val="auto"/>
              </w:rPr>
              <w:t>(4)</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80" w:type="dxa"/>
            <w:vAlign w:val="bottom"/>
            <w:tcBorders>
              <w:bottom w:val="single" w:sz="8" w:color="CCEEFF"/>
            </w:tcBorders>
          </w:tcPr>
          <w:p>
            <w:pPr>
              <w:spacing w:after="0"/>
              <w:rPr>
                <w:sz w:val="20"/>
                <w:szCs w:val="20"/>
                <w:color w:val="auto"/>
              </w:rPr>
            </w:pPr>
          </w:p>
        </w:tc>
        <w:tc>
          <w:tcPr>
            <w:tcW w:w="20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6"/>
                <w:szCs w:val="16"/>
                <w:color w:val="auto"/>
                <w:w w:val="91"/>
              </w:rPr>
              <w:t xml:space="preserve">SOFR </w:t>
            </w:r>
            <w:r>
              <w:rPr>
                <w:rFonts w:ascii="Arial" w:cs="Arial" w:eastAsia="Arial" w:hAnsi="Arial"/>
                <w:sz w:val="12"/>
                <w:szCs w:val="12"/>
                <w:color w:val="auto"/>
                <w:w w:val="91"/>
              </w:rPr>
              <w:t>(2)</w:t>
            </w:r>
            <w:r>
              <w:rPr>
                <w:rFonts w:ascii="Arial" w:cs="Arial" w:eastAsia="Arial" w:hAnsi="Arial"/>
                <w:sz w:val="16"/>
                <w:szCs w:val="16"/>
                <w:color w:val="auto"/>
                <w:w w:val="91"/>
              </w:rPr>
              <w:t xml:space="preserve"> + 0.85%</w:t>
            </w:r>
          </w:p>
        </w:tc>
        <w:tc>
          <w:tcPr>
            <w:tcW w:w="9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2024</w:t>
            </w:r>
          </w:p>
        </w:tc>
        <w:tc>
          <w:tcPr>
            <w:tcW w:w="0" w:type="dxa"/>
            <w:vAlign w:val="bottom"/>
          </w:tcPr>
          <w:p>
            <w:pPr>
              <w:spacing w:after="0"/>
              <w:rPr>
                <w:sz w:val="1"/>
                <w:szCs w:val="1"/>
                <w:color w:val="auto"/>
              </w:rPr>
            </w:pPr>
          </w:p>
        </w:tc>
      </w:tr>
      <w:tr>
        <w:trPr>
          <w:trHeight w:val="220"/>
        </w:trPr>
        <w:tc>
          <w:tcPr>
            <w:tcW w:w="1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CERC</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60" w:type="dxa"/>
            <w:vAlign w:val="bottom"/>
            <w:gridSpan w:val="2"/>
          </w:tcPr>
          <w:p>
            <w:pPr>
              <w:ind w:left="2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10"/>
                <w:szCs w:val="10"/>
                <w:color w:val="auto"/>
              </w:rPr>
              <w:t>(1)</w:t>
            </w:r>
          </w:p>
        </w:tc>
        <w:tc>
          <w:tcPr>
            <w:tcW w:w="18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January 2023</w:t>
            </w:r>
          </w:p>
        </w:tc>
        <w:tc>
          <w:tcPr>
            <w:tcW w:w="3140" w:type="dxa"/>
            <w:vAlign w:val="bottom"/>
            <w:gridSpan w:val="2"/>
          </w:tcPr>
          <w:p>
            <w:pPr>
              <w:ind w:left="20"/>
              <w:spacing w:after="0"/>
              <w:rPr>
                <w:sz w:val="20"/>
                <w:szCs w:val="20"/>
                <w:color w:val="auto"/>
              </w:rPr>
            </w:pPr>
            <w:r>
              <w:rPr>
                <w:rFonts w:ascii="Arial" w:cs="Arial" w:eastAsia="Arial" w:hAnsi="Arial"/>
                <w:sz w:val="18"/>
                <w:szCs w:val="18"/>
                <w:color w:val="auto"/>
              </w:rPr>
              <w:t>First Mortgage Bonds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2000" w:type="dxa"/>
            <w:vAlign w:val="bottom"/>
            <w:gridSpan w:val="2"/>
          </w:tcPr>
          <w:p>
            <w:pPr>
              <w:jc w:val="center"/>
              <w:spacing w:after="0"/>
              <w:rPr>
                <w:sz w:val="20"/>
                <w:szCs w:val="20"/>
                <w:color w:val="auto"/>
              </w:rPr>
            </w:pPr>
            <w:r>
              <w:rPr>
                <w:rFonts w:ascii="Arial" w:cs="Arial" w:eastAsia="Arial" w:hAnsi="Arial"/>
                <w:sz w:val="18"/>
                <w:szCs w:val="18"/>
                <w:color w:val="auto"/>
                <w:w w:val="86"/>
              </w:rPr>
              <w:t>4.00%</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2044</w:t>
            </w:r>
          </w:p>
        </w:tc>
        <w:tc>
          <w:tcPr>
            <w:tcW w:w="0" w:type="dxa"/>
            <w:vAlign w:val="bottom"/>
          </w:tcPr>
          <w:p>
            <w:pPr>
              <w:spacing w:after="0"/>
              <w:rPr>
                <w:sz w:val="1"/>
                <w:szCs w:val="1"/>
                <w:color w:val="auto"/>
              </w:rPr>
            </w:pPr>
          </w:p>
        </w:tc>
      </w:tr>
      <w:tr>
        <w:trPr>
          <w:trHeight w:val="239"/>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CenterPoint Energy</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March 2023</w:t>
            </w: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Term Loan </w:t>
            </w:r>
            <w:r>
              <w:rPr>
                <w:rFonts w:ascii="Arial" w:cs="Arial" w:eastAsia="Arial" w:hAnsi="Arial"/>
                <w:sz w:val="14"/>
                <w:szCs w:val="14"/>
                <w:color w:val="auto"/>
              </w:rPr>
              <w:t>(3)</w:t>
            </w:r>
          </w:p>
        </w:tc>
        <w:tc>
          <w:tcPr>
            <w:tcW w:w="1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20"/>
                <w:szCs w:val="20"/>
                <w:color w:val="auto"/>
              </w:rPr>
            </w:pP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 xml:space="preserve">SOFR </w:t>
            </w:r>
            <w:r>
              <w:rPr>
                <w:rFonts w:ascii="Arial" w:cs="Arial" w:eastAsia="Arial" w:hAnsi="Arial"/>
                <w:sz w:val="12"/>
                <w:szCs w:val="12"/>
                <w:color w:val="auto"/>
                <w:w w:val="91"/>
              </w:rPr>
              <w:t>(2)</w:t>
            </w:r>
            <w:r>
              <w:rPr>
                <w:rFonts w:ascii="Arial" w:cs="Arial" w:eastAsia="Arial" w:hAnsi="Arial"/>
                <w:sz w:val="16"/>
                <w:szCs w:val="16"/>
                <w:color w:val="auto"/>
                <w:w w:val="91"/>
              </w:rPr>
              <w:t xml:space="preserve"> + 1.50%</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0" w:type="dxa"/>
            <w:vAlign w:val="bottom"/>
          </w:tcPr>
          <w:p>
            <w:pPr>
              <w:spacing w:after="0"/>
              <w:rPr>
                <w:sz w:val="1"/>
                <w:szCs w:val="1"/>
                <w:color w:val="auto"/>
              </w:rPr>
            </w:pPr>
          </w:p>
        </w:tc>
      </w:tr>
      <w:tr>
        <w:trPr>
          <w:trHeight w:val="220"/>
        </w:trPr>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CenterPoint Energy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2,536</w:t>
            </w:r>
          </w:p>
        </w:tc>
        <w:tc>
          <w:tcPr>
            <w:tcW w:w="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jc w:val="both"/>
        <w:ind w:left="640" w:hanging="315"/>
        <w:spacing w:after="0" w:line="265" w:lineRule="auto"/>
        <w:tabs>
          <w:tab w:leader="none" w:pos="781" w:val="left"/>
        </w:tabs>
        <w:numPr>
          <w:ilvl w:val="0"/>
          <w:numId w:val="26"/>
        </w:numPr>
        <w:rPr>
          <w:rFonts w:ascii="Arial" w:cs="Arial" w:eastAsia="Arial" w:hAnsi="Arial"/>
          <w:sz w:val="17"/>
          <w:szCs w:val="17"/>
          <w:color w:val="auto"/>
        </w:rPr>
      </w:pPr>
      <w:r>
        <w:rPr>
          <w:rFonts w:ascii="Arial" w:cs="Arial" w:eastAsia="Arial" w:hAnsi="Arial"/>
          <w:sz w:val="17"/>
          <w:szCs w:val="17"/>
          <w:color w:val="auto"/>
        </w:rPr>
        <w:t>On December 16, 2022, SIGECO provided notice of redemption and on January 17, 2023, SIGECO redeemed $11 million aggregate principal amount of SIGECO’s outstanding first mortgage bonds due 2044 at a redemption price equal to 100% of the principal amount of the first mortgage bonds to be redeemed plus accrued and unpaid interest thereon, if any, to, but excluding, the redemption date.</w:t>
      </w:r>
    </w:p>
    <w:p>
      <w:pPr>
        <w:spacing w:after="0" w:line="1" w:lineRule="exact"/>
        <w:rPr>
          <w:rFonts w:ascii="Arial" w:cs="Arial" w:eastAsia="Arial" w:hAnsi="Arial"/>
          <w:sz w:val="17"/>
          <w:szCs w:val="17"/>
          <w:color w:val="auto"/>
        </w:rPr>
      </w:pPr>
    </w:p>
    <w:p>
      <w:pPr>
        <w:ind w:left="700" w:hanging="375"/>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defined in the applicable term loan agreement, which includes an adjustment of 0.10% per annum.</w:t>
      </w:r>
    </w:p>
    <w:p>
      <w:pPr>
        <w:spacing w:after="0" w:line="5" w:lineRule="exact"/>
        <w:rPr>
          <w:rFonts w:ascii="Arial" w:cs="Arial" w:eastAsia="Arial" w:hAnsi="Arial"/>
          <w:sz w:val="18"/>
          <w:szCs w:val="18"/>
          <w:color w:val="auto"/>
        </w:rPr>
      </w:pPr>
    </w:p>
    <w:p>
      <w:pPr>
        <w:ind w:left="640" w:hanging="315"/>
        <w:spacing w:after="0" w:line="246" w:lineRule="auto"/>
        <w:tabs>
          <w:tab w:leader="none" w:pos="58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full outstanding amount of the term loan, including accrued and unpaid interest, was repaid in March 2023 and, following the repayment, the term loan agreement was terminated.</w:t>
      </w:r>
    </w:p>
    <w:p>
      <w:pPr>
        <w:spacing w:after="0" w:line="1" w:lineRule="exact"/>
        <w:rPr>
          <w:rFonts w:ascii="Arial" w:cs="Arial" w:eastAsia="Arial" w:hAnsi="Arial"/>
          <w:sz w:val="18"/>
          <w:szCs w:val="18"/>
          <w:color w:val="auto"/>
        </w:rPr>
      </w:pPr>
    </w:p>
    <w:p>
      <w:pPr>
        <w:ind w:left="640" w:hanging="315"/>
        <w:spacing w:after="0" w:line="253" w:lineRule="auto"/>
        <w:tabs>
          <w:tab w:leader="none" w:pos="5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full outstanding amount of the term loan, including accrued and unpaid interest, was repaid in May 2023 and, following the repayment, the term loan agreement was terminated.</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Credit Facilities</w:t>
      </w:r>
      <w:r>
        <w:rPr>
          <w:rFonts w:ascii="Arial" w:cs="Arial" w:eastAsia="Arial" w:hAnsi="Arial"/>
          <w:sz w:val="18"/>
          <w:szCs w:val="18"/>
          <w:color w:val="auto"/>
        </w:rPr>
        <w:t>. The Registrants had the following revolving credit facilities as of September 30, 2023:</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Financial</w:t>
            </w:r>
          </w:p>
        </w:tc>
        <w:tc>
          <w:tcPr>
            <w:tcW w:w="36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Debt for</w:t>
            </w: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94"/>
              </w:rPr>
              <w:t>Borrowed</w:t>
            </w: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Covenant Limit</w:t>
            </w:r>
          </w:p>
        </w:tc>
        <w:tc>
          <w:tcPr>
            <w:tcW w:w="360" w:type="dxa"/>
            <w:vAlign w:val="bottom"/>
          </w:tcPr>
          <w:p>
            <w:pPr>
              <w:spacing w:after="0"/>
              <w:rPr>
                <w:sz w:val="12"/>
                <w:szCs w:val="12"/>
                <w:color w:val="auto"/>
              </w:rPr>
            </w:pPr>
          </w:p>
        </w:tc>
        <w:tc>
          <w:tcPr>
            <w:tcW w:w="116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4"/>
              </w:rPr>
              <w:t>Money to</w:t>
            </w: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93"/>
              </w:rPr>
              <w:t>on Debt for</w:t>
            </w:r>
          </w:p>
        </w:tc>
        <w:tc>
          <w:tcPr>
            <w:tcW w:w="360" w:type="dxa"/>
            <w:vAlign w:val="bottom"/>
          </w:tcPr>
          <w:p>
            <w:pPr>
              <w:spacing w:after="0"/>
              <w:rPr>
                <w:sz w:val="11"/>
                <w:szCs w:val="11"/>
                <w:color w:val="auto"/>
              </w:rPr>
            </w:pPr>
          </w:p>
        </w:tc>
        <w:tc>
          <w:tcPr>
            <w:tcW w:w="1160" w:type="dxa"/>
            <w:vAlign w:val="bottom"/>
            <w:gridSpan w:val="2"/>
          </w:tcPr>
          <w:p>
            <w:pPr>
              <w:jc w:val="center"/>
              <w:ind w:right="100"/>
              <w:spacing w:after="0" w:line="137" w:lineRule="exact"/>
              <w:rPr>
                <w:sz w:val="20"/>
                <w:szCs w:val="20"/>
                <w:color w:val="auto"/>
              </w:rPr>
            </w:pPr>
            <w:r>
              <w:rPr>
                <w:rFonts w:ascii="Arial" w:cs="Arial" w:eastAsia="Arial" w:hAnsi="Arial"/>
                <w:sz w:val="14"/>
                <w:szCs w:val="14"/>
                <w:b w:val="1"/>
                <w:bCs w:val="1"/>
                <w:color w:val="auto"/>
                <w:w w:val="98"/>
              </w:rPr>
              <w:t>Capital</w:t>
            </w: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Execution</w:t>
            </w: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restart"/>
          </w:tcPr>
          <w:p>
            <w:pPr>
              <w:jc w:val="center"/>
              <w:ind w:right="98"/>
              <w:spacing w:after="0"/>
              <w:rPr>
                <w:sz w:val="20"/>
                <w:szCs w:val="20"/>
                <w:color w:val="auto"/>
              </w:rPr>
            </w:pPr>
            <w:r>
              <w:rPr>
                <w:rFonts w:ascii="Arial" w:cs="Arial" w:eastAsia="Arial" w:hAnsi="Arial"/>
                <w:sz w:val="14"/>
                <w:szCs w:val="14"/>
                <w:b w:val="1"/>
                <w:bCs w:val="1"/>
                <w:color w:val="auto"/>
                <w:w w:val="88"/>
              </w:rPr>
              <w:t>Size of</w:t>
            </w:r>
          </w:p>
        </w:tc>
        <w:tc>
          <w:tcPr>
            <w:tcW w:w="100" w:type="dxa"/>
            <w:vAlign w:val="bottom"/>
          </w:tcPr>
          <w:p>
            <w:pPr>
              <w:spacing w:after="0"/>
              <w:rPr>
                <w:sz w:val="12"/>
                <w:szCs w:val="12"/>
                <w:color w:val="auto"/>
              </w:rPr>
            </w:pP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Draw Rate of</w:t>
            </w:r>
          </w:p>
        </w:tc>
        <w:tc>
          <w:tcPr>
            <w:tcW w:w="10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Borrowed</w:t>
            </w:r>
          </w:p>
        </w:tc>
        <w:tc>
          <w:tcPr>
            <w:tcW w:w="360" w:type="dxa"/>
            <w:vAlign w:val="bottom"/>
          </w:tcPr>
          <w:p>
            <w:pPr>
              <w:spacing w:after="0"/>
              <w:rPr>
                <w:sz w:val="12"/>
                <w:szCs w:val="12"/>
                <w:color w:val="auto"/>
              </w:rPr>
            </w:pPr>
          </w:p>
        </w:tc>
        <w:tc>
          <w:tcPr>
            <w:tcW w:w="116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92"/>
              </w:rPr>
              <w:t>Ratio as of</w:t>
            </w: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80" w:type="dxa"/>
            <w:vAlign w:val="bottom"/>
            <w:gridSpan w:val="2"/>
            <w:vMerge w:val="continue"/>
          </w:tcPr>
          <w:p>
            <w:pPr>
              <w:spacing w:after="0"/>
              <w:rPr>
                <w:sz w:val="12"/>
                <w:szCs w:val="12"/>
                <w:color w:val="auto"/>
              </w:rPr>
            </w:pPr>
          </w:p>
        </w:tc>
        <w:tc>
          <w:tcPr>
            <w:tcW w:w="234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Registrant</w:t>
            </w: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Money to</w:t>
            </w:r>
          </w:p>
        </w:tc>
        <w:tc>
          <w:tcPr>
            <w:tcW w:w="360" w:type="dxa"/>
            <w:vAlign w:val="bottom"/>
          </w:tcPr>
          <w:p>
            <w:pPr>
              <w:spacing w:after="0"/>
              <w:rPr>
                <w:sz w:val="12"/>
                <w:szCs w:val="12"/>
                <w:color w:val="auto"/>
              </w:rPr>
            </w:pPr>
          </w:p>
        </w:tc>
        <w:tc>
          <w:tcPr>
            <w:tcW w:w="116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89"/>
              </w:rPr>
              <w:t>September 30,</w:t>
            </w:r>
          </w:p>
        </w:tc>
        <w:tc>
          <w:tcPr>
            <w:tcW w:w="1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0" w:type="dxa"/>
            <w:vAlign w:val="bottom"/>
          </w:tcPr>
          <w:p>
            <w:pPr>
              <w:spacing w:after="0"/>
              <w:rPr>
                <w:sz w:val="1"/>
                <w:szCs w:val="1"/>
                <w:color w:val="auto"/>
              </w:rPr>
            </w:pPr>
          </w:p>
        </w:tc>
      </w:tr>
      <w:tr>
        <w:trPr>
          <w:trHeight w:val="194"/>
        </w:trPr>
        <w:tc>
          <w:tcPr>
            <w:tcW w:w="1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Date</w:t>
            </w:r>
          </w:p>
        </w:tc>
        <w:tc>
          <w:tcPr>
            <w:tcW w:w="23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98"/>
              <w:spacing w:after="0"/>
              <w:rPr>
                <w:sz w:val="20"/>
                <w:szCs w:val="20"/>
                <w:color w:val="auto"/>
              </w:rPr>
            </w:pPr>
            <w:r>
              <w:rPr>
                <w:rFonts w:ascii="Arial" w:cs="Arial" w:eastAsia="Arial" w:hAnsi="Arial"/>
                <w:sz w:val="14"/>
                <w:szCs w:val="14"/>
                <w:b w:val="1"/>
                <w:bCs w:val="1"/>
                <w:color w:val="auto"/>
                <w:w w:val="91"/>
              </w:rPr>
              <w:t>Facility</w:t>
            </w:r>
          </w:p>
        </w:tc>
        <w:tc>
          <w:tcPr>
            <w:tcW w:w="100" w:type="dxa"/>
            <w:vAlign w:val="bottom"/>
          </w:tcPr>
          <w:p>
            <w:pPr>
              <w:spacing w:after="0"/>
              <w:rPr>
                <w:sz w:val="16"/>
                <w:szCs w:val="16"/>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 xml:space="preserve">SOFR plus </w:t>
            </w:r>
            <w:r>
              <w:rPr>
                <w:rFonts w:ascii="Arial" w:cs="Arial" w:eastAsia="Arial" w:hAnsi="Arial"/>
                <w:sz w:val="10"/>
                <w:szCs w:val="10"/>
                <w:b w:val="1"/>
                <w:bCs w:val="1"/>
                <w:color w:val="auto"/>
                <w:w w:val="93"/>
              </w:rPr>
              <w:t>(1)</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5"/>
              </w:rPr>
              <w:t>Capital Ratio</w:t>
            </w:r>
          </w:p>
        </w:tc>
        <w:tc>
          <w:tcPr>
            <w:tcW w:w="36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7"/>
              </w:rPr>
              <w:t xml:space="preserve">2023 </w:t>
            </w:r>
            <w:r>
              <w:rPr>
                <w:rFonts w:ascii="Arial" w:cs="Arial" w:eastAsia="Arial" w:hAnsi="Arial"/>
                <w:sz w:val="10"/>
                <w:szCs w:val="10"/>
                <w:b w:val="1"/>
                <w:bCs w:val="1"/>
                <w:color w:val="auto"/>
                <w:w w:val="97"/>
              </w:rPr>
              <w:t>(2)</w:t>
            </w:r>
          </w:p>
        </w:tc>
        <w:tc>
          <w:tcPr>
            <w:tcW w:w="100" w:type="dxa"/>
            <w:vAlign w:val="bottom"/>
          </w:tcPr>
          <w:p>
            <w:pPr>
              <w:spacing w:after="0"/>
              <w:rPr>
                <w:sz w:val="16"/>
                <w:szCs w:val="16"/>
                <w:color w:val="auto"/>
              </w:rPr>
            </w:pP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1"/>
              </w:rPr>
              <w:t>(in millions)</w:t>
            </w:r>
          </w:p>
        </w:tc>
        <w:tc>
          <w:tcPr>
            <w:tcW w:w="1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December 6, 2022</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CenterPoint Energy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14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1"/>
              </w:rPr>
              <w:t>1.500%</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65.0%</w:t>
            </w:r>
          </w:p>
        </w:tc>
        <w:tc>
          <w:tcPr>
            <w:tcW w:w="3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93"/>
              </w:rPr>
              <w:t>(3)</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59.2%</w:t>
            </w:r>
          </w:p>
        </w:tc>
        <w:tc>
          <w:tcPr>
            <w:tcW w:w="100" w:type="dxa"/>
            <w:vAlign w:val="bottom"/>
            <w:shd w:val="clear" w:color="auto" w:fill="CCEEFF"/>
          </w:tcPr>
          <w:p>
            <w:pPr>
              <w:spacing w:after="0"/>
              <w:rPr>
                <w:sz w:val="20"/>
                <w:szCs w:val="20"/>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6, 2027</w:t>
            </w:r>
          </w:p>
        </w:tc>
        <w:tc>
          <w:tcPr>
            <w:tcW w:w="0" w:type="dxa"/>
            <w:vAlign w:val="bottom"/>
          </w:tcPr>
          <w:p>
            <w:pPr>
              <w:spacing w:after="0"/>
              <w:rPr>
                <w:sz w:val="1"/>
                <w:szCs w:val="1"/>
                <w:color w:val="auto"/>
              </w:rPr>
            </w:pPr>
          </w:p>
        </w:tc>
      </w:tr>
      <w:tr>
        <w:trPr>
          <w:trHeight w:val="239"/>
        </w:trPr>
        <w:tc>
          <w:tcPr>
            <w:tcW w:w="18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December 6, 2022</w:t>
            </w: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14"/>
                <w:szCs w:val="14"/>
                <w:color w:val="auto"/>
              </w:rPr>
              <w:t>(4)</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w:t>
            </w:r>
          </w:p>
        </w:tc>
        <w:tc>
          <w:tcPr>
            <w:tcW w:w="1140" w:type="dxa"/>
            <w:vAlign w:val="bottom"/>
            <w:gridSpan w:val="2"/>
          </w:tcPr>
          <w:p>
            <w:pPr>
              <w:jc w:val="center"/>
              <w:ind w:left="11"/>
              <w:spacing w:after="0"/>
              <w:rPr>
                <w:sz w:val="20"/>
                <w:szCs w:val="20"/>
                <w:color w:val="auto"/>
              </w:rPr>
            </w:pPr>
            <w:r>
              <w:rPr>
                <w:rFonts w:ascii="Arial" w:cs="Arial" w:eastAsia="Arial" w:hAnsi="Arial"/>
                <w:sz w:val="18"/>
                <w:szCs w:val="18"/>
                <w:color w:val="auto"/>
                <w:w w:val="91"/>
              </w:rPr>
              <w:t>1.125%</w:t>
            </w:r>
          </w:p>
        </w:tc>
        <w:tc>
          <w:tcPr>
            <w:tcW w:w="1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65.0%</w:t>
            </w:r>
          </w:p>
        </w:tc>
        <w:tc>
          <w:tcPr>
            <w:tcW w:w="36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43.8%</w:t>
            </w:r>
          </w:p>
        </w:tc>
        <w:tc>
          <w:tcPr>
            <w:tcW w:w="10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87"/>
              </w:rPr>
              <w:t>December 6, 2027</w:t>
            </w:r>
          </w:p>
        </w:tc>
        <w:tc>
          <w:tcPr>
            <w:tcW w:w="0" w:type="dxa"/>
            <w:vAlign w:val="bottom"/>
          </w:tcPr>
          <w:p>
            <w:pPr>
              <w:spacing w:after="0"/>
              <w:rPr>
                <w:sz w:val="1"/>
                <w:szCs w:val="1"/>
                <w:color w:val="auto"/>
              </w:rPr>
            </w:pPr>
          </w:p>
        </w:tc>
      </w:tr>
      <w:tr>
        <w:trPr>
          <w:trHeight w:val="227"/>
        </w:trPr>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December 6, 2022</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Houston Electric</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14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1"/>
              </w:rPr>
              <w:t>1.250%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67.5%</w:t>
            </w:r>
          </w:p>
        </w:tc>
        <w:tc>
          <w:tcPr>
            <w:tcW w:w="3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93"/>
              </w:rPr>
              <w:t>(3)</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52.4%</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6, 2027</w:t>
            </w:r>
          </w:p>
        </w:tc>
        <w:tc>
          <w:tcPr>
            <w:tcW w:w="0" w:type="dxa"/>
            <w:vAlign w:val="bottom"/>
          </w:tcPr>
          <w:p>
            <w:pPr>
              <w:spacing w:after="0"/>
              <w:rPr>
                <w:sz w:val="1"/>
                <w:szCs w:val="1"/>
                <w:color w:val="auto"/>
              </w:rPr>
            </w:pPr>
          </w:p>
        </w:tc>
      </w:tr>
      <w:tr>
        <w:trPr>
          <w:trHeight w:val="225"/>
        </w:trPr>
        <w:tc>
          <w:tcPr>
            <w:tcW w:w="18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87"/>
              </w:rPr>
              <w:t>December 6, 2022</w:t>
            </w:r>
          </w:p>
        </w:tc>
        <w:tc>
          <w:tcPr>
            <w:tcW w:w="2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CERC</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w:t>
            </w:r>
          </w:p>
        </w:tc>
        <w:tc>
          <w:tcPr>
            <w:tcW w:w="1140" w:type="dxa"/>
            <w:vAlign w:val="bottom"/>
            <w:tcBorders>
              <w:bottom w:val="single" w:sz="8" w:color="CCEEFF"/>
            </w:tcBorders>
            <w:gridSpan w:val="2"/>
          </w:tcPr>
          <w:p>
            <w:pPr>
              <w:jc w:val="center"/>
              <w:ind w:left="11"/>
              <w:spacing w:after="0"/>
              <w:rPr>
                <w:sz w:val="20"/>
                <w:szCs w:val="20"/>
                <w:color w:val="auto"/>
              </w:rPr>
            </w:pPr>
            <w:r>
              <w:rPr>
                <w:rFonts w:ascii="Arial" w:cs="Arial" w:eastAsia="Arial" w:hAnsi="Arial"/>
                <w:sz w:val="18"/>
                <w:szCs w:val="18"/>
                <w:color w:val="auto"/>
                <w:w w:val="91"/>
              </w:rPr>
              <w:t>1.125%</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0"/>
              </w:rPr>
              <w:t>65.0%</w:t>
            </w:r>
          </w:p>
        </w:tc>
        <w:tc>
          <w:tcPr>
            <w:tcW w:w="3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0"/>
              </w:rPr>
              <w:t>38.2%</w:t>
            </w:r>
          </w:p>
        </w:tc>
        <w:tc>
          <w:tcPr>
            <w:tcW w:w="10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December 6, 2027</w:t>
            </w:r>
          </w:p>
        </w:tc>
        <w:tc>
          <w:tcPr>
            <w:tcW w:w="0" w:type="dxa"/>
            <w:vAlign w:val="bottom"/>
          </w:tcPr>
          <w:p>
            <w:pPr>
              <w:spacing w:after="0"/>
              <w:rPr>
                <w:sz w:val="1"/>
                <w:szCs w:val="1"/>
                <w:color w:val="auto"/>
              </w:rPr>
            </w:pPr>
          </w:p>
        </w:tc>
      </w:tr>
      <w:tr>
        <w:trPr>
          <w:trHeight w:val="245"/>
        </w:trPr>
        <w:tc>
          <w:tcPr>
            <w:tcW w:w="1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ind w:left="640" w:hanging="315"/>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current credit ratings.</w:t>
      </w:r>
    </w:p>
    <w:p>
      <w:pPr>
        <w:spacing w:after="0" w:line="16" w:lineRule="exact"/>
        <w:rPr>
          <w:rFonts w:ascii="Arial" w:cs="Arial" w:eastAsia="Arial" w:hAnsi="Arial"/>
          <w:sz w:val="18"/>
          <w:szCs w:val="18"/>
          <w:color w:val="auto"/>
        </w:rPr>
      </w:pPr>
    </w:p>
    <w:p>
      <w:pPr>
        <w:ind w:left="640" w:hanging="315"/>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defined in the revolving credit facility agreements, excluding Securitization Bonds.</w:t>
      </w:r>
    </w:p>
    <w:p>
      <w:pPr>
        <w:spacing w:after="0" w:line="5" w:lineRule="exact"/>
        <w:rPr>
          <w:rFonts w:ascii="Arial" w:cs="Arial" w:eastAsia="Arial" w:hAnsi="Arial"/>
          <w:sz w:val="18"/>
          <w:szCs w:val="18"/>
          <w:color w:val="auto"/>
        </w:rPr>
      </w:pPr>
    </w:p>
    <w:p>
      <w:pPr>
        <w:jc w:val="both"/>
        <w:ind w:left="640" w:hanging="315"/>
        <w:spacing w:after="0" w:line="246" w:lineRule="auto"/>
        <w:tabs>
          <w:tab w:leader="none" w:pos="634"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CenterPoint Energy and Houston Electric, the financial covenant limit will temporarily increase to 70% if Houston Electric experiences damage from a natural disaster in its service territory and CenterPoint Energy certifies to the administrative agent that Houston Electric has incurred system restoration costs reasonably likely to exceed $100 million in a consecutive 12-month period, all or part of which Houston Electric intends to seek to recover through securitization financing. Such temporary increase in the financial covenant would be in effect from the date CenterPoint Energy delivers its certification until the earliest to occur of (i) the completion of the securitization financing, (ii) the first anniversary of CenterPoint Energy’s certification or (iii) the revocation of such certification.</w:t>
      </w:r>
    </w:p>
    <w:p>
      <w:pPr>
        <w:spacing w:after="0" w:line="3" w:lineRule="exact"/>
        <w:rPr>
          <w:rFonts w:ascii="Arial" w:cs="Arial" w:eastAsia="Arial" w:hAnsi="Arial"/>
          <w:sz w:val="18"/>
          <w:szCs w:val="18"/>
          <w:color w:val="auto"/>
        </w:rPr>
      </w:pPr>
    </w:p>
    <w:p>
      <w:pPr>
        <w:ind w:left="640" w:hanging="315"/>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credit facility was issued by SIGECO.</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color w:val="auto"/>
        </w:rPr>
        <w:t>The Registrants, including the subsidiaries of CenterPoint Energy discussed above, were in compliance with all financial debt covenants as of September 30, 2023.</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reflects the utilization of the Registrants’ respective revolving credit facilities: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4"/>
          </w:tcPr>
          <w:p>
            <w:pPr>
              <w:jc w:val="right"/>
              <w:ind w:right="298"/>
              <w:spacing w:after="0"/>
              <w:rPr>
                <w:sz w:val="20"/>
                <w:szCs w:val="20"/>
                <w:color w:val="auto"/>
              </w:rPr>
            </w:pPr>
            <w:r>
              <w:rPr>
                <w:rFonts w:ascii="Arial" w:cs="Arial" w:eastAsia="Arial" w:hAnsi="Arial"/>
                <w:sz w:val="14"/>
                <w:szCs w:val="14"/>
                <w:b w:val="1"/>
                <w:bCs w:val="1"/>
                <w:color w:val="auto"/>
              </w:rPr>
              <w:t>September 30, 2023</w:t>
            </w: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gridSpan w:val="4"/>
          </w:tcPr>
          <w:p>
            <w:pPr>
              <w:jc w:val="right"/>
              <w:ind w:right="336"/>
              <w:spacing w:after="0"/>
              <w:rPr>
                <w:sz w:val="20"/>
                <w:szCs w:val="20"/>
                <w:color w:val="auto"/>
              </w:rPr>
            </w:pPr>
            <w:r>
              <w:rPr>
                <w:rFonts w:ascii="Arial" w:cs="Arial" w:eastAsia="Arial" w:hAnsi="Arial"/>
                <w:sz w:val="14"/>
                <w:szCs w:val="14"/>
                <w:b w:val="1"/>
                <w:bCs w:val="1"/>
                <w:color w:val="auto"/>
              </w:rPr>
              <w:t>December 31, 2022</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Letters</w:t>
            </w:r>
          </w:p>
        </w:tc>
        <w:tc>
          <w:tcPr>
            <w:tcW w:w="140" w:type="dxa"/>
            <w:vAlign w:val="bottom"/>
          </w:tcPr>
          <w:p>
            <w:pPr>
              <w:spacing w:after="0"/>
              <w:rPr>
                <w:sz w:val="10"/>
                <w:szCs w:val="10"/>
                <w:color w:val="auto"/>
              </w:rPr>
            </w:pPr>
          </w:p>
        </w:tc>
        <w:tc>
          <w:tcPr>
            <w:tcW w:w="94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w w:val="94"/>
              </w:rPr>
              <w:t>Commercial</w:t>
            </w:r>
          </w:p>
        </w:tc>
        <w:tc>
          <w:tcPr>
            <w:tcW w:w="1200" w:type="dxa"/>
            <w:vAlign w:val="bottom"/>
          </w:tcPr>
          <w:p>
            <w:pPr>
              <w:jc w:val="center"/>
              <w:ind w:left="19"/>
              <w:spacing w:after="0" w:line="127"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Letters</w:t>
            </w:r>
          </w:p>
        </w:tc>
        <w:tc>
          <w:tcPr>
            <w:tcW w:w="140" w:type="dxa"/>
            <w:vAlign w:val="bottom"/>
          </w:tcPr>
          <w:p>
            <w:pPr>
              <w:spacing w:after="0"/>
              <w:rPr>
                <w:sz w:val="10"/>
                <w:szCs w:val="10"/>
                <w:color w:val="auto"/>
              </w:rPr>
            </w:pPr>
          </w:p>
        </w:tc>
        <w:tc>
          <w:tcPr>
            <w:tcW w:w="94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2"/>
              </w:rPr>
              <w:t>Commercial</w:t>
            </w:r>
          </w:p>
        </w:tc>
        <w:tc>
          <w:tcPr>
            <w:tcW w:w="1200" w:type="dxa"/>
            <w:vAlign w:val="bottom"/>
          </w:tcPr>
          <w:p>
            <w:pPr>
              <w:jc w:val="center"/>
              <w:ind w:left="19"/>
              <w:spacing w:after="0" w:line="127"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6"/>
        </w:trPr>
        <w:tc>
          <w:tcPr>
            <w:tcW w:w="2380" w:type="dxa"/>
            <w:vAlign w:val="bottom"/>
            <w:gridSpan w:val="2"/>
            <w:vMerge w:val="restart"/>
          </w:tcPr>
          <w:p>
            <w:pPr>
              <w:ind w:left="820"/>
              <w:spacing w:after="0"/>
              <w:rPr>
                <w:sz w:val="20"/>
                <w:szCs w:val="20"/>
                <w:color w:val="auto"/>
              </w:rPr>
            </w:pPr>
            <w:r>
              <w:rPr>
                <w:rFonts w:ascii="Arial" w:cs="Arial" w:eastAsia="Arial" w:hAnsi="Arial"/>
                <w:sz w:val="14"/>
                <w:szCs w:val="14"/>
                <w:b w:val="1"/>
                <w:bCs w:val="1"/>
                <w:color w:val="auto"/>
              </w:rPr>
              <w:t>Registrant</w:t>
            </w:r>
          </w:p>
        </w:tc>
        <w:tc>
          <w:tcPr>
            <w:tcW w:w="180" w:type="dxa"/>
            <w:vAlign w:val="bottom"/>
          </w:tcPr>
          <w:p>
            <w:pPr>
              <w:spacing w:after="0"/>
              <w:rPr>
                <w:sz w:val="12"/>
                <w:szCs w:val="12"/>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Loans</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3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1"/>
              </w:rPr>
              <w:t>Average Interest</w:t>
            </w:r>
          </w:p>
        </w:tc>
        <w:tc>
          <w:tcPr>
            <w:tcW w:w="180" w:type="dxa"/>
            <w:vAlign w:val="bottom"/>
          </w:tcPr>
          <w:p>
            <w:pPr>
              <w:spacing w:after="0"/>
              <w:rPr>
                <w:sz w:val="12"/>
                <w:szCs w:val="12"/>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Loans</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0" w:type="dxa"/>
            <w:vAlign w:val="bottom"/>
          </w:tcPr>
          <w:p>
            <w:pPr>
              <w:jc w:val="center"/>
              <w:ind w:left="19"/>
              <w:spacing w:after="0" w:line="147" w:lineRule="exact"/>
              <w:rPr>
                <w:sz w:val="20"/>
                <w:szCs w:val="20"/>
                <w:color w:val="auto"/>
              </w:rPr>
            </w:pPr>
            <w:r>
              <w:rPr>
                <w:rFonts w:ascii="Arial" w:cs="Arial" w:eastAsia="Arial" w:hAnsi="Arial"/>
                <w:sz w:val="14"/>
                <w:szCs w:val="14"/>
                <w:b w:val="1"/>
                <w:bCs w:val="1"/>
                <w:color w:val="auto"/>
                <w:w w:val="89"/>
              </w:rPr>
              <w:t>Average Interest</w:t>
            </w:r>
          </w:p>
        </w:tc>
        <w:tc>
          <w:tcPr>
            <w:tcW w:w="0" w:type="dxa"/>
            <w:vAlign w:val="bottom"/>
          </w:tcPr>
          <w:p>
            <w:pPr>
              <w:spacing w:after="0"/>
              <w:rPr>
                <w:sz w:val="1"/>
                <w:szCs w:val="1"/>
                <w:color w:val="auto"/>
              </w:rPr>
            </w:pPr>
          </w:p>
        </w:tc>
      </w:tr>
      <w:tr>
        <w:trPr>
          <w:trHeight w:val="193"/>
        </w:trPr>
        <w:tc>
          <w:tcPr>
            <w:tcW w:w="23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of Credit</w:t>
            </w:r>
          </w:p>
        </w:tc>
        <w:tc>
          <w:tcPr>
            <w:tcW w:w="140" w:type="dxa"/>
            <w:vAlign w:val="bottom"/>
          </w:tcPr>
          <w:p>
            <w:pPr>
              <w:spacing w:after="0"/>
              <w:rPr>
                <w:sz w:val="16"/>
                <w:szCs w:val="16"/>
                <w:color w:val="auto"/>
              </w:rPr>
            </w:pPr>
          </w:p>
        </w:tc>
        <w:tc>
          <w:tcPr>
            <w:tcW w:w="940" w:type="dxa"/>
            <w:vAlign w:val="bottom"/>
          </w:tcPr>
          <w:p>
            <w:pPr>
              <w:jc w:val="right"/>
              <w:ind w:right="198"/>
              <w:spacing w:after="0"/>
              <w:rPr>
                <w:sz w:val="20"/>
                <w:szCs w:val="20"/>
                <w:color w:val="auto"/>
              </w:rPr>
            </w:pPr>
            <w:r>
              <w:rPr>
                <w:rFonts w:ascii="Arial" w:cs="Arial" w:eastAsia="Arial" w:hAnsi="Arial"/>
                <w:sz w:val="14"/>
                <w:szCs w:val="14"/>
                <w:b w:val="1"/>
                <w:bCs w:val="1"/>
                <w:color w:val="auto"/>
              </w:rPr>
              <w:t xml:space="preserve">Paper </w:t>
            </w:r>
            <w:r>
              <w:rPr>
                <w:rFonts w:ascii="Arial" w:cs="Arial" w:eastAsia="Arial" w:hAnsi="Arial"/>
                <w:sz w:val="10"/>
                <w:szCs w:val="10"/>
                <w:b w:val="1"/>
                <w:bCs w:val="1"/>
                <w:color w:val="auto"/>
              </w:rPr>
              <w:t>(2)</w:t>
            </w: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Rate</w:t>
            </w: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of Credit</w:t>
            </w:r>
          </w:p>
        </w:tc>
        <w:tc>
          <w:tcPr>
            <w:tcW w:w="140" w:type="dxa"/>
            <w:vAlign w:val="bottom"/>
          </w:tcPr>
          <w:p>
            <w:pPr>
              <w:spacing w:after="0"/>
              <w:rPr>
                <w:sz w:val="16"/>
                <w:szCs w:val="16"/>
                <w:color w:val="auto"/>
              </w:rPr>
            </w:pPr>
          </w:p>
        </w:tc>
        <w:tc>
          <w:tcPr>
            <w:tcW w:w="940" w:type="dxa"/>
            <w:vAlign w:val="bottom"/>
          </w:tcPr>
          <w:p>
            <w:pPr>
              <w:jc w:val="right"/>
              <w:ind w:right="196"/>
              <w:spacing w:after="0"/>
              <w:rPr>
                <w:sz w:val="20"/>
                <w:szCs w:val="20"/>
                <w:color w:val="auto"/>
              </w:rPr>
            </w:pPr>
            <w:r>
              <w:rPr>
                <w:rFonts w:ascii="Arial" w:cs="Arial" w:eastAsia="Arial" w:hAnsi="Arial"/>
                <w:sz w:val="14"/>
                <w:szCs w:val="14"/>
                <w:b w:val="1"/>
                <w:bCs w:val="1"/>
                <w:color w:val="auto"/>
              </w:rPr>
              <w:t xml:space="preserve">Paper </w:t>
            </w:r>
            <w:r>
              <w:rPr>
                <w:rFonts w:ascii="Arial" w:cs="Arial" w:eastAsia="Arial" w:hAnsi="Arial"/>
                <w:sz w:val="10"/>
                <w:szCs w:val="10"/>
                <w:b w:val="1"/>
                <w:bCs w:val="1"/>
                <w:color w:val="auto"/>
              </w:rPr>
              <w:t>(2)</w:t>
            </w:r>
          </w:p>
        </w:tc>
        <w:tc>
          <w:tcPr>
            <w:tcW w:w="1200" w:type="dxa"/>
            <w:vAlign w:val="bottom"/>
          </w:tcPr>
          <w:p>
            <w:pPr>
              <w:jc w:val="center"/>
              <w:ind w:left="19"/>
              <w:spacing w:after="0"/>
              <w:rPr>
                <w:sz w:val="20"/>
                <w:szCs w:val="20"/>
                <w:color w:val="auto"/>
              </w:rPr>
            </w:pPr>
            <w:r>
              <w:rPr>
                <w:rFonts w:ascii="Arial" w:cs="Arial" w:eastAsia="Arial" w:hAnsi="Arial"/>
                <w:sz w:val="14"/>
                <w:szCs w:val="14"/>
                <w:b w:val="1"/>
                <w:bCs w:val="1"/>
                <w:color w:val="auto"/>
                <w:w w:val="98"/>
              </w:rPr>
              <w:t>Rate</w:t>
            </w:r>
          </w:p>
        </w:tc>
        <w:tc>
          <w:tcPr>
            <w:tcW w:w="0" w:type="dxa"/>
            <w:vAlign w:val="bottom"/>
          </w:tcPr>
          <w:p>
            <w:pPr>
              <w:spacing w:after="0"/>
              <w:rPr>
                <w:sz w:val="1"/>
                <w:szCs w:val="1"/>
                <w:color w:val="auto"/>
              </w:rPr>
            </w:pPr>
          </w:p>
        </w:tc>
      </w:tr>
      <w:tr>
        <w:trPr>
          <w:trHeight w:val="192"/>
        </w:trPr>
        <w:tc>
          <w:tcPr>
            <w:tcW w:w="2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360" w:type="dxa"/>
            <w:vAlign w:val="bottom"/>
            <w:tcBorders>
              <w:top w:val="single" w:sz="8" w:color="auto"/>
            </w:tcBorders>
            <w:gridSpan w:val="9"/>
          </w:tcPr>
          <w:p>
            <w:pPr>
              <w:ind w:left="680"/>
              <w:spacing w:after="0"/>
              <w:rPr>
                <w:sz w:val="20"/>
                <w:szCs w:val="20"/>
                <w:color w:val="auto"/>
              </w:rPr>
            </w:pPr>
            <w:r>
              <w:rPr>
                <w:rFonts w:ascii="Arial" w:cs="Arial" w:eastAsia="Arial" w:hAnsi="Arial"/>
                <w:sz w:val="14"/>
                <w:szCs w:val="14"/>
                <w:b w:val="1"/>
                <w:bCs w:val="1"/>
                <w:color w:val="auto"/>
              </w:rPr>
              <w:t>(in millions, except weighted average interest rate)</w:t>
            </w: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CenterPoint Energy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5.50 %</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4.71 %</w:t>
            </w:r>
          </w:p>
        </w:tc>
        <w:tc>
          <w:tcPr>
            <w:tcW w:w="0" w:type="dxa"/>
            <w:vAlign w:val="bottom"/>
          </w:tcPr>
          <w:p>
            <w:pPr>
              <w:spacing w:after="0"/>
              <w:rPr>
                <w:sz w:val="1"/>
                <w:szCs w:val="1"/>
                <w:color w:val="auto"/>
              </w:rPr>
            </w:pPr>
          </w:p>
        </w:tc>
      </w:tr>
      <w:tr>
        <w:trPr>
          <w:trHeight w:val="239"/>
        </w:trPr>
        <w:tc>
          <w:tcPr>
            <w:tcW w:w="2380" w:type="dxa"/>
            <w:vAlign w:val="bottom"/>
            <w:gridSpan w:val="2"/>
          </w:tcPr>
          <w:p>
            <w:pPr>
              <w:ind w:left="2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14"/>
                <w:szCs w:val="14"/>
                <w:color w:val="auto"/>
              </w:rPr>
              <w:t>(1)</w:t>
            </w:r>
          </w:p>
        </w:tc>
        <w:tc>
          <w:tcPr>
            <w:tcW w:w="180" w:type="dxa"/>
            <w:vAlign w:val="bottom"/>
          </w:tcPr>
          <w:p>
            <w:pPr>
              <w:spacing w:after="0"/>
              <w:rPr>
                <w:sz w:val="20"/>
                <w:szCs w:val="20"/>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0"/>
                <w:szCs w:val="20"/>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7"/>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Houston Electric</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5"/>
        </w:trPr>
        <w:tc>
          <w:tcPr>
            <w:tcW w:w="23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CERC</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4.67 %</w:t>
            </w:r>
          </w:p>
        </w:tc>
        <w:tc>
          <w:tcPr>
            <w:tcW w:w="0" w:type="dxa"/>
            <w:vAlign w:val="bottom"/>
          </w:tcPr>
          <w:p>
            <w:pPr>
              <w:spacing w:after="0"/>
              <w:rPr>
                <w:sz w:val="1"/>
                <w:szCs w:val="1"/>
                <w:color w:val="auto"/>
              </w:rPr>
            </w:pPr>
          </w:p>
        </w:tc>
      </w:tr>
      <w:tr>
        <w:trPr>
          <w:trHeight w:val="240"/>
        </w:trPr>
        <w:tc>
          <w:tcPr>
            <w:tcW w:w="2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left="640" w:hanging="315"/>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credit facility was issued by SIGECO.</w:t>
      </w:r>
    </w:p>
    <w:p>
      <w:pPr>
        <w:spacing w:after="0" w:line="16" w:lineRule="exact"/>
        <w:rPr>
          <w:rFonts w:ascii="Arial" w:cs="Arial" w:eastAsia="Arial" w:hAnsi="Arial"/>
          <w:sz w:val="18"/>
          <w:szCs w:val="18"/>
          <w:color w:val="auto"/>
        </w:rPr>
      </w:pPr>
    </w:p>
    <w:p>
      <w:pPr>
        <w:ind w:left="640" w:hanging="315"/>
        <w:spacing w:after="0" w:line="246" w:lineRule="auto"/>
        <w:tabs>
          <w:tab w:leader="none" w:pos="634"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Outstanding commercial paper generally has maturities of 60 days or less and each Registrants’ commercial paper program is backstopped by such Registrants’ long-term credit facilities. Neither Houston Electric nor SIGECO has a commercial paper program.</w:t>
      </w:r>
    </w:p>
    <w:p>
      <w:pPr>
        <w:spacing w:after="0" w:line="1" w:lineRule="exact"/>
        <w:rPr>
          <w:sz w:val="20"/>
          <w:szCs w:val="20"/>
          <w:color w:val="auto"/>
        </w:rPr>
      </w:pPr>
    </w:p>
    <w:p>
      <w:pPr>
        <w:jc w:val="both"/>
        <w:ind w:firstLine="319"/>
        <w:spacing w:after="0" w:line="264" w:lineRule="auto"/>
        <w:rPr>
          <w:sz w:val="20"/>
          <w:szCs w:val="20"/>
          <w:color w:val="auto"/>
        </w:rPr>
      </w:pPr>
      <w:r>
        <w:rPr>
          <w:rFonts w:ascii="Arial" w:cs="Arial" w:eastAsia="Arial" w:hAnsi="Arial"/>
          <w:sz w:val="17"/>
          <w:szCs w:val="17"/>
          <w:i w:val="1"/>
          <w:iCs w:val="1"/>
          <w:color w:val="auto"/>
        </w:rPr>
        <w:t xml:space="preserve">Liens. </w:t>
      </w:r>
      <w:r>
        <w:rPr>
          <w:rFonts w:ascii="Arial" w:cs="Arial" w:eastAsia="Arial" w:hAnsi="Arial"/>
          <w:sz w:val="17"/>
          <w:szCs w:val="17"/>
          <w:color w:val="auto"/>
        </w:rPr>
        <w:t>As of September 30, 2023, Houston Electric’s assets were subject to liens securing approximately $7.6 billion of general mortgage bonds</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under the General Mortgage, including approximately $68 million held in trust to secure pollution control bonds that mature in 2028 for which CenterPoint Energy is obligated. The general mortgage bonds that are held in trust to secure pollution control bonds are not reflected in Houston Electric’s consolidated financial statements because of the contingent nature of the obligations. Houston Electric may issue additional general mortgage bonds on the basis of retired bonds, 70% of property additions or cash deposited with the trustee. Houston Electric could issue approximately $4.5 billion of additional general mortgage bonds on the basis of retired bonds and 70% of property additions as of September 30, 2023. No first mortgage bonds are outstanding under the M&amp;DOT, and Houston Electric is contractually obligated to not issue any additional first mortgage bonds under the M&amp;DOT and is undertaking actions to release the lien of the M&amp;DOT and terminate the M&amp;DOT.</w:t>
      </w:r>
    </w:p>
    <w:p>
      <w:pPr>
        <w:spacing w:after="0" w:line="210"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As of September 30, 2023, SIGECO had approximately $457 million aggregate principal amount of first mortgage bonds outstanding. Generally, all of SIGECO’s real and tangible property is subject to the lien of SIGECO’s mortgage indenture which was amended and restated effective as of January 1, 2023. As of September 30, 2023, SIGECO was permitted to issue additional bonds under its mortgage indenture up to 70% of then currently unfunded property additions and approximately $1.4 billion of additional first mortgage bonds could be issued on this basis. On October 13, 2023, SIGECO issued a total of $470 million aggregate principal amount of first mortgage bonds in three tranches as discussed above.</w:t>
      </w:r>
    </w:p>
    <w:p>
      <w:pPr>
        <w:spacing w:after="0" w:line="208"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As of September 30, 2023, certain financial institutions agreed to issue, from time to time, up to $5 million of letters of credit on behalf of Vectren</w:t>
      </w:r>
      <w:r>
        <w:rPr>
          <w:rFonts w:ascii="Arial" w:cs="Arial" w:eastAsia="Arial" w:hAnsi="Arial"/>
          <w:sz w:val="18"/>
          <w:szCs w:val="18"/>
          <w:i w:val="1"/>
          <w:iCs w:val="1"/>
          <w:color w:val="auto"/>
        </w:rPr>
        <w:t xml:space="preserve"> </w:t>
      </w:r>
      <w:r>
        <w:rPr>
          <w:rFonts w:ascii="Arial" w:cs="Arial" w:eastAsia="Arial" w:hAnsi="Arial"/>
          <w:sz w:val="18"/>
          <w:szCs w:val="18"/>
          <w:color w:val="auto"/>
        </w:rPr>
        <w:t>and certain of its subsidiaries in exchange for customary fees. As of September 30, 2023, such financial institutions had issued less than $1 million of letters of credit on behalf of Vectren and certain of its subsidiaries.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Registrants reported the following effective tax rates: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6"/>
                <w:szCs w:val="16"/>
                <w:color w:val="auto"/>
              </w:rPr>
            </w:pPr>
          </w:p>
        </w:tc>
        <w:tc>
          <w:tcPr>
            <w:tcW w:w="322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 September 30,</w:t>
            </w:r>
          </w:p>
        </w:tc>
        <w:tc>
          <w:tcPr>
            <w:tcW w:w="3100" w:type="dxa"/>
            <w:vAlign w:val="bottom"/>
            <w:gridSpan w:val="3"/>
          </w:tcPr>
          <w:p>
            <w:pPr>
              <w:jc w:val="right"/>
              <w:ind w:right="416"/>
              <w:spacing w:after="0"/>
              <w:rPr>
                <w:sz w:val="20"/>
                <w:szCs w:val="20"/>
                <w:color w:val="auto"/>
              </w:rPr>
            </w:pPr>
            <w:r>
              <w:rPr>
                <w:rFonts w:ascii="Arial" w:cs="Arial" w:eastAsia="Arial" w:hAnsi="Arial"/>
                <w:sz w:val="14"/>
                <w:szCs w:val="14"/>
                <w:b w:val="1"/>
                <w:bCs w:val="1"/>
                <w:color w:val="auto"/>
              </w:rPr>
              <w:t>Nine Months Ended September 30,</w:t>
            </w:r>
          </w:p>
        </w:tc>
      </w:tr>
      <w:tr>
        <w:trPr>
          <w:trHeight w:val="24"/>
        </w:trPr>
        <w:tc>
          <w:tcPr>
            <w:tcW w:w="592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86"/>
        </w:trPr>
        <w:tc>
          <w:tcPr>
            <w:tcW w:w="492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50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500" w:type="dxa"/>
            <w:vAlign w:val="bottom"/>
            <w:tcBorders>
              <w:top w:val="single" w:sz="8" w:color="auto"/>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150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r>
      <w:tr>
        <w:trPr>
          <w:trHeight w:val="22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14"/>
                <w:szCs w:val="14"/>
                <w:color w:val="auto"/>
              </w:rPr>
              <w:t>(1) (2)</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39"/>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 xml:space="preserve">Houston Electric </w:t>
            </w:r>
            <w:r>
              <w:rPr>
                <w:rFonts w:ascii="Arial" w:cs="Arial" w:eastAsia="Arial" w:hAnsi="Arial"/>
                <w:sz w:val="14"/>
                <w:szCs w:val="14"/>
                <w:color w:val="auto"/>
              </w:rPr>
              <w:t>(3)</w:t>
            </w:r>
          </w:p>
        </w:tc>
        <w:tc>
          <w:tcPr>
            <w:tcW w:w="50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21 %</w:t>
            </w:r>
          </w:p>
        </w:tc>
      </w:tr>
      <w:tr>
        <w:trPr>
          <w:trHeight w:val="240"/>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CERC </w:t>
            </w:r>
            <w:r>
              <w:rPr>
                <w:rFonts w:ascii="Arial" w:cs="Arial" w:eastAsia="Arial" w:hAnsi="Arial"/>
                <w:sz w:val="14"/>
                <w:szCs w:val="14"/>
                <w:color w:val="auto"/>
              </w:rPr>
              <w:t>(4) (5)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170 %</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bl>
    <w:p>
      <w:pPr>
        <w:spacing w:after="0" w:line="320" w:lineRule="exact"/>
        <w:rPr>
          <w:sz w:val="20"/>
          <w:szCs w:val="20"/>
          <w:color w:val="auto"/>
        </w:rPr>
      </w:pPr>
    </w:p>
    <w:p>
      <w:pPr>
        <w:ind w:left="640" w:hanging="315"/>
        <w:spacing w:after="0" w:line="266" w:lineRule="auto"/>
        <w:tabs>
          <w:tab w:leader="none" w:pos="634"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CenterPoint Energy’s lower effective tax rate for the three months ended September 30, 2023 compared to the same period ended September 30, 2022 was primarily due to the tax impacts of the absence of non-deductible goodwill</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ind w:left="640"/>
        <w:spacing w:after="0" w:line="253" w:lineRule="auto"/>
        <w:rPr>
          <w:sz w:val="20"/>
          <w:szCs w:val="20"/>
          <w:color w:val="auto"/>
        </w:rPr>
      </w:pPr>
      <w:r>
        <w:rPr>
          <w:rFonts w:ascii="Arial" w:cs="Arial" w:eastAsia="Arial" w:hAnsi="Arial"/>
          <w:sz w:val="18"/>
          <w:szCs w:val="18"/>
          <w:color w:val="auto"/>
        </w:rPr>
        <w:t>associated with the sale of the Natural Gas business in Arkansas and Oklahoma in 2022 and an increase in EDIT amortization of the net regulatory liability for EDIT.</w:t>
      </w:r>
    </w:p>
    <w:p>
      <w:pPr>
        <w:jc w:val="both"/>
        <w:ind w:left="640" w:hanging="315"/>
        <w:spacing w:after="0" w:line="277" w:lineRule="auto"/>
        <w:tabs>
          <w:tab w:leader="none" w:pos="634" w:val="left"/>
        </w:tabs>
        <w:numPr>
          <w:ilvl w:val="0"/>
          <w:numId w:val="30"/>
        </w:numPr>
        <w:rPr>
          <w:rFonts w:ascii="Arial" w:cs="Arial" w:eastAsia="Arial" w:hAnsi="Arial"/>
          <w:sz w:val="16"/>
          <w:szCs w:val="16"/>
          <w:color w:val="auto"/>
        </w:rPr>
      </w:pPr>
      <w:r>
        <w:rPr>
          <w:rFonts w:ascii="Arial" w:cs="Arial" w:eastAsia="Arial" w:hAnsi="Arial"/>
          <w:sz w:val="16"/>
          <w:szCs w:val="16"/>
          <w:color w:val="auto"/>
        </w:rPr>
        <w:t>CenterPoint Energy’s lower effective tax rate for the nine months ended September 30, 2023 compared to the same period ended September 30, 2022 was primarily due to the tax impacts of the absence of non-deductible goodwill associated with the sale of the Natural Gas businesses in Arkansas and Oklahoma in 2022, partially offset by the tax impacts of the sale of Energy Systems Group and an increase in state income taxes.</w:t>
      </w:r>
    </w:p>
    <w:p>
      <w:pPr>
        <w:spacing w:after="0" w:line="1" w:lineRule="exact"/>
        <w:rPr>
          <w:rFonts w:ascii="Arial" w:cs="Arial" w:eastAsia="Arial" w:hAnsi="Arial"/>
          <w:sz w:val="16"/>
          <w:szCs w:val="16"/>
          <w:color w:val="auto"/>
        </w:rPr>
      </w:pPr>
    </w:p>
    <w:p>
      <w:pPr>
        <w:ind w:left="640" w:hanging="315"/>
        <w:spacing w:after="0" w:line="246" w:lineRule="auto"/>
        <w:tabs>
          <w:tab w:leader="none" w:pos="634" w:val="left"/>
        </w:tabs>
        <w:numPr>
          <w:ilvl w:val="0"/>
          <w:numId w:val="30"/>
        </w:numPr>
        <w:rPr>
          <w:rFonts w:ascii="Arial" w:cs="Arial" w:eastAsia="Arial" w:hAnsi="Arial"/>
          <w:sz w:val="18"/>
          <w:szCs w:val="18"/>
          <w:color w:val="auto"/>
        </w:rPr>
      </w:pPr>
      <w:r>
        <w:rPr>
          <w:rFonts w:ascii="Arial" w:cs="Arial" w:eastAsia="Arial" w:hAnsi="Arial"/>
          <w:sz w:val="18"/>
          <w:szCs w:val="18"/>
          <w:color w:val="auto"/>
        </w:rPr>
        <w:t>Houston Electric’s higher effective tax rate for the three and nine months ended September 30, 2023 compared to the same periods ended September 30, 2022 was primarily driven by an increase in state income taxes.</w:t>
      </w:r>
    </w:p>
    <w:p>
      <w:pPr>
        <w:spacing w:after="0" w:line="1" w:lineRule="exact"/>
        <w:rPr>
          <w:rFonts w:ascii="Arial" w:cs="Arial" w:eastAsia="Arial" w:hAnsi="Arial"/>
          <w:sz w:val="18"/>
          <w:szCs w:val="18"/>
          <w:color w:val="auto"/>
        </w:rPr>
      </w:pPr>
    </w:p>
    <w:p>
      <w:pPr>
        <w:jc w:val="both"/>
        <w:ind w:left="640" w:hanging="315"/>
        <w:spacing w:after="0" w:line="261" w:lineRule="auto"/>
        <w:tabs>
          <w:tab w:leader="none" w:pos="634" w:val="left"/>
        </w:tabs>
        <w:numPr>
          <w:ilvl w:val="0"/>
          <w:numId w:val="30"/>
        </w:numPr>
        <w:rPr>
          <w:rFonts w:ascii="Arial" w:cs="Arial" w:eastAsia="Arial" w:hAnsi="Arial"/>
          <w:sz w:val="17"/>
          <w:szCs w:val="17"/>
          <w:color w:val="auto"/>
        </w:rPr>
      </w:pPr>
      <w:r>
        <w:rPr>
          <w:rFonts w:ascii="Arial" w:cs="Arial" w:eastAsia="Arial" w:hAnsi="Arial"/>
          <w:sz w:val="17"/>
          <w:szCs w:val="17"/>
          <w:color w:val="auto"/>
        </w:rPr>
        <w:t>CERC’s lower effective tax rate for the three months ended September 30, 2023 compared to the same period ended September 30, 2022 was primarily driven by the tax impact of the absence of non-deductible goodwill associated with the sale of the Natural Gas businesses in Arkansas and Oklahoma in 2022 and an increase in the favorable impact of amortization of the net regulatory liability for EDIT.</w:t>
      </w:r>
    </w:p>
    <w:p>
      <w:pPr>
        <w:jc w:val="both"/>
        <w:ind w:left="640" w:hanging="315"/>
        <w:spacing w:after="0" w:line="248" w:lineRule="auto"/>
        <w:tabs>
          <w:tab w:leader="none" w:pos="634"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CERC’s lower effective tax rate for the nine months ended September 30, 2023 compared to the same period ended September 30, 2022 was primarily driven by the tax impact of the absence of non-deductible goodwill associated with the sale of the Natural Gas businesses in Arkansas and Oklahoma in 2022 and increase in the favorable impact of amortization of the net regulatory liability for EDIT, partially offset by an increase in state income taxes.</w:t>
      </w:r>
    </w:p>
    <w:p>
      <w:pPr>
        <w:spacing w:after="0" w:line="224"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CenterPoint Energy reported a net uncertain tax liability, inclusive of interest and penalties, of $29 million as of September 30, 2023. The Registrants believe that it is reasonably possible that there will be no change in unrecognized tax benefits, including penalties and interest, in the next 12 months as a result of a lapse of statutes on older exposures, a tax settlement, and/or a resolution of open audits.</w:t>
      </w:r>
    </w:p>
    <w:p>
      <w:pPr>
        <w:spacing w:after="0" w:line="21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i w:val="1"/>
          <w:iCs w:val="1"/>
          <w:color w:val="auto"/>
        </w:rPr>
        <w:t>Tax Audits and Settlements</w:t>
      </w:r>
      <w:r>
        <w:rPr>
          <w:rFonts w:ascii="Arial" w:cs="Arial" w:eastAsia="Arial" w:hAnsi="Arial"/>
          <w:sz w:val="18"/>
          <w:szCs w:val="18"/>
          <w:color w:val="auto"/>
        </w:rPr>
        <w:t>. Tax years through 2018 have been audited and settled with the IRS for CenterPoint Energy. The 2019 and 2020 tax years are</w:t>
      </w:r>
      <w:r>
        <w:rPr>
          <w:rFonts w:ascii="Arial" w:cs="Arial" w:eastAsia="Arial" w:hAnsi="Arial"/>
          <w:sz w:val="18"/>
          <w:szCs w:val="18"/>
          <w:i w:val="1"/>
          <w:iCs w:val="1"/>
          <w:color w:val="auto"/>
        </w:rPr>
        <w:t xml:space="preserve"> </w:t>
      </w:r>
      <w:r>
        <w:rPr>
          <w:rFonts w:ascii="Arial" w:cs="Arial" w:eastAsia="Arial" w:hAnsi="Arial"/>
          <w:sz w:val="18"/>
          <w:szCs w:val="18"/>
          <w:color w:val="auto"/>
        </w:rPr>
        <w:t>before IRS Appeals. For the 2021-2023 tax years, the Registrants are participants in the IRS’s Compliance Assurance Process. Vectren’s pre-Merger 2014-2019 tax years have been audited and settled with the IRS.</w:t>
      </w:r>
    </w:p>
    <w:p>
      <w:pPr>
        <w:spacing w:after="0" w:line="209" w:lineRule="exact"/>
        <w:rPr>
          <w:sz w:val="20"/>
          <w:szCs w:val="20"/>
          <w:color w:val="auto"/>
        </w:rPr>
      </w:pPr>
    </w:p>
    <w:p>
      <w:pPr>
        <w:ind w:left="340" w:hanging="334"/>
        <w:spacing w:after="0"/>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1" w:lineRule="exact"/>
        <w:rPr>
          <w:rFonts w:ascii="Arial" w:cs="Arial" w:eastAsia="Arial" w:hAnsi="Arial"/>
          <w:sz w:val="18"/>
          <w:szCs w:val="18"/>
          <w:b w:val="1"/>
          <w:bCs w:val="1"/>
          <w:color w:val="auto"/>
        </w:rPr>
      </w:pPr>
    </w:p>
    <w:p>
      <w:pPr>
        <w:ind w:left="640" w:hanging="315"/>
        <w:spacing w:after="0"/>
        <w:tabs>
          <w:tab w:leader="none" w:pos="640" w:val="left"/>
        </w:tabs>
        <w:numPr>
          <w:ilvl w:val="1"/>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Obligations (CenterPoint Energy and CERC)</w:t>
      </w:r>
    </w:p>
    <w:p>
      <w:pPr>
        <w:spacing w:after="0" w:line="245" w:lineRule="exact"/>
        <w:rPr>
          <w:sz w:val="20"/>
          <w:szCs w:val="20"/>
          <w:color w:val="auto"/>
        </w:rPr>
      </w:pPr>
    </w:p>
    <w:p>
      <w:pPr>
        <w:jc w:val="both"/>
        <w:ind w:firstLine="319"/>
        <w:spacing w:after="0" w:line="286" w:lineRule="auto"/>
        <w:rPr>
          <w:sz w:val="20"/>
          <w:szCs w:val="20"/>
          <w:color w:val="auto"/>
        </w:rPr>
      </w:pPr>
      <w:r>
        <w:rPr>
          <w:rFonts w:ascii="Arial" w:cs="Arial" w:eastAsia="Arial" w:hAnsi="Arial"/>
          <w:sz w:val="16"/>
          <w:szCs w:val="16"/>
          <w:color w:val="auto"/>
        </w:rPr>
        <w:t>Commitments include minimum purchase obligations related to CenterPoint Energy’s and CERC’s Natural Gas reportable segment and CenterPoint Energy’s Electric reportable segment. A purchase obligation is defined as an agreement to purchase goods or services that is enforceable and legally binding on the registrant and that specifies all significant terms, including: fixed or minimum quantities to be purchased; fixed, minimum or variable price provisions; and the approximate timing of the transaction. Contracts with minimum payment provisions have various quantity requirements and durations and are not classified as non-trading derivative assets and liabilities in CenterPoint Energy’s and CERC’s Condensed Consolidated Balance Sheets as of September 30, 2023 and December 31, 2022. These contracts meet an exception as “normal purchases contracts” or do not meet the definition of a derivative. Natural gas and coal supply commitments also include transportation contracts that do not meet the definition of a derivative.</w:t>
      </w:r>
    </w:p>
    <w:p>
      <w:pPr>
        <w:spacing w:after="0" w:line="194"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On February 1, 2023, Indiana Electric entered into an amended and restated BTA to purchase the 191 MW Posey Solar project for a fixed purchase price over the anticipated 35-year life. On February 7, 2023, Indiana Electric filed a CPCN with the IURC to approve the amended BTA. With the passage of the IRA, Indiana Electric can now pursue PTCs for solar projects. Indiana Electric filed the updated CPCN with a request that project costs, net of PTCs, be recovered in rate base, through base rates or the CECA mechanism, depending on which provides more timely recovery. On September 6, 2023, the IURC issued an order approving the CPCN. The Posey Solar project is expected to be placed in service in 2025.</w:t>
      </w:r>
    </w:p>
    <w:p>
      <w:pPr>
        <w:spacing w:after="0" w:line="191"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On January 11, 2023, the IURC issued an order approving the settlement agreement granting Indiana Electric a CPCN to purchase and acquire the 130 MW Pike County solar project through a BTA and approved the estimated cost. The IURC also designated the project as a clean energy project as well as approved the proposed levelized rate and associated ratemaking and accounting treatment. Due to inflationary pressures, the developer disclosed that costs have exceeded the agreed upon levels in the BTA. Once pricing is updated and parties determine whether to continue with the project, Indiana Electric may have to refile for approval of the project with the IURC, which could delay the in-service date from 2025 to 2026.</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September 30, 2023, other than discussed below, undiscounted minimum purchase obligations are approximately:</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Pr>
          <w:p>
            <w:pPr>
              <w:jc w:val="right"/>
              <w:ind w:right="197"/>
              <w:spacing w:after="0"/>
              <w:rPr>
                <w:sz w:val="20"/>
                <w:szCs w:val="20"/>
                <w:color w:val="auto"/>
              </w:rPr>
            </w:pPr>
            <w:r>
              <w:rPr>
                <w:rFonts w:ascii="Arial" w:cs="Arial" w:eastAsia="Arial" w:hAnsi="Arial"/>
                <w:sz w:val="14"/>
                <w:szCs w:val="14"/>
                <w:b w:val="1"/>
                <w:bCs w:val="1"/>
                <w:color w:val="auto"/>
              </w:rPr>
              <w:t>CenterPoint Energy</w:t>
            </w:r>
          </w:p>
        </w:tc>
        <w:tc>
          <w:tcPr>
            <w:tcW w:w="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jc w:val="right"/>
              <w:ind w:right="635"/>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24"/>
        </w:trPr>
        <w:tc>
          <w:tcPr>
            <w:tcW w:w="37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700" w:type="dxa"/>
            <w:vAlign w:val="bottom"/>
          </w:tcPr>
          <w:p>
            <w:pPr>
              <w:spacing w:after="0"/>
              <w:rPr>
                <w:sz w:val="10"/>
                <w:szCs w:val="10"/>
                <w:color w:val="auto"/>
              </w:rPr>
            </w:pPr>
          </w:p>
        </w:tc>
        <w:tc>
          <w:tcPr>
            <w:tcW w:w="1320" w:type="dxa"/>
            <w:vAlign w:val="bottom"/>
          </w:tcPr>
          <w:p>
            <w:pPr>
              <w:jc w:val="center"/>
              <w:ind w:left="423"/>
              <w:spacing w:after="0" w:line="127" w:lineRule="exact"/>
              <w:rPr>
                <w:sz w:val="20"/>
                <w:szCs w:val="20"/>
                <w:color w:val="auto"/>
              </w:rPr>
            </w:pPr>
            <w:r>
              <w:rPr>
                <w:rFonts w:ascii="Arial" w:cs="Arial" w:eastAsia="Arial" w:hAnsi="Arial"/>
                <w:sz w:val="14"/>
                <w:szCs w:val="14"/>
                <w:b w:val="1"/>
                <w:bCs w:val="1"/>
                <w:color w:val="auto"/>
                <w:w w:val="94"/>
              </w:rPr>
              <w:t>Natural Gas</w:t>
            </w: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2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 xml:space="preserve">Electric Supply </w:t>
            </w:r>
            <w:r>
              <w:rPr>
                <w:rFonts w:ascii="Arial" w:cs="Arial" w:eastAsia="Arial" w:hAnsi="Arial"/>
                <w:sz w:val="10"/>
                <w:szCs w:val="10"/>
                <w:b w:val="1"/>
                <w:bCs w:val="1"/>
                <w:color w:val="auto"/>
              </w:rPr>
              <w:t>(1)</w:t>
            </w:r>
          </w:p>
        </w:tc>
        <w:tc>
          <w:tcPr>
            <w:tcW w:w="580" w:type="dxa"/>
            <w:vAlign w:val="bottom"/>
          </w:tcPr>
          <w:p>
            <w:pPr>
              <w:spacing w:after="0"/>
              <w:rPr>
                <w:sz w:val="10"/>
                <w:szCs w:val="10"/>
                <w:color w:val="auto"/>
              </w:rPr>
            </w:pPr>
          </w:p>
        </w:tc>
        <w:tc>
          <w:tcPr>
            <w:tcW w:w="14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10"/>
                <w:szCs w:val="10"/>
                <w:b w:val="1"/>
                <w:bCs w:val="1"/>
                <w:color w:val="auto"/>
              </w:rPr>
              <w:t>(2)</w:t>
            </w:r>
          </w:p>
        </w:tc>
        <w:tc>
          <w:tcPr>
            <w:tcW w:w="220" w:type="dxa"/>
            <w:vAlign w:val="bottom"/>
          </w:tcPr>
          <w:p>
            <w:pPr>
              <w:spacing w:after="0"/>
              <w:rPr>
                <w:sz w:val="10"/>
                <w:szCs w:val="10"/>
                <w:color w:val="auto"/>
              </w:rPr>
            </w:pPr>
          </w:p>
        </w:tc>
        <w:tc>
          <w:tcPr>
            <w:tcW w:w="162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w w:val="99"/>
              </w:rPr>
              <w:t>Natural Gas Supply</w:t>
            </w:r>
          </w:p>
        </w:tc>
        <w:tc>
          <w:tcPr>
            <w:tcW w:w="0" w:type="dxa"/>
            <w:vAlign w:val="bottom"/>
          </w:tcPr>
          <w:p>
            <w:pPr>
              <w:spacing w:after="0"/>
              <w:rPr>
                <w:sz w:val="1"/>
                <w:szCs w:val="1"/>
                <w:color w:val="auto"/>
              </w:rPr>
            </w:pPr>
          </w:p>
        </w:tc>
      </w:tr>
      <w:tr>
        <w:trPr>
          <w:trHeight w:val="193"/>
        </w:trPr>
        <w:tc>
          <w:tcPr>
            <w:tcW w:w="3700" w:type="dxa"/>
            <w:vAlign w:val="bottom"/>
          </w:tcPr>
          <w:p>
            <w:pPr>
              <w:spacing w:after="0"/>
              <w:rPr>
                <w:sz w:val="16"/>
                <w:szCs w:val="16"/>
                <w:color w:val="auto"/>
              </w:rPr>
            </w:pPr>
          </w:p>
        </w:tc>
        <w:tc>
          <w:tcPr>
            <w:tcW w:w="1320" w:type="dxa"/>
            <w:vAlign w:val="bottom"/>
            <w:tcBorders>
              <w:bottom w:val="single" w:sz="8" w:color="auto"/>
            </w:tcBorders>
          </w:tcPr>
          <w:p>
            <w:pPr>
              <w:jc w:val="center"/>
              <w:ind w:left="443"/>
              <w:spacing w:after="0"/>
              <w:rPr>
                <w:sz w:val="20"/>
                <w:szCs w:val="20"/>
                <w:color w:val="auto"/>
              </w:rPr>
            </w:pPr>
            <w:r>
              <w:rPr>
                <w:rFonts w:ascii="Arial" w:cs="Arial" w:eastAsia="Arial" w:hAnsi="Arial"/>
                <w:sz w:val="14"/>
                <w:szCs w:val="14"/>
                <w:b w:val="1"/>
                <w:bCs w:val="1"/>
                <w:color w:val="auto"/>
                <w:w w:val="94"/>
              </w:rPr>
              <w:t>Supply</w:t>
            </w:r>
          </w:p>
        </w:tc>
        <w:tc>
          <w:tcPr>
            <w:tcW w:w="5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0" w:type="dxa"/>
            <w:vAlign w:val="bottom"/>
            <w:gridSpan w:val="2"/>
          </w:tcPr>
          <w:p>
            <w:pPr>
              <w:jc w:val="right"/>
              <w:ind w:right="51"/>
              <w:spacing w:after="0"/>
              <w:rPr>
                <w:sz w:val="20"/>
                <w:szCs w:val="20"/>
                <w:color w:val="auto"/>
              </w:rPr>
            </w:pPr>
            <w:r>
              <w:rPr>
                <w:rFonts w:ascii="Arial" w:cs="Arial" w:eastAsia="Arial" w:hAnsi="Arial"/>
                <w:sz w:val="14"/>
                <w:szCs w:val="14"/>
                <w:b w:val="1"/>
                <w:bCs w:val="1"/>
                <w:color w:val="auto"/>
              </w:rPr>
              <w:t>(in millions)</w:t>
            </w: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three months of 2023</w:t>
            </w:r>
          </w:p>
        </w:tc>
        <w:tc>
          <w:tcPr>
            <w:tcW w:w="1320" w:type="dxa"/>
            <w:vAlign w:val="bottom"/>
            <w:shd w:val="clear" w:color="auto" w:fill="CCEEFF"/>
          </w:tcPr>
          <w:p>
            <w:pPr>
              <w:jc w:val="right"/>
              <w:ind w:right="1143"/>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51</w:t>
            </w:r>
          </w:p>
        </w:tc>
        <w:tc>
          <w:tcPr>
            <w:tcW w:w="58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5"/>
        </w:trPr>
        <w:tc>
          <w:tcPr>
            <w:tcW w:w="3700" w:type="dxa"/>
            <w:vAlign w:val="bottom"/>
          </w:tcPr>
          <w:p>
            <w:pPr>
              <w:ind w:left="20"/>
              <w:spacing w:after="0"/>
              <w:rPr>
                <w:sz w:val="20"/>
                <w:szCs w:val="20"/>
                <w:color w:val="auto"/>
              </w:rPr>
            </w:pPr>
            <w:r>
              <w:rPr>
                <w:rFonts w:ascii="Arial" w:cs="Arial" w:eastAsia="Arial" w:hAnsi="Arial"/>
                <w:sz w:val="18"/>
                <w:szCs w:val="18"/>
                <w:color w:val="auto"/>
              </w:rPr>
              <w:t>2024</w:t>
            </w:r>
          </w:p>
        </w:tc>
        <w:tc>
          <w:tcPr>
            <w:tcW w:w="1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683</w:t>
            </w:r>
          </w:p>
        </w:tc>
        <w:tc>
          <w:tcPr>
            <w:tcW w:w="260" w:type="dxa"/>
            <w:vAlign w:val="bottom"/>
          </w:tcPr>
          <w:p>
            <w:pPr>
              <w:spacing w:after="0"/>
              <w:rPr>
                <w:sz w:val="19"/>
                <w:szCs w:val="19"/>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160</w:t>
            </w:r>
          </w:p>
        </w:tc>
        <w:tc>
          <w:tcPr>
            <w:tcW w:w="5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27"/>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3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492</w:t>
            </w:r>
          </w:p>
        </w:tc>
        <w:tc>
          <w:tcPr>
            <w:tcW w:w="5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25"/>
        </w:trPr>
        <w:tc>
          <w:tcPr>
            <w:tcW w:w="3700" w:type="dxa"/>
            <w:vAlign w:val="bottom"/>
          </w:tcPr>
          <w:p>
            <w:pPr>
              <w:ind w:left="20"/>
              <w:spacing w:after="0"/>
              <w:rPr>
                <w:sz w:val="20"/>
                <w:szCs w:val="20"/>
                <w:color w:val="auto"/>
              </w:rPr>
            </w:pPr>
            <w:r>
              <w:rPr>
                <w:rFonts w:ascii="Arial" w:cs="Arial" w:eastAsia="Arial" w:hAnsi="Arial"/>
                <w:sz w:val="18"/>
                <w:szCs w:val="18"/>
                <w:color w:val="auto"/>
              </w:rPr>
              <w:t>2026</w:t>
            </w:r>
          </w:p>
        </w:tc>
        <w:tc>
          <w:tcPr>
            <w:tcW w:w="1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501</w:t>
            </w:r>
          </w:p>
        </w:tc>
        <w:tc>
          <w:tcPr>
            <w:tcW w:w="260" w:type="dxa"/>
            <w:vAlign w:val="bottom"/>
          </w:tcPr>
          <w:p>
            <w:pPr>
              <w:spacing w:after="0"/>
              <w:rPr>
                <w:sz w:val="19"/>
                <w:szCs w:val="19"/>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342</w:t>
            </w:r>
          </w:p>
        </w:tc>
        <w:tc>
          <w:tcPr>
            <w:tcW w:w="5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27"/>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3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105</w:t>
            </w:r>
          </w:p>
        </w:tc>
        <w:tc>
          <w:tcPr>
            <w:tcW w:w="5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25"/>
        </w:trPr>
        <w:tc>
          <w:tcPr>
            <w:tcW w:w="3700" w:type="dxa"/>
            <w:vAlign w:val="bottom"/>
          </w:tcPr>
          <w:p>
            <w:pPr>
              <w:ind w:left="20"/>
              <w:spacing w:after="0"/>
              <w:rPr>
                <w:sz w:val="20"/>
                <w:szCs w:val="20"/>
                <w:color w:val="auto"/>
              </w:rPr>
            </w:pPr>
            <w:r>
              <w:rPr>
                <w:rFonts w:ascii="Arial" w:cs="Arial" w:eastAsia="Arial" w:hAnsi="Arial"/>
                <w:sz w:val="18"/>
                <w:szCs w:val="18"/>
                <w:color w:val="auto"/>
              </w:rPr>
              <w:t>2028</w:t>
            </w:r>
          </w:p>
        </w:tc>
        <w:tc>
          <w:tcPr>
            <w:tcW w:w="1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380</w:t>
            </w:r>
          </w:p>
        </w:tc>
        <w:tc>
          <w:tcPr>
            <w:tcW w:w="260" w:type="dxa"/>
            <w:vAlign w:val="bottom"/>
          </w:tcPr>
          <w:p>
            <w:pPr>
              <w:spacing w:after="0"/>
              <w:rPr>
                <w:sz w:val="19"/>
                <w:szCs w:val="19"/>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68</w:t>
            </w:r>
          </w:p>
        </w:tc>
        <w:tc>
          <w:tcPr>
            <w:tcW w:w="58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27"/>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 and beyond</w:t>
            </w:r>
          </w:p>
        </w:tc>
        <w:tc>
          <w:tcPr>
            <w:tcW w:w="13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1,710</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719</w:t>
            </w:r>
          </w:p>
        </w:tc>
        <w:tc>
          <w:tcPr>
            <w:tcW w:w="5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bl>
    <w:p>
      <w:pPr>
        <w:spacing w:after="0" w:line="400" w:lineRule="exact"/>
        <w:rPr>
          <w:sz w:val="20"/>
          <w:szCs w:val="20"/>
          <w:color w:val="auto"/>
        </w:rPr>
      </w:pPr>
    </w:p>
    <w:p>
      <w:pPr>
        <w:ind w:left="640" w:hanging="315"/>
        <w:spacing w:after="0" w:line="296" w:lineRule="auto"/>
        <w:tabs>
          <w:tab w:leader="none" w:pos="634" w:val="left"/>
        </w:tabs>
        <w:numPr>
          <w:ilvl w:val="0"/>
          <w:numId w:val="32"/>
        </w:numPr>
        <w:rPr>
          <w:rFonts w:ascii="Arial" w:cs="Arial" w:eastAsia="Arial" w:hAnsi="Arial"/>
          <w:sz w:val="17"/>
          <w:szCs w:val="17"/>
          <w:color w:val="auto"/>
        </w:rPr>
      </w:pPr>
      <w:r>
        <w:rPr>
          <w:rFonts w:ascii="Arial" w:cs="Arial" w:eastAsia="Arial" w:hAnsi="Arial"/>
          <w:sz w:val="17"/>
          <w:szCs w:val="17"/>
          <w:color w:val="auto"/>
        </w:rPr>
        <w:t>CenterPoint Energy’s undiscounted minimum payment obligations related to PPAs with commitments ranging from 15 years to 25 years and its purchase commitments under its BTA in Posey County, Indiana and its BTA in Pike County, Indiana are included above.</w:t>
      </w:r>
    </w:p>
    <w:p>
      <w:pPr>
        <w:spacing w:after="0" w:line="36" w:lineRule="exact"/>
        <w:rPr>
          <w:rFonts w:ascii="Arial" w:cs="Arial" w:eastAsia="Arial" w:hAnsi="Arial"/>
          <w:sz w:val="17"/>
          <w:szCs w:val="17"/>
          <w:color w:val="auto"/>
        </w:rPr>
      </w:pPr>
    </w:p>
    <w:p>
      <w:pPr>
        <w:ind w:left="640" w:hanging="315"/>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undiscounted payment obligations relate primarily to technology hardware and software agreements.</w:t>
      </w:r>
    </w:p>
    <w:p>
      <w:pPr>
        <w:spacing w:after="0" w:line="24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Excluded from the table above are estimates for cash outlays from other PPAs through Indiana Electric that do not have minimum thresholds but do require payment when energy is generated by the provider. Costs arising from certain of these commitments are pass-through costs, generally collected dollar-for-dollar from retail customers through regulator-approved cost recovery mechanisms.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 Guarantees and Product Warranties (CenterPoint Energy)</w:t>
      </w:r>
    </w:p>
    <w:p>
      <w:pPr>
        <w:spacing w:after="0" w:line="24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On May 21, 2023, CenterPoint Energy, through Vectren Energy Services, entered into the Equity Purchase Agreement to sell Energy Systems Group. The sale closed on June 30, 2023. See Note 3 for further information.</w:t>
      </w:r>
    </w:p>
    <w:p>
      <w:pPr>
        <w:spacing w:after="0" w:line="206"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 xml:space="preserve">In the normal course of business prior to the consummation of the transaction on June 30, 2023, CenterPoint Energy, primarily through Vectren, issued parent company level guarantees supporting </w:t>
      </w:r>
      <w:r>
        <w:rPr>
          <w:rFonts w:ascii="Arial" w:cs="Arial" w:eastAsia="Arial" w:hAnsi="Arial"/>
          <w:sz w:val="16"/>
          <w:szCs w:val="16"/>
          <w:color w:val="221F1F"/>
        </w:rPr>
        <w:t>Energy Systems Group</w:t>
      </w:r>
      <w:r>
        <w:rPr>
          <w:rFonts w:ascii="Arial" w:cs="Arial" w:eastAsia="Arial" w:hAnsi="Arial"/>
          <w:sz w:val="16"/>
          <w:szCs w:val="16"/>
          <w:color w:val="auto"/>
        </w:rPr>
        <w:t>’s obligations. When Energy Systems Group was wholly owned by CenterPoint Energy, these guarantees did not represent incremental consolidated obligations, but rather, these guarantees represented guarantees of Energy Systems Group’s obligations to allow it to conduct business without posting other forms of assurance. For those obligations where potential exposure can be estimated, management estimates the maximum exposure under these guarantees to be approximately $509 million as of September 30, 2023 and expects the exposure to decrease pro rata. This exposure primarily relates to energy savings guarantees on federal energy savings performance contracts. Other parent company level guarantees, certain of which do not contain a cap on potential liability, were issued prior to the sale of Energy Systems Group in support of federal operations and maintenance projects for which a maximum exposure cannot be estimated based on the nature of the projects.</w:t>
      </w:r>
    </w:p>
    <w:p>
      <w:pPr>
        <w:spacing w:after="0" w:line="200"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Under the terms of the Equity Purchase Agreement, ESG Holdings Group must generally use reasonable best efforts to replace existing CenterPoint Energy guarantees with credit support provided by a party other than CenterPoint Energy as of and after the closing of the transaction. The Equity Purchase Agreement also requires certain protections to be provided for any damages incurred by CenterPoint Energy in relation to these guarantees not released by closing. No additional guarantees were provided by CenterPoint Energy in favor of Energy Systems Group subsequent to the closing of the sale on June 30, 2023.</w:t>
      </w:r>
    </w:p>
    <w:p>
      <w:pPr>
        <w:spacing w:after="0" w:line="221"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 xml:space="preserve">While there can be no assurance that performance under any of these parent company guarantees will not be required in the future, CenterPoint Energy considers the likelihood of a material amount being incurred as remote. CenterPoint Energy believes that, from </w:t>
      </w:r>
      <w:r>
        <w:rPr>
          <w:rFonts w:ascii="Arial" w:cs="Arial" w:eastAsia="Arial" w:hAnsi="Arial"/>
          <w:sz w:val="16"/>
          <w:szCs w:val="16"/>
          <w:color w:val="221F1F"/>
        </w:rPr>
        <w:t>Energy Systems Group</w:t>
      </w:r>
      <w:r>
        <w:rPr>
          <w:rFonts w:ascii="Arial" w:cs="Arial" w:eastAsia="Arial" w:hAnsi="Arial"/>
          <w:sz w:val="16"/>
          <w:szCs w:val="16"/>
          <w:color w:val="auto"/>
        </w:rPr>
        <w:t xml:space="preserve">’s inception in 1994 to the closing of the sale of Energy Systems Group on June 30, 2023, </w:t>
      </w:r>
      <w:r>
        <w:rPr>
          <w:rFonts w:ascii="Arial" w:cs="Arial" w:eastAsia="Arial" w:hAnsi="Arial"/>
          <w:sz w:val="16"/>
          <w:szCs w:val="16"/>
          <w:color w:val="221F1F"/>
        </w:rPr>
        <w:t>Energy Systems Group</w:t>
      </w:r>
      <w:r>
        <w:rPr>
          <w:rFonts w:ascii="Arial" w:cs="Arial" w:eastAsia="Arial" w:hAnsi="Arial"/>
          <w:sz w:val="16"/>
          <w:szCs w:val="16"/>
          <w:color w:val="auto"/>
        </w:rPr>
        <w:t xml:space="preserve"> had a history of generally meeting its performance obligations and energy savings guarantees and its installed products operated effectively. CenterPoint Energy recorded no amounts on its Condensed Consolidated Balance Sheets as of September 30, 2023 and December 31, 2022 related to its obligation under the outstanding guarantees.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ind w:left="160" w:right="7600" w:firstLine="165"/>
        <w:spacing w:after="0" w:line="524" w:lineRule="auto"/>
        <w:tabs>
          <w:tab w:leader="none" w:pos="636"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Legal, Environmental and Other Matters Legal Matters</w:t>
      </w:r>
    </w:p>
    <w:p>
      <w:pPr>
        <w:jc w:val="both"/>
        <w:ind w:firstLine="319"/>
        <w:spacing w:after="0" w:line="269" w:lineRule="auto"/>
        <w:rPr>
          <w:sz w:val="20"/>
          <w:szCs w:val="20"/>
          <w:color w:val="auto"/>
        </w:rPr>
      </w:pPr>
      <w:r>
        <w:rPr>
          <w:rFonts w:ascii="Arial" w:cs="Arial" w:eastAsia="Arial" w:hAnsi="Arial"/>
          <w:sz w:val="17"/>
          <w:szCs w:val="17"/>
          <w:i w:val="1"/>
          <w:iCs w:val="1"/>
          <w:color w:val="auto"/>
        </w:rPr>
        <w:t xml:space="preserve">Litigation Related to the February 2021 Winter Storm Event. </w:t>
      </w:r>
      <w:r>
        <w:rPr>
          <w:rFonts w:ascii="Arial" w:cs="Arial" w:eastAsia="Arial" w:hAnsi="Arial"/>
          <w:sz w:val="17"/>
          <w:szCs w:val="17"/>
          <w:color w:val="auto"/>
        </w:rPr>
        <w:t>Various legal proceedings are still pending against numerous entities with respect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2021 Winter Storm Event, including against CenterPoint Energy, Utility Holding, LLC, Houston Electric, and CERC. Like other Texas energy companies and TDUs, CenterPoint Energy and Houston Electric have become involved in certain investigations, litigation and other regulatory and legal proceedings regarding their efforts to restore power during the storm and their compliance with NERC, ERCOT and PUCT rules and directives. Additionally, like other natural gas market participants, CERC has been named in litigation alleging gas market manipulation.</w:t>
      </w:r>
    </w:p>
    <w:p>
      <w:pPr>
        <w:spacing w:after="0" w:line="208"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CenterPoint Energy, Utility Holding, LLC, and Houston Electric, along with hundreds of other defendants (including ERCOT, power generation companies, other TDUs, natural gas producers, REPs, and other entities) have received claims and lawsuits filed by plaintiffs alleging wrongful death, personal injury, property damage and other injuries and damages.</w:t>
      </w:r>
    </w:p>
    <w:p>
      <w:pPr>
        <w:spacing w:after="0" w:line="215" w:lineRule="exact"/>
        <w:rPr>
          <w:sz w:val="20"/>
          <w:szCs w:val="20"/>
          <w:color w:val="auto"/>
        </w:rPr>
      </w:pPr>
    </w:p>
    <w:p>
      <w:pPr>
        <w:jc w:val="both"/>
        <w:ind w:firstLine="319"/>
        <w:spacing w:after="0" w:line="282" w:lineRule="auto"/>
        <w:rPr>
          <w:sz w:val="20"/>
          <w:szCs w:val="20"/>
          <w:color w:val="auto"/>
        </w:rPr>
      </w:pPr>
      <w:r>
        <w:rPr>
          <w:rFonts w:ascii="Arial" w:cs="Arial" w:eastAsia="Arial" w:hAnsi="Arial"/>
          <w:sz w:val="16"/>
          <w:szCs w:val="16"/>
          <w:color w:val="auto"/>
        </w:rPr>
        <w:t>Substantially all of the litigation is or will be consolidated in Texas state court in Harris County, Texas, as part of an MDL proceeding, with one case currently pending in justice court in Harris County. The judge overseeing the MDL issued an initial case management order and stayed all proceedings and discovery. Per the case management order, the judge entertained dispositive motions in five representative or “bellwether” cases and, in late January 2023, issued rulings on them. The judge ruled that ERCOT has sovereign immunity as a governmental entity and dismissed the suits against it. In a recent opinion in an unrelated matter, the Texas Supreme Court held that ERCOT is entitled to sovereign immunity. This ruling will apply to claims against ERCOT in the MDL. The MDL judge also dismissed all claims against the natural gas defendants (which lists of natural gas defendants incorrectly included Utility Holding, LLC), and the REP defendants and some causes of action against the other defendants. As to the TDU and generator defendants, the MDL judge dismissed some causes of action but denied the motions to dismiss claims for negligence, gross negligence, and nuisance, which denial the TDU defendants and generator defendants are asking the court of appeals to overturn. The court of appeals granted the request for oral argument in the TDU mandamus proceeding and heard oral argument on October 23, 2023. The MDL judge has allowed plaintiffs to file several motions related to the framework for preliminary discovery, but otherwise the cases remain stayed as the MDL judge addresses additional preliminary issues.</w:t>
      </w:r>
    </w:p>
    <w:p>
      <w:pPr>
        <w:spacing w:after="0" w:line="201" w:lineRule="exact"/>
        <w:rPr>
          <w:sz w:val="20"/>
          <w:szCs w:val="20"/>
          <w:color w:val="auto"/>
        </w:rPr>
      </w:pPr>
    </w:p>
    <w:p>
      <w:pPr>
        <w:jc w:val="both"/>
        <w:ind w:firstLine="319"/>
        <w:spacing w:after="0" w:line="286" w:lineRule="auto"/>
        <w:rPr>
          <w:sz w:val="20"/>
          <w:szCs w:val="20"/>
          <w:color w:val="auto"/>
        </w:rPr>
      </w:pPr>
      <w:r>
        <w:rPr>
          <w:rFonts w:ascii="Arial" w:cs="Arial" w:eastAsia="Arial" w:hAnsi="Arial"/>
          <w:sz w:val="16"/>
          <w:szCs w:val="16"/>
          <w:color w:val="auto"/>
        </w:rPr>
        <w:t>As of September 30, 2023, there are approximately 220 pending lawsuits that are in or will be added to the MDL proceeding related to the February 2021 Winter Storm Event, and CenterPoint Energy and Houston Electric, along with numerous other entities, have been named as defendants in approximately 155 of those lawsuits. A putative class action on behalf of everyone who received electric power via the ERCOT grid and sustained a power outage between February 10, 2021 and February 28, 2021 is also pending against CenterPoint Energy, Houston Electric, and numerous other defendants. Additionally, Utility Holding, LLC is currently named as a defendant in approximately five lawsuits in which CenterPoint Energy and/or Houston Electric are also named as defendants. CenterPoint Energy expects that the claims against Utility Holding, LLC will ultimately be dismissed in light of the judge’s initial rulings. CenterPoint Energy, Utility Holding, LLC, and Houston Electric intend to vigorously defend themselves against the claims raised.</w:t>
      </w:r>
    </w:p>
    <w:p>
      <w:pPr>
        <w:spacing w:after="0" w:line="194"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6"/>
          <w:szCs w:val="16"/>
          <w:color w:val="auto"/>
        </w:rPr>
        <w:t>CenterPoint Energy and Houston Electric have also responded to inquiries from the Texas Attorney General and the Galveston County District Attorney’s Office, and various other regulatory and governmental entities also conducted inquiries, investigations and other reviews of the February 2021 Winter Storm Event and the efforts made by various entities to prepare for, and respond to, the event, including the electric generation shortfall issues.</w:t>
      </w:r>
    </w:p>
    <w:p>
      <w:pPr>
        <w:spacing w:after="0" w:line="181" w:lineRule="exact"/>
        <w:rPr>
          <w:sz w:val="20"/>
          <w:szCs w:val="20"/>
          <w:color w:val="auto"/>
        </w:rPr>
      </w:pPr>
    </w:p>
    <w:p>
      <w:pPr>
        <w:jc w:val="both"/>
        <w:ind w:firstLine="319"/>
        <w:spacing w:after="0" w:line="264" w:lineRule="auto"/>
        <w:rPr>
          <w:sz w:val="20"/>
          <w:szCs w:val="20"/>
          <w:color w:val="auto"/>
        </w:rPr>
      </w:pPr>
      <w:r>
        <w:rPr>
          <w:rFonts w:ascii="Arial" w:cs="Arial" w:eastAsia="Arial" w:hAnsi="Arial"/>
          <w:sz w:val="17"/>
          <w:szCs w:val="17"/>
          <w:color w:val="auto"/>
        </w:rPr>
        <w:t>In February 2023, twelve lawsuits were filed in state district court in Harris County and Tom Green County, Texas, against dozens of gas market participants in Texas, including natural gas producers, processors, pipelines, marketers, sellers, traders, gas utilities, and financial institutions. Plaintiffs named CERC as one such defendant, along with “CenterPoint Energy Services, Inc.,” incorrectly identifying it as CERC’s parent company (CenterPoint Energy previously divested CES). One lawsuit filed in Harris County is a putative class action on behalf of two classes of electric and natural gas customers (those who experienced a loss of electricity and/or natural gas, and those who were charged securitization-related surcharges on a utility bill or were otherwise charged higher rates for electricity and/or gas during the February 2021 Winter Storm Event), potentially including millions of class members. Two other lawsuits (one filed in Harris County and one in Tom Green County) are brought by an entity that purports to be an assignee of claims by tens of thousands of persons and entities that have assigned claims to the plaintiff. These, and nine other similar lawsuits filed in Harris County, generally allege that the defendants engaged in gas market manipulation and price gouging, including by intentionally withholding, suppressing, or diverting supplies of natural gas in connection with the February 2021 Winter Storm Event, Winter Storm Elliott, and other severe weather conditions, and through financial market manipulation. Plaintiffs allege that this manipulation impacted gas supply and prices as well as the market, supply, and price of electricity in Texas and caused blackouts and other damage. Plaintiffs assert claims for tortious interference with existing contract, private nuisance, and unjust enrichment, and allege a broad array of injuries and damages,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including personal injury, property damage, and harm from certain costs being securitized and passed on to ratepayers. The lawsuits do not specify the amount of damages sought, but seek broad categories of actual, compensatory, statutory, consequential economic, and punitive damages; restitution and disgorgement; pre- and post-judgment interest; costs and attorneys’ fees; and other relief. As of September 30, 2023, most of the lawsuits have not been served, but the three cases in which defendants were served were tagged for transfer to the existing MDL proceeding referenced above. The plaintiffs in those three cases filed motions to remand the lawsuits back to their original trial courts and out of the MDL. On August 1, 2023, the judge overseeing the MDL denied the motions to remand. Plaintiffs’ joint motion for reconsideration of the MDL judge’s orders denying remand is pending before the MDL panel. Regardless of whether the cases remain within the MDL, CERC intends to vigorously defend itself against the claims raised, including by raising jurisdictional challenges to the plaintiffs’ claims.</w:t>
      </w:r>
    </w:p>
    <w:p>
      <w:pPr>
        <w:spacing w:after="0" w:line="208"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To date, there have not been demands, quantification, disclosure or discovery of damages by any party to any of the above legal matters that are sufficient to enable CenterPoint Energy and its subsidiaries to estimate exposure. Given that, as well as the preliminary nature of the proceedings, the numerosity of parties and complexity of issues involved, and the uncertainties of litigation, CenterPoint Energy and its subsidiaries are unable to predict the outcome or consequences of any of the foregoing matters or to estimate a range of potential losses. CenterPoint Energy and its subsidiaries have general and excess liability insurance policies that provide coverage for third party bodily injury and property damage claims. Given the nature of certain of the recent allegations, however, it is possible that the insurers for third party bodily injury and property damage claims could dispute coverage for other types of damage that may be alleged by plaintiffs. CenterPoint Energy and its subsidiaries intend to continue to pursue any and all available insurance coverage for all of these matters.</w:t>
      </w:r>
    </w:p>
    <w:p>
      <w:pPr>
        <w:spacing w:after="0" w:line="22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45"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i w:val="1"/>
          <w:iCs w:val="1"/>
          <w:color w:val="auto"/>
        </w:rPr>
        <w:t xml:space="preserve">MGP Sites. </w:t>
      </w:r>
      <w:r>
        <w:rPr>
          <w:rFonts w:ascii="Arial" w:cs="Arial" w:eastAsia="Arial" w:hAnsi="Arial"/>
          <w:sz w:val="16"/>
          <w:szCs w:val="16"/>
          <w:color w:val="auto"/>
        </w:rPr>
        <w:t>CenterPoint Energy, CERC and their predecessors, including predecessors of Vectren, operated MGPs in the past. The costs CenterPoint</w:t>
      </w:r>
      <w:r>
        <w:rPr>
          <w:rFonts w:ascii="Arial" w:cs="Arial" w:eastAsia="Arial" w:hAnsi="Arial"/>
          <w:sz w:val="16"/>
          <w:szCs w:val="16"/>
          <w:i w:val="1"/>
          <w:iCs w:val="1"/>
          <w:color w:val="auto"/>
        </w:rPr>
        <w:t xml:space="preserve"> </w:t>
      </w:r>
      <w:r>
        <w:rPr>
          <w:rFonts w:ascii="Arial" w:cs="Arial" w:eastAsia="Arial" w:hAnsi="Arial"/>
          <w:sz w:val="16"/>
          <w:szCs w:val="16"/>
          <w:color w:val="auto"/>
        </w:rPr>
        <w:t>Energy or CERC, as applicable, expect to incur to fulfill their respective obligations are estimated by management using assumptions based on actual costs incurred, the timing of expected future payments and inflation factors, among others. While CenterPoint Energy and CERC have recorded obligations for all costs which are probable and estimable, including amounts they are presently obligated to incur in connection with activities at these sites, it is possible that future events may require remedial activities which are not presently foreseen, and those costs may not be subject to PRP or insurance recovery.</w:t>
      </w:r>
    </w:p>
    <w:p>
      <w:pPr>
        <w:spacing w:after="0" w:line="191" w:lineRule="exact"/>
        <w:rPr>
          <w:sz w:val="20"/>
          <w:szCs w:val="20"/>
          <w:color w:val="auto"/>
        </w:rPr>
      </w:pPr>
    </w:p>
    <w:p>
      <w:pPr>
        <w:jc w:val="both"/>
        <w:ind w:left="640" w:hanging="315"/>
        <w:spacing w:after="0" w:line="278" w:lineRule="auto"/>
        <w:tabs>
          <w:tab w:leader="none" w:pos="634"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Minnesota MGPs (CenterPoint Energy and CERC)</w:t>
      </w:r>
      <w:r>
        <w:rPr>
          <w:rFonts w:ascii="Arial" w:cs="Arial" w:eastAsia="Arial" w:hAnsi="Arial"/>
          <w:sz w:val="17"/>
          <w:szCs w:val="17"/>
          <w:color w:val="auto"/>
        </w:rPr>
        <w:t>. With respect to certain Minnesota MGP sites, CenterPoint Energy and CERC have completed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state-ordered remediation and continue state-ordered monitoring and water treatment. CenterPoint Energy and CERC recorded a liability as reflected in the table below for continued monitoring and any future remediation required by regulators in Minnesota.</w:t>
      </w:r>
    </w:p>
    <w:p>
      <w:pPr>
        <w:spacing w:after="0" w:line="198" w:lineRule="exact"/>
        <w:rPr>
          <w:rFonts w:ascii="Arial" w:cs="Arial" w:eastAsia="Arial" w:hAnsi="Arial"/>
          <w:sz w:val="17"/>
          <w:szCs w:val="17"/>
          <w:color w:val="auto"/>
        </w:rPr>
      </w:pPr>
    </w:p>
    <w:p>
      <w:pPr>
        <w:jc w:val="both"/>
        <w:ind w:left="640" w:hanging="315"/>
        <w:spacing w:after="0" w:line="287" w:lineRule="auto"/>
        <w:tabs>
          <w:tab w:leader="none" w:pos="63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Indiana MGPs (CenterPoint Energy and CERC)</w:t>
      </w:r>
      <w:r>
        <w:rPr>
          <w:rFonts w:ascii="Arial" w:cs="Arial" w:eastAsia="Arial" w:hAnsi="Arial"/>
          <w:sz w:val="16"/>
          <w:szCs w:val="16"/>
          <w:color w:val="auto"/>
        </w:rPr>
        <w:t>. In the Indiana Gas service territory, the existence, location and certain general characteristics of 26</w:t>
      </w:r>
      <w:r>
        <w:rPr>
          <w:rFonts w:ascii="Arial" w:cs="Arial" w:eastAsia="Arial" w:hAnsi="Arial"/>
          <w:sz w:val="16"/>
          <w:szCs w:val="16"/>
          <w:i w:val="1"/>
          <w:iCs w:val="1"/>
          <w:color w:val="auto"/>
        </w:rPr>
        <w:t xml:space="preserve"> </w:t>
      </w:r>
      <w:r>
        <w:rPr>
          <w:rFonts w:ascii="Arial" w:cs="Arial" w:eastAsia="Arial" w:hAnsi="Arial"/>
          <w:sz w:val="16"/>
          <w:szCs w:val="16"/>
          <w:color w:val="auto"/>
        </w:rPr>
        <w:t>gas manufacturing and storage sites have been identified for which CenterPoint Energy and CERC may have some remedial responsibility. A remedial investigation/feasibility study was completed at one of the sites under an agreed upon order between Indiana Gas and the IDEM, and a Record of Decision was issued by the IDEM in January 2000. The remaining sites have been submitted to the IDEM’s VRP. CenterPoint Energy has also identified its involvement in five manufactured gas plant sites in SIGECO’s service territory, all of which are currently enrolled in the IDEM’s VRP. CenterPoint Energy is currently conducting some level of remedial activities, including groundwater monitoring at certain sites.</w:t>
      </w:r>
    </w:p>
    <w:p>
      <w:pPr>
        <w:spacing w:after="0" w:line="195" w:lineRule="exact"/>
        <w:rPr>
          <w:rFonts w:ascii="Arial" w:cs="Arial" w:eastAsia="Arial" w:hAnsi="Arial"/>
          <w:sz w:val="16"/>
          <w:szCs w:val="16"/>
          <w:color w:val="auto"/>
        </w:rPr>
      </w:pPr>
    </w:p>
    <w:p>
      <w:pPr>
        <w:ind w:left="640" w:right="20" w:hanging="315"/>
        <w:spacing w:after="0" w:line="329" w:lineRule="auto"/>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Other MGPs (CenterPoint Energy and CERC). </w:t>
      </w:r>
      <w:r>
        <w:rPr>
          <w:rFonts w:ascii="Arial" w:cs="Arial" w:eastAsia="Arial" w:hAnsi="Arial"/>
          <w:sz w:val="16"/>
          <w:szCs w:val="16"/>
          <w:color w:val="auto"/>
        </w:rPr>
        <w:t>In addition to the Minnesota and Indiana sites, the EPA and other regulators have investigated MGP</w:t>
      </w:r>
      <w:r>
        <w:rPr>
          <w:rFonts w:ascii="Arial" w:cs="Arial" w:eastAsia="Arial" w:hAnsi="Arial"/>
          <w:sz w:val="16"/>
          <w:szCs w:val="16"/>
          <w:i w:val="1"/>
          <w:iCs w:val="1"/>
          <w:color w:val="auto"/>
        </w:rPr>
        <w:t xml:space="preserve"> </w:t>
      </w:r>
      <w:r>
        <w:rPr>
          <w:rFonts w:ascii="Arial" w:cs="Arial" w:eastAsia="Arial" w:hAnsi="Arial"/>
          <w:sz w:val="16"/>
          <w:szCs w:val="16"/>
          <w:color w:val="auto"/>
        </w:rPr>
        <w:t>sites that were owned or operated by CenterPoint Energy or CERC or may have been owned by one of their former affiliates.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Total costs that may be incurred in connection with addressing these sites cannot be determined at this time. The estimated accrued costs are limited to CenterPoint Energy’s and CERC’s share of the remediation efforts and are therefore net of exposures of other PRPs. The estimated range of possible remediation costs for the sites for which CenterPoint Energy and CERC believe they may have responsibility was based on remediation continuing for the minimum time frame given in the table below.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 2023</w:t>
            </w:r>
          </w:p>
        </w:tc>
        <w:tc>
          <w:tcPr>
            <w:tcW w:w="1140" w:type="dxa"/>
            <w:vAlign w:val="bottom"/>
          </w:tcPr>
          <w:p>
            <w:pPr>
              <w:spacing w:after="0"/>
              <w:rPr>
                <w:sz w:val="16"/>
                <w:szCs w:val="16"/>
                <w:color w:val="auto"/>
              </w:rPr>
            </w:pPr>
          </w:p>
        </w:tc>
      </w:tr>
      <w:tr>
        <w:trPr>
          <w:trHeight w:val="24"/>
        </w:trPr>
        <w:tc>
          <w:tcPr>
            <w:tcW w:w="7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7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w w:val="97"/>
              </w:rPr>
              <w:t>CenterPoint Energy</w:t>
            </w:r>
          </w:p>
        </w:tc>
        <w:tc>
          <w:tcPr>
            <w:tcW w:w="6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CERC</w:t>
            </w:r>
          </w:p>
        </w:tc>
      </w:tr>
      <w:tr>
        <w:trPr>
          <w:trHeight w:val="192"/>
        </w:trPr>
        <w:tc>
          <w:tcPr>
            <w:tcW w:w="7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20" w:type="dxa"/>
            <w:vAlign w:val="bottom"/>
            <w:gridSpan w:val="3"/>
          </w:tcPr>
          <w:p>
            <w:pPr>
              <w:jc w:val="right"/>
              <w:ind w:right="954"/>
              <w:spacing w:after="0"/>
              <w:rPr>
                <w:sz w:val="20"/>
                <w:szCs w:val="20"/>
                <w:color w:val="auto"/>
              </w:rPr>
            </w:pPr>
            <w:r>
              <w:rPr>
                <w:rFonts w:ascii="Arial" w:cs="Arial" w:eastAsia="Arial" w:hAnsi="Arial"/>
                <w:sz w:val="14"/>
                <w:szCs w:val="14"/>
                <w:b w:val="1"/>
                <w:bCs w:val="1"/>
                <w:color w:val="auto"/>
              </w:rPr>
              <w:t>(in millions, except years)</w:t>
            </w:r>
          </w:p>
        </w:tc>
      </w:tr>
      <w:tr>
        <w:trPr>
          <w:trHeight w:val="234"/>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 accrued for remediation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17</w:t>
            </w:r>
          </w:p>
        </w:tc>
        <w:tc>
          <w:tcPr>
            <w:tcW w:w="66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5"/>
        </w:trPr>
        <w:tc>
          <w:tcPr>
            <w:tcW w:w="7620" w:type="dxa"/>
            <w:vAlign w:val="bottom"/>
          </w:tcPr>
          <w:p>
            <w:pPr>
              <w:ind w:left="20"/>
              <w:spacing w:after="0"/>
              <w:rPr>
                <w:sz w:val="20"/>
                <w:szCs w:val="20"/>
                <w:color w:val="auto"/>
              </w:rPr>
            </w:pPr>
            <w:r>
              <w:rPr>
                <w:rFonts w:ascii="Arial" w:cs="Arial" w:eastAsia="Arial" w:hAnsi="Arial"/>
                <w:sz w:val="18"/>
                <w:szCs w:val="18"/>
                <w:color w:val="auto"/>
              </w:rPr>
              <w:t>Minimum estimated remediation costs</w:t>
            </w:r>
          </w:p>
        </w:tc>
        <w:tc>
          <w:tcPr>
            <w:tcW w:w="200" w:type="dxa"/>
            <w:vAlign w:val="bottom"/>
          </w:tcPr>
          <w:p>
            <w:pPr>
              <w:spacing w:after="0"/>
              <w:rPr>
                <w:sz w:val="19"/>
                <w:szCs w:val="19"/>
                <w:color w:val="auto"/>
              </w:rPr>
            </w:pPr>
          </w:p>
        </w:tc>
        <w:tc>
          <w:tcPr>
            <w:tcW w:w="1620" w:type="dxa"/>
            <w:vAlign w:val="bottom"/>
          </w:tcPr>
          <w:p>
            <w:pPr>
              <w:jc w:val="right"/>
              <w:ind w:right="58"/>
              <w:spacing w:after="0"/>
              <w:rPr>
                <w:sz w:val="20"/>
                <w:szCs w:val="20"/>
                <w:color w:val="auto"/>
              </w:rPr>
            </w:pPr>
            <w:r>
              <w:rPr>
                <w:rFonts w:ascii="Arial" w:cs="Arial" w:eastAsia="Arial" w:hAnsi="Arial"/>
                <w:sz w:val="18"/>
                <w:szCs w:val="18"/>
                <w:color w:val="auto"/>
              </w:rPr>
              <w:t>12</w:t>
            </w: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7"/>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Maximum estimated remediation costs</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51</w:t>
            </w: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5"/>
        </w:trPr>
        <w:tc>
          <w:tcPr>
            <w:tcW w:w="7620" w:type="dxa"/>
            <w:vAlign w:val="bottom"/>
          </w:tcPr>
          <w:p>
            <w:pPr>
              <w:ind w:left="20"/>
              <w:spacing w:after="0"/>
              <w:rPr>
                <w:sz w:val="20"/>
                <w:szCs w:val="20"/>
                <w:color w:val="auto"/>
              </w:rPr>
            </w:pPr>
            <w:r>
              <w:rPr>
                <w:rFonts w:ascii="Arial" w:cs="Arial" w:eastAsia="Arial" w:hAnsi="Arial"/>
                <w:sz w:val="18"/>
                <w:szCs w:val="18"/>
                <w:color w:val="auto"/>
              </w:rPr>
              <w:t>Minimum years of remediation</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w:t>
            </w: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7"/>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Maximum years of remediation</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bl>
    <w:p>
      <w:pPr>
        <w:spacing w:after="0" w:line="307"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cost estimates are based on studies of a site or industry average costs for remediation of sites of similar size. The actual remediation costs will depend on the number of sites to be remediated, the participation of other PRPs, if any, and the remediation methods used.</w:t>
      </w:r>
    </w:p>
    <w:p>
      <w:pPr>
        <w:spacing w:after="0" w:line="206"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CenterPoint Energy and CERC do not expect the ultimate outcome of these matters to have a material adverse effect on the financial condition, results of operations or cash flows of either CenterPoint Energy or CERC.</w:t>
      </w:r>
    </w:p>
    <w:p>
      <w:pPr>
        <w:spacing w:after="0" w:line="246" w:lineRule="exact"/>
        <w:rPr>
          <w:sz w:val="20"/>
          <w:szCs w:val="20"/>
          <w:color w:val="auto"/>
        </w:rPr>
      </w:pPr>
    </w:p>
    <w:p>
      <w:pPr>
        <w:jc w:val="both"/>
        <w:ind w:firstLine="319"/>
        <w:spacing w:after="0" w:line="255" w:lineRule="auto"/>
        <w:rPr>
          <w:sz w:val="20"/>
          <w:szCs w:val="20"/>
          <w:color w:val="auto"/>
        </w:rPr>
      </w:pPr>
      <w:r>
        <w:rPr>
          <w:rFonts w:ascii="Arial" w:cs="Arial" w:eastAsia="Arial" w:hAnsi="Arial"/>
          <w:sz w:val="18"/>
          <w:szCs w:val="18"/>
          <w:i w:val="1"/>
          <w:iCs w:val="1"/>
          <w:color w:val="auto"/>
        </w:rPr>
        <w:t xml:space="preserve">Asbestos. </w:t>
      </w:r>
      <w:r>
        <w:rPr>
          <w:rFonts w:ascii="Arial" w:cs="Arial" w:eastAsia="Arial" w:hAnsi="Arial"/>
          <w:sz w:val="18"/>
          <w:szCs w:val="18"/>
          <w:color w:val="auto"/>
        </w:rPr>
        <w:t>Some facilities owned by the Registrants or their predecessors contain or have contained asbestos insulation and other asbestos-containing</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The Registrants are from time to time named, along with numerous others, as defendants in lawsuits filed by a number of individuals who claim injury due to exposure to asbestos, and the Registrants anticipate that additional claims may be asserted in the future. Although their ultimate outcome cannot be predicted at this time, the Registrants do not expect these matters, either individually or in the aggregate, to have a material adverse effect on their financial condition, results of operations or cash flows.</w:t>
      </w:r>
    </w:p>
    <w:p>
      <w:pPr>
        <w:spacing w:after="0" w:line="217"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7"/>
          <w:szCs w:val="17"/>
          <w:i w:val="1"/>
          <w:iCs w:val="1"/>
          <w:color w:val="auto"/>
        </w:rPr>
        <w:t xml:space="preserve">CCR Rule (CenterPoint Energy). </w:t>
      </w:r>
      <w:r>
        <w:rPr>
          <w:rFonts w:ascii="Arial" w:cs="Arial" w:eastAsia="Arial" w:hAnsi="Arial"/>
          <w:sz w:val="17"/>
          <w:szCs w:val="17"/>
          <w:color w:val="auto"/>
        </w:rPr>
        <w:t>In April 2015, the EPA finalized its CCR Rule, which regulates ash as non-hazardous material under the RCRA. The</w:t>
      </w:r>
      <w:r>
        <w:rPr>
          <w:rFonts w:ascii="Arial" w:cs="Arial" w:eastAsia="Arial" w:hAnsi="Arial"/>
          <w:sz w:val="17"/>
          <w:szCs w:val="17"/>
          <w:i w:val="1"/>
          <w:iCs w:val="1"/>
          <w:color w:val="auto"/>
        </w:rPr>
        <w:t xml:space="preserve"> </w:t>
      </w:r>
      <w:r>
        <w:rPr>
          <w:rFonts w:ascii="Arial" w:cs="Arial" w:eastAsia="Arial" w:hAnsi="Arial"/>
          <w:sz w:val="17"/>
          <w:szCs w:val="17"/>
          <w:color w:val="auto"/>
        </w:rPr>
        <w:t>final rule allows beneficial reuse of ash, and the majority of the ash generated by Indiana Electric’s generating plants will continue to be reused. In July 2018, the EPA released its final CCR Rule Phase I Reconsideration which extended the deadline to October 31, 2020 for ceasing placement of ash in ponds that exceed groundwater protections standards or that fail to meet location restrictions. In August 2019, the EPA proposed additional “Part A” amendments to its CCR Rule with respect to beneficial reuse of ash and other materials. Further “Part B” amendments, which related to alternate liners for CCR surface impoundments and the surface impoundment closure process, were published in March 2020. The Part A amendments were finalized in August 2020 and extended the deadline to cease placement of ash in ponds to April 11, 2021, discussed further below. The Part A amendments do not restrict Indiana Electric’s current beneficial reuse of its fly ash. CenterPoint Energy evaluated the Part B amendments to determine potential impacts and determined that the Part B amendments did not have an impact on its current plans.</w:t>
      </w:r>
    </w:p>
    <w:p>
      <w:pPr>
        <w:spacing w:after="0" w:line="211" w:lineRule="exact"/>
        <w:rPr>
          <w:sz w:val="20"/>
          <w:szCs w:val="20"/>
          <w:color w:val="auto"/>
        </w:rPr>
      </w:pPr>
    </w:p>
    <w:p>
      <w:pPr>
        <w:jc w:val="both"/>
        <w:ind w:firstLine="319"/>
        <w:spacing w:after="0" w:line="281" w:lineRule="auto"/>
        <w:rPr>
          <w:sz w:val="20"/>
          <w:szCs w:val="20"/>
          <w:color w:val="auto"/>
        </w:rPr>
      </w:pPr>
      <w:r>
        <w:rPr>
          <w:rFonts w:ascii="Arial" w:cs="Arial" w:eastAsia="Arial" w:hAnsi="Arial"/>
          <w:sz w:val="16"/>
          <w:szCs w:val="16"/>
          <w:color w:val="auto"/>
        </w:rPr>
        <w:t>Indiana Electric has three ash ponds, two at the F.B. Culley facility (Culley East and Culley West) and one at the A.B. Brown facility. Under the existing CCR Rule, Indiana Electric is required to perform integrity assessments, including ground water monitoring, at its F.B. Culley and A.B. Brown generating stations. The ground water studies are necessary to determine the remaining service life of the ponds and whether a pond must be retrofitted with liners or closed in place. Indiana Electric’s Warrick generating unit is not included in the scope of the CCR Rule as this unit has historically been part of a larger generating station that predominantly serves an adjacent industrial facility. Preliminary groundwater monitoring indicates potential groundwater impacts very close to Indiana Electric’s ash impoundments, and further analysis is ongoing. The CCR Rule required companies to complete location restriction determinations by October 18, 2018. Indiana Electric completed its evaluation and determined that one F.B. Culley pond (Culley East) and the A.B. Brown pond fail the aquifer placement location restriction. As a result of this failure, Indiana Electric was required to cease disposal of new ash in the ponds and commence closure of the ponds by April 11, 2021, unless approved for an extension. CenterPoint Energy filed timely extension requests available under the CCR Rule that would allow Indiana Electric to continue to use the ponds through October 15, 2023. The EPA is still reviewing industry extension requests, including CenterPoint Energy’s extension request for the Culley East pond; however, the Culley East pond was taken out of service on May 1, 2023, and the A.B. Brown pond on October 7, 2023, so there is no longer a need for an extension at either the Culley East or A.B. Brown ash ponds. Indiana Electric received an order from the IURC approving recovery in rates of costs associated with the closure of the Culley West pond, which has already completed closure activities. On August 14, 2019, Indiana Electric filed its petition with the IURC for recovery of costs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associated with the closure of the A.B. Brown ash pond, which would include costs associated with the excavation and recycling of ponded ash. This petition was subsequently approved by the IURC on May 13, 2020. On October 28, 2020, the IURC approved Indiana Electric’s ECA proceeding, which included the initiation of recovery of the federally mandated project costs.</w:t>
      </w:r>
    </w:p>
    <w:p>
      <w:pPr>
        <w:spacing w:after="0" w:line="215" w:lineRule="exact"/>
        <w:rPr>
          <w:sz w:val="20"/>
          <w:szCs w:val="20"/>
          <w:color w:val="auto"/>
        </w:rPr>
      </w:pPr>
    </w:p>
    <w:p>
      <w:pPr>
        <w:jc w:val="both"/>
        <w:ind w:firstLine="365"/>
        <w:spacing w:after="0" w:line="268" w:lineRule="auto"/>
        <w:rPr>
          <w:sz w:val="20"/>
          <w:szCs w:val="20"/>
          <w:color w:val="auto"/>
        </w:rPr>
      </w:pPr>
      <w:r>
        <w:rPr>
          <w:rFonts w:ascii="Arial" w:cs="Arial" w:eastAsia="Arial" w:hAnsi="Arial"/>
          <w:sz w:val="17"/>
          <w:szCs w:val="17"/>
          <w:color w:val="auto"/>
        </w:rPr>
        <w:t>In July 2018, Indiana Electric filed a Complaint for Damages and Declaratory Relief against its insurers seeking reimbursement of defense, investigation and pond closure costs incurred to comply with the CCR Rule, and has since reached confidential settlement agreements with its insurers. The proceeds of these settlements will offset costs that have been and will be incurred to close the ponds. On November 1, 2022, Indiana Electric filed for a CPCN to recover federally mandated costs associated with closure of the Culley East Pond, its third and final ash pond. Indiana Electric is also seeking accounting and ratemaking relief for the project, and on June 8, 2023, Indiana Electric filed a revised CPCN for recovery of the federally mandated ash pond costs. The project costs are estimated to be approximately $52 million, inclusive of overheads.</w:t>
      </w:r>
    </w:p>
    <w:p>
      <w:pPr>
        <w:spacing w:after="0" w:line="206"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On May 18, 2023, the EPA proposed amendments to the CCR rule that would, if finalized, apply closure requirements for inactive surface impoundments located at inactive facilities (legacy CCR surface impoundments) and CCR management units located at regulated CCR facilities. CenterPoint Energy is currently reviewing this proposal.</w:t>
      </w:r>
    </w:p>
    <w:p>
      <w:pPr>
        <w:spacing w:after="0" w:line="215"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As of September 30, 2023, CenterPoint Energy has recorded an approximate $116 million ARO, which represents the discounted value of future cash flow estimates to close the ponds at A.B. Brown and F.B. Culley. This estimate is subject to change due to the contractual arrangements; continued assessments of the ash, closure methods, and the timing of closure; implications of Indiana Electric’s generation transition plan; changing environmental regulations; and proceeds received from the settlements in the aforementioned insurance proceeding. In addition to these AROs, Indiana Electric also anticipates equipment purchases of between $60 million and $80 million to complete the A.B. Brown closure project.</w:t>
      </w:r>
    </w:p>
    <w:p>
      <w:pPr>
        <w:spacing w:after="0" w:line="208"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i w:val="1"/>
          <w:iCs w:val="1"/>
          <w:color w:val="auto"/>
        </w:rPr>
        <w:t>Clean Water Act Permitting of Groundwater Discharges</w:t>
      </w:r>
      <w:r>
        <w:rPr>
          <w:rFonts w:ascii="Arial" w:cs="Arial" w:eastAsia="Arial" w:hAnsi="Arial"/>
          <w:sz w:val="17"/>
          <w:szCs w:val="17"/>
          <w:color w:val="auto"/>
        </w:rPr>
        <w:t>. In April 2020, the U.S. Supreme Court issued an opinion providing that indirect discharges via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groundwater or other non-point sources are subject to permitting and liability under the Clean Water Act when they are the functional equivalent of a direct discharge. However, on May 25, 2023, in </w:t>
      </w:r>
      <w:r>
        <w:rPr>
          <w:rFonts w:ascii="Arial" w:cs="Arial" w:eastAsia="Arial" w:hAnsi="Arial"/>
          <w:sz w:val="17"/>
          <w:szCs w:val="17"/>
          <w:i w:val="1"/>
          <w:iCs w:val="1"/>
          <w:color w:val="auto"/>
        </w:rPr>
        <w:t>Sackett v. Environmental Protection Agency</w:t>
      </w:r>
      <w:r>
        <w:rPr>
          <w:rFonts w:ascii="Arial" w:cs="Arial" w:eastAsia="Arial" w:hAnsi="Arial"/>
          <w:sz w:val="17"/>
          <w:szCs w:val="17"/>
          <w:color w:val="auto"/>
        </w:rPr>
        <w:t>, the U.S. Supreme Court issued an opinion redefining the term “waters of the United States,” which may limit the scope of the April 2020 opinion. The Registrants are evaluating the extent to which these decisions will affect Clean Water Act permitting requirements and/or liability for their operations.</w:t>
      </w:r>
    </w:p>
    <w:p>
      <w:pPr>
        <w:spacing w:after="0" w:line="208" w:lineRule="exact"/>
        <w:rPr>
          <w:sz w:val="20"/>
          <w:szCs w:val="20"/>
          <w:color w:val="auto"/>
        </w:rPr>
      </w:pPr>
    </w:p>
    <w:p>
      <w:pPr>
        <w:jc w:val="both"/>
        <w:ind w:firstLine="319"/>
        <w:spacing w:after="0" w:line="286" w:lineRule="auto"/>
        <w:rPr>
          <w:sz w:val="20"/>
          <w:szCs w:val="20"/>
          <w:color w:val="auto"/>
        </w:rPr>
      </w:pPr>
      <w:r>
        <w:rPr>
          <w:rFonts w:ascii="Arial" w:cs="Arial" w:eastAsia="Arial" w:hAnsi="Arial"/>
          <w:sz w:val="16"/>
          <w:szCs w:val="16"/>
          <w:i w:val="1"/>
          <w:iCs w:val="1"/>
          <w:color w:val="auto"/>
        </w:rPr>
        <w:t xml:space="preserve">Other Environmental. </w:t>
      </w:r>
      <w:r>
        <w:rPr>
          <w:rFonts w:ascii="Arial" w:cs="Arial" w:eastAsia="Arial" w:hAnsi="Arial"/>
          <w:sz w:val="16"/>
          <w:szCs w:val="16"/>
          <w:color w:val="auto"/>
        </w:rPr>
        <w:t>From time to time, the Registrants identify the presence of environmental contaminants during operations or on property where</w:t>
      </w:r>
      <w:r>
        <w:rPr>
          <w:rFonts w:ascii="Arial" w:cs="Arial" w:eastAsia="Arial" w:hAnsi="Arial"/>
          <w:sz w:val="16"/>
          <w:szCs w:val="16"/>
          <w:i w:val="1"/>
          <w:iCs w:val="1"/>
          <w:color w:val="auto"/>
        </w:rPr>
        <w:t xml:space="preserve"> </w:t>
      </w:r>
      <w:r>
        <w:rPr>
          <w:rFonts w:ascii="Arial" w:cs="Arial" w:eastAsia="Arial" w:hAnsi="Arial"/>
          <w:sz w:val="16"/>
          <w:szCs w:val="16"/>
          <w:color w:val="auto"/>
        </w:rPr>
        <w:t>their predecessors have conducted operations. Other such sites involving contaminants may be identified in the future. The Registrants have and expect to continue to remediate any identified sites consistent with state and federal legal obligations. From time to time, the Registrants have received notices, and may receive notices in the future, from regulatory authorities or others regarding status as a PRP in connection with sites found to require remediation due to the presence of environmental contaminants. In addition, the Registrants have been, or may be, named from time to time as defendants in litigation related to such sites. Although the ultimate outcome of such matters cannot be predicted at this time, the Registrants do not expect these matters, either individually or in the aggregate, to have a material adverse effect on their financial condition, results of operations or cash flows.</w:t>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Proceedings</w:t>
      </w:r>
    </w:p>
    <w:p>
      <w:pPr>
        <w:spacing w:after="0" w:line="245"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The Registrants are involved in other legal, environmental, tax and regulatory proceedings before various courts, regulatory commissions and governmental agencies regarding matters arising in the ordinary course of business. From time to time, the Registrants are also defendants in legal proceedings with respect to claims brought by various plaintiffs against broad groups of participants in the energy industry. Some of these proceedings involve substantial amounts. The Registrants regularly analyze current information and, as necessary, provide accruals for probable and reasonably estimable liabilities on the eventual disposition of these matters. The Registrants do not expect the disposition of these matters to have a material adverse effect on the Registrants’ financial condition, results of operations or cash flows.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Earnings Per Share (CenterPoint Energy)</w:t>
      </w:r>
    </w:p>
    <w:p>
      <w:pPr>
        <w:spacing w:after="0" w:line="251"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6"/>
          <w:szCs w:val="16"/>
          <w:color w:val="auto"/>
        </w:rPr>
        <w:t>Basic earnings per common share is computed by dividing income available to common shareholders by the basic weighted average number of common shares outstanding during the period. Diluted earnings per common share is computed by dividing income available to common shareholders by the weighted average number of common shares outstanding, including all potentially dilutive common shares, if the effect of such common shares is dilutive.</w:t>
      </w:r>
    </w:p>
    <w:p>
      <w:pPr>
        <w:spacing w:after="0" w:line="167" w:lineRule="exact"/>
        <w:rPr>
          <w:sz w:val="20"/>
          <w:szCs w:val="20"/>
          <w:color w:val="auto"/>
        </w:rPr>
      </w:pPr>
    </w:p>
    <w:p>
      <w:pPr>
        <w:jc w:val="both"/>
        <w:ind w:firstLine="319"/>
        <w:spacing w:after="0" w:line="237" w:lineRule="auto"/>
        <w:rPr>
          <w:sz w:val="20"/>
          <w:szCs w:val="20"/>
          <w:color w:val="auto"/>
        </w:rPr>
      </w:pPr>
      <w:r>
        <w:rPr>
          <w:rFonts w:ascii="Arial" w:cs="Arial" w:eastAsia="Arial" w:hAnsi="Arial"/>
          <w:sz w:val="18"/>
          <w:szCs w:val="18"/>
          <w:color w:val="auto"/>
        </w:rPr>
        <w:t>Diluted earnings per common share reflects the dilutive effect of potential common shares from share-based awards. The dilutive effect of restricted stock is computed using the treasury stock method, as applicable, which includes the incremental</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shares that would be hypothetically vested in excess of the number of shares assumed to be hypothetically repurchased with the assumed proceeds.</w:t>
      </w:r>
    </w:p>
    <w:p>
      <w:pPr>
        <w:spacing w:after="0" w:line="230" w:lineRule="exact"/>
        <w:rPr>
          <w:sz w:val="20"/>
          <w:szCs w:val="20"/>
          <w:color w:val="auto"/>
        </w:rPr>
      </w:pPr>
    </w:p>
    <w:p>
      <w:pPr>
        <w:jc w:val="both"/>
        <w:ind w:firstLine="319"/>
        <w:spacing w:after="0" w:line="239" w:lineRule="auto"/>
        <w:rPr>
          <w:sz w:val="20"/>
          <w:szCs w:val="20"/>
          <w:color w:val="auto"/>
        </w:rPr>
      </w:pPr>
      <w:r>
        <w:rPr>
          <w:rFonts w:ascii="Arial" w:cs="Arial" w:eastAsia="Arial" w:hAnsi="Arial"/>
          <w:sz w:val="17"/>
          <w:szCs w:val="17"/>
          <w:color w:val="auto"/>
        </w:rPr>
        <w:t>Diluted earnings per common share will also reflect the dilutive effect of potential common shares from the conversion of the Convertible Notes. Convertible debt in which the principal amount must be settled in cash is excluded from the calculation of diluted earnings per share. There would be no interest expense adjustment to the numerator for the cash-settled portion of the Convertible Notes because that portion will always be settled in cash. The conversion spread value in shares will be included in diluted earnings per share using the if-converted method if the convertible debt is in the money. The denominator of diluted earnings per share is determined by dividing the conversion spread value of the share-settled portion of the Convertible Notes as of the reporting date by the average share price over the reporting period. For the three and nine months ended September 30, 2023, the convertible debt was not in the money; therefore, no incremental shares were assumed converted or included in the diluted earnings per share calculation below. For further details about the Convertible Notes, see Note 11</w:t>
      </w:r>
      <w:r>
        <w:rPr>
          <w:rFonts w:ascii="Arial" w:cs="Arial" w:eastAsia="Arial" w:hAnsi="Arial"/>
          <w:sz w:val="18"/>
          <w:szCs w:val="18"/>
          <w:color w:val="auto"/>
        </w:rPr>
        <w:t>.</w:t>
      </w:r>
    </w:p>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reconciles numerators and denominators of CenterPoint Energy’s basic and diluted earnings per common share.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20" w:type="dxa"/>
            <w:vAlign w:val="bottom"/>
            <w:gridSpan w:val="4"/>
          </w:tcPr>
          <w:p>
            <w:pPr>
              <w:jc w:val="right"/>
              <w:ind w:right="361"/>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4"/>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4"/>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180" w:type="dxa"/>
            <w:vAlign w:val="bottom"/>
            <w:gridSpan w:val="7"/>
          </w:tcPr>
          <w:p>
            <w:pPr>
              <w:ind w:left="120"/>
              <w:spacing w:after="0"/>
              <w:rPr>
                <w:sz w:val="20"/>
                <w:szCs w:val="20"/>
                <w:color w:val="auto"/>
              </w:rPr>
            </w:pPr>
            <w:r>
              <w:rPr>
                <w:rFonts w:ascii="Arial" w:cs="Arial" w:eastAsia="Arial" w:hAnsi="Arial"/>
                <w:sz w:val="14"/>
                <w:szCs w:val="14"/>
                <w:b w:val="1"/>
                <w:bCs w:val="1"/>
                <w:color w:val="auto"/>
                <w:w w:val="92"/>
              </w:rPr>
              <w:t>(in millions, except per share and share amounts)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Numerator:</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continuing operations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Preferred stock dividend requirement (Note 18)</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available to common shareholders - basic and diluted</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Denominator:</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2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 basic</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631,185,000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629,509,000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630,854,000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629,374,000</w:t>
            </w:r>
          </w:p>
        </w:tc>
        <w:tc>
          <w:tcPr>
            <w:tcW w:w="0" w:type="dxa"/>
            <w:vAlign w:val="bottom"/>
          </w:tcPr>
          <w:p>
            <w:pPr>
              <w:spacing w:after="0"/>
              <w:rPr>
                <w:sz w:val="1"/>
                <w:szCs w:val="1"/>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6"/>
                <w:szCs w:val="16"/>
                <w:color w:val="auto"/>
              </w:rPr>
              <w:t>Plus: Incremental shares from assumed conversions: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Restricted stock</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1,858,000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3,559,000</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2,183,000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3,559,000</w:t>
            </w:r>
          </w:p>
        </w:tc>
        <w:tc>
          <w:tcPr>
            <w:tcW w:w="0" w:type="dxa"/>
            <w:vAlign w:val="bottom"/>
          </w:tcPr>
          <w:p>
            <w:pPr>
              <w:spacing w:after="0"/>
              <w:rPr>
                <w:sz w:val="1"/>
                <w:szCs w:val="1"/>
                <w:color w:val="auto"/>
              </w:rPr>
            </w:pPr>
          </w:p>
        </w:tc>
      </w:tr>
      <w:tr>
        <w:trPr>
          <w:trHeight w:val="209"/>
        </w:trPr>
        <w:tc>
          <w:tcPr>
            <w:tcW w:w="520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 diluted</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633,043,000</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633,068,000</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633,037,000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632,933,000</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Earnings Per Common Share:</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 Earnings Per Common Share</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0.41</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0.30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200" w:type="dxa"/>
            <w:vAlign w:val="bottom"/>
          </w:tcPr>
          <w:p>
            <w:pPr>
              <w:ind w:left="140"/>
              <w:spacing w:after="0"/>
              <w:rPr>
                <w:sz w:val="20"/>
                <w:szCs w:val="20"/>
                <w:color w:val="auto"/>
              </w:rPr>
            </w:pPr>
            <w:r>
              <w:rPr>
                <w:rFonts w:ascii="Arial" w:cs="Arial" w:eastAsia="Arial" w:hAnsi="Arial"/>
                <w:sz w:val="16"/>
                <w:szCs w:val="16"/>
                <w:color w:val="auto"/>
              </w:rPr>
              <w:t>Diluted Earnings Per Common Share</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0.40</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0.30</w:t>
            </w:r>
          </w:p>
        </w:tc>
        <w:tc>
          <w:tcPr>
            <w:tcW w:w="80" w:type="dxa"/>
            <w:vAlign w:val="bottom"/>
          </w:tcPr>
          <w:p>
            <w:pPr>
              <w:spacing w:after="0"/>
              <w:rPr>
                <w:sz w:val="16"/>
                <w:szCs w:val="16"/>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6"/>
                <w:szCs w:val="16"/>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Reportable Segments</w:t>
      </w:r>
    </w:p>
    <w:p>
      <w:pPr>
        <w:spacing w:after="0" w:line="25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Registrants’ determination of reportable segments considers the strategic operating units under which its CODM manages sales, allocates resources and assesses performance of various products and services to wholesale or retail customers in differing regulatory environments. Each Registrant’s CODM views net income as the measure of profit or loss for the reportable segments.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September 30, 2023, reportable segments by Registrant were as follows:</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CenterPoint Energy</w:t>
      </w:r>
    </w:p>
    <w:p>
      <w:pPr>
        <w:spacing w:after="0" w:line="251" w:lineRule="exact"/>
        <w:rPr>
          <w:sz w:val="20"/>
          <w:szCs w:val="20"/>
          <w:color w:val="auto"/>
        </w:rPr>
      </w:pPr>
    </w:p>
    <w:p>
      <w:pPr>
        <w:jc w:val="both"/>
        <w:ind w:left="640" w:hanging="315"/>
        <w:spacing w:after="0" w:line="256"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CenterPoint Energy’s Electric reportable segment consisted of electric transmission and distribution services in the Texas gulf coast area in the ERCOT region and electric transmission and distribution services primarily to southwestern Indiana and includes power generation and wholesale power operations in the MISO region.</w:t>
      </w:r>
    </w:p>
    <w:p>
      <w:pPr>
        <w:spacing w:after="0" w:line="215" w:lineRule="exact"/>
        <w:rPr>
          <w:rFonts w:ascii="Arial" w:cs="Arial" w:eastAsia="Arial" w:hAnsi="Arial"/>
          <w:sz w:val="18"/>
          <w:szCs w:val="18"/>
          <w:color w:val="auto"/>
        </w:rPr>
      </w:pPr>
    </w:p>
    <w:p>
      <w:pPr>
        <w:jc w:val="both"/>
        <w:ind w:left="640" w:hanging="315"/>
        <w:spacing w:after="0" w:line="278" w:lineRule="auto"/>
        <w:tabs>
          <w:tab w:leader="none" w:pos="635" w:val="left"/>
        </w:tabs>
        <w:numPr>
          <w:ilvl w:val="0"/>
          <w:numId w:val="35"/>
        </w:numPr>
        <w:rPr>
          <w:rFonts w:ascii="Arial" w:cs="Arial" w:eastAsia="Arial" w:hAnsi="Arial"/>
          <w:sz w:val="17"/>
          <w:szCs w:val="17"/>
          <w:color w:val="auto"/>
        </w:rPr>
      </w:pPr>
      <w:r>
        <w:rPr>
          <w:rFonts w:ascii="Arial" w:cs="Arial" w:eastAsia="Arial" w:hAnsi="Arial"/>
          <w:sz w:val="17"/>
          <w:szCs w:val="17"/>
          <w:color w:val="auto"/>
        </w:rPr>
        <w:t>CenterPoint Energy’s Natural Gas reportable segment consists of (i) intrastate natural gas sales to, and natural gas transportation and distribution for residential, commercial, industrial and institutional customers in Indiana, Louisiana, Minnesota, Mississippi, Ohio and Texas; and (ii) permanent pipeline connections through interconnects with various interstate and intrastate pipeline companies through CEIP.</w:t>
      </w:r>
    </w:p>
    <w:p>
      <w:pPr>
        <w:spacing w:after="0" w:line="198" w:lineRule="exact"/>
        <w:rPr>
          <w:rFonts w:ascii="Arial" w:cs="Arial" w:eastAsia="Arial" w:hAnsi="Arial"/>
          <w:sz w:val="17"/>
          <w:szCs w:val="17"/>
          <w:color w:val="auto"/>
        </w:rPr>
      </w:pPr>
    </w:p>
    <w:p>
      <w:pPr>
        <w:jc w:val="both"/>
        <w:ind w:left="640" w:hanging="315"/>
        <w:spacing w:after="0" w:line="256"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CenterPoint Energy’s Corporate and Other category consists of energy performance contracting and sustainable infrastructure services through Energy Systems Group through June 30, 2023, the date of the sale of Energy Systems Group, and corporate operations which support all of the business operations of CenterPoint Energy.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Houston Electric</w:t>
      </w:r>
    </w:p>
    <w:p>
      <w:pPr>
        <w:spacing w:after="0" w:line="251" w:lineRule="exact"/>
        <w:rPr>
          <w:sz w:val="20"/>
          <w:szCs w:val="20"/>
          <w:color w:val="auto"/>
        </w:rPr>
      </w:pPr>
    </w:p>
    <w:p>
      <w:pPr>
        <w:ind w:left="640" w:hanging="315"/>
        <w:spacing w:after="0" w:line="266" w:lineRule="auto"/>
        <w:tabs>
          <w:tab w:leader="none" w:pos="635"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Houston Electric’s single reportable segment consisted of electric transmission services to transmission service customers in the ERCOT region and distribution services to REPs serving the Texas gulf coast area.</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CERC</w:t>
      </w:r>
    </w:p>
    <w:p>
      <w:pPr>
        <w:spacing w:after="0" w:line="251" w:lineRule="exact"/>
        <w:rPr>
          <w:sz w:val="20"/>
          <w:szCs w:val="20"/>
          <w:color w:val="auto"/>
        </w:rPr>
      </w:pPr>
    </w:p>
    <w:p>
      <w:pPr>
        <w:jc w:val="both"/>
        <w:ind w:left="640" w:hanging="315"/>
        <w:spacing w:after="0" w:line="278" w:lineRule="auto"/>
        <w:tabs>
          <w:tab w:leader="none" w:pos="635" w:val="left"/>
        </w:tabs>
        <w:numPr>
          <w:ilvl w:val="0"/>
          <w:numId w:val="37"/>
        </w:numPr>
        <w:rPr>
          <w:rFonts w:ascii="Arial" w:cs="Arial" w:eastAsia="Arial" w:hAnsi="Arial"/>
          <w:sz w:val="17"/>
          <w:szCs w:val="17"/>
          <w:b w:val="1"/>
          <w:bCs w:val="1"/>
          <w:color w:val="auto"/>
        </w:rPr>
      </w:pPr>
      <w:r>
        <w:rPr>
          <w:rFonts w:ascii="Arial" w:cs="Arial" w:eastAsia="Arial" w:hAnsi="Arial"/>
          <w:sz w:val="17"/>
          <w:szCs w:val="17"/>
          <w:color w:val="auto"/>
        </w:rPr>
        <w:t>CERC’s single reportable segment following the Restructuring consisted of (i) intrastate natural gas sales to, and natural gas transportation and distribution for, residential, commercial, industrial and institutional customers in Indiana, Louisiana, Minnesota, Mississippi, Ohio and Texas; and (ii) permanent pipeline connections through interconnects with various interstate and intrastate pipeline companies through CEIP.</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Financial data for reportable segments is as follows: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60" w:type="dxa"/>
            <w:vAlign w:val="bottom"/>
            <w:gridSpan w:val="4"/>
          </w:tcPr>
          <w:p>
            <w:pPr>
              <w:jc w:val="center"/>
              <w:ind w:right="39"/>
              <w:spacing w:after="0"/>
              <w:rPr>
                <w:sz w:val="20"/>
                <w:szCs w:val="20"/>
                <w:color w:val="auto"/>
              </w:rPr>
            </w:pPr>
            <w:r>
              <w:rPr>
                <w:rFonts w:ascii="Arial" w:cs="Arial" w:eastAsia="Arial" w:hAnsi="Arial"/>
                <w:sz w:val="14"/>
                <w:szCs w:val="14"/>
                <w:b w:val="1"/>
                <w:bCs w:val="1"/>
                <w:color w:val="auto"/>
                <w:w w:val="91"/>
              </w:rPr>
              <w:t>Three Months Ended September 30,</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2023</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2022</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center"/>
              <w:ind w:right="99"/>
              <w:spacing w:after="0" w:line="133" w:lineRule="exact"/>
              <w:rPr>
                <w:sz w:val="20"/>
                <w:szCs w:val="20"/>
                <w:color w:val="auto"/>
              </w:rPr>
            </w:pPr>
            <w:r>
              <w:rPr>
                <w:rFonts w:ascii="Arial" w:cs="Arial" w:eastAsia="Arial" w:hAnsi="Arial"/>
                <w:sz w:val="14"/>
                <w:szCs w:val="14"/>
                <w:b w:val="1"/>
                <w:bCs w:val="1"/>
                <w:color w:val="auto"/>
                <w:w w:val="88"/>
              </w:rPr>
              <w:t>Revenues from</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99"/>
              <w:spacing w:after="0" w:line="133" w:lineRule="exact"/>
              <w:rPr>
                <w:sz w:val="20"/>
                <w:szCs w:val="20"/>
                <w:color w:val="auto"/>
              </w:rPr>
            </w:pPr>
            <w:r>
              <w:rPr>
                <w:rFonts w:ascii="Arial" w:cs="Arial" w:eastAsia="Arial" w:hAnsi="Arial"/>
                <w:sz w:val="14"/>
                <w:szCs w:val="14"/>
                <w:b w:val="1"/>
                <w:bCs w:val="1"/>
                <w:color w:val="auto"/>
                <w:w w:val="90"/>
              </w:rPr>
              <w:t>Revenues from</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center"/>
              <w:ind w:right="99"/>
              <w:spacing w:after="0" w:line="137" w:lineRule="exact"/>
              <w:rPr>
                <w:sz w:val="20"/>
                <w:szCs w:val="20"/>
                <w:color w:val="auto"/>
              </w:rPr>
            </w:pPr>
            <w:r>
              <w:rPr>
                <w:rFonts w:ascii="Arial" w:cs="Arial" w:eastAsia="Arial" w:hAnsi="Arial"/>
                <w:sz w:val="14"/>
                <w:szCs w:val="14"/>
                <w:b w:val="1"/>
                <w:bCs w:val="1"/>
                <w:color w:val="auto"/>
                <w:w w:val="97"/>
              </w:rPr>
              <w:t>External</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Net Income (Loss)</w:t>
            </w:r>
          </w:p>
        </w:tc>
        <w:tc>
          <w:tcPr>
            <w:tcW w:w="180" w:type="dxa"/>
            <w:vAlign w:val="bottom"/>
          </w:tcPr>
          <w:p>
            <w:pPr>
              <w:spacing w:after="0"/>
              <w:rPr>
                <w:sz w:val="11"/>
                <w:szCs w:val="11"/>
                <w:color w:val="auto"/>
              </w:rPr>
            </w:pPr>
          </w:p>
        </w:tc>
        <w:tc>
          <w:tcPr>
            <w:tcW w:w="1260" w:type="dxa"/>
            <w:vAlign w:val="bottom"/>
          </w:tcPr>
          <w:p>
            <w:pPr>
              <w:jc w:val="center"/>
              <w:ind w:right="99"/>
              <w:spacing w:after="0" w:line="137" w:lineRule="exact"/>
              <w:rPr>
                <w:sz w:val="20"/>
                <w:szCs w:val="20"/>
                <w:color w:val="auto"/>
              </w:rPr>
            </w:pPr>
            <w:r>
              <w:rPr>
                <w:rFonts w:ascii="Arial" w:cs="Arial" w:eastAsia="Arial" w:hAnsi="Arial"/>
                <w:sz w:val="14"/>
                <w:szCs w:val="14"/>
                <w:b w:val="1"/>
                <w:bCs w:val="1"/>
                <w:color w:val="auto"/>
                <w:w w:val="94"/>
              </w:rPr>
              <w:t>External</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2"/>
              </w:rPr>
              <w:t>Net Income (Loss)</w:t>
            </w:r>
          </w:p>
        </w:tc>
        <w:tc>
          <w:tcPr>
            <w:tcW w:w="0" w:type="dxa"/>
            <w:vAlign w:val="bottom"/>
          </w:tcPr>
          <w:p>
            <w:pPr>
              <w:spacing w:after="0"/>
              <w:rPr>
                <w:sz w:val="1"/>
                <w:szCs w:val="1"/>
                <w:color w:val="auto"/>
              </w:rPr>
            </w:pPr>
          </w:p>
        </w:tc>
      </w:tr>
      <w:tr>
        <w:trPr>
          <w:trHeight w:val="184"/>
        </w:trPr>
        <w:tc>
          <w:tcPr>
            <w:tcW w:w="4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ind w:right="99"/>
              <w:spacing w:after="0"/>
              <w:rPr>
                <w:sz w:val="20"/>
                <w:szCs w:val="20"/>
                <w:color w:val="auto"/>
              </w:rPr>
            </w:pPr>
            <w:r>
              <w:rPr>
                <w:rFonts w:ascii="Arial" w:cs="Arial" w:eastAsia="Arial" w:hAnsi="Arial"/>
                <w:sz w:val="14"/>
                <w:szCs w:val="14"/>
                <w:b w:val="1"/>
                <w:bCs w:val="1"/>
                <w:color w:val="auto"/>
                <w:w w:val="90"/>
              </w:rPr>
              <w:t>Customers</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99"/>
              <w:spacing w:after="0"/>
              <w:rPr>
                <w:sz w:val="20"/>
                <w:szCs w:val="20"/>
                <w:color w:val="auto"/>
              </w:rPr>
            </w:pPr>
            <w:r>
              <w:rPr>
                <w:rFonts w:ascii="Arial" w:cs="Arial" w:eastAsia="Arial" w:hAnsi="Arial"/>
                <w:sz w:val="14"/>
                <w:szCs w:val="14"/>
                <w:b w:val="1"/>
                <w:bCs w:val="1"/>
                <w:color w:val="auto"/>
                <w:w w:val="87"/>
              </w:rPr>
              <w:t>Customers</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60" w:type="dxa"/>
            <w:vAlign w:val="bottom"/>
            <w:gridSpan w:val="4"/>
          </w:tcPr>
          <w:p>
            <w:pPr>
              <w:jc w:val="center"/>
              <w:ind w:right="39"/>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5"/>
        </w:trPr>
        <w:tc>
          <w:tcPr>
            <w:tcW w:w="478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692</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7"/>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3"/>
        </w:trPr>
        <w:tc>
          <w:tcPr>
            <w:tcW w:w="4780" w:type="dxa"/>
            <w:vAlign w:val="bottom"/>
          </w:tcPr>
          <w:p>
            <w:pPr>
              <w:ind w:left="140"/>
              <w:spacing w:after="0" w:line="193" w:lineRule="exact"/>
              <w:rPr>
                <w:sz w:val="20"/>
                <w:szCs w:val="20"/>
                <w:color w:val="auto"/>
              </w:rPr>
            </w:pPr>
            <w:r>
              <w:rPr>
                <w:rFonts w:ascii="Arial" w:cs="Arial" w:eastAsia="Arial" w:hAnsi="Arial"/>
                <w:sz w:val="18"/>
                <w:szCs w:val="18"/>
                <w:color w:val="auto"/>
              </w:rPr>
              <w:t>Consolidated</w:t>
            </w:r>
          </w:p>
        </w:tc>
        <w:tc>
          <w:tcPr>
            <w:tcW w:w="18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1,860</w:t>
            </w: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282</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1,903</w:t>
            </w: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gridSpan w:val="4"/>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4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gridSpan w:val="4"/>
          </w:tcPr>
          <w:p>
            <w:pPr>
              <w:jc w:val="center"/>
              <w:ind w:right="39"/>
              <w:spacing w:after="0"/>
              <w:rPr>
                <w:sz w:val="20"/>
                <w:szCs w:val="20"/>
                <w:color w:val="auto"/>
              </w:rPr>
            </w:pPr>
            <w:r>
              <w:rPr>
                <w:rFonts w:ascii="Arial" w:cs="Arial" w:eastAsia="Arial" w:hAnsi="Arial"/>
                <w:sz w:val="14"/>
                <w:szCs w:val="14"/>
                <w:b w:val="1"/>
                <w:bCs w:val="1"/>
                <w:color w:val="auto"/>
                <w:w w:val="91"/>
              </w:rPr>
              <w:t>Nine Months Ended September 30,</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2023</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2022</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center"/>
              <w:ind w:right="99"/>
              <w:spacing w:after="0" w:line="133" w:lineRule="exact"/>
              <w:rPr>
                <w:sz w:val="20"/>
                <w:szCs w:val="20"/>
                <w:color w:val="auto"/>
              </w:rPr>
            </w:pPr>
            <w:r>
              <w:rPr>
                <w:rFonts w:ascii="Arial" w:cs="Arial" w:eastAsia="Arial" w:hAnsi="Arial"/>
                <w:sz w:val="14"/>
                <w:szCs w:val="14"/>
                <w:b w:val="1"/>
                <w:bCs w:val="1"/>
                <w:color w:val="auto"/>
                <w:w w:val="88"/>
              </w:rPr>
              <w:t>Revenues from</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99"/>
              <w:spacing w:after="0" w:line="133" w:lineRule="exact"/>
              <w:rPr>
                <w:sz w:val="20"/>
                <w:szCs w:val="20"/>
                <w:color w:val="auto"/>
              </w:rPr>
            </w:pPr>
            <w:r>
              <w:rPr>
                <w:rFonts w:ascii="Arial" w:cs="Arial" w:eastAsia="Arial" w:hAnsi="Arial"/>
                <w:sz w:val="14"/>
                <w:szCs w:val="14"/>
                <w:b w:val="1"/>
                <w:bCs w:val="1"/>
                <w:color w:val="auto"/>
                <w:w w:val="90"/>
              </w:rPr>
              <w:t>Revenues from</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center"/>
              <w:ind w:right="99"/>
              <w:spacing w:after="0" w:line="137" w:lineRule="exact"/>
              <w:rPr>
                <w:sz w:val="20"/>
                <w:szCs w:val="20"/>
                <w:color w:val="auto"/>
              </w:rPr>
            </w:pPr>
            <w:r>
              <w:rPr>
                <w:rFonts w:ascii="Arial" w:cs="Arial" w:eastAsia="Arial" w:hAnsi="Arial"/>
                <w:sz w:val="14"/>
                <w:szCs w:val="14"/>
                <w:b w:val="1"/>
                <w:bCs w:val="1"/>
                <w:color w:val="auto"/>
                <w:w w:val="97"/>
              </w:rPr>
              <w:t>External</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Net Income (Loss)</w:t>
            </w:r>
          </w:p>
        </w:tc>
        <w:tc>
          <w:tcPr>
            <w:tcW w:w="180" w:type="dxa"/>
            <w:vAlign w:val="bottom"/>
          </w:tcPr>
          <w:p>
            <w:pPr>
              <w:spacing w:after="0"/>
              <w:rPr>
                <w:sz w:val="11"/>
                <w:szCs w:val="11"/>
                <w:color w:val="auto"/>
              </w:rPr>
            </w:pPr>
          </w:p>
        </w:tc>
        <w:tc>
          <w:tcPr>
            <w:tcW w:w="1260" w:type="dxa"/>
            <w:vAlign w:val="bottom"/>
          </w:tcPr>
          <w:p>
            <w:pPr>
              <w:jc w:val="center"/>
              <w:ind w:right="99"/>
              <w:spacing w:after="0" w:line="137" w:lineRule="exact"/>
              <w:rPr>
                <w:sz w:val="20"/>
                <w:szCs w:val="20"/>
                <w:color w:val="auto"/>
              </w:rPr>
            </w:pPr>
            <w:r>
              <w:rPr>
                <w:rFonts w:ascii="Arial" w:cs="Arial" w:eastAsia="Arial" w:hAnsi="Arial"/>
                <w:sz w:val="14"/>
                <w:szCs w:val="14"/>
                <w:b w:val="1"/>
                <w:bCs w:val="1"/>
                <w:color w:val="auto"/>
                <w:w w:val="94"/>
              </w:rPr>
              <w:t>External</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Net Income</w:t>
            </w:r>
          </w:p>
        </w:tc>
        <w:tc>
          <w:tcPr>
            <w:tcW w:w="0" w:type="dxa"/>
            <w:vAlign w:val="bottom"/>
          </w:tcPr>
          <w:p>
            <w:pPr>
              <w:spacing w:after="0"/>
              <w:rPr>
                <w:sz w:val="1"/>
                <w:szCs w:val="1"/>
                <w:color w:val="auto"/>
              </w:rPr>
            </w:pPr>
          </w:p>
        </w:tc>
      </w:tr>
      <w:tr>
        <w:trPr>
          <w:trHeight w:val="184"/>
        </w:trPr>
        <w:tc>
          <w:tcPr>
            <w:tcW w:w="4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ind w:right="99"/>
              <w:spacing w:after="0"/>
              <w:rPr>
                <w:sz w:val="20"/>
                <w:szCs w:val="20"/>
                <w:color w:val="auto"/>
              </w:rPr>
            </w:pPr>
            <w:r>
              <w:rPr>
                <w:rFonts w:ascii="Arial" w:cs="Arial" w:eastAsia="Arial" w:hAnsi="Arial"/>
                <w:sz w:val="14"/>
                <w:szCs w:val="14"/>
                <w:b w:val="1"/>
                <w:bCs w:val="1"/>
                <w:color w:val="auto"/>
                <w:w w:val="90"/>
              </w:rPr>
              <w:t>Customers</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99"/>
              <w:spacing w:after="0"/>
              <w:rPr>
                <w:sz w:val="20"/>
                <w:szCs w:val="20"/>
                <w:color w:val="auto"/>
              </w:rPr>
            </w:pPr>
            <w:r>
              <w:rPr>
                <w:rFonts w:ascii="Arial" w:cs="Arial" w:eastAsia="Arial" w:hAnsi="Arial"/>
                <w:sz w:val="14"/>
                <w:szCs w:val="14"/>
                <w:b w:val="1"/>
                <w:bCs w:val="1"/>
                <w:color w:val="auto"/>
                <w:w w:val="87"/>
              </w:rPr>
              <w:t>Customers</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60" w:type="dxa"/>
            <w:vAlign w:val="bottom"/>
            <w:gridSpan w:val="4"/>
          </w:tcPr>
          <w:p>
            <w:pPr>
              <w:jc w:val="center"/>
              <w:ind w:right="39"/>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25"/>
        </w:trPr>
        <w:tc>
          <w:tcPr>
            <w:tcW w:w="478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3,136</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3,334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2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0"/>
        </w:trPr>
        <w:tc>
          <w:tcPr>
            <w:tcW w:w="4780" w:type="dxa"/>
            <w:vAlign w:val="bottom"/>
          </w:tcPr>
          <w:p>
            <w:pPr>
              <w:ind w:left="140"/>
              <w:spacing w:after="0"/>
              <w:rPr>
                <w:sz w:val="20"/>
                <w:szCs w:val="20"/>
                <w:color w:val="auto"/>
              </w:rPr>
            </w:pPr>
            <w:r>
              <w:rPr>
                <w:rFonts w:ascii="Arial" w:cs="Arial" w:eastAsia="Arial" w:hAnsi="Arial"/>
                <w:sz w:val="18"/>
                <w:szCs w:val="18"/>
                <w:color w:val="auto"/>
              </w:rPr>
              <w:t>Consolidated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6,514</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6,610</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Houston Electric revenues from major external customers are as follows (CenterPoint Energy and Houston Electric):</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25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5"/>
          </w:tcPr>
          <w:p>
            <w:pPr>
              <w:jc w:val="right"/>
              <w:ind w:right="334"/>
              <w:spacing w:after="0"/>
              <w:rPr>
                <w:sz w:val="20"/>
                <w:szCs w:val="20"/>
                <w:color w:val="auto"/>
              </w:rPr>
            </w:pPr>
            <w:r>
              <w:rPr>
                <w:rFonts w:ascii="Arial" w:cs="Arial" w:eastAsia="Arial" w:hAnsi="Arial"/>
                <w:sz w:val="14"/>
                <w:szCs w:val="14"/>
                <w:b w:val="1"/>
                <w:bCs w:val="1"/>
                <w:color w:val="auto"/>
              </w:rPr>
              <w:t>Nine Months Ended September 30,</w:t>
            </w:r>
          </w:p>
        </w:tc>
      </w:tr>
      <w:tr>
        <w:trPr>
          <w:trHeight w:val="24"/>
        </w:trPr>
        <w:tc>
          <w:tcPr>
            <w:tcW w:w="5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5240" w:type="dxa"/>
            <w:vAlign w:val="bottom"/>
          </w:tcPr>
          <w:p>
            <w:pPr>
              <w:spacing w:after="0"/>
              <w:rPr>
                <w:sz w:val="16"/>
                <w:szCs w:val="16"/>
                <w:color w:val="auto"/>
              </w:rPr>
            </w:pP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129"/>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r>
      <w:tr>
        <w:trPr>
          <w:trHeight w:val="192"/>
        </w:trPr>
        <w:tc>
          <w:tcPr>
            <w:tcW w:w="5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60" w:type="dxa"/>
            <w:vAlign w:val="bottom"/>
            <w:gridSpan w:val="4"/>
          </w:tcPr>
          <w:p>
            <w:pPr>
              <w:ind w:left="6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4"/>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Affiliates of NRG</w:t>
            </w:r>
          </w:p>
        </w:tc>
        <w:tc>
          <w:tcPr>
            <w:tcW w:w="960" w:type="dxa"/>
            <w:vAlign w:val="bottom"/>
            <w:shd w:val="clear" w:color="auto" w:fill="CCEEFF"/>
          </w:tcPr>
          <w:p>
            <w:pPr>
              <w:jc w:val="right"/>
              <w:ind w:right="783"/>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370</w:t>
            </w:r>
          </w:p>
        </w:tc>
        <w:tc>
          <w:tcPr>
            <w:tcW w:w="54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327</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50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r>
      <w:tr>
        <w:trPr>
          <w:trHeight w:val="225"/>
        </w:trPr>
        <w:tc>
          <w:tcPr>
            <w:tcW w:w="5240" w:type="dxa"/>
            <w:vAlign w:val="bottom"/>
          </w:tcPr>
          <w:p>
            <w:pPr>
              <w:ind w:left="20"/>
              <w:spacing w:after="0"/>
              <w:rPr>
                <w:sz w:val="20"/>
                <w:szCs w:val="20"/>
                <w:color w:val="auto"/>
              </w:rPr>
            </w:pPr>
            <w:r>
              <w:rPr>
                <w:rFonts w:ascii="Arial" w:cs="Arial" w:eastAsia="Arial" w:hAnsi="Arial"/>
                <w:sz w:val="18"/>
                <w:szCs w:val="18"/>
                <w:color w:val="auto"/>
              </w:rPr>
              <w:t>Affiliates of Vistra Energy Corp.</w:t>
            </w:r>
          </w:p>
        </w:tc>
        <w:tc>
          <w:tcPr>
            <w:tcW w:w="960" w:type="dxa"/>
            <w:vAlign w:val="bottom"/>
          </w:tcPr>
          <w:p>
            <w:pPr>
              <w:spacing w:after="0"/>
              <w:rPr>
                <w:sz w:val="19"/>
                <w:szCs w:val="19"/>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177</w:t>
            </w: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153</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403</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372</w:t>
            </w:r>
          </w:p>
        </w:tc>
      </w:tr>
      <w:tr>
        <w:trPr>
          <w:trHeight w:val="535"/>
        </w:trPr>
        <w:tc>
          <w:tcPr>
            <w:tcW w:w="5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3"/>
          </w:tcPr>
          <w:p>
            <w:pPr>
              <w:ind w:left="580"/>
              <w:spacing w:after="0"/>
              <w:rPr>
                <w:sz w:val="20"/>
                <w:szCs w:val="20"/>
                <w:color w:val="auto"/>
              </w:rPr>
            </w:pPr>
            <w:r>
              <w:rPr>
                <w:rFonts w:ascii="Arial" w:cs="Arial" w:eastAsia="Arial" w:hAnsi="Arial"/>
                <w:sz w:val="14"/>
                <w:szCs w:val="14"/>
                <w:b w:val="1"/>
                <w:bCs w:val="1"/>
                <w:color w:val="auto"/>
                <w:w w:val="93"/>
              </w:rPr>
              <w:t>Total Assets</w:t>
            </w: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
        </w:trPr>
        <w:tc>
          <w:tcPr>
            <w:tcW w:w="5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6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r>
      <w:tr>
        <w:trPr>
          <w:trHeight w:val="186"/>
        </w:trPr>
        <w:tc>
          <w:tcPr>
            <w:tcW w:w="5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6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September 30, 2023</w:t>
            </w:r>
          </w:p>
        </w:tc>
        <w:tc>
          <w:tcPr>
            <w:tcW w:w="3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ind w:right="314"/>
              <w:spacing w:after="0"/>
              <w:rPr>
                <w:sz w:val="20"/>
                <w:szCs w:val="20"/>
                <w:color w:val="auto"/>
              </w:rPr>
            </w:pPr>
            <w:r>
              <w:rPr>
                <w:rFonts w:ascii="Arial" w:cs="Arial" w:eastAsia="Arial" w:hAnsi="Arial"/>
                <w:sz w:val="14"/>
                <w:szCs w:val="14"/>
                <w:b w:val="1"/>
                <w:bCs w:val="1"/>
                <w:color w:val="auto"/>
                <w:w w:val="91"/>
              </w:rPr>
              <w:t>December 31, 2022</w:t>
            </w:r>
          </w:p>
        </w:tc>
      </w:tr>
      <w:tr>
        <w:trPr>
          <w:trHeight w:val="192"/>
        </w:trPr>
        <w:tc>
          <w:tcPr>
            <w:tcW w:w="5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ind w:left="580"/>
              <w:spacing w:after="0"/>
              <w:rPr>
                <w:sz w:val="20"/>
                <w:szCs w:val="20"/>
                <w:color w:val="auto"/>
              </w:rPr>
            </w:pPr>
            <w:r>
              <w:rPr>
                <w:rFonts w:ascii="Arial" w:cs="Arial" w:eastAsia="Arial" w:hAnsi="Arial"/>
                <w:sz w:val="14"/>
                <w:szCs w:val="14"/>
                <w:b w:val="1"/>
                <w:bCs w:val="1"/>
                <w:color w:val="auto"/>
                <w:w w:val="99"/>
              </w:rPr>
              <w:t>(in millions)</w:t>
            </w: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4"/>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w:t>
            </w:r>
          </w:p>
        </w:tc>
        <w:tc>
          <w:tcPr>
            <w:tcW w:w="9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29"/>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19,024</w:t>
            </w:r>
          </w:p>
        </w:tc>
      </w:tr>
      <w:tr>
        <w:trPr>
          <w:trHeight w:val="225"/>
        </w:trPr>
        <w:tc>
          <w:tcPr>
            <w:tcW w:w="524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18,043</w:t>
            </w:r>
          </w:p>
        </w:tc>
      </w:tr>
      <w:tr>
        <w:trPr>
          <w:trHeight w:val="23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Corporate and Other, net of eliminations </w:t>
            </w:r>
            <w:r>
              <w:rPr>
                <w:rFonts w:ascii="Arial" w:cs="Arial" w:eastAsia="Arial" w:hAnsi="Arial"/>
                <w:sz w:val="14"/>
                <w:szCs w:val="14"/>
                <w:color w:val="auto"/>
              </w:rPr>
              <w:t>(1)</w:t>
            </w:r>
          </w:p>
        </w:tc>
        <w:tc>
          <w:tcPr>
            <w:tcW w:w="9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r>
      <w:tr>
        <w:trPr>
          <w:trHeight w:val="220"/>
        </w:trPr>
        <w:tc>
          <w:tcPr>
            <w:tcW w:w="5240" w:type="dxa"/>
            <w:vAlign w:val="bottom"/>
          </w:tcPr>
          <w:p>
            <w:pPr>
              <w:ind w:left="140"/>
              <w:spacing w:after="0"/>
              <w:rPr>
                <w:sz w:val="20"/>
                <w:szCs w:val="20"/>
                <w:color w:val="auto"/>
              </w:rPr>
            </w:pPr>
            <w:r>
              <w:rPr>
                <w:rFonts w:ascii="Arial" w:cs="Arial" w:eastAsia="Arial" w:hAnsi="Arial"/>
                <w:sz w:val="18"/>
                <w:szCs w:val="18"/>
                <w:color w:val="auto"/>
              </w:rPr>
              <w:t>Consolidated</w:t>
            </w: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gridSpan w:val="2"/>
          </w:tcPr>
          <w:p>
            <w:pPr>
              <w:jc w:val="right"/>
              <w:ind w:right="429"/>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39,001</w:t>
            </w:r>
          </w:p>
        </w:tc>
        <w:tc>
          <w:tcPr>
            <w:tcW w:w="10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38,546</w:t>
            </w:r>
          </w:p>
        </w:tc>
      </w:tr>
      <w:tr>
        <w:trPr>
          <w:trHeight w:val="20"/>
        </w:trPr>
        <w:tc>
          <w:tcPr>
            <w:tcW w:w="5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640" w:hanging="315"/>
        <w:spacing w:after="0" w:line="266" w:lineRule="auto"/>
        <w:tabs>
          <w:tab w:leader="none" w:pos="63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Total assets included pension and other postemployment-related regulatory assets of $379 million and $405 million as of September 30, 2023 and December 31, 2022, respectively.</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Houston Electric consists of a single reportable segment; therefore, a tabular reportable segment presentation has not been included.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CERC consists of a single reportable segment; therefore, a tabular reportable segment presentation has not been included.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Supplemental Disclosure of Cash Flow Information</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provides supplemental disclosure of cash flow information:</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340" w:type="dxa"/>
            <w:vAlign w:val="bottom"/>
            <w:gridSpan w:val="5"/>
          </w:tcPr>
          <w:p>
            <w:pPr>
              <w:jc w:val="right"/>
              <w:ind w:right="49"/>
              <w:spacing w:after="0"/>
              <w:rPr>
                <w:sz w:val="20"/>
                <w:szCs w:val="20"/>
                <w:color w:val="auto"/>
              </w:rPr>
            </w:pPr>
            <w:r>
              <w:rPr>
                <w:rFonts w:ascii="Arial" w:cs="Arial" w:eastAsia="Arial" w:hAnsi="Arial"/>
                <w:sz w:val="14"/>
                <w:szCs w:val="14"/>
                <w:b w:val="1"/>
                <w:bCs w:val="1"/>
                <w:color w:val="auto"/>
                <w:w w:val="95"/>
              </w:rPr>
              <w:t>Nine Months Ended September 30,</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ind w:right="149"/>
              <w:spacing w:after="0" w:line="133" w:lineRule="exact"/>
              <w:rPr>
                <w:sz w:val="20"/>
                <w:szCs w:val="20"/>
                <w:color w:val="auto"/>
              </w:rPr>
            </w:pPr>
            <w:r>
              <w:rPr>
                <w:rFonts w:ascii="Arial" w:cs="Arial" w:eastAsia="Arial" w:hAnsi="Arial"/>
                <w:sz w:val="14"/>
                <w:szCs w:val="14"/>
                <w:b w:val="1"/>
                <w:bCs w:val="1"/>
                <w:color w:val="auto"/>
                <w:w w:val="95"/>
              </w:rPr>
              <w:t>CenterPoint</w:t>
            </w:r>
          </w:p>
        </w:tc>
        <w:tc>
          <w:tcPr>
            <w:tcW w:w="240" w:type="dxa"/>
            <w:vAlign w:val="bottom"/>
          </w:tcPr>
          <w:p>
            <w:pPr>
              <w:spacing w:after="0"/>
              <w:rPr>
                <w:sz w:val="11"/>
                <w:szCs w:val="11"/>
                <w:color w:val="auto"/>
              </w:rPr>
            </w:pPr>
          </w:p>
        </w:tc>
        <w:tc>
          <w:tcPr>
            <w:tcW w:w="920" w:type="dxa"/>
            <w:vAlign w:val="bottom"/>
          </w:tcPr>
          <w:p>
            <w:pPr>
              <w:jc w:val="right"/>
              <w:ind w:right="229"/>
              <w:spacing w:after="0" w:line="133" w:lineRule="exact"/>
              <w:rPr>
                <w:sz w:val="20"/>
                <w:szCs w:val="20"/>
                <w:color w:val="auto"/>
              </w:rPr>
            </w:pPr>
            <w:r>
              <w:rPr>
                <w:rFonts w:ascii="Arial" w:cs="Arial" w:eastAsia="Arial" w:hAnsi="Arial"/>
                <w:sz w:val="14"/>
                <w:szCs w:val="14"/>
                <w:b w:val="1"/>
                <w:bCs w:val="1"/>
                <w:color w:val="auto"/>
              </w:rPr>
              <w:t>Houston</w:t>
            </w:r>
          </w:p>
        </w:tc>
        <w:tc>
          <w:tcPr>
            <w:tcW w:w="280" w:type="dxa"/>
            <w:vAlign w:val="bottom"/>
          </w:tcPr>
          <w:p>
            <w:pPr>
              <w:spacing w:after="0"/>
              <w:rPr>
                <w:sz w:val="11"/>
                <w:szCs w:val="11"/>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120" w:type="dxa"/>
            <w:vAlign w:val="bottom"/>
          </w:tcPr>
          <w:p>
            <w:pPr>
              <w:spacing w:after="0"/>
              <w:rPr>
                <w:sz w:val="11"/>
                <w:szCs w:val="11"/>
                <w:color w:val="auto"/>
              </w:rPr>
            </w:pPr>
          </w:p>
        </w:tc>
        <w:tc>
          <w:tcPr>
            <w:tcW w:w="1000" w:type="dxa"/>
            <w:vAlign w:val="bottom"/>
          </w:tcPr>
          <w:p>
            <w:pPr>
              <w:jc w:val="right"/>
              <w:ind w:right="129"/>
              <w:spacing w:after="0" w:line="133" w:lineRule="exact"/>
              <w:rPr>
                <w:sz w:val="20"/>
                <w:szCs w:val="20"/>
                <w:color w:val="auto"/>
              </w:rPr>
            </w:pPr>
            <w:r>
              <w:rPr>
                <w:rFonts w:ascii="Arial" w:cs="Arial" w:eastAsia="Arial" w:hAnsi="Arial"/>
                <w:sz w:val="14"/>
                <w:szCs w:val="14"/>
                <w:b w:val="1"/>
                <w:bCs w:val="1"/>
                <w:color w:val="auto"/>
                <w:w w:val="98"/>
              </w:rPr>
              <w:t>CenterPoint</w:t>
            </w:r>
          </w:p>
        </w:tc>
        <w:tc>
          <w:tcPr>
            <w:tcW w:w="260" w:type="dxa"/>
            <w:vAlign w:val="bottom"/>
          </w:tcPr>
          <w:p>
            <w:pPr>
              <w:spacing w:after="0"/>
              <w:rPr>
                <w:sz w:val="11"/>
                <w:szCs w:val="11"/>
                <w:color w:val="auto"/>
              </w:rPr>
            </w:pPr>
          </w:p>
        </w:tc>
        <w:tc>
          <w:tcPr>
            <w:tcW w:w="900" w:type="dxa"/>
            <w:vAlign w:val="bottom"/>
          </w:tcPr>
          <w:p>
            <w:pPr>
              <w:jc w:val="right"/>
              <w:ind w:right="229"/>
              <w:spacing w:after="0" w:line="133" w:lineRule="exact"/>
              <w:rPr>
                <w:sz w:val="20"/>
                <w:szCs w:val="20"/>
                <w:color w:val="auto"/>
              </w:rPr>
            </w:pPr>
            <w:r>
              <w:rPr>
                <w:rFonts w:ascii="Arial" w:cs="Arial" w:eastAsia="Arial" w:hAnsi="Arial"/>
                <w:sz w:val="14"/>
                <w:szCs w:val="14"/>
                <w:b w:val="1"/>
                <w:bCs w:val="1"/>
                <w:color w:val="auto"/>
              </w:rPr>
              <w:t>Houston</w:t>
            </w:r>
          </w:p>
        </w:tc>
        <w:tc>
          <w:tcPr>
            <w:tcW w:w="280" w:type="dxa"/>
            <w:vAlign w:val="bottom"/>
          </w:tcPr>
          <w:p>
            <w:pPr>
              <w:spacing w:after="0"/>
              <w:rPr>
                <w:sz w:val="11"/>
                <w:szCs w:val="11"/>
                <w:color w:val="auto"/>
              </w:rPr>
            </w:pPr>
          </w:p>
        </w:tc>
        <w:tc>
          <w:tcPr>
            <w:tcW w:w="840" w:type="dxa"/>
            <w:vAlign w:val="bottom"/>
            <w:vMerge w:val="restart"/>
          </w:tcPr>
          <w:p>
            <w:pPr>
              <w:jc w:val="right"/>
              <w:ind w:right="249"/>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3"/>
        </w:trPr>
        <w:tc>
          <w:tcPr>
            <w:tcW w:w="4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Energy</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Electric</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Energy</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Electric</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60" w:type="dxa"/>
            <w:vAlign w:val="bottom"/>
            <w:gridSpan w:val="4"/>
          </w:tcPr>
          <w:p>
            <w:pPr>
              <w:jc w:val="right"/>
              <w:ind w:right="749"/>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80" w:type="dxa"/>
            <w:vAlign w:val="bottom"/>
          </w:tcPr>
          <w:p>
            <w:pPr>
              <w:ind w:left="40"/>
              <w:spacing w:after="0"/>
              <w:rPr>
                <w:sz w:val="20"/>
                <w:szCs w:val="20"/>
                <w:color w:val="auto"/>
              </w:rPr>
            </w:pPr>
            <w:r>
              <w:rPr>
                <w:rFonts w:ascii="Arial" w:cs="Arial" w:eastAsia="Arial" w:hAnsi="Arial"/>
                <w:sz w:val="14"/>
                <w:szCs w:val="14"/>
                <w:b w:val="1"/>
                <w:bCs w:val="1"/>
                <w:color w:val="auto"/>
              </w:rPr>
              <w:t>Cash Payments/Receipts: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4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net of capitalized interest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521</w:t>
            </w:r>
          </w:p>
        </w:tc>
        <w:tc>
          <w:tcPr>
            <w:tcW w:w="2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211</w:t>
            </w:r>
          </w:p>
        </w:tc>
        <w:tc>
          <w:tcPr>
            <w:tcW w:w="2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376</w:t>
            </w:r>
          </w:p>
        </w:tc>
        <w:tc>
          <w:tcPr>
            <w:tcW w:w="2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188</w:t>
            </w:r>
          </w:p>
        </w:tc>
        <w:tc>
          <w:tcPr>
            <w:tcW w:w="2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90"/>
        </w:trPr>
        <w:tc>
          <w:tcPr>
            <w:tcW w:w="4280" w:type="dxa"/>
            <w:vAlign w:val="bottom"/>
          </w:tcPr>
          <w:p>
            <w:pPr>
              <w:ind w:left="220"/>
              <w:spacing w:after="0"/>
              <w:rPr>
                <w:sz w:val="20"/>
                <w:szCs w:val="20"/>
                <w:color w:val="auto"/>
              </w:rPr>
            </w:pPr>
            <w:r>
              <w:rPr>
                <w:rFonts w:ascii="Arial" w:cs="Arial" w:eastAsia="Arial" w:hAnsi="Arial"/>
                <w:sz w:val="14"/>
                <w:szCs w:val="14"/>
                <w:color w:val="auto"/>
              </w:rPr>
              <w:t>Income tax payments, net</w:t>
            </w:r>
          </w:p>
        </w:tc>
        <w:tc>
          <w:tcPr>
            <w:tcW w:w="140" w:type="dxa"/>
            <w:vAlign w:val="bottom"/>
          </w:tcPr>
          <w:p>
            <w:pPr>
              <w:spacing w:after="0"/>
              <w:rPr>
                <w:sz w:val="16"/>
                <w:szCs w:val="16"/>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200</w:t>
            </w:r>
          </w:p>
        </w:tc>
        <w:tc>
          <w:tcPr>
            <w:tcW w:w="24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12</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340</w:t>
            </w:r>
          </w:p>
        </w:tc>
        <w:tc>
          <w:tcPr>
            <w:tcW w:w="260" w:type="dxa"/>
            <w:vAlign w:val="bottom"/>
          </w:tcPr>
          <w:p>
            <w:pPr>
              <w:spacing w:after="0"/>
              <w:rPr>
                <w:sz w:val="16"/>
                <w:szCs w:val="16"/>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113</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9"/>
        </w:trPr>
        <w:tc>
          <w:tcPr>
            <w:tcW w:w="42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Non-cash transactions: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280" w:type="dxa"/>
            <w:vAlign w:val="bottom"/>
          </w:tcPr>
          <w:p>
            <w:pPr>
              <w:ind w:left="220"/>
              <w:spacing w:after="0"/>
              <w:rPr>
                <w:sz w:val="20"/>
                <w:szCs w:val="20"/>
                <w:color w:val="auto"/>
              </w:rPr>
            </w:pPr>
            <w:r>
              <w:rPr>
                <w:rFonts w:ascii="Arial" w:cs="Arial" w:eastAsia="Arial" w:hAnsi="Arial"/>
                <w:sz w:val="14"/>
                <w:szCs w:val="14"/>
                <w:color w:val="auto"/>
              </w:rPr>
              <w:t>Accounts payable related to capital expenditures</w:t>
            </w:r>
          </w:p>
        </w:tc>
        <w:tc>
          <w:tcPr>
            <w:tcW w:w="140" w:type="dxa"/>
            <w:vAlign w:val="bottom"/>
          </w:tcPr>
          <w:p>
            <w:pPr>
              <w:spacing w:after="0"/>
              <w:rPr>
                <w:sz w:val="16"/>
                <w:szCs w:val="16"/>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264</w:t>
            </w:r>
          </w:p>
        </w:tc>
        <w:tc>
          <w:tcPr>
            <w:tcW w:w="24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137</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333</w:t>
            </w:r>
          </w:p>
        </w:tc>
        <w:tc>
          <w:tcPr>
            <w:tcW w:w="260" w:type="dxa"/>
            <w:vAlign w:val="bottom"/>
          </w:tcPr>
          <w:p>
            <w:pPr>
              <w:spacing w:after="0"/>
              <w:rPr>
                <w:sz w:val="16"/>
                <w:szCs w:val="16"/>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197</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09"/>
        </w:trPr>
        <w:tc>
          <w:tcPr>
            <w:tcW w:w="4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ROU assets obtained in exchange for lease liabilities </w:t>
            </w:r>
            <w:r>
              <w:rPr>
                <w:rFonts w:ascii="Arial" w:cs="Arial" w:eastAsia="Arial" w:hAnsi="Arial"/>
                <w:sz w:val="10"/>
                <w:szCs w:val="10"/>
                <w:color w:val="auto"/>
              </w:rPr>
              <w:t>(1)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Excludes ROU assets obtained through prepayment of the lease liabilities. See Note 19.</w:t>
      </w:r>
    </w:p>
    <w:p>
      <w:pPr>
        <w:spacing w:after="0" w:line="24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table below provides a reconciliation of cash, cash equivalents and restricted cash reported in the Condensed Consolidated Balance Sheets to the amount reported in the Condensed Statements of Consolidated Cash Flows: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and cash equivalents (1)</w:t>
      </w:r>
    </w:p>
    <w:p>
      <w:pPr>
        <w:spacing w:after="0" w:line="38" w:lineRule="exact"/>
        <w:rPr>
          <w:sz w:val="20"/>
          <w:szCs w:val="20"/>
          <w:color w:val="auto"/>
        </w:rPr>
      </w:pPr>
    </w:p>
    <w:p>
      <w:pPr>
        <w:ind w:left="180" w:hanging="159"/>
        <w:spacing w:after="0" w:line="246" w:lineRule="auto"/>
        <w:rPr>
          <w:sz w:val="20"/>
          <w:szCs w:val="20"/>
          <w:color w:val="auto"/>
        </w:rPr>
      </w:pPr>
      <w:r>
        <w:rPr>
          <w:rFonts w:ascii="Arial" w:cs="Arial" w:eastAsia="Arial" w:hAnsi="Arial"/>
          <w:sz w:val="14"/>
          <w:szCs w:val="14"/>
          <w:color w:val="auto"/>
        </w:rPr>
        <w:t>Restricted cash included in Prepaid expenses and other current assets</w:t>
      </w:r>
    </w:p>
    <w:p>
      <w:pPr>
        <w:spacing w:after="0" w:line="2" w:lineRule="exact"/>
        <w:rPr>
          <w:sz w:val="20"/>
          <w:szCs w:val="20"/>
          <w:color w:val="auto"/>
        </w:rPr>
      </w:pPr>
    </w:p>
    <w:p>
      <w:pPr>
        <w:ind w:left="500" w:right="20" w:hanging="158"/>
        <w:spacing w:after="0" w:line="327" w:lineRule="auto"/>
        <w:rPr>
          <w:sz w:val="20"/>
          <w:szCs w:val="20"/>
          <w:color w:val="auto"/>
        </w:rPr>
      </w:pPr>
      <w:r>
        <w:rPr>
          <w:rFonts w:ascii="Arial" w:cs="Arial" w:eastAsia="Arial" w:hAnsi="Arial"/>
          <w:sz w:val="12"/>
          <w:szCs w:val="12"/>
          <w:color w:val="auto"/>
        </w:rPr>
        <w:t>Total cash, cash equivalents and restricted cash shown in Condensed Statements of Consolidated Cash Flows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September 30, 2023</w:t>
            </w: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 2022</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160" w:type="dxa"/>
            <w:vAlign w:val="bottom"/>
          </w:tcPr>
          <w:p>
            <w:pPr>
              <w:spacing w:after="0"/>
              <w:rPr>
                <w:sz w:val="11"/>
                <w:szCs w:val="11"/>
                <w:color w:val="auto"/>
              </w:rPr>
            </w:pPr>
          </w:p>
        </w:tc>
        <w:tc>
          <w:tcPr>
            <w:tcW w:w="1020" w:type="dxa"/>
            <w:vAlign w:val="bottom"/>
          </w:tcPr>
          <w:p>
            <w:pPr>
              <w:jc w:val="right"/>
              <w:ind w:right="149"/>
              <w:spacing w:after="0" w:line="131" w:lineRule="exact"/>
              <w:rPr>
                <w:sz w:val="20"/>
                <w:szCs w:val="20"/>
                <w:color w:val="auto"/>
              </w:rPr>
            </w:pPr>
            <w:r>
              <w:rPr>
                <w:rFonts w:ascii="Arial" w:cs="Arial" w:eastAsia="Arial" w:hAnsi="Arial"/>
                <w:sz w:val="14"/>
                <w:szCs w:val="14"/>
                <w:b w:val="1"/>
                <w:bCs w:val="1"/>
                <w:color w:val="auto"/>
                <w:w w:val="98"/>
              </w:rPr>
              <w:t>CenterPoint</w:t>
            </w:r>
          </w:p>
        </w:tc>
        <w:tc>
          <w:tcPr>
            <w:tcW w:w="100" w:type="dxa"/>
            <w:vAlign w:val="bottom"/>
          </w:tcPr>
          <w:p>
            <w:pPr>
              <w:spacing w:after="0"/>
              <w:rPr>
                <w:sz w:val="11"/>
                <w:szCs w:val="11"/>
                <w:color w:val="auto"/>
              </w:rPr>
            </w:pPr>
          </w:p>
        </w:tc>
        <w:tc>
          <w:tcPr>
            <w:tcW w:w="12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1"/>
              </w:rPr>
              <w:t>Houston Electric</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CERC</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CenterPoint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Houston Electric</w:t>
            </w:r>
          </w:p>
        </w:tc>
        <w:tc>
          <w:tcPr>
            <w:tcW w:w="240" w:type="dxa"/>
            <w:vAlign w:val="bottom"/>
          </w:tcPr>
          <w:p>
            <w:pPr>
              <w:spacing w:after="0"/>
              <w:rPr>
                <w:sz w:val="11"/>
                <w:szCs w:val="11"/>
                <w:color w:val="auto"/>
              </w:rPr>
            </w:pP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0"/>
        </w:trPr>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Energy</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Energy</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20" w:type="dxa"/>
            <w:vAlign w:val="bottom"/>
            <w:gridSpan w:val="3"/>
          </w:tcPr>
          <w:p>
            <w:pPr>
              <w:jc w:val="right"/>
              <w:ind w:right="589"/>
              <w:spacing w:after="0"/>
              <w:rPr>
                <w:sz w:val="20"/>
                <w:szCs w:val="20"/>
                <w:color w:val="auto"/>
              </w:rPr>
            </w:pPr>
            <w:r>
              <w:rPr>
                <w:rFonts w:ascii="Arial" w:cs="Arial" w:eastAsia="Arial" w:hAnsi="Arial"/>
                <w:sz w:val="14"/>
                <w:szCs w:val="14"/>
                <w:b w:val="1"/>
                <w:bCs w:val="1"/>
                <w:color w:val="auto"/>
                <w:w w:val="94"/>
              </w:rPr>
              <w:t>(in millions)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120</w:t>
            </w:r>
          </w:p>
        </w:tc>
        <w:tc>
          <w:tcPr>
            <w:tcW w:w="600" w:type="dxa"/>
            <w:vAlign w:val="bottom"/>
            <w:gridSpan w:val="2"/>
          </w:tcPr>
          <w:p>
            <w:pPr>
              <w:jc w:val="right"/>
              <w:ind w:right="32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6"/>
                <w:szCs w:val="16"/>
                <w:color w:val="auto"/>
              </w:rPr>
            </w:pPr>
          </w:p>
        </w:tc>
        <w:tc>
          <w:tcPr>
            <w:tcW w:w="840" w:type="dxa"/>
            <w:vAlign w:val="bottom"/>
          </w:tcPr>
          <w:p>
            <w:pPr>
              <w:jc w:val="right"/>
              <w:ind w:right="669"/>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960" w:type="dxa"/>
            <w:vAlign w:val="bottom"/>
          </w:tcPr>
          <w:p>
            <w:pPr>
              <w:jc w:val="right"/>
              <w:ind w:right="809"/>
              <w:spacing w:after="0"/>
              <w:rPr>
                <w:sz w:val="20"/>
                <w:szCs w:val="20"/>
                <w:color w:val="auto"/>
              </w:rPr>
            </w:pPr>
            <w:r>
              <w:rPr>
                <w:rFonts w:ascii="Arial" w:cs="Arial" w:eastAsia="Arial" w:hAnsi="Arial"/>
                <w:sz w:val="14"/>
                <w:szCs w:val="14"/>
                <w:color w:val="auto"/>
                <w:w w:val="76"/>
              </w:rPr>
              <w:t>$</w:t>
            </w:r>
          </w:p>
        </w:tc>
        <w:tc>
          <w:tcPr>
            <w:tcW w:w="220" w:type="dxa"/>
            <w:vAlign w:val="bottom"/>
          </w:tcPr>
          <w:p>
            <w:pPr>
              <w:jc w:val="right"/>
              <w:spacing w:after="0"/>
              <w:rPr>
                <w:sz w:val="20"/>
                <w:szCs w:val="20"/>
                <w:color w:val="auto"/>
              </w:rPr>
            </w:pPr>
            <w:r>
              <w:rPr>
                <w:rFonts w:ascii="Arial" w:cs="Arial" w:eastAsia="Arial" w:hAnsi="Arial"/>
                <w:sz w:val="14"/>
                <w:szCs w:val="14"/>
                <w:color w:val="auto"/>
                <w:w w:val="89"/>
              </w:rPr>
              <w:t>74</w:t>
            </w:r>
          </w:p>
        </w:tc>
        <w:tc>
          <w:tcPr>
            <w:tcW w:w="100" w:type="dxa"/>
            <w:vAlign w:val="bottom"/>
          </w:tcPr>
          <w:p>
            <w:pPr>
              <w:spacing w:after="0"/>
              <w:rPr>
                <w:sz w:val="16"/>
                <w:szCs w:val="16"/>
                <w:color w:val="auto"/>
              </w:rPr>
            </w:pPr>
          </w:p>
        </w:tc>
        <w:tc>
          <w:tcPr>
            <w:tcW w:w="5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40" w:type="dxa"/>
            <w:vAlign w:val="bottom"/>
          </w:tcPr>
          <w:p>
            <w:pPr>
              <w:ind w:left="7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32"/>
        </w:trPr>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89"/>
              </w:rPr>
              <w:t>17</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ind w:left="7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138</w:t>
            </w:r>
          </w:p>
        </w:tc>
        <w:tc>
          <w:tcPr>
            <w:tcW w:w="600" w:type="dxa"/>
            <w:vAlign w:val="bottom"/>
            <w:gridSpan w:val="2"/>
          </w:tcPr>
          <w:p>
            <w:pPr>
              <w:jc w:val="right"/>
              <w:ind w:right="32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22"/>
                <w:szCs w:val="22"/>
                <w:color w:val="auto"/>
              </w:rPr>
            </w:pPr>
          </w:p>
        </w:tc>
        <w:tc>
          <w:tcPr>
            <w:tcW w:w="840" w:type="dxa"/>
            <w:vAlign w:val="bottom"/>
          </w:tcPr>
          <w:p>
            <w:pPr>
              <w:jc w:val="right"/>
              <w:ind w:right="669"/>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960" w:type="dxa"/>
            <w:vAlign w:val="bottom"/>
          </w:tcPr>
          <w:p>
            <w:pPr>
              <w:jc w:val="right"/>
              <w:ind w:right="809"/>
              <w:spacing w:after="0"/>
              <w:rPr>
                <w:sz w:val="20"/>
                <w:szCs w:val="20"/>
                <w:color w:val="auto"/>
              </w:rPr>
            </w:pPr>
            <w:r>
              <w:rPr>
                <w:rFonts w:ascii="Arial" w:cs="Arial" w:eastAsia="Arial" w:hAnsi="Arial"/>
                <w:sz w:val="14"/>
                <w:szCs w:val="14"/>
                <w:color w:val="auto"/>
                <w:w w:val="76"/>
              </w:rPr>
              <w:t>$</w:t>
            </w:r>
          </w:p>
        </w:tc>
        <w:tc>
          <w:tcPr>
            <w:tcW w:w="220" w:type="dxa"/>
            <w:vAlign w:val="bottom"/>
          </w:tcPr>
          <w:p>
            <w:pPr>
              <w:jc w:val="right"/>
              <w:spacing w:after="0"/>
              <w:rPr>
                <w:sz w:val="20"/>
                <w:szCs w:val="20"/>
                <w:color w:val="auto"/>
              </w:rPr>
            </w:pPr>
            <w:r>
              <w:rPr>
                <w:rFonts w:ascii="Arial" w:cs="Arial" w:eastAsia="Arial" w:hAnsi="Arial"/>
                <w:sz w:val="14"/>
                <w:szCs w:val="14"/>
                <w:color w:val="auto"/>
                <w:w w:val="89"/>
              </w:rPr>
              <w:t>91</w:t>
            </w:r>
          </w:p>
        </w:tc>
        <w:tc>
          <w:tcPr>
            <w:tcW w:w="100" w:type="dxa"/>
            <w:vAlign w:val="bottom"/>
          </w:tcPr>
          <w:p>
            <w:pPr>
              <w:spacing w:after="0"/>
              <w:rPr>
                <w:sz w:val="22"/>
                <w:szCs w:val="22"/>
                <w:color w:val="auto"/>
              </w:rPr>
            </w:pPr>
          </w:p>
        </w:tc>
        <w:tc>
          <w:tcPr>
            <w:tcW w:w="5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22"/>
                <w:szCs w:val="22"/>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40" w:type="dxa"/>
            <w:vAlign w:val="bottom"/>
          </w:tcPr>
          <w:p>
            <w:pPr>
              <w:ind w:left="7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-2306955</wp:posOffset>
            </wp:positionH>
            <wp:positionV relativeFrom="paragraph">
              <wp:posOffset>-565150</wp:posOffset>
            </wp:positionV>
            <wp:extent cx="7117715" cy="1263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17715" cy="126365"/>
                    </a:xfrm>
                    <a:prstGeom prst="rect">
                      <a:avLst/>
                    </a:prstGeom>
                    <a:noFill/>
                  </pic:spPr>
                </pic:pic>
              </a:graphicData>
            </a:graphic>
          </wp:anchor>
        </w:drawing>
        <w:drawing>
          <wp:anchor simplePos="0" relativeHeight="251657728" behindDoc="1" locked="0" layoutInCell="0" allowOverlap="1">
            <wp:simplePos x="0" y="0"/>
            <wp:positionH relativeFrom="column">
              <wp:posOffset>-2306955</wp:posOffset>
            </wp:positionH>
            <wp:positionV relativeFrom="paragraph">
              <wp:posOffset>-227330</wp:posOffset>
            </wp:positionV>
            <wp:extent cx="7117715" cy="2108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17715" cy="21082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3580" w:space="60"/>
            <w:col w:w="7600"/>
          </w:cols>
          <w:pgMar w:left="320" w:top="127" w:right="339" w:bottom="1440" w:gutter="0" w:footer="0" w:header="0"/>
          <w:type w:val="continuous"/>
        </w:sectPr>
      </w:pPr>
    </w:p>
    <w:p>
      <w:pPr>
        <w:spacing w:after="0" w:line="108" w:lineRule="exact"/>
        <w:rPr>
          <w:sz w:val="20"/>
          <w:szCs w:val="20"/>
          <w:color w:val="auto"/>
        </w:rPr>
      </w:pPr>
    </w:p>
    <w:p>
      <w:pPr>
        <w:ind w:left="640" w:hanging="315"/>
        <w:spacing w:after="0" w:line="266" w:lineRule="auto"/>
        <w:tabs>
          <w:tab w:leader="none" w:pos="634" w:val="left"/>
        </w:tabs>
        <w:numPr>
          <w:ilvl w:val="1"/>
          <w:numId w:val="39"/>
        </w:numPr>
        <w:rPr>
          <w:rFonts w:ascii="Arial" w:cs="Arial" w:eastAsia="Arial" w:hAnsi="Arial"/>
          <w:sz w:val="18"/>
          <w:szCs w:val="18"/>
          <w:color w:val="auto"/>
        </w:rPr>
      </w:pPr>
      <w:r>
        <w:rPr>
          <w:rFonts w:ascii="Arial" w:cs="Arial" w:eastAsia="Arial" w:hAnsi="Arial"/>
          <w:sz w:val="18"/>
          <w:szCs w:val="18"/>
          <w:color w:val="auto"/>
        </w:rPr>
        <w:t>Cash and cash equivalents related to VIEs as of September 30, 2023 and December 31, 2022 included $118 million and $75 million, respectively, at CenterPoint Energy and $113 million and $75 million, respectively, at Houston Electric.</w:t>
      </w:r>
    </w:p>
    <w:p>
      <w:pPr>
        <w:spacing w:after="0" w:line="199" w:lineRule="exact"/>
        <w:rPr>
          <w:rFonts w:ascii="Arial" w:cs="Arial" w:eastAsia="Arial" w:hAnsi="Arial"/>
          <w:sz w:val="18"/>
          <w:szCs w:val="18"/>
          <w:color w:val="auto"/>
        </w:rPr>
      </w:pPr>
    </w:p>
    <w:p>
      <w:pPr>
        <w:ind w:left="340" w:hanging="334"/>
        <w:spacing w:after="0"/>
        <w:tabs>
          <w:tab w:leader="none" w:pos="3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 (Houston Electric and CERC)</w:t>
      </w:r>
    </w:p>
    <w:p>
      <w:pPr>
        <w:spacing w:after="0" w:line="251"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6"/>
          <w:szCs w:val="16"/>
          <w:color w:val="auto"/>
        </w:rPr>
        <w:t>Houston Electric and CERC participate in CenterPoint Energy’s money pool through which they can borrow or invest on a short-term basis. Funding needs are aggregated and external borrowing or investing is based on the net cash position. The net funding requirements of the CenterPoint Energy money pool are expected to be met with borrowings under CenterPoint Energy’s revolving credit facility or the sale of CenterPoint Energy’s commercial paper.</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summarizes CenterPoint Energy money pool activity:</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 2023</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2"/>
          </w:tcPr>
          <w:p>
            <w:pPr>
              <w:ind w:left="820"/>
              <w:spacing w:after="0"/>
              <w:rPr>
                <w:sz w:val="20"/>
                <w:szCs w:val="20"/>
                <w:color w:val="auto"/>
              </w:rPr>
            </w:pPr>
            <w:r>
              <w:rPr>
                <w:rFonts w:ascii="Arial" w:cs="Arial" w:eastAsia="Arial" w:hAnsi="Arial"/>
                <w:sz w:val="14"/>
                <w:szCs w:val="14"/>
                <w:b w:val="1"/>
                <w:bCs w:val="1"/>
                <w:color w:val="auto"/>
                <w:w w:val="90"/>
              </w:rPr>
              <w:t>December 31, 2022</w:t>
            </w:r>
          </w:p>
        </w:tc>
        <w:tc>
          <w:tcPr>
            <w:tcW w:w="960" w:type="dxa"/>
            <w:vAlign w:val="bottom"/>
          </w:tcPr>
          <w:p>
            <w:pPr>
              <w:spacing w:after="0"/>
              <w:rPr>
                <w:sz w:val="16"/>
                <w:szCs w:val="16"/>
                <w:color w:val="auto"/>
              </w:rPr>
            </w:pPr>
          </w:p>
        </w:tc>
      </w:tr>
      <w:tr>
        <w:trPr>
          <w:trHeight w:val="24"/>
        </w:trPr>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6"/>
        </w:trPr>
        <w:tc>
          <w:tcPr>
            <w:tcW w:w="4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w w:val="95"/>
              </w:rPr>
              <w:t>Houston Electric</w:t>
            </w: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CERC</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Houston Electric</w:t>
            </w: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CERC</w:t>
            </w:r>
          </w:p>
        </w:tc>
      </w:tr>
      <w:tr>
        <w:trPr>
          <w:trHeight w:val="192"/>
        </w:trPr>
        <w:tc>
          <w:tcPr>
            <w:tcW w:w="4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0" w:type="dxa"/>
            <w:vAlign w:val="bottom"/>
            <w:gridSpan w:val="4"/>
          </w:tcPr>
          <w:p>
            <w:pPr>
              <w:spacing w:after="0"/>
              <w:rPr>
                <w:sz w:val="20"/>
                <w:szCs w:val="20"/>
                <w:color w:val="auto"/>
              </w:rPr>
            </w:pPr>
            <w:r>
              <w:rPr>
                <w:rFonts w:ascii="Arial" w:cs="Arial" w:eastAsia="Arial" w:hAnsi="Arial"/>
                <w:sz w:val="14"/>
                <w:szCs w:val="14"/>
                <w:b w:val="1"/>
                <w:bCs w:val="1"/>
                <w:color w:val="auto"/>
              </w:rPr>
              <w:t>(in millions, except interest rates)</w:t>
            </w: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20"/>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Money pool investments (borrowings) </w:t>
            </w:r>
            <w:r>
              <w:rPr>
                <w:rFonts w:ascii="Arial" w:cs="Arial" w:eastAsia="Arial" w:hAnsi="Arial"/>
                <w:sz w:val="12"/>
                <w:szCs w:val="12"/>
                <w:color w:val="auto"/>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85"/>
              <w:spacing w:after="0"/>
              <w:rPr>
                <w:sz w:val="20"/>
                <w:szCs w:val="20"/>
                <w:color w:val="auto"/>
              </w:rPr>
            </w:pPr>
            <w:r>
              <w:rPr>
                <w:rFonts w:ascii="Arial" w:cs="Arial" w:eastAsia="Arial" w:hAnsi="Arial"/>
                <w:sz w:val="16"/>
                <w:szCs w:val="16"/>
                <w:color w:val="auto"/>
              </w:rPr>
              <w:t>400</w:t>
            </w:r>
          </w:p>
        </w:tc>
        <w:tc>
          <w:tcPr>
            <w:tcW w:w="60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ind w:left="820"/>
              <w:spacing w:after="0"/>
              <w:rPr>
                <w:sz w:val="20"/>
                <w:szCs w:val="20"/>
                <w:color w:val="auto"/>
              </w:rPr>
            </w:pPr>
            <w:r>
              <w:rPr>
                <w:rFonts w:ascii="Arial" w:cs="Arial" w:eastAsia="Arial" w:hAnsi="Arial"/>
                <w:sz w:val="16"/>
                <w:szCs w:val="16"/>
                <w:color w:val="auto"/>
              </w:rPr>
              <w:t>(642)</w:t>
            </w:r>
          </w:p>
        </w:tc>
        <w:tc>
          <w:tcPr>
            <w:tcW w:w="60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w:t>
            </w:r>
          </w:p>
        </w:tc>
      </w:tr>
      <w:tr>
        <w:trPr>
          <w:trHeight w:val="208"/>
        </w:trPr>
        <w:tc>
          <w:tcPr>
            <w:tcW w:w="4920" w:type="dxa"/>
            <w:vAlign w:val="bottom"/>
          </w:tcPr>
          <w:p>
            <w:pPr>
              <w:ind w:left="20"/>
              <w:spacing w:after="0"/>
              <w:rPr>
                <w:sz w:val="20"/>
                <w:szCs w:val="20"/>
                <w:color w:val="auto"/>
              </w:rPr>
            </w:pPr>
            <w:r>
              <w:rPr>
                <w:rFonts w:ascii="Arial" w:cs="Arial" w:eastAsia="Arial" w:hAnsi="Arial"/>
                <w:sz w:val="16"/>
                <w:szCs w:val="16"/>
                <w:color w:val="auto"/>
              </w:rPr>
              <w:t>Weighted average interest rate</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5.56 %</w:t>
            </w: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5.56 %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4.75 %</w:t>
            </w: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4.75 %</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ind w:left="640" w:hanging="315"/>
        <w:spacing w:after="0" w:line="266" w:lineRule="auto"/>
        <w:tabs>
          <w:tab w:leader="none" w:pos="634"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Included in Accounts and notes receivable (payable)–affiliated companies on Houston Electric’s and CERC’s respective Condensed Consolidated Balance Sheets.</w:t>
      </w:r>
    </w:p>
    <w:p>
      <w:pPr>
        <w:spacing w:after="0" w:line="206" w:lineRule="exact"/>
        <w:rPr>
          <w:sz w:val="20"/>
          <w:szCs w:val="20"/>
          <w:color w:val="auto"/>
        </w:rPr>
      </w:pPr>
    </w:p>
    <w:p>
      <w:pPr>
        <w:jc w:val="both"/>
        <w:ind w:firstLine="319"/>
        <w:spacing w:after="0" w:line="286" w:lineRule="auto"/>
        <w:rPr>
          <w:sz w:val="20"/>
          <w:szCs w:val="20"/>
          <w:color w:val="auto"/>
        </w:rPr>
      </w:pPr>
      <w:r>
        <w:rPr>
          <w:rFonts w:ascii="Arial" w:cs="Arial" w:eastAsia="Arial" w:hAnsi="Arial"/>
          <w:sz w:val="16"/>
          <w:szCs w:val="16"/>
          <w:color w:val="auto"/>
        </w:rPr>
        <w:t>CenterPoint Energy provides some corporate services to Houston Electric and CERC. The costs of services have been charged directly to Houston Electric and CERC using methods that management believes are reasonable. These methods include usage rates, dedicated asset assignment and proportionate corporate formulas based on operating expenses, assets, gross margin, employees and a composite of assets, gross margin and employees. Houston Electric provides certain services to CERC. These services are billed at actual cost, either directly or as an allocation and include fleet services, shop services, geographic services, surveying and right-of-way services, radio communications, data circuit management and field operations. Additionally, CERC provides certain services to Houston Electric. These services are billed at actual cost, either directly or as an allocation and include line locating and other miscellaneous services. These charges are not necessarily indicative of what would have been incurred had Houston Electric and CERC not been affiliates.</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Amounts charged for these services were as follows and are included primarily in operation and maintenance expenses: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Three Months Ended September 30,</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20" w:type="dxa"/>
            <w:vAlign w:val="bottom"/>
            <w:gridSpan w:val="5"/>
          </w:tcPr>
          <w:p>
            <w:pPr>
              <w:ind w:left="60"/>
              <w:spacing w:after="0"/>
              <w:rPr>
                <w:sz w:val="20"/>
                <w:szCs w:val="20"/>
                <w:color w:val="auto"/>
              </w:rPr>
            </w:pPr>
            <w:r>
              <w:rPr>
                <w:rFonts w:ascii="Arial" w:cs="Arial" w:eastAsia="Arial" w:hAnsi="Arial"/>
                <w:sz w:val="14"/>
                <w:szCs w:val="14"/>
                <w:b w:val="1"/>
                <w:bCs w:val="1"/>
                <w:color w:val="auto"/>
                <w:w w:val="92"/>
              </w:rPr>
              <w:t>Nine Months Ended September 30,</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7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7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4"/>
                <w:szCs w:val="14"/>
                <w:b w:val="1"/>
                <w:bCs w:val="1"/>
                <w:color w:val="auto"/>
              </w:rPr>
              <w:t>2023</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45"/>
              <w:spacing w:after="0"/>
              <w:rPr>
                <w:sz w:val="20"/>
                <w:szCs w:val="20"/>
                <w:color w:val="auto"/>
              </w:rPr>
            </w:pPr>
            <w:r>
              <w:rPr>
                <w:rFonts w:ascii="Arial" w:cs="Arial" w:eastAsia="Arial" w:hAnsi="Arial"/>
                <w:sz w:val="14"/>
                <w:szCs w:val="14"/>
                <w:b w:val="1"/>
                <w:bCs w:val="1"/>
                <w:color w:val="auto"/>
              </w:rPr>
              <w:t>2023</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700" w:type="dxa"/>
            <w:vAlign w:val="bottom"/>
          </w:tcPr>
          <w:p>
            <w:pPr>
              <w:spacing w:after="0"/>
              <w:rPr>
                <w:sz w:val="11"/>
                <w:szCs w:val="11"/>
                <w:color w:val="auto"/>
              </w:rPr>
            </w:pPr>
          </w:p>
        </w:tc>
        <w:tc>
          <w:tcPr>
            <w:tcW w:w="740" w:type="dxa"/>
            <w:vAlign w:val="bottom"/>
          </w:tcPr>
          <w:p>
            <w:pPr>
              <w:jc w:val="center"/>
              <w:ind w:left="166"/>
              <w:spacing w:after="0" w:line="133" w:lineRule="exact"/>
              <w:rPr>
                <w:sz w:val="20"/>
                <w:szCs w:val="20"/>
                <w:color w:val="auto"/>
              </w:rPr>
            </w:pPr>
            <w:r>
              <w:rPr>
                <w:rFonts w:ascii="Arial" w:cs="Arial" w:eastAsia="Arial" w:hAnsi="Arial"/>
                <w:sz w:val="14"/>
                <w:szCs w:val="14"/>
                <w:b w:val="1"/>
                <w:bCs w:val="1"/>
                <w:color w:val="auto"/>
                <w:w w:val="87"/>
              </w:rPr>
              <w:t>Houston</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CERC</w:t>
            </w:r>
          </w:p>
        </w:tc>
        <w:tc>
          <w:tcPr>
            <w:tcW w:w="160" w:type="dxa"/>
            <w:vAlign w:val="bottom"/>
          </w:tcPr>
          <w:p>
            <w:pPr>
              <w:spacing w:after="0"/>
              <w:rPr>
                <w:sz w:val="11"/>
                <w:szCs w:val="11"/>
                <w:color w:val="auto"/>
              </w:rPr>
            </w:pPr>
          </w:p>
        </w:tc>
        <w:tc>
          <w:tcPr>
            <w:tcW w:w="900" w:type="dxa"/>
            <w:vAlign w:val="bottom"/>
          </w:tcPr>
          <w:p>
            <w:pPr>
              <w:jc w:val="right"/>
              <w:ind w:right="246"/>
              <w:spacing w:after="0" w:line="133" w:lineRule="exact"/>
              <w:rPr>
                <w:sz w:val="20"/>
                <w:szCs w:val="20"/>
                <w:color w:val="auto"/>
              </w:rPr>
            </w:pPr>
            <w:r>
              <w:rPr>
                <w:rFonts w:ascii="Arial" w:cs="Arial" w:eastAsia="Arial" w:hAnsi="Arial"/>
                <w:sz w:val="14"/>
                <w:szCs w:val="14"/>
                <w:b w:val="1"/>
                <w:bCs w:val="1"/>
                <w:color w:val="auto"/>
                <w:w w:val="98"/>
              </w:rPr>
              <w:t>Houston</w:t>
            </w:r>
          </w:p>
        </w:tc>
        <w:tc>
          <w:tcPr>
            <w:tcW w:w="200" w:type="dxa"/>
            <w:vAlign w:val="bottom"/>
          </w:tcPr>
          <w:p>
            <w:pPr>
              <w:spacing w:after="0"/>
              <w:rPr>
                <w:sz w:val="11"/>
                <w:szCs w:val="11"/>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160" w:type="dxa"/>
            <w:vAlign w:val="bottom"/>
          </w:tcPr>
          <w:p>
            <w:pPr>
              <w:spacing w:after="0"/>
              <w:rPr>
                <w:sz w:val="11"/>
                <w:szCs w:val="11"/>
                <w:color w:val="auto"/>
              </w:rPr>
            </w:pPr>
          </w:p>
        </w:tc>
        <w:tc>
          <w:tcPr>
            <w:tcW w:w="840" w:type="dxa"/>
            <w:vAlign w:val="bottom"/>
          </w:tcPr>
          <w:p>
            <w:pPr>
              <w:jc w:val="center"/>
              <w:ind w:right="126"/>
              <w:spacing w:after="0" w:line="133" w:lineRule="exact"/>
              <w:rPr>
                <w:sz w:val="20"/>
                <w:szCs w:val="20"/>
                <w:color w:val="auto"/>
              </w:rPr>
            </w:pPr>
            <w:r>
              <w:rPr>
                <w:rFonts w:ascii="Arial" w:cs="Arial" w:eastAsia="Arial" w:hAnsi="Arial"/>
                <w:sz w:val="14"/>
                <w:szCs w:val="14"/>
                <w:b w:val="1"/>
                <w:bCs w:val="1"/>
                <w:color w:val="auto"/>
                <w:w w:val="91"/>
              </w:rPr>
              <w:t>Houston</w:t>
            </w:r>
          </w:p>
        </w:tc>
        <w:tc>
          <w:tcPr>
            <w:tcW w:w="280" w:type="dxa"/>
            <w:vAlign w:val="bottom"/>
          </w:tcPr>
          <w:p>
            <w:pPr>
              <w:spacing w:after="0"/>
              <w:rPr>
                <w:sz w:val="11"/>
                <w:szCs w:val="11"/>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CERC</w:t>
            </w:r>
          </w:p>
        </w:tc>
        <w:tc>
          <w:tcPr>
            <w:tcW w:w="16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4"/>
                <w:szCs w:val="14"/>
                <w:b w:val="1"/>
                <w:bCs w:val="1"/>
                <w:color w:val="auto"/>
              </w:rPr>
              <w:t>Houston</w:t>
            </w:r>
          </w:p>
        </w:tc>
        <w:tc>
          <w:tcPr>
            <w:tcW w:w="220" w:type="dxa"/>
            <w:vAlign w:val="bottom"/>
          </w:tcPr>
          <w:p>
            <w:pPr>
              <w:spacing w:after="0"/>
              <w:rPr>
                <w:sz w:val="11"/>
                <w:szCs w:val="11"/>
                <w:color w:val="auto"/>
              </w:rPr>
            </w:pPr>
          </w:p>
        </w:tc>
        <w:tc>
          <w:tcPr>
            <w:tcW w:w="780" w:type="dxa"/>
            <w:vAlign w:val="bottom"/>
            <w:vMerge w:val="restart"/>
          </w:tcPr>
          <w:p>
            <w:pPr>
              <w:jc w:val="right"/>
              <w:ind w:right="203"/>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3"/>
        </w:trPr>
        <w:tc>
          <w:tcPr>
            <w:tcW w:w="2700" w:type="dxa"/>
            <w:vAlign w:val="bottom"/>
          </w:tcPr>
          <w:p>
            <w:pPr>
              <w:spacing w:after="0"/>
              <w:rPr>
                <w:sz w:val="16"/>
                <w:szCs w:val="16"/>
                <w:color w:val="auto"/>
              </w:rPr>
            </w:pPr>
          </w:p>
        </w:tc>
        <w:tc>
          <w:tcPr>
            <w:tcW w:w="740" w:type="dxa"/>
            <w:vAlign w:val="bottom"/>
            <w:tcBorders>
              <w:bottom w:val="single" w:sz="8" w:color="auto"/>
            </w:tcBorders>
          </w:tcPr>
          <w:p>
            <w:pPr>
              <w:jc w:val="center"/>
              <w:ind w:left="166"/>
              <w:spacing w:after="0"/>
              <w:rPr>
                <w:sz w:val="20"/>
                <w:szCs w:val="20"/>
                <w:color w:val="auto"/>
              </w:rPr>
            </w:pPr>
            <w:r>
              <w:rPr>
                <w:rFonts w:ascii="Arial" w:cs="Arial" w:eastAsia="Arial" w:hAnsi="Arial"/>
                <w:sz w:val="14"/>
                <w:szCs w:val="14"/>
                <w:b w:val="1"/>
                <w:bCs w:val="1"/>
                <w:color w:val="auto"/>
                <w:w w:val="90"/>
              </w:rPr>
              <w:t>Electric</w:t>
            </w: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66"/>
              <w:spacing w:after="0"/>
              <w:rPr>
                <w:sz w:val="20"/>
                <w:szCs w:val="20"/>
                <w:color w:val="auto"/>
              </w:rPr>
            </w:pPr>
            <w:r>
              <w:rPr>
                <w:rFonts w:ascii="Arial" w:cs="Arial" w:eastAsia="Arial" w:hAnsi="Arial"/>
                <w:sz w:val="14"/>
                <w:szCs w:val="14"/>
                <w:b w:val="1"/>
                <w:bCs w:val="1"/>
                <w:color w:val="auto"/>
              </w:rPr>
              <w:t>Electric</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26"/>
              <w:spacing w:after="0"/>
              <w:rPr>
                <w:sz w:val="20"/>
                <w:szCs w:val="20"/>
                <w:color w:val="auto"/>
              </w:rPr>
            </w:pPr>
            <w:r>
              <w:rPr>
                <w:rFonts w:ascii="Arial" w:cs="Arial" w:eastAsia="Arial" w:hAnsi="Arial"/>
                <w:sz w:val="14"/>
                <w:szCs w:val="14"/>
                <w:b w:val="1"/>
                <w:bCs w:val="1"/>
                <w:color w:val="auto"/>
                <w:w w:val="94"/>
              </w:rPr>
              <w:t>Electric</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Electric</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4"/>
          </w:tcPr>
          <w:p>
            <w:pPr>
              <w:ind w:left="48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service charges</w:t>
            </w:r>
          </w:p>
        </w:tc>
        <w:tc>
          <w:tcPr>
            <w:tcW w:w="740" w:type="dxa"/>
            <w:vAlign w:val="bottom"/>
            <w:shd w:val="clear" w:color="auto" w:fill="CCEEFF"/>
          </w:tcPr>
          <w:p>
            <w:pPr>
              <w:jc w:val="right"/>
              <w:ind w:right="566"/>
              <w:spacing w:after="0"/>
              <w:rPr>
                <w:sz w:val="20"/>
                <w:szCs w:val="20"/>
                <w:color w:val="auto"/>
              </w:rPr>
            </w:pPr>
            <w:r>
              <w:rPr>
                <w:rFonts w:ascii="Arial" w:cs="Arial" w:eastAsia="Arial" w:hAnsi="Arial"/>
                <w:sz w:val="16"/>
                <w:szCs w:val="16"/>
                <w:color w:val="auto"/>
                <w:w w:val="89"/>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40</w:t>
            </w:r>
          </w:p>
        </w:tc>
        <w:tc>
          <w:tcPr>
            <w:tcW w:w="3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86"/>
              <w:spacing w:after="0"/>
              <w:rPr>
                <w:sz w:val="20"/>
                <w:szCs w:val="20"/>
                <w:color w:val="auto"/>
              </w:rPr>
            </w:pPr>
            <w:r>
              <w:rPr>
                <w:rFonts w:ascii="Arial" w:cs="Arial" w:eastAsia="Arial" w:hAnsi="Arial"/>
                <w:sz w:val="16"/>
                <w:szCs w:val="16"/>
                <w:color w:val="auto"/>
              </w:rPr>
              <w:t>38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115</w:t>
            </w:r>
          </w:p>
        </w:tc>
        <w:tc>
          <w:tcPr>
            <w:tcW w:w="2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114</w:t>
            </w:r>
          </w:p>
        </w:tc>
        <w:tc>
          <w:tcPr>
            <w:tcW w:w="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08"/>
        </w:trPr>
        <w:tc>
          <w:tcPr>
            <w:tcW w:w="2700" w:type="dxa"/>
            <w:vAlign w:val="bottom"/>
          </w:tcPr>
          <w:p>
            <w:pPr>
              <w:ind w:left="20"/>
              <w:spacing w:after="0"/>
              <w:rPr>
                <w:sz w:val="20"/>
                <w:szCs w:val="20"/>
                <w:color w:val="auto"/>
              </w:rPr>
            </w:pPr>
            <w:r>
              <w:rPr>
                <w:rFonts w:ascii="Arial" w:cs="Arial" w:eastAsia="Arial" w:hAnsi="Arial"/>
                <w:sz w:val="16"/>
                <w:szCs w:val="16"/>
                <w:color w:val="auto"/>
              </w:rPr>
              <w:t>Net affiliate service charges (billings)</w:t>
            </w:r>
          </w:p>
        </w:tc>
        <w:tc>
          <w:tcPr>
            <w:tcW w:w="74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8"/>
                <w:szCs w:val="18"/>
                <w:color w:val="auto"/>
              </w:rPr>
            </w:pPr>
          </w:p>
        </w:tc>
        <w:tc>
          <w:tcPr>
            <w:tcW w:w="780" w:type="dxa"/>
            <w:vAlign w:val="bottom"/>
          </w:tcPr>
          <w:p>
            <w:pPr>
              <w:jc w:val="right"/>
              <w:ind w:right="3"/>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86"/>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8"/>
                <w:szCs w:val="18"/>
                <w:color w:val="auto"/>
              </w:rPr>
            </w:pPr>
          </w:p>
        </w:tc>
        <w:tc>
          <w:tcPr>
            <w:tcW w:w="780" w:type="dxa"/>
            <w:vAlign w:val="bottom"/>
          </w:tcPr>
          <w:p>
            <w:pPr>
              <w:ind w:left="580"/>
              <w:spacing w:after="0"/>
              <w:rPr>
                <w:sz w:val="20"/>
                <w:szCs w:val="20"/>
                <w:color w:val="auto"/>
              </w:rPr>
            </w:pPr>
            <w:r>
              <w:rPr>
                <w:rFonts w:ascii="Arial" w:cs="Arial" w:eastAsia="Arial" w:hAnsi="Arial"/>
                <w:sz w:val="16"/>
                <w:szCs w:val="16"/>
                <w:color w:val="auto"/>
                <w:w w:val="91"/>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w:t>
            </w:r>
          </w:p>
        </w:tc>
        <w:tc>
          <w:tcPr>
            <w:tcW w:w="280" w:type="dxa"/>
            <w:vAlign w:val="bottom"/>
          </w:tcPr>
          <w:p>
            <w:pPr>
              <w:spacing w:after="0"/>
              <w:rPr>
                <w:sz w:val="18"/>
                <w:szCs w:val="18"/>
                <w:color w:val="auto"/>
              </w:rPr>
            </w:pPr>
          </w:p>
        </w:tc>
        <w:tc>
          <w:tcPr>
            <w:tcW w:w="780" w:type="dxa"/>
            <w:vAlign w:val="bottom"/>
          </w:tcPr>
          <w:p>
            <w:pPr>
              <w:jc w:val="right"/>
              <w:ind w:right="3"/>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ind w:left="540"/>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bl>
    <w:p>
      <w:pPr>
        <w:spacing w:after="0" w:line="3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presents transactions among Houston Electric, CERC and their parent, CenterPoint Energy.</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8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Three Months Ended September 30,</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2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Nine Months Ended September 30,</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4"/>
                <w:szCs w:val="14"/>
                <w:b w:val="1"/>
                <w:bCs w:val="1"/>
                <w:color w:val="auto"/>
              </w:rPr>
              <w:t>2023</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4"/>
                <w:szCs w:val="14"/>
                <w:b w:val="1"/>
                <w:bCs w:val="1"/>
                <w:color w:val="auto"/>
              </w:rPr>
              <w:t>2023</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123"/>
              <w:spacing w:after="0" w:line="137" w:lineRule="exact"/>
              <w:rPr>
                <w:sz w:val="20"/>
                <w:szCs w:val="20"/>
                <w:color w:val="auto"/>
              </w:rPr>
            </w:pPr>
            <w:r>
              <w:rPr>
                <w:rFonts w:ascii="Arial" w:cs="Arial" w:eastAsia="Arial" w:hAnsi="Arial"/>
                <w:sz w:val="14"/>
                <w:szCs w:val="14"/>
                <w:b w:val="1"/>
                <w:bCs w:val="1"/>
                <w:color w:val="auto"/>
                <w:w w:val="98"/>
              </w:rPr>
              <w:t>Houston</w:t>
            </w:r>
          </w:p>
        </w:tc>
        <w:tc>
          <w:tcPr>
            <w:tcW w:w="320" w:type="dxa"/>
            <w:vAlign w:val="bottom"/>
          </w:tcPr>
          <w:p>
            <w:pPr>
              <w:spacing w:after="0"/>
              <w:rPr>
                <w:sz w:val="11"/>
                <w:szCs w:val="11"/>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160" w:type="dxa"/>
            <w:vAlign w:val="bottom"/>
          </w:tcPr>
          <w:p>
            <w:pPr>
              <w:spacing w:after="0"/>
              <w:rPr>
                <w:sz w:val="11"/>
                <w:szCs w:val="11"/>
                <w:color w:val="auto"/>
              </w:rPr>
            </w:pPr>
          </w:p>
        </w:tc>
        <w:tc>
          <w:tcPr>
            <w:tcW w:w="920" w:type="dxa"/>
            <w:vAlign w:val="bottom"/>
          </w:tcPr>
          <w:p>
            <w:pPr>
              <w:jc w:val="right"/>
              <w:ind w:right="263"/>
              <w:spacing w:after="0" w:line="137" w:lineRule="exact"/>
              <w:rPr>
                <w:sz w:val="20"/>
                <w:szCs w:val="20"/>
                <w:color w:val="auto"/>
              </w:rPr>
            </w:pPr>
            <w:r>
              <w:rPr>
                <w:rFonts w:ascii="Arial" w:cs="Arial" w:eastAsia="Arial" w:hAnsi="Arial"/>
                <w:sz w:val="14"/>
                <w:szCs w:val="14"/>
                <w:b w:val="1"/>
                <w:bCs w:val="1"/>
                <w:color w:val="auto"/>
                <w:w w:val="98"/>
              </w:rPr>
              <w:t>Houston</w:t>
            </w:r>
          </w:p>
        </w:tc>
        <w:tc>
          <w:tcPr>
            <w:tcW w:w="200" w:type="dxa"/>
            <w:vAlign w:val="bottom"/>
          </w:tcPr>
          <w:p>
            <w:pPr>
              <w:spacing w:after="0"/>
              <w:rPr>
                <w:sz w:val="11"/>
                <w:szCs w:val="11"/>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CERC</w:t>
            </w:r>
          </w:p>
        </w:tc>
        <w:tc>
          <w:tcPr>
            <w:tcW w:w="160" w:type="dxa"/>
            <w:vAlign w:val="bottom"/>
          </w:tcPr>
          <w:p>
            <w:pPr>
              <w:spacing w:after="0"/>
              <w:rPr>
                <w:sz w:val="11"/>
                <w:szCs w:val="11"/>
                <w:color w:val="auto"/>
              </w:rPr>
            </w:pPr>
          </w:p>
        </w:tc>
        <w:tc>
          <w:tcPr>
            <w:tcW w:w="820" w:type="dxa"/>
            <w:vAlign w:val="bottom"/>
          </w:tcPr>
          <w:p>
            <w:pPr>
              <w:jc w:val="right"/>
              <w:ind w:right="163"/>
              <w:spacing w:after="0" w:line="137" w:lineRule="exact"/>
              <w:rPr>
                <w:sz w:val="20"/>
                <w:szCs w:val="20"/>
                <w:color w:val="auto"/>
              </w:rPr>
            </w:pPr>
            <w:r>
              <w:rPr>
                <w:rFonts w:ascii="Arial" w:cs="Arial" w:eastAsia="Arial" w:hAnsi="Arial"/>
                <w:sz w:val="14"/>
                <w:szCs w:val="14"/>
                <w:b w:val="1"/>
                <w:bCs w:val="1"/>
                <w:color w:val="auto"/>
                <w:w w:val="98"/>
              </w:rPr>
              <w:t>Houston</w:t>
            </w:r>
          </w:p>
        </w:tc>
        <w:tc>
          <w:tcPr>
            <w:tcW w:w="280" w:type="dxa"/>
            <w:vAlign w:val="bottom"/>
          </w:tcPr>
          <w:p>
            <w:pPr>
              <w:spacing w:after="0"/>
              <w:rPr>
                <w:sz w:val="11"/>
                <w:szCs w:val="11"/>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160" w:type="dxa"/>
            <w:vAlign w:val="bottom"/>
          </w:tcPr>
          <w:p>
            <w:pPr>
              <w:spacing w:after="0"/>
              <w:rPr>
                <w:sz w:val="11"/>
                <w:szCs w:val="11"/>
                <w:color w:val="auto"/>
              </w:rPr>
            </w:pPr>
          </w:p>
        </w:tc>
        <w:tc>
          <w:tcPr>
            <w:tcW w:w="880" w:type="dxa"/>
            <w:vAlign w:val="bottom"/>
          </w:tcPr>
          <w:p>
            <w:pPr>
              <w:jc w:val="right"/>
              <w:ind w:right="223"/>
              <w:spacing w:after="0" w:line="137" w:lineRule="exact"/>
              <w:rPr>
                <w:sz w:val="20"/>
                <w:szCs w:val="20"/>
                <w:color w:val="auto"/>
              </w:rPr>
            </w:pPr>
            <w:r>
              <w:rPr>
                <w:rFonts w:ascii="Arial" w:cs="Arial" w:eastAsia="Arial" w:hAnsi="Arial"/>
                <w:sz w:val="14"/>
                <w:szCs w:val="14"/>
                <w:b w:val="1"/>
                <w:bCs w:val="1"/>
                <w:color w:val="auto"/>
                <w:w w:val="98"/>
              </w:rPr>
              <w:t>Houston</w:t>
            </w:r>
          </w:p>
        </w:tc>
        <w:tc>
          <w:tcPr>
            <w:tcW w:w="220" w:type="dxa"/>
            <w:vAlign w:val="bottom"/>
          </w:tcPr>
          <w:p>
            <w:pPr>
              <w:spacing w:after="0"/>
              <w:rPr>
                <w:sz w:val="11"/>
                <w:szCs w:val="11"/>
                <w:color w:val="auto"/>
              </w:rPr>
            </w:pPr>
          </w:p>
        </w:tc>
        <w:tc>
          <w:tcPr>
            <w:tcW w:w="78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0"/>
        </w:trPr>
        <w:tc>
          <w:tcPr>
            <w:tcW w:w="2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Electric</w:t>
            </w: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Electric</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Electric</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Electric</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4"/>
          </w:tcPr>
          <w:p>
            <w:pPr>
              <w:jc w:val="right"/>
              <w:ind w:right="583"/>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paid to parent</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3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74</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239</w:t>
            </w:r>
          </w:p>
        </w:tc>
        <w:tc>
          <w:tcPr>
            <w:tcW w:w="2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141</w:t>
            </w:r>
          </w:p>
        </w:tc>
        <w:tc>
          <w:tcPr>
            <w:tcW w:w="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163"/>
        </w:trPr>
        <w:tc>
          <w:tcPr>
            <w:tcW w:w="2740" w:type="dxa"/>
            <w:vAlign w:val="bottom"/>
          </w:tcPr>
          <w:p>
            <w:pPr>
              <w:ind w:left="20"/>
              <w:spacing w:after="0" w:line="163" w:lineRule="exact"/>
              <w:rPr>
                <w:sz w:val="20"/>
                <w:szCs w:val="20"/>
                <w:color w:val="auto"/>
              </w:rPr>
            </w:pPr>
            <w:r>
              <w:rPr>
                <w:rFonts w:ascii="Arial" w:cs="Arial" w:eastAsia="Arial" w:hAnsi="Arial"/>
                <w:sz w:val="16"/>
                <w:szCs w:val="16"/>
                <w:color w:val="auto"/>
                <w:w w:val="98"/>
              </w:rPr>
              <w:t>Cash dividend paid to parent related to</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740" w:type="dxa"/>
            <w:vAlign w:val="bottom"/>
          </w:tcPr>
          <w:p>
            <w:pPr>
              <w:ind w:left="180"/>
              <w:spacing w:after="0" w:line="160" w:lineRule="exact"/>
              <w:rPr>
                <w:sz w:val="20"/>
                <w:szCs w:val="20"/>
                <w:color w:val="auto"/>
              </w:rPr>
            </w:pPr>
            <w:r>
              <w:rPr>
                <w:rFonts w:ascii="Arial" w:cs="Arial" w:eastAsia="Arial" w:hAnsi="Arial"/>
                <w:sz w:val="16"/>
                <w:szCs w:val="16"/>
                <w:color w:val="auto"/>
              </w:rPr>
              <w:t>the sale of the Arkansas and</w:t>
            </w:r>
          </w:p>
        </w:tc>
        <w:tc>
          <w:tcPr>
            <w:tcW w:w="1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920" w:type="dxa"/>
            <w:vAlign w:val="bottom"/>
            <w:vMerge w:val="restart"/>
          </w:tcPr>
          <w:p>
            <w:pPr>
              <w:jc w:val="right"/>
              <w:ind w:right="83"/>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820" w:type="dxa"/>
            <w:vAlign w:val="bottom"/>
            <w:vMerge w:val="restart"/>
          </w:tcPr>
          <w:p>
            <w:pPr>
              <w:jc w:val="right"/>
              <w:ind w:right="3"/>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880" w:type="dxa"/>
            <w:vAlign w:val="bottom"/>
            <w:vMerge w:val="restart"/>
          </w:tcPr>
          <w:p>
            <w:pPr>
              <w:jc w:val="right"/>
              <w:ind w:right="6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07"/>
        </w:trPr>
        <w:tc>
          <w:tcPr>
            <w:tcW w:w="2740" w:type="dxa"/>
            <w:vAlign w:val="bottom"/>
          </w:tcPr>
          <w:p>
            <w:pPr>
              <w:ind w:left="180"/>
              <w:spacing w:after="0"/>
              <w:rPr>
                <w:sz w:val="20"/>
                <w:szCs w:val="20"/>
                <w:color w:val="auto"/>
              </w:rPr>
            </w:pPr>
            <w:r>
              <w:rPr>
                <w:rFonts w:ascii="Arial" w:cs="Arial" w:eastAsia="Arial" w:hAnsi="Arial"/>
                <w:sz w:val="16"/>
                <w:szCs w:val="16"/>
                <w:color w:val="auto"/>
              </w:rPr>
              <w:t>Oklahoma Natural Gas businesses</w:t>
            </w: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contribution from parent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885</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1,143</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0"/>
        </w:trPr>
        <w:tc>
          <w:tcPr>
            <w:tcW w:w="2740" w:type="dxa"/>
            <w:vAlign w:val="bottom"/>
          </w:tcPr>
          <w:p>
            <w:pPr>
              <w:ind w:left="20"/>
              <w:spacing w:after="0"/>
              <w:rPr>
                <w:sz w:val="20"/>
                <w:szCs w:val="20"/>
                <w:color w:val="auto"/>
              </w:rPr>
            </w:pPr>
            <w:r>
              <w:rPr>
                <w:rFonts w:ascii="Arial" w:cs="Arial" w:eastAsia="Arial" w:hAnsi="Arial"/>
                <w:sz w:val="16"/>
                <w:szCs w:val="16"/>
                <w:color w:val="auto"/>
                <w:w w:val="94"/>
              </w:rPr>
              <w:t>Net assets acquired in the Restructuring</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2,345</w:t>
            </w:r>
          </w:p>
        </w:tc>
        <w:tc>
          <w:tcPr>
            <w:tcW w:w="0" w:type="dxa"/>
            <w:vAlign w:val="bottom"/>
          </w:tcPr>
          <w:p>
            <w:pPr>
              <w:spacing w:after="0"/>
              <w:rPr>
                <w:sz w:val="1"/>
                <w:szCs w:val="1"/>
                <w:color w:val="auto"/>
              </w:rPr>
            </w:pPr>
          </w:p>
        </w:tc>
      </w:tr>
      <w:tr>
        <w:trPr>
          <w:trHeight w:val="166"/>
        </w:trPr>
        <w:tc>
          <w:tcPr>
            <w:tcW w:w="274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Non-cash capital contribution from</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740" w:type="dxa"/>
            <w:vAlign w:val="bottom"/>
            <w:shd w:val="clear" w:color="auto" w:fill="CCEEFF"/>
          </w:tcPr>
          <w:p>
            <w:pPr>
              <w:ind w:left="180"/>
              <w:spacing w:after="0" w:line="160" w:lineRule="exact"/>
              <w:rPr>
                <w:sz w:val="20"/>
                <w:szCs w:val="20"/>
                <w:color w:val="auto"/>
              </w:rPr>
            </w:pPr>
            <w:r>
              <w:rPr>
                <w:rFonts w:ascii="Arial" w:cs="Arial" w:eastAsia="Arial" w:hAnsi="Arial"/>
                <w:sz w:val="16"/>
                <w:szCs w:val="16"/>
                <w:color w:val="auto"/>
                <w:w w:val="98"/>
              </w:rPr>
              <w:t>parent in payment for property, plant</w:t>
            </w: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63"/>
              <w:spacing w:after="0"/>
              <w:rPr>
                <w:sz w:val="20"/>
                <w:szCs w:val="20"/>
                <w:color w:val="auto"/>
              </w:rPr>
            </w:pPr>
            <w:r>
              <w:rPr>
                <w:rFonts w:ascii="Arial" w:cs="Arial" w:eastAsia="Arial" w:hAnsi="Arial"/>
                <w:sz w:val="16"/>
                <w:szCs w:val="16"/>
                <w:color w:val="auto"/>
              </w:rPr>
              <w:t>38</w:t>
            </w:r>
          </w:p>
        </w:tc>
        <w:tc>
          <w:tcPr>
            <w:tcW w:w="2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9"/>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and equipment below</w:t>
            </w: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740" w:type="dxa"/>
            <w:vAlign w:val="bottom"/>
          </w:tcPr>
          <w:p>
            <w:pPr>
              <w:ind w:left="20"/>
              <w:spacing w:after="0" w:line="163" w:lineRule="exact"/>
              <w:rPr>
                <w:sz w:val="20"/>
                <w:szCs w:val="20"/>
                <w:color w:val="auto"/>
              </w:rPr>
            </w:pPr>
            <w:r>
              <w:rPr>
                <w:rFonts w:ascii="Arial" w:cs="Arial" w:eastAsia="Arial" w:hAnsi="Arial"/>
                <w:sz w:val="16"/>
                <w:szCs w:val="16"/>
                <w:color w:val="auto"/>
              </w:rPr>
              <w:t>Cash paid to parent for property, plant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20" w:type="dxa"/>
            <w:vAlign w:val="bottom"/>
            <w:vMerge w:val="restart"/>
          </w:tcPr>
          <w:p>
            <w:pPr>
              <w:jc w:val="right"/>
              <w:ind w:right="83"/>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20" w:type="dxa"/>
            <w:vAlign w:val="bottom"/>
            <w:vMerge w:val="restart"/>
          </w:tcPr>
          <w:p>
            <w:pPr>
              <w:jc w:val="right"/>
              <w:ind w:right="3"/>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80" w:type="dxa"/>
            <w:vAlign w:val="bottom"/>
            <w:vMerge w:val="restart"/>
          </w:tcPr>
          <w:p>
            <w:pPr>
              <w:jc w:val="right"/>
              <w:ind w:right="63"/>
              <w:spacing w:after="0"/>
              <w:rPr>
                <w:sz w:val="20"/>
                <w:szCs w:val="20"/>
                <w:color w:val="auto"/>
              </w:rPr>
            </w:pPr>
            <w:r>
              <w:rPr>
                <w:rFonts w:ascii="Arial" w:cs="Arial" w:eastAsia="Arial" w:hAnsi="Arial"/>
                <w:sz w:val="16"/>
                <w:szCs w:val="16"/>
                <w:color w:val="auto"/>
              </w:rPr>
              <w:t>65</w:t>
            </w: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7"/>
        </w:trPr>
        <w:tc>
          <w:tcPr>
            <w:tcW w:w="2740" w:type="dxa"/>
            <w:vAlign w:val="bottom"/>
          </w:tcPr>
          <w:p>
            <w:pPr>
              <w:ind w:left="180"/>
              <w:spacing w:after="0"/>
              <w:rPr>
                <w:sz w:val="20"/>
                <w:szCs w:val="20"/>
                <w:color w:val="auto"/>
              </w:rPr>
            </w:pPr>
            <w:r>
              <w:rPr>
                <w:rFonts w:ascii="Arial" w:cs="Arial" w:eastAsia="Arial" w:hAnsi="Arial"/>
                <w:sz w:val="16"/>
                <w:szCs w:val="16"/>
                <w:color w:val="auto"/>
              </w:rPr>
              <w:t>and equipment below</w:t>
            </w: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74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Property, plant and equipment from</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63"/>
              <w:spacing w:after="0"/>
              <w:rPr>
                <w:sz w:val="20"/>
                <w:szCs w:val="20"/>
                <w:color w:val="auto"/>
              </w:rPr>
            </w:pPr>
            <w:r>
              <w:rPr>
                <w:rFonts w:ascii="Arial" w:cs="Arial" w:eastAsia="Arial" w:hAnsi="Arial"/>
                <w:sz w:val="16"/>
                <w:szCs w:val="16"/>
                <w:color w:val="auto"/>
              </w:rPr>
              <w:t>103</w:t>
            </w: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09"/>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parent </w:t>
            </w:r>
            <w:r>
              <w:rPr>
                <w:rFonts w:ascii="Arial" w:cs="Arial" w:eastAsia="Arial" w:hAnsi="Arial"/>
                <w:sz w:val="12"/>
                <w:szCs w:val="12"/>
                <w:color w:val="auto"/>
              </w:rPr>
              <w:t>(1)</w:t>
            </w: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580" w:hanging="255"/>
        <w:spacing w:after="0"/>
        <w:tabs>
          <w:tab w:leader="none" w:pos="5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Property, plant and equipment purchased from CenterPoint Energy at its net carrying value on the date of purchase.</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left="340" w:hanging="334"/>
        <w:spacing w:after="0"/>
        <w:tabs>
          <w:tab w:leader="none" w:pos="3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Declared and Paid (CenterPoint Energy)</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4"/>
          </w:tcPr>
          <w:p>
            <w:pPr>
              <w:jc w:val="right"/>
              <w:ind w:right="365"/>
              <w:spacing w:after="0"/>
              <w:rPr>
                <w:sz w:val="20"/>
                <w:szCs w:val="20"/>
                <w:color w:val="auto"/>
              </w:rPr>
            </w:pPr>
            <w:r>
              <w:rPr>
                <w:rFonts w:ascii="Arial" w:cs="Arial" w:eastAsia="Arial" w:hAnsi="Arial"/>
                <w:sz w:val="14"/>
                <w:szCs w:val="14"/>
                <w:b w:val="1"/>
                <w:bCs w:val="1"/>
                <w:color w:val="auto"/>
              </w:rPr>
              <w:t>Dividends Declared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4"/>
          </w:tcPr>
          <w:p>
            <w:pPr>
              <w:jc w:val="right"/>
              <w:ind w:right="525"/>
              <w:spacing w:after="0"/>
              <w:rPr>
                <w:sz w:val="20"/>
                <w:szCs w:val="20"/>
                <w:color w:val="auto"/>
              </w:rPr>
            </w:pPr>
            <w:r>
              <w:rPr>
                <w:rFonts w:ascii="Arial" w:cs="Arial" w:eastAsia="Arial" w:hAnsi="Arial"/>
                <w:sz w:val="14"/>
                <w:szCs w:val="14"/>
                <w:b w:val="1"/>
                <w:bCs w:val="1"/>
                <w:color w:val="auto"/>
              </w:rPr>
              <w:t>Dividends Paid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93"/>
        </w:trPr>
        <w:tc>
          <w:tcPr>
            <w:tcW w:w="2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645"/>
              <w:spacing w:after="0"/>
              <w:rPr>
                <w:sz w:val="20"/>
                <w:szCs w:val="20"/>
                <w:color w:val="auto"/>
              </w:rPr>
            </w:pPr>
            <w:r>
              <w:rPr>
                <w:rFonts w:ascii="Arial" w:cs="Arial" w:eastAsia="Arial" w:hAnsi="Arial"/>
                <w:sz w:val="14"/>
                <w:szCs w:val="14"/>
                <w:b w:val="1"/>
                <w:bCs w:val="1"/>
                <w:color w:val="auto"/>
              </w:rPr>
              <w:t>Per Share</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665"/>
              <w:spacing w:after="0"/>
              <w:rPr>
                <w:sz w:val="20"/>
                <w:szCs w:val="20"/>
                <w:color w:val="auto"/>
              </w:rPr>
            </w:pPr>
            <w:r>
              <w:rPr>
                <w:rFonts w:ascii="Arial" w:cs="Arial" w:eastAsia="Arial" w:hAnsi="Arial"/>
                <w:sz w:val="14"/>
                <w:szCs w:val="14"/>
                <w:b w:val="1"/>
                <w:bCs w:val="1"/>
                <w:color w:val="auto"/>
              </w:rPr>
              <w:t>Per Share</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133"/>
        </w:trPr>
        <w:tc>
          <w:tcPr>
            <w:tcW w:w="2380" w:type="dxa"/>
            <w:vAlign w:val="bottom"/>
          </w:tcPr>
          <w:p>
            <w:pPr>
              <w:spacing w:after="0"/>
              <w:rPr>
                <w:sz w:val="11"/>
                <w:szCs w:val="11"/>
                <w:color w:val="auto"/>
              </w:rPr>
            </w:pPr>
          </w:p>
        </w:tc>
        <w:tc>
          <w:tcPr>
            <w:tcW w:w="2220" w:type="dxa"/>
            <w:vAlign w:val="bottom"/>
            <w:gridSpan w:val="7"/>
          </w:tcPr>
          <w:p>
            <w:pPr>
              <w:jc w:val="center"/>
              <w:ind w:right="80"/>
              <w:spacing w:after="0" w:line="133" w:lineRule="exact"/>
              <w:rPr>
                <w:sz w:val="20"/>
                <w:szCs w:val="20"/>
                <w:color w:val="auto"/>
              </w:rPr>
            </w:pPr>
            <w:r>
              <w:rPr>
                <w:rFonts w:ascii="Arial" w:cs="Arial" w:eastAsia="Arial" w:hAnsi="Arial"/>
                <w:sz w:val="14"/>
                <w:szCs w:val="14"/>
                <w:b w:val="1"/>
                <w:bCs w:val="1"/>
                <w:color w:val="auto"/>
                <w:w w:val="92"/>
              </w:rPr>
              <w:t>Three Months Ended September</w:t>
            </w:r>
          </w:p>
        </w:tc>
        <w:tc>
          <w:tcPr>
            <w:tcW w:w="120" w:type="dxa"/>
            <w:vAlign w:val="bottom"/>
          </w:tcPr>
          <w:p>
            <w:pPr>
              <w:spacing w:after="0"/>
              <w:rPr>
                <w:sz w:val="11"/>
                <w:szCs w:val="11"/>
                <w:color w:val="auto"/>
              </w:rPr>
            </w:pPr>
          </w:p>
        </w:tc>
        <w:tc>
          <w:tcPr>
            <w:tcW w:w="2020" w:type="dxa"/>
            <w:vAlign w:val="bottom"/>
            <w:gridSpan w:val="5"/>
          </w:tcPr>
          <w:p>
            <w:pPr>
              <w:jc w:val="center"/>
              <w:ind w:right="43"/>
              <w:spacing w:after="0" w:line="133" w:lineRule="exact"/>
              <w:rPr>
                <w:sz w:val="20"/>
                <w:szCs w:val="20"/>
                <w:color w:val="auto"/>
              </w:rPr>
            </w:pPr>
            <w:r>
              <w:rPr>
                <w:rFonts w:ascii="Arial" w:cs="Arial" w:eastAsia="Arial" w:hAnsi="Arial"/>
                <w:sz w:val="14"/>
                <w:szCs w:val="14"/>
                <w:b w:val="1"/>
                <w:bCs w:val="1"/>
                <w:color w:val="auto"/>
                <w:w w:val="91"/>
              </w:rPr>
              <w:t>Nine Months Ended September</w:t>
            </w:r>
          </w:p>
        </w:tc>
        <w:tc>
          <w:tcPr>
            <w:tcW w:w="120" w:type="dxa"/>
            <w:vAlign w:val="bottom"/>
          </w:tcPr>
          <w:p>
            <w:pPr>
              <w:spacing w:after="0"/>
              <w:rPr>
                <w:sz w:val="11"/>
                <w:szCs w:val="11"/>
                <w:color w:val="auto"/>
              </w:rPr>
            </w:pPr>
          </w:p>
        </w:tc>
        <w:tc>
          <w:tcPr>
            <w:tcW w:w="2240" w:type="dxa"/>
            <w:vAlign w:val="bottom"/>
            <w:gridSpan w:val="7"/>
          </w:tcPr>
          <w:p>
            <w:pPr>
              <w:jc w:val="center"/>
              <w:ind w:right="100"/>
              <w:spacing w:after="0" w:line="133" w:lineRule="exact"/>
              <w:rPr>
                <w:sz w:val="20"/>
                <w:szCs w:val="20"/>
                <w:color w:val="auto"/>
              </w:rPr>
            </w:pPr>
            <w:r>
              <w:rPr>
                <w:rFonts w:ascii="Arial" w:cs="Arial" w:eastAsia="Arial" w:hAnsi="Arial"/>
                <w:sz w:val="14"/>
                <w:szCs w:val="14"/>
                <w:b w:val="1"/>
                <w:bCs w:val="1"/>
                <w:color w:val="auto"/>
                <w:w w:val="92"/>
              </w:rPr>
              <w:t>Three Months Ended September</w:t>
            </w:r>
          </w:p>
        </w:tc>
        <w:tc>
          <w:tcPr>
            <w:tcW w:w="100" w:type="dxa"/>
            <w:vAlign w:val="bottom"/>
          </w:tcPr>
          <w:p>
            <w:pPr>
              <w:spacing w:after="0"/>
              <w:rPr>
                <w:sz w:val="11"/>
                <w:szCs w:val="11"/>
                <w:color w:val="auto"/>
              </w:rPr>
            </w:pPr>
          </w:p>
        </w:tc>
        <w:tc>
          <w:tcPr>
            <w:tcW w:w="2040" w:type="dxa"/>
            <w:vAlign w:val="bottom"/>
            <w:gridSpan w:val="5"/>
          </w:tcPr>
          <w:p>
            <w:pPr>
              <w:jc w:val="center"/>
              <w:ind w:right="23"/>
              <w:spacing w:after="0" w:line="133" w:lineRule="exact"/>
              <w:rPr>
                <w:sz w:val="20"/>
                <w:szCs w:val="20"/>
                <w:color w:val="auto"/>
              </w:rPr>
            </w:pPr>
            <w:r>
              <w:rPr>
                <w:rFonts w:ascii="Arial" w:cs="Arial" w:eastAsia="Arial" w:hAnsi="Arial"/>
                <w:sz w:val="14"/>
                <w:szCs w:val="14"/>
                <w:b w:val="1"/>
                <w:bCs w:val="1"/>
                <w:color w:val="auto"/>
                <w:w w:val="91"/>
              </w:rPr>
              <w:t>Nine Months Ended September</w:t>
            </w:r>
          </w:p>
        </w:tc>
      </w:tr>
      <w:tr>
        <w:trPr>
          <w:trHeight w:val="193"/>
        </w:trPr>
        <w:tc>
          <w:tcPr>
            <w:tcW w:w="2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92"/>
              </w:rPr>
              <w:t>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81"/>
              </w:rPr>
              <w:t>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92"/>
              </w:rPr>
              <w:t>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81"/>
              </w:rPr>
              <w:t>30,</w:t>
            </w:r>
          </w:p>
        </w:tc>
        <w:tc>
          <w:tcPr>
            <w:tcW w:w="780" w:type="dxa"/>
            <w:vAlign w:val="bottom"/>
            <w:tcBorders>
              <w:bottom w:val="single" w:sz="8" w:color="auto"/>
            </w:tcBorders>
          </w:tcPr>
          <w:p>
            <w:pPr>
              <w:spacing w:after="0"/>
              <w:rPr>
                <w:sz w:val="16"/>
                <w:szCs w:val="16"/>
                <w:color w:val="auto"/>
              </w:rPr>
            </w:pPr>
          </w:p>
        </w:tc>
      </w:tr>
      <w:tr>
        <w:trPr>
          <w:trHeight w:val="193"/>
        </w:trPr>
        <w:tc>
          <w:tcPr>
            <w:tcW w:w="23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2022</w:t>
            </w:r>
          </w:p>
        </w:tc>
      </w:tr>
      <w:tr>
        <w:trPr>
          <w:trHeight w:val="213"/>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w:t>
            </w:r>
          </w:p>
        </w:tc>
        <w:tc>
          <w:tcPr>
            <w:tcW w:w="24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0.390</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0.580</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0.530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0.190</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0.180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0.570</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0.520</w:t>
            </w:r>
          </w:p>
        </w:tc>
      </w:tr>
      <w:tr>
        <w:trPr>
          <w:trHeight w:val="208"/>
        </w:trPr>
        <w:tc>
          <w:tcPr>
            <w:tcW w:w="2380" w:type="dxa"/>
            <w:vAlign w:val="bottom"/>
          </w:tcPr>
          <w:p>
            <w:pPr>
              <w:ind w:left="20"/>
              <w:spacing w:after="0"/>
              <w:rPr>
                <w:sz w:val="20"/>
                <w:szCs w:val="20"/>
                <w:color w:val="auto"/>
              </w:rPr>
            </w:pPr>
            <w:r>
              <w:rPr>
                <w:rFonts w:ascii="Arial" w:cs="Arial" w:eastAsia="Arial" w:hAnsi="Arial"/>
                <w:sz w:val="16"/>
                <w:szCs w:val="16"/>
                <w:color w:val="auto"/>
              </w:rPr>
              <w:t>Series A Preferred Stock</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30.625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30.625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30.625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30.625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30.625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6"/>
              <w:spacing w:after="0"/>
              <w:rPr>
                <w:sz w:val="20"/>
                <w:szCs w:val="20"/>
                <w:color w:val="auto"/>
              </w:rPr>
            </w:pPr>
            <w:r>
              <w:rPr>
                <w:rFonts w:ascii="Arial" w:cs="Arial" w:eastAsia="Arial" w:hAnsi="Arial"/>
                <w:sz w:val="16"/>
                <w:szCs w:val="16"/>
                <w:color w:val="auto"/>
              </w:rPr>
              <w:t>30.625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61.250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61.250</w:t>
            </w: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Stock Redemption (CenterPoint Energy)</w:t>
      </w:r>
    </w:p>
    <w:p>
      <w:pPr>
        <w:spacing w:after="0" w:line="99"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On September 1, 2023, CenterPoint Energy redeemed 800,000 shares of CenterPoint Energy’s Series A Preferred Stock, in whole for cash at a redemption price of $1,000 per share, plus any accumulated and unpaid dividends thereon to, but excluding, the redemption date.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(CenterPoint Energy)</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vMerge w:val="restart"/>
          </w:tcPr>
          <w:p>
            <w:pPr>
              <w:jc w:val="center"/>
              <w:ind w:right="146"/>
              <w:spacing w:after="0"/>
              <w:rPr>
                <w:sz w:val="20"/>
                <w:szCs w:val="20"/>
                <w:color w:val="auto"/>
              </w:rPr>
            </w:pPr>
            <w:r>
              <w:rPr>
                <w:rFonts w:ascii="Arial" w:cs="Arial" w:eastAsia="Arial" w:hAnsi="Arial"/>
                <w:sz w:val="14"/>
                <w:szCs w:val="14"/>
                <w:b w:val="1"/>
                <w:bCs w:val="1"/>
                <w:color w:val="auto"/>
                <w:w w:val="92"/>
              </w:rPr>
              <w:t>Liquidation Preference</w:t>
            </w:r>
          </w:p>
        </w:tc>
        <w:tc>
          <w:tcPr>
            <w:tcW w:w="3460" w:type="dxa"/>
            <w:vAlign w:val="bottom"/>
            <w:gridSpan w:val="4"/>
          </w:tcPr>
          <w:p>
            <w:pPr>
              <w:ind w:left="920"/>
              <w:spacing w:after="0"/>
              <w:rPr>
                <w:sz w:val="20"/>
                <w:szCs w:val="20"/>
                <w:color w:val="auto"/>
              </w:rPr>
            </w:pPr>
            <w:r>
              <w:rPr>
                <w:rFonts w:ascii="Arial" w:cs="Arial" w:eastAsia="Arial" w:hAnsi="Arial"/>
                <w:sz w:val="14"/>
                <w:szCs w:val="14"/>
                <w:b w:val="1"/>
                <w:bCs w:val="1"/>
                <w:color w:val="auto"/>
              </w:rPr>
              <w:t>Shares Outstanding as of</w:t>
            </w:r>
          </w:p>
        </w:tc>
        <w:tc>
          <w:tcPr>
            <w:tcW w:w="160" w:type="dxa"/>
            <w:vAlign w:val="bottom"/>
          </w:tcPr>
          <w:p>
            <w:pPr>
              <w:spacing w:after="0"/>
              <w:rPr>
                <w:sz w:val="16"/>
                <w:szCs w:val="16"/>
                <w:color w:val="auto"/>
              </w:rPr>
            </w:pPr>
          </w:p>
        </w:tc>
        <w:tc>
          <w:tcPr>
            <w:tcW w:w="3200" w:type="dxa"/>
            <w:vAlign w:val="bottom"/>
            <w:gridSpan w:val="4"/>
          </w:tcPr>
          <w:p>
            <w:pPr>
              <w:jc w:val="right"/>
              <w:ind w:right="883"/>
              <w:spacing w:after="0"/>
              <w:rPr>
                <w:sz w:val="20"/>
                <w:szCs w:val="20"/>
                <w:color w:val="auto"/>
              </w:rPr>
            </w:pPr>
            <w:r>
              <w:rPr>
                <w:rFonts w:ascii="Arial" w:cs="Arial" w:eastAsia="Arial" w:hAnsi="Arial"/>
                <w:sz w:val="14"/>
                <w:szCs w:val="14"/>
                <w:b w:val="1"/>
                <w:bCs w:val="1"/>
                <w:color w:val="auto"/>
              </w:rPr>
              <w:t>Outstanding Value as of</w:t>
            </w:r>
          </w:p>
        </w:tc>
        <w:tc>
          <w:tcPr>
            <w:tcW w:w="0" w:type="dxa"/>
            <w:vAlign w:val="bottom"/>
          </w:tcPr>
          <w:p>
            <w:pPr>
              <w:spacing w:after="0"/>
              <w:rPr>
                <w:sz w:val="1"/>
                <w:szCs w:val="1"/>
                <w:color w:val="auto"/>
              </w:rPr>
            </w:pPr>
          </w:p>
        </w:tc>
      </w:tr>
      <w:tr>
        <w:trPr>
          <w:trHeight w:val="24"/>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7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46"/>
              <w:spacing w:after="0"/>
              <w:rPr>
                <w:sz w:val="20"/>
                <w:szCs w:val="20"/>
                <w:color w:val="auto"/>
              </w:rPr>
            </w:pPr>
            <w:r>
              <w:rPr>
                <w:rFonts w:ascii="Arial" w:cs="Arial" w:eastAsia="Arial" w:hAnsi="Arial"/>
                <w:sz w:val="14"/>
                <w:szCs w:val="14"/>
                <w:b w:val="1"/>
                <w:bCs w:val="1"/>
                <w:color w:val="auto"/>
                <w:w w:val="91"/>
              </w:rPr>
              <w:t>Per Share</w:t>
            </w:r>
          </w:p>
        </w:tc>
        <w:tc>
          <w:tcPr>
            <w:tcW w:w="17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September 30, 2023</w:t>
            </w:r>
          </w:p>
        </w:tc>
        <w:tc>
          <w:tcPr>
            <w:tcW w:w="17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0"/>
              </w:rPr>
              <w:t>December 31, 2022</w:t>
            </w: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w w:val="95"/>
              </w:rPr>
              <w:t>December 31, 2022</w:t>
            </w:r>
          </w:p>
        </w:tc>
        <w:tc>
          <w:tcPr>
            <w:tcW w:w="0" w:type="dxa"/>
            <w:vAlign w:val="bottom"/>
          </w:tcPr>
          <w:p>
            <w:pPr>
              <w:spacing w:after="0"/>
              <w:rPr>
                <w:sz w:val="1"/>
                <w:szCs w:val="1"/>
                <w:color w:val="auto"/>
              </w:rPr>
            </w:pPr>
          </w:p>
        </w:tc>
      </w:tr>
      <w:tr>
        <w:trPr>
          <w:trHeight w:val="192"/>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1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89"/>
              </w:rPr>
              <w:t>(in millions, except shares and per share amounts)</w:t>
            </w: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A Preferred Stock</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CEEFF"/>
          </w:tcPr>
          <w:p>
            <w:pPr>
              <w:jc w:val="right"/>
              <w:ind w:right="106"/>
              <w:spacing w:after="0"/>
              <w:rPr>
                <w:sz w:val="20"/>
                <w:szCs w:val="20"/>
                <w:color w:val="auto"/>
              </w:rPr>
            </w:pPr>
            <w:r>
              <w:rPr>
                <w:rFonts w:ascii="Arial" w:cs="Arial" w:eastAsia="Arial" w:hAnsi="Arial"/>
                <w:sz w:val="16"/>
                <w:szCs w:val="16"/>
                <w:color w:val="auto"/>
              </w:rPr>
              <w:t>1,000</w:t>
            </w:r>
          </w:p>
        </w:tc>
        <w:tc>
          <w:tcPr>
            <w:tcW w:w="162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800,000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ind w:left="1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0" w:type="dxa"/>
            <w:vAlign w:val="bottom"/>
          </w:tcPr>
          <w:p>
            <w:pPr>
              <w:spacing w:after="0"/>
              <w:rPr>
                <w:sz w:val="1"/>
                <w:szCs w:val="1"/>
                <w:color w:val="auto"/>
              </w:rPr>
            </w:pPr>
          </w:p>
        </w:tc>
      </w:tr>
      <w:tr>
        <w:trPr>
          <w:trHeight w:val="206"/>
        </w:trPr>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720" w:type="dxa"/>
            <w:vAlign w:val="bottom"/>
            <w:gridSpan w:val="2"/>
          </w:tcPr>
          <w:p>
            <w:pPr>
              <w:ind w:left="140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
              <w:spacing w:after="0"/>
              <w:rPr>
                <w:sz w:val="20"/>
                <w:szCs w:val="20"/>
                <w:color w:val="auto"/>
              </w:rPr>
            </w:pPr>
            <w:r>
              <w:rPr>
                <w:rFonts w:ascii="Arial" w:cs="Arial" w:eastAsia="Arial" w:hAnsi="Arial"/>
                <w:sz w:val="16"/>
                <w:szCs w:val="16"/>
                <w:color w:val="auto"/>
              </w:rPr>
              <w:t>800,000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gridSpan w:val="2"/>
          </w:tcPr>
          <w:p>
            <w:pPr>
              <w:ind w:left="1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790</w:t>
            </w:r>
          </w:p>
        </w:tc>
        <w:tc>
          <w:tcPr>
            <w:tcW w:w="0" w:type="dxa"/>
            <w:vAlign w:val="bottom"/>
          </w:tcPr>
          <w:p>
            <w:pPr>
              <w:spacing w:after="0"/>
              <w:rPr>
                <w:sz w:val="1"/>
                <w:szCs w:val="1"/>
                <w:color w:val="auto"/>
              </w:rPr>
            </w:pPr>
          </w:p>
        </w:tc>
      </w:tr>
      <w:tr>
        <w:trPr>
          <w:trHeight w:val="22"/>
        </w:trPr>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Allocated to Preferred Shareholders (CenterPoint Energy)</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26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580" w:type="dxa"/>
            <w:vAlign w:val="bottom"/>
            <w:gridSpan w:val="4"/>
          </w:tcPr>
          <w:p>
            <w:pPr>
              <w:jc w:val="right"/>
              <w:ind w:right="337"/>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4"/>
        </w:trPr>
        <w:tc>
          <w:tcPr>
            <w:tcW w:w="52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5240" w:type="dxa"/>
            <w:vAlign w:val="bottom"/>
          </w:tcPr>
          <w:p>
            <w:pPr>
              <w:spacing w:after="0"/>
              <w:rPr>
                <w:sz w:val="16"/>
                <w:szCs w:val="16"/>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2022</w:t>
            </w:r>
          </w:p>
        </w:tc>
      </w:tr>
      <w:tr>
        <w:trPr>
          <w:trHeight w:val="192"/>
        </w:trPr>
        <w:tc>
          <w:tcPr>
            <w:tcW w:w="5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(in millions)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 Preferred Stock</w:t>
            </w:r>
          </w:p>
        </w:tc>
        <w:tc>
          <w:tcPr>
            <w:tcW w:w="1000" w:type="dxa"/>
            <w:vAlign w:val="bottom"/>
            <w:tcBorders>
              <w:bottom w:val="single" w:sz="8" w:color="auto"/>
            </w:tcBorders>
            <w:shd w:val="clear" w:color="auto" w:fill="CCEEFF"/>
          </w:tcPr>
          <w:p>
            <w:pPr>
              <w:jc w:val="right"/>
              <w:ind w:right="82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7"/>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0"/>
        </w:trPr>
        <w:tc>
          <w:tcPr>
            <w:tcW w:w="5240" w:type="dxa"/>
            <w:vAlign w:val="bottom"/>
          </w:tcPr>
          <w:p>
            <w:pPr>
              <w:ind w:left="500"/>
              <w:spacing w:after="0"/>
              <w:rPr>
                <w:sz w:val="20"/>
                <w:szCs w:val="20"/>
                <w:color w:val="auto"/>
              </w:rPr>
            </w:pPr>
            <w:r>
              <w:rPr>
                <w:rFonts w:ascii="Arial" w:cs="Arial" w:eastAsia="Arial" w:hAnsi="Arial"/>
                <w:sz w:val="18"/>
                <w:szCs w:val="18"/>
                <w:color w:val="auto"/>
              </w:rPr>
              <w:t>Total income allocated to preferred shareholders</w:t>
            </w:r>
          </w:p>
        </w:tc>
        <w:tc>
          <w:tcPr>
            <w:tcW w:w="1000" w:type="dxa"/>
            <w:vAlign w:val="bottom"/>
            <w:tcBorders>
              <w:bottom w:val="single" w:sz="8" w:color="auto"/>
            </w:tcBorders>
          </w:tcPr>
          <w:p>
            <w:pPr>
              <w:jc w:val="right"/>
              <w:ind w:right="82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97"/>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5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Temporary Equity (CenterPoint Energy)</w:t>
      </w:r>
    </w:p>
    <w:p>
      <w:pPr>
        <w:spacing w:after="0" w:line="245" w:lineRule="exact"/>
        <w:rPr>
          <w:sz w:val="20"/>
          <w:szCs w:val="20"/>
          <w:color w:val="auto"/>
        </w:rPr>
      </w:pPr>
    </w:p>
    <w:p>
      <w:pPr>
        <w:jc w:val="both"/>
        <w:ind w:firstLine="319"/>
        <w:spacing w:after="0" w:line="281" w:lineRule="auto"/>
        <w:rPr>
          <w:sz w:val="20"/>
          <w:szCs w:val="20"/>
          <w:color w:val="auto"/>
        </w:rPr>
      </w:pPr>
      <w:r>
        <w:rPr>
          <w:rFonts w:ascii="Arial" w:cs="Arial" w:eastAsia="Arial" w:hAnsi="Arial"/>
          <w:sz w:val="16"/>
          <w:szCs w:val="16"/>
          <w:color w:val="auto"/>
        </w:rPr>
        <w:t>On the approval and recommendation of the Compensation Committee and approval of the Board (acting solely through its independent directors), CenterPoint Energy entered into a retention incentive agreement with David J. Lesar, then President and Chief Executive Officer of CenterPoint Energy, dated July 20, 2021. Pursuant to the retention incentive agreement, Mr. Lesar received equity-based awards under CenterPoint Energy’s LTIP covering a total of 1 million shares of Common Stock (Total Stock Award) which were granted in multiple annual awards. Mr. Lesar received 400 thousand restricted stock units in July 2021 that vested in December 2022 and 400 thousand restricted stock units and 200 thousand restricted stock units in February 2022 and February 2023, respectively, that will vest in December 2023. For accounting purposes, the 1 million shares under the Total Stock Award, consisting of the equity-based awards described above, were considered granted in July 2021. In the event that death, disability, termination without cause or resignation for good reason, as defined in the retention incentive agreement, had occurred prior to the full Total Stock Award being awarded, CenterPoint Energy would have paid a lump sum cash payment equal to the value of the unawarded equity-based awards, based on the closing trading price of Common Stock on the date of the event’s occurrence. Because the equity-based awards would have been redeemable for cash prior to being awarded upon events that were not probable at the grant date, the equity associated with any unawarded equity-based awards were classified as Temporary Equity as of December 31, 2022 on CenterPoint Energy’s Condensed Consolidated Balance Sheets. As of September 30, 2023, all restricted stock units have been awarded to Mr. Lesar and no amounts are reflected in Temporary Equity on CenterPoint Energy’s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Changes in accumulated comprehensive income (loss) are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Three Months Ended September 30,</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89"/>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3"/>
              </w:rPr>
              <w:t>CenterPoint</w:t>
            </w:r>
          </w:p>
        </w:tc>
        <w:tc>
          <w:tcPr>
            <w:tcW w:w="12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1"/>
              </w:rPr>
              <w:t>Houston Electric</w:t>
            </w:r>
          </w:p>
        </w:tc>
        <w:tc>
          <w:tcPr>
            <w:tcW w:w="100" w:type="dxa"/>
            <w:vAlign w:val="bottom"/>
          </w:tcPr>
          <w:p>
            <w:pPr>
              <w:spacing w:after="0"/>
              <w:rPr>
                <w:sz w:val="11"/>
                <w:szCs w:val="11"/>
                <w:color w:val="auto"/>
              </w:rPr>
            </w:pPr>
          </w:p>
        </w:tc>
        <w:tc>
          <w:tcPr>
            <w:tcW w:w="11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CERC</w:t>
            </w: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3"/>
              </w:rPr>
              <w:t>CenterPoint</w:t>
            </w:r>
          </w:p>
        </w:tc>
        <w:tc>
          <w:tcPr>
            <w:tcW w:w="12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5"/>
              </w:rPr>
              <w:t>Houston Electric</w:t>
            </w:r>
          </w:p>
        </w:tc>
        <w:tc>
          <w:tcPr>
            <w:tcW w:w="240" w:type="dxa"/>
            <w:vAlign w:val="bottom"/>
          </w:tcPr>
          <w:p>
            <w:pPr>
              <w:spacing w:after="0"/>
              <w:rPr>
                <w:sz w:val="11"/>
                <w:szCs w:val="11"/>
                <w:color w:val="auto"/>
              </w:rPr>
            </w:pPr>
          </w:p>
        </w:tc>
        <w:tc>
          <w:tcPr>
            <w:tcW w:w="900" w:type="dxa"/>
            <w:vAlign w:val="bottom"/>
            <w:vMerge w:val="restart"/>
          </w:tcPr>
          <w:p>
            <w:pPr>
              <w:jc w:val="right"/>
              <w:ind w:right="289"/>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3"/>
        </w:trPr>
        <w:tc>
          <w:tcPr>
            <w:tcW w:w="3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Energy</w:t>
            </w:r>
          </w:p>
        </w:tc>
        <w:tc>
          <w:tcPr>
            <w:tcW w:w="122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Energy</w:t>
            </w:r>
          </w:p>
        </w:tc>
        <w:tc>
          <w:tcPr>
            <w:tcW w:w="124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ind w:left="820"/>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0"/>
        </w:trPr>
        <w:tc>
          <w:tcPr>
            <w:tcW w:w="3880" w:type="dxa"/>
            <w:vAlign w:val="bottom"/>
          </w:tcPr>
          <w:p>
            <w:pPr>
              <w:ind w:left="20"/>
              <w:spacing w:after="0"/>
              <w:rPr>
                <w:sz w:val="20"/>
                <w:szCs w:val="20"/>
                <w:color w:val="auto"/>
              </w:rPr>
            </w:pPr>
            <w:r>
              <w:rPr>
                <w:rFonts w:ascii="Arial" w:cs="Arial" w:eastAsia="Arial" w:hAnsi="Arial"/>
                <w:sz w:val="14"/>
                <w:szCs w:val="14"/>
                <w:color w:val="auto"/>
              </w:rPr>
              <w:t>Other comprehensive income (loss) before reclassifications:</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6"/>
              </w:rPr>
              <w:t>Remeasurement of pension and other postretirement plans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3880" w:type="dxa"/>
            <w:vAlign w:val="bottom"/>
          </w:tcPr>
          <w:p>
            <w:pPr>
              <w:ind w:left="20"/>
              <w:spacing w:after="0" w:line="133" w:lineRule="exact"/>
              <w:rPr>
                <w:sz w:val="20"/>
                <w:szCs w:val="20"/>
                <w:color w:val="auto"/>
              </w:rPr>
            </w:pPr>
            <w:r>
              <w:rPr>
                <w:rFonts w:ascii="Arial" w:cs="Arial" w:eastAsia="Arial" w:hAnsi="Arial"/>
                <w:sz w:val="14"/>
                <w:szCs w:val="14"/>
                <w:color w:val="auto"/>
              </w:rPr>
              <w:t>Amounts reclassified from accumulated other comprehensive</w:t>
            </w: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3880" w:type="dxa"/>
            <w:vAlign w:val="bottom"/>
          </w:tcPr>
          <w:p>
            <w:pPr>
              <w:ind w:left="180"/>
              <w:spacing w:after="0"/>
              <w:rPr>
                <w:sz w:val="20"/>
                <w:szCs w:val="20"/>
                <w:color w:val="auto"/>
              </w:rPr>
            </w:pPr>
            <w:r>
              <w:rPr>
                <w:rFonts w:ascii="Arial" w:cs="Arial" w:eastAsia="Arial" w:hAnsi="Arial"/>
                <w:sz w:val="14"/>
                <w:szCs w:val="14"/>
                <w:color w:val="auto"/>
              </w:rPr>
              <w:t>income (loss):</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deferred gain from cash flow hedges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880" w:type="dxa"/>
            <w:vAlign w:val="bottom"/>
          </w:tcPr>
          <w:p>
            <w:pPr>
              <w:ind w:left="340"/>
              <w:spacing w:after="0"/>
              <w:rPr>
                <w:sz w:val="20"/>
                <w:szCs w:val="20"/>
                <w:color w:val="auto"/>
              </w:rPr>
            </w:pPr>
            <w:r>
              <w:rPr>
                <w:rFonts w:ascii="Arial" w:cs="Arial" w:eastAsia="Arial" w:hAnsi="Arial"/>
                <w:sz w:val="14"/>
                <w:szCs w:val="14"/>
                <w:color w:val="auto"/>
              </w:rPr>
              <w:t xml:space="preserve">Prior service cost </w:t>
            </w:r>
            <w:r>
              <w:rPr>
                <w:rFonts w:ascii="Arial" w:cs="Arial" w:eastAsia="Arial" w:hAnsi="Arial"/>
                <w:sz w:val="12"/>
                <w:szCs w:val="12"/>
                <w:color w:val="auto"/>
              </w:rPr>
              <w:t>(1)</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 xml:space="preserve">Actuarial losses </w:t>
            </w:r>
            <w:r>
              <w:rPr>
                <w:rFonts w:ascii="Arial" w:cs="Arial" w:eastAsia="Arial" w:hAnsi="Arial"/>
                <w:sz w:val="12"/>
                <w:szCs w:val="12"/>
                <w:color w:val="auto"/>
              </w:rPr>
              <w:t>(1)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880" w:type="dxa"/>
            <w:vAlign w:val="bottom"/>
          </w:tcPr>
          <w:p>
            <w:pPr>
              <w:ind w:left="340"/>
              <w:spacing w:after="0"/>
              <w:rPr>
                <w:sz w:val="20"/>
                <w:szCs w:val="20"/>
                <w:color w:val="auto"/>
              </w:rPr>
            </w:pPr>
            <w:r>
              <w:rPr>
                <w:rFonts w:ascii="Arial" w:cs="Arial" w:eastAsia="Arial" w:hAnsi="Arial"/>
                <w:sz w:val="14"/>
                <w:szCs w:val="14"/>
                <w:color w:val="auto"/>
              </w:rPr>
              <w:t xml:space="preserve">Settlement </w:t>
            </w:r>
            <w:r>
              <w:rPr>
                <w:rFonts w:ascii="Arial" w:cs="Arial" w:eastAsia="Arial" w:hAnsi="Arial"/>
                <w:sz w:val="12"/>
                <w:szCs w:val="12"/>
                <w:color w:val="auto"/>
              </w:rPr>
              <w:t>(2)</w:t>
            </w:r>
          </w:p>
        </w:tc>
        <w:tc>
          <w:tcPr>
            <w:tcW w:w="1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Tax benefit (expense)</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current period other comprehensive income (loss)</w:t>
            </w:r>
          </w:p>
        </w:tc>
        <w:tc>
          <w:tcPr>
            <w:tcW w:w="1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Balance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Nine Months Ended September 30,</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89"/>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3"/>
              </w:rPr>
              <w:t>CenterPoint</w:t>
            </w:r>
          </w:p>
        </w:tc>
        <w:tc>
          <w:tcPr>
            <w:tcW w:w="12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1"/>
              </w:rPr>
              <w:t>Houston Electric</w:t>
            </w:r>
          </w:p>
        </w:tc>
        <w:tc>
          <w:tcPr>
            <w:tcW w:w="100" w:type="dxa"/>
            <w:vAlign w:val="bottom"/>
          </w:tcPr>
          <w:p>
            <w:pPr>
              <w:spacing w:after="0"/>
              <w:rPr>
                <w:sz w:val="11"/>
                <w:szCs w:val="11"/>
                <w:color w:val="auto"/>
              </w:rPr>
            </w:pPr>
          </w:p>
        </w:tc>
        <w:tc>
          <w:tcPr>
            <w:tcW w:w="11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CERC</w:t>
            </w: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3"/>
              </w:rPr>
              <w:t>CenterPoint</w:t>
            </w:r>
          </w:p>
        </w:tc>
        <w:tc>
          <w:tcPr>
            <w:tcW w:w="12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5"/>
              </w:rPr>
              <w:t>Houston Electric</w:t>
            </w:r>
          </w:p>
        </w:tc>
        <w:tc>
          <w:tcPr>
            <w:tcW w:w="240" w:type="dxa"/>
            <w:vAlign w:val="bottom"/>
          </w:tcPr>
          <w:p>
            <w:pPr>
              <w:spacing w:after="0"/>
              <w:rPr>
                <w:sz w:val="11"/>
                <w:szCs w:val="11"/>
                <w:color w:val="auto"/>
              </w:rPr>
            </w:pPr>
          </w:p>
        </w:tc>
        <w:tc>
          <w:tcPr>
            <w:tcW w:w="900" w:type="dxa"/>
            <w:vAlign w:val="bottom"/>
            <w:vMerge w:val="restart"/>
          </w:tcPr>
          <w:p>
            <w:pPr>
              <w:jc w:val="right"/>
              <w:ind w:right="289"/>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3"/>
        </w:trPr>
        <w:tc>
          <w:tcPr>
            <w:tcW w:w="3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Energy</w:t>
            </w:r>
          </w:p>
        </w:tc>
        <w:tc>
          <w:tcPr>
            <w:tcW w:w="122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Energy</w:t>
            </w:r>
          </w:p>
        </w:tc>
        <w:tc>
          <w:tcPr>
            <w:tcW w:w="124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ind w:left="820"/>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0"/>
        </w:trPr>
        <w:tc>
          <w:tcPr>
            <w:tcW w:w="3880" w:type="dxa"/>
            <w:vAlign w:val="bottom"/>
          </w:tcPr>
          <w:p>
            <w:pPr>
              <w:ind w:left="20"/>
              <w:spacing w:after="0"/>
              <w:rPr>
                <w:sz w:val="20"/>
                <w:szCs w:val="20"/>
                <w:color w:val="auto"/>
              </w:rPr>
            </w:pPr>
            <w:r>
              <w:rPr>
                <w:rFonts w:ascii="Arial" w:cs="Arial" w:eastAsia="Arial" w:hAnsi="Arial"/>
                <w:sz w:val="14"/>
                <w:szCs w:val="14"/>
                <w:color w:val="auto"/>
              </w:rPr>
              <w:t>Other comprehensive income (loss) before reclassifications:</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6"/>
              </w:rPr>
              <w:t>Remeasurement of pension and other postretirement plans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3880" w:type="dxa"/>
            <w:vAlign w:val="bottom"/>
          </w:tcPr>
          <w:p>
            <w:pPr>
              <w:ind w:left="20"/>
              <w:spacing w:after="0" w:line="133" w:lineRule="exact"/>
              <w:rPr>
                <w:sz w:val="20"/>
                <w:szCs w:val="20"/>
                <w:color w:val="auto"/>
              </w:rPr>
            </w:pPr>
            <w:r>
              <w:rPr>
                <w:rFonts w:ascii="Arial" w:cs="Arial" w:eastAsia="Arial" w:hAnsi="Arial"/>
                <w:sz w:val="14"/>
                <w:szCs w:val="14"/>
                <w:color w:val="auto"/>
              </w:rPr>
              <w:t>Amounts reclassified from accumulated other comprehensive</w:t>
            </w: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3880" w:type="dxa"/>
            <w:vAlign w:val="bottom"/>
          </w:tcPr>
          <w:p>
            <w:pPr>
              <w:ind w:left="180"/>
              <w:spacing w:after="0"/>
              <w:rPr>
                <w:sz w:val="20"/>
                <w:szCs w:val="20"/>
                <w:color w:val="auto"/>
              </w:rPr>
            </w:pPr>
            <w:r>
              <w:rPr>
                <w:rFonts w:ascii="Arial" w:cs="Arial" w:eastAsia="Arial" w:hAnsi="Arial"/>
                <w:sz w:val="14"/>
                <w:szCs w:val="14"/>
                <w:color w:val="auto"/>
              </w:rPr>
              <w:t>income (loss):</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deferred gain from cash flow hedges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880" w:type="dxa"/>
            <w:vAlign w:val="bottom"/>
          </w:tcPr>
          <w:p>
            <w:pPr>
              <w:ind w:left="340"/>
              <w:spacing w:after="0"/>
              <w:rPr>
                <w:sz w:val="20"/>
                <w:szCs w:val="20"/>
                <w:color w:val="auto"/>
              </w:rPr>
            </w:pPr>
            <w:r>
              <w:rPr>
                <w:rFonts w:ascii="Arial" w:cs="Arial" w:eastAsia="Arial" w:hAnsi="Arial"/>
                <w:sz w:val="14"/>
                <w:szCs w:val="14"/>
                <w:color w:val="auto"/>
              </w:rPr>
              <w:t xml:space="preserve">Prior service cost </w:t>
            </w:r>
            <w:r>
              <w:rPr>
                <w:rFonts w:ascii="Arial" w:cs="Arial" w:eastAsia="Arial" w:hAnsi="Arial"/>
                <w:sz w:val="12"/>
                <w:szCs w:val="12"/>
                <w:color w:val="auto"/>
              </w:rPr>
              <w:t>(1)</w:t>
            </w:r>
          </w:p>
        </w:tc>
        <w:tc>
          <w:tcPr>
            <w:tcW w:w="1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tcPr>
          <w:p>
            <w:pPr>
              <w:ind w:left="840"/>
              <w:spacing w:after="0"/>
              <w:rPr>
                <w:sz w:val="20"/>
                <w:szCs w:val="20"/>
                <w:color w:val="auto"/>
              </w:rPr>
            </w:pPr>
            <w:r>
              <w:rPr>
                <w:rFonts w:ascii="Arial" w:cs="Arial" w:eastAsia="Arial" w:hAnsi="Arial"/>
                <w:sz w:val="14"/>
                <w:szCs w:val="14"/>
                <w:color w:val="auto"/>
                <w:w w:val="93"/>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 xml:space="preserve">Actuarial losses </w:t>
            </w:r>
            <w:r>
              <w:rPr>
                <w:rFonts w:ascii="Arial" w:cs="Arial" w:eastAsia="Arial" w:hAnsi="Arial"/>
                <w:sz w:val="12"/>
                <w:szCs w:val="12"/>
                <w:color w:val="auto"/>
              </w:rPr>
              <w:t>(1)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880" w:type="dxa"/>
            <w:vAlign w:val="bottom"/>
          </w:tcPr>
          <w:p>
            <w:pPr>
              <w:ind w:left="340"/>
              <w:spacing w:after="0"/>
              <w:rPr>
                <w:sz w:val="20"/>
                <w:szCs w:val="20"/>
                <w:color w:val="auto"/>
              </w:rPr>
            </w:pPr>
            <w:r>
              <w:rPr>
                <w:rFonts w:ascii="Arial" w:cs="Arial" w:eastAsia="Arial" w:hAnsi="Arial"/>
                <w:sz w:val="14"/>
                <w:szCs w:val="14"/>
                <w:color w:val="auto"/>
              </w:rPr>
              <w:t xml:space="preserve">Settlement </w:t>
            </w:r>
            <w:r>
              <w:rPr>
                <w:rFonts w:ascii="Arial" w:cs="Arial" w:eastAsia="Arial" w:hAnsi="Arial"/>
                <w:sz w:val="12"/>
                <w:szCs w:val="12"/>
                <w:color w:val="auto"/>
              </w:rPr>
              <w:t>(2)</w:t>
            </w:r>
          </w:p>
        </w:tc>
        <w:tc>
          <w:tcPr>
            <w:tcW w:w="1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Tax benefit (expense)</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current period other comprehensive income (loss)</w:t>
            </w:r>
          </w:p>
        </w:tc>
        <w:tc>
          <w:tcPr>
            <w:tcW w:w="1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4"/>
                <w:szCs w:val="14"/>
                <w:color w:val="auto"/>
                <w:w w:val="93"/>
              </w:rPr>
              <w:t>(1)</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Balance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ind w:left="640" w:hanging="315"/>
        <w:spacing w:after="0" w:line="253" w:lineRule="auto"/>
        <w:tabs>
          <w:tab w:leader="none" w:pos="634" w:val="left"/>
        </w:tabs>
        <w:numPr>
          <w:ilvl w:val="1"/>
          <w:numId w:val="44"/>
        </w:numPr>
        <w:rPr>
          <w:rFonts w:ascii="Arial" w:cs="Arial" w:eastAsia="Arial" w:hAnsi="Arial"/>
          <w:sz w:val="18"/>
          <w:szCs w:val="18"/>
          <w:color w:val="auto"/>
        </w:rPr>
      </w:pPr>
      <w:r>
        <w:rPr>
          <w:rFonts w:ascii="Arial" w:cs="Arial" w:eastAsia="Arial" w:hAnsi="Arial"/>
          <w:sz w:val="18"/>
          <w:szCs w:val="18"/>
          <w:color w:val="auto"/>
        </w:rPr>
        <w:t>Amounts are included in the computation of net periodic cost and are reflected in Other income, net in each of the Registrants’ respective Condensed Statements of Consolidated Income.</w:t>
      </w:r>
    </w:p>
    <w:p>
      <w:pPr>
        <w:jc w:val="both"/>
        <w:ind w:left="640" w:hanging="315"/>
        <w:spacing w:after="0" w:line="248" w:lineRule="auto"/>
        <w:tabs>
          <w:tab w:leader="none" w:pos="634" w:val="left"/>
        </w:tabs>
        <w:numPr>
          <w:ilvl w:val="1"/>
          <w:numId w:val="44"/>
        </w:numPr>
        <w:rPr>
          <w:rFonts w:ascii="Arial" w:cs="Arial" w:eastAsia="Arial" w:hAnsi="Arial"/>
          <w:sz w:val="18"/>
          <w:szCs w:val="18"/>
          <w:color w:val="auto"/>
        </w:rPr>
      </w:pPr>
      <w:r>
        <w:rPr>
          <w:rFonts w:ascii="Arial" w:cs="Arial" w:eastAsia="Arial" w:hAnsi="Arial"/>
          <w:sz w:val="18"/>
          <w:szCs w:val="18"/>
          <w:color w:val="auto"/>
        </w:rPr>
        <w:t>Amounts presented represent a one-time, non-cash settlement cost (benefit), prior to regulatory deferrals, which are required when the total lump sum distributions or other settlements of plan benefit obligations during a plan year exceed the service cost and interest cost components of the net periodic cost for that year. Amounts presented in the table above are included in Other income (expense), net in CenterPoint Energy’s Statements of Consolidated Income, net of regulatory deferrals.</w:t>
      </w:r>
    </w:p>
    <w:p>
      <w:pPr>
        <w:spacing w:after="0" w:line="217" w:lineRule="exact"/>
        <w:rPr>
          <w:rFonts w:ascii="Arial" w:cs="Arial" w:eastAsia="Arial" w:hAnsi="Arial"/>
          <w:sz w:val="18"/>
          <w:szCs w:val="18"/>
          <w:color w:val="auto"/>
        </w:rPr>
      </w:pPr>
    </w:p>
    <w:p>
      <w:pPr>
        <w:ind w:left="340" w:hanging="334"/>
        <w:spacing w:after="0"/>
        <w:tabs>
          <w:tab w:leader="none" w:pos="3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51" w:lineRule="exact"/>
        <w:rPr>
          <w:sz w:val="20"/>
          <w:szCs w:val="20"/>
          <w:color w:val="auto"/>
        </w:rPr>
      </w:pPr>
    </w:p>
    <w:p>
      <w:pPr>
        <w:jc w:val="both"/>
        <w:ind w:firstLine="319"/>
        <w:spacing w:after="0" w:line="348" w:lineRule="auto"/>
        <w:rPr>
          <w:sz w:val="20"/>
          <w:szCs w:val="20"/>
          <w:color w:val="auto"/>
        </w:rPr>
      </w:pPr>
      <w:r>
        <w:rPr>
          <w:rFonts w:ascii="Arial" w:cs="Arial" w:eastAsia="Arial" w:hAnsi="Arial"/>
          <w:sz w:val="14"/>
          <w:szCs w:val="14"/>
          <w:color w:val="auto"/>
        </w:rPr>
        <w:t>In 2021, Houston Electric entered into a temporary short-term lease and long-term leases for mobile generation. The short-term lease agreement allowed Houston Electric to take delivery of TEEEF assets on a short-term basis with an initial term ending on September 30, 2022 and extended until December 31, 2022. As of December 31, 2022, the short-term lease agreement has expired and all mobile generation assets are leased under the long-term lease agreement. Per Houston Electric’s short-term lease accounting policy election, a ROU asset and lease liability are not reflected on Houston Electric’s Condensed</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Consolidated Balance Sheets. Expenses associated with the short-term lease, including carrying costs, are deferred to a regulatory asset and totaled, net of amounts recovered in rates, $102 million and $103 million as of September 30, 2023 and December 31, 2022, respectively.</w:t>
      </w:r>
    </w:p>
    <w:p>
      <w:pPr>
        <w:spacing w:after="0" w:line="183" w:lineRule="exact"/>
        <w:rPr>
          <w:sz w:val="20"/>
          <w:szCs w:val="20"/>
          <w:color w:val="auto"/>
        </w:rPr>
      </w:pPr>
    </w:p>
    <w:p>
      <w:pPr>
        <w:jc w:val="both"/>
        <w:ind w:firstLine="319"/>
        <w:spacing w:after="0" w:line="280" w:lineRule="auto"/>
        <w:rPr>
          <w:sz w:val="20"/>
          <w:szCs w:val="20"/>
          <w:color w:val="auto"/>
        </w:rPr>
      </w:pPr>
      <w:r>
        <w:rPr>
          <w:rFonts w:ascii="Arial" w:cs="Arial" w:eastAsia="Arial" w:hAnsi="Arial"/>
          <w:sz w:val="16"/>
          <w:szCs w:val="16"/>
          <w:color w:val="auto"/>
        </w:rPr>
        <w:t xml:space="preserve">The long-term lease agreement includes up to 505 MW of TEEEF, all of which was delivered as of December 31, 2022, triggering lease commencement at delivery, with an initial term ending in 2029 for all TEEEF leases. These assets were previously available under the short-term lease agreement. Houston Electric derecognized the finance lease liability when the extinguishment criteria in Topic 405 - </w:t>
      </w:r>
      <w:r>
        <w:rPr>
          <w:rFonts w:ascii="Arial" w:cs="Arial" w:eastAsia="Arial" w:hAnsi="Arial"/>
          <w:sz w:val="16"/>
          <w:szCs w:val="16"/>
          <w:i w:val="1"/>
          <w:iCs w:val="1"/>
          <w:color w:val="auto"/>
        </w:rPr>
        <w:t>Liabilities</w:t>
      </w:r>
      <w:r>
        <w:rPr>
          <w:rFonts w:ascii="Arial" w:cs="Arial" w:eastAsia="Arial" w:hAnsi="Arial"/>
          <w:sz w:val="16"/>
          <w:szCs w:val="16"/>
          <w:color w:val="auto"/>
        </w:rPr>
        <w:t xml:space="preserve"> was achieved. Per the terms of the agreement, lease payments are due and made in full by Houston Electric upon taking possession of the asset, relieving substantially all of the associated finance lease liability at that time. The remaining finance lease liability associated with the commenced long-term TEEEF agreement was not significant as of September 30, 2023 and December 31, 2022 and relates to removal costs that will be incurred at the end of the lease term. As of September 30, 2023, Houston Electric has secured a first lien on the assets leased under the prepayment agreement, except for assets with lease payments totaling $101 million. The $101 million prepayment is being held in an escrow account, not controlled by Houston Electric, and the funds will be released when a first lien can be secured for Houston Electric. Expenses associated with the long-term lease, including depreciation expense on the right of use asset and carrying costs, are deferred to a regulatory asset and totaled, net of amounts recovered in rates, $117 million and $60 million as of September 30, 2023 and December 31, 2022, respectively. The long-term lease agreement contains a termination clause that can be exercised in the event of material adverse regulatory actions. If the right to terminate is elected, subject to the satisfaction of certain conditions, 75% of Houston Electric’s prepaid lease costs that is attributable to the period from the effective date of termination to the end of the lease term would be refunded. In December 2022, the long-term lease agreement was amended to include a disallowance reimbursement clause that can be exercised in the event that any regulatory proceeding or settlement agreement results in a disallowance of Houston Electric’s recovery of deferred costs under either the long-term lease agreement, short-term lease agreement or any other quantifiable adverse financial impact to Houston Electric. If the disallowance reimbursement clause is exercised, 85% of such disallowance up to $53 million would be paid to Houston Electric. Any disallowance greater than $53 million would remain subject to the 75% limit set forth in the termination clause. For further discussion of the regulatory impacts, see Note 6.</w:t>
      </w:r>
    </w:p>
    <w:p>
      <w:pPr>
        <w:spacing w:after="0" w:line="20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Houston Electric will also incur variable costs throughout the lease term for the operation and maintenance of the generators. Lease costs, including variable and ROU asset amortization costs, are deferred to Regulatory assets as incurred as a recoverable cost under the 2021 Texas legislation. See Note 6 for further information regarding recovery of these deferred costs.</w:t>
      </w:r>
    </w:p>
    <w:p>
      <w:pPr>
        <w:spacing w:after="0" w:line="202" w:lineRule="exact"/>
        <w:rPr>
          <w:sz w:val="20"/>
          <w:szCs w:val="20"/>
          <w:color w:val="auto"/>
        </w:rPr>
      </w:pPr>
    </w:p>
    <w:p>
      <w:pPr>
        <w:jc w:val="both"/>
        <w:ind w:firstLine="319"/>
        <w:spacing w:after="0" w:line="237" w:lineRule="auto"/>
        <w:rPr>
          <w:sz w:val="20"/>
          <w:szCs w:val="20"/>
          <w:color w:val="auto"/>
        </w:rPr>
      </w:pPr>
      <w:r>
        <w:rPr>
          <w:rFonts w:ascii="Arial" w:cs="Arial" w:eastAsia="Arial" w:hAnsi="Arial"/>
          <w:sz w:val="18"/>
          <w:szCs w:val="18"/>
          <w:color w:val="auto"/>
        </w:rPr>
        <w:t>The components of lease cost, included in Operation and maintenance expense on the Registrants’ respective Condensed Statements of Consolidated Income, are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Three Months Ended September 30, 2023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560" w:type="dxa"/>
            <w:vAlign w:val="bottom"/>
            <w:gridSpan w:val="7"/>
          </w:tcPr>
          <w:p>
            <w:pPr>
              <w:jc w:val="center"/>
              <w:ind w:right="456"/>
              <w:spacing w:after="0"/>
              <w:rPr>
                <w:sz w:val="20"/>
                <w:szCs w:val="20"/>
                <w:color w:val="auto"/>
              </w:rPr>
            </w:pPr>
            <w:r>
              <w:rPr>
                <w:rFonts w:ascii="Arial" w:cs="Arial" w:eastAsia="Arial" w:hAnsi="Arial"/>
                <w:sz w:val="14"/>
                <w:szCs w:val="14"/>
                <w:b w:val="1"/>
                <w:bCs w:val="1"/>
                <w:color w:val="auto"/>
                <w:w w:val="91"/>
              </w:rPr>
              <w:t>Three Months Ended September 30, 2022</w:t>
            </w:r>
          </w:p>
        </w:tc>
        <w:tc>
          <w:tcPr>
            <w:tcW w:w="0" w:type="dxa"/>
            <w:vAlign w:val="bottom"/>
          </w:tcPr>
          <w:p>
            <w:pPr>
              <w:spacing w:after="0"/>
              <w:rPr>
                <w:sz w:val="1"/>
                <w:szCs w:val="1"/>
                <w:color w:val="auto"/>
              </w:rPr>
            </w:pPr>
          </w:p>
        </w:tc>
      </w:tr>
      <w:tr>
        <w:trPr>
          <w:trHeight w:val="24"/>
        </w:trPr>
        <w:tc>
          <w:tcPr>
            <w:tcW w:w="29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920" w:type="dxa"/>
            <w:vAlign w:val="bottom"/>
          </w:tcPr>
          <w:p>
            <w:pPr>
              <w:spacing w:after="0"/>
              <w:rPr>
                <w:sz w:val="11"/>
                <w:szCs w:val="11"/>
                <w:color w:val="auto"/>
              </w:rPr>
            </w:pP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CenterPoint Energy</w:t>
            </w:r>
          </w:p>
        </w:tc>
        <w:tc>
          <w:tcPr>
            <w:tcW w:w="980" w:type="dxa"/>
            <w:vAlign w:val="bottom"/>
          </w:tcPr>
          <w:p>
            <w:pPr>
              <w:jc w:val="center"/>
              <w:ind w:left="220"/>
              <w:spacing w:after="0" w:line="131" w:lineRule="exact"/>
              <w:rPr>
                <w:sz w:val="20"/>
                <w:szCs w:val="20"/>
                <w:color w:val="auto"/>
              </w:rPr>
            </w:pPr>
            <w:r>
              <w:rPr>
                <w:rFonts w:ascii="Arial" w:cs="Arial" w:eastAsia="Arial" w:hAnsi="Arial"/>
                <w:sz w:val="14"/>
                <w:szCs w:val="14"/>
                <w:b w:val="1"/>
                <w:bCs w:val="1"/>
                <w:color w:val="auto"/>
                <w:w w:val="91"/>
              </w:rPr>
              <w:t>Houston</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CERC</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CenterPoint Energy</w:t>
            </w:r>
          </w:p>
        </w:tc>
        <w:tc>
          <w:tcPr>
            <w:tcW w:w="240" w:type="dxa"/>
            <w:vAlign w:val="bottom"/>
          </w:tcPr>
          <w:p>
            <w:pPr>
              <w:spacing w:after="0"/>
              <w:rPr>
                <w:sz w:val="11"/>
                <w:szCs w:val="11"/>
                <w:color w:val="auto"/>
              </w:rPr>
            </w:pPr>
          </w:p>
        </w:tc>
        <w:tc>
          <w:tcPr>
            <w:tcW w:w="1160" w:type="dxa"/>
            <w:vAlign w:val="bottom"/>
            <w:gridSpan w:val="2"/>
          </w:tcPr>
          <w:p>
            <w:pPr>
              <w:jc w:val="center"/>
              <w:ind w:right="360"/>
              <w:spacing w:after="0" w:line="131" w:lineRule="exact"/>
              <w:rPr>
                <w:sz w:val="20"/>
                <w:szCs w:val="20"/>
                <w:color w:val="auto"/>
              </w:rPr>
            </w:pPr>
            <w:r>
              <w:rPr>
                <w:rFonts w:ascii="Arial" w:cs="Arial" w:eastAsia="Arial" w:hAnsi="Arial"/>
                <w:sz w:val="14"/>
                <w:szCs w:val="14"/>
                <w:b w:val="1"/>
                <w:bCs w:val="1"/>
                <w:color w:val="auto"/>
                <w:w w:val="91"/>
              </w:rPr>
              <w:t>Houston</w:t>
            </w:r>
          </w:p>
        </w:tc>
        <w:tc>
          <w:tcPr>
            <w:tcW w:w="280" w:type="dxa"/>
            <w:vAlign w:val="bottom"/>
          </w:tcPr>
          <w:p>
            <w:pPr>
              <w:spacing w:after="0"/>
              <w:rPr>
                <w:sz w:val="11"/>
                <w:szCs w:val="11"/>
                <w:color w:val="auto"/>
              </w:rPr>
            </w:pPr>
          </w:p>
        </w:tc>
        <w:tc>
          <w:tcPr>
            <w:tcW w:w="102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980" w:type="dxa"/>
            <w:vAlign w:val="bottom"/>
            <w:tcBorders>
              <w:bottom w:val="single" w:sz="8" w:color="auto"/>
            </w:tcBorders>
          </w:tcPr>
          <w:p>
            <w:pPr>
              <w:jc w:val="center"/>
              <w:ind w:left="260"/>
              <w:spacing w:after="0"/>
              <w:rPr>
                <w:sz w:val="20"/>
                <w:szCs w:val="20"/>
                <w:color w:val="auto"/>
              </w:rPr>
            </w:pPr>
            <w:r>
              <w:rPr>
                <w:rFonts w:ascii="Arial" w:cs="Arial" w:eastAsia="Arial" w:hAnsi="Arial"/>
                <w:sz w:val="14"/>
                <w:szCs w:val="14"/>
                <w:b w:val="1"/>
                <w:bCs w:val="1"/>
                <w:color w:val="auto"/>
                <w:w w:val="94"/>
              </w:rPr>
              <w:t>Electric</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Electric</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gridSpan w:val="3"/>
          </w:tcPr>
          <w:p>
            <w:pPr>
              <w:jc w:val="right"/>
              <w:ind w:right="157"/>
              <w:spacing w:after="0"/>
              <w:rPr>
                <w:sz w:val="20"/>
                <w:szCs w:val="20"/>
                <w:color w:val="auto"/>
              </w:rPr>
            </w:pPr>
            <w:r>
              <w:rPr>
                <w:rFonts w:ascii="Arial" w:cs="Arial" w:eastAsia="Arial" w:hAnsi="Arial"/>
                <w:sz w:val="14"/>
                <w:szCs w:val="14"/>
                <w:b w:val="1"/>
                <w:bCs w:val="1"/>
                <w:color w:val="auto"/>
                <w:w w:val="96"/>
              </w:rPr>
              <w:t>(in millions)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46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8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37"/>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lease cost</w:t>
            </w: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Total lease cost </w:t>
            </w:r>
            <w:r>
              <w:rPr>
                <w:rFonts w:ascii="Arial" w:cs="Arial" w:eastAsia="Arial" w:hAnsi="Arial"/>
                <w:sz w:val="10"/>
                <w:szCs w:val="10"/>
                <w:color w:val="auto"/>
              </w:rPr>
              <w:t>(1)</w:t>
            </w:r>
          </w:p>
        </w:tc>
        <w:tc>
          <w:tcPr>
            <w:tcW w:w="46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8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37"/>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7"/>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1"/>
              </w:rPr>
              <w:t>Nine Months Ended September 30, 2023</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60" w:type="dxa"/>
            <w:vAlign w:val="bottom"/>
            <w:gridSpan w:val="7"/>
          </w:tcPr>
          <w:p>
            <w:pPr>
              <w:jc w:val="center"/>
              <w:ind w:right="456"/>
              <w:spacing w:after="0"/>
              <w:rPr>
                <w:sz w:val="20"/>
                <w:szCs w:val="20"/>
                <w:color w:val="auto"/>
              </w:rPr>
            </w:pPr>
            <w:r>
              <w:rPr>
                <w:rFonts w:ascii="Arial" w:cs="Arial" w:eastAsia="Arial" w:hAnsi="Arial"/>
                <w:sz w:val="14"/>
                <w:szCs w:val="14"/>
                <w:b w:val="1"/>
                <w:bCs w:val="1"/>
                <w:color w:val="auto"/>
                <w:w w:val="91"/>
              </w:rPr>
              <w:t>Nine Months Ended September 30, 2022</w:t>
            </w:r>
          </w:p>
        </w:tc>
        <w:tc>
          <w:tcPr>
            <w:tcW w:w="0" w:type="dxa"/>
            <w:vAlign w:val="bottom"/>
          </w:tcPr>
          <w:p>
            <w:pPr>
              <w:spacing w:after="0"/>
              <w:rPr>
                <w:sz w:val="1"/>
                <w:szCs w:val="1"/>
                <w:color w:val="auto"/>
              </w:rPr>
            </w:pPr>
          </w:p>
        </w:tc>
      </w:tr>
      <w:tr>
        <w:trPr>
          <w:trHeight w:val="24"/>
        </w:trPr>
        <w:tc>
          <w:tcPr>
            <w:tcW w:w="29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920" w:type="dxa"/>
            <w:vAlign w:val="bottom"/>
          </w:tcPr>
          <w:p>
            <w:pPr>
              <w:spacing w:after="0"/>
              <w:rPr>
                <w:sz w:val="11"/>
                <w:szCs w:val="11"/>
                <w:color w:val="auto"/>
              </w:rPr>
            </w:pP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CenterPoint Energy</w:t>
            </w:r>
          </w:p>
        </w:tc>
        <w:tc>
          <w:tcPr>
            <w:tcW w:w="980" w:type="dxa"/>
            <w:vAlign w:val="bottom"/>
          </w:tcPr>
          <w:p>
            <w:pPr>
              <w:jc w:val="center"/>
              <w:ind w:left="220"/>
              <w:spacing w:after="0" w:line="131" w:lineRule="exact"/>
              <w:rPr>
                <w:sz w:val="20"/>
                <w:szCs w:val="20"/>
                <w:color w:val="auto"/>
              </w:rPr>
            </w:pPr>
            <w:r>
              <w:rPr>
                <w:rFonts w:ascii="Arial" w:cs="Arial" w:eastAsia="Arial" w:hAnsi="Arial"/>
                <w:sz w:val="14"/>
                <w:szCs w:val="14"/>
                <w:b w:val="1"/>
                <w:bCs w:val="1"/>
                <w:color w:val="auto"/>
                <w:w w:val="91"/>
              </w:rPr>
              <w:t>Houston</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CERC</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CenterPoint Energy</w:t>
            </w:r>
          </w:p>
        </w:tc>
        <w:tc>
          <w:tcPr>
            <w:tcW w:w="240" w:type="dxa"/>
            <w:vAlign w:val="bottom"/>
          </w:tcPr>
          <w:p>
            <w:pPr>
              <w:spacing w:after="0"/>
              <w:rPr>
                <w:sz w:val="11"/>
                <w:szCs w:val="11"/>
                <w:color w:val="auto"/>
              </w:rPr>
            </w:pPr>
          </w:p>
        </w:tc>
        <w:tc>
          <w:tcPr>
            <w:tcW w:w="1160" w:type="dxa"/>
            <w:vAlign w:val="bottom"/>
            <w:gridSpan w:val="2"/>
          </w:tcPr>
          <w:p>
            <w:pPr>
              <w:jc w:val="center"/>
              <w:ind w:right="360"/>
              <w:spacing w:after="0" w:line="131" w:lineRule="exact"/>
              <w:rPr>
                <w:sz w:val="20"/>
                <w:szCs w:val="20"/>
                <w:color w:val="auto"/>
              </w:rPr>
            </w:pPr>
            <w:r>
              <w:rPr>
                <w:rFonts w:ascii="Arial" w:cs="Arial" w:eastAsia="Arial" w:hAnsi="Arial"/>
                <w:sz w:val="14"/>
                <w:szCs w:val="14"/>
                <w:b w:val="1"/>
                <w:bCs w:val="1"/>
                <w:color w:val="auto"/>
                <w:w w:val="91"/>
              </w:rPr>
              <w:t>Houston</w:t>
            </w:r>
          </w:p>
        </w:tc>
        <w:tc>
          <w:tcPr>
            <w:tcW w:w="280" w:type="dxa"/>
            <w:vAlign w:val="bottom"/>
          </w:tcPr>
          <w:p>
            <w:pPr>
              <w:spacing w:after="0"/>
              <w:rPr>
                <w:sz w:val="11"/>
                <w:szCs w:val="11"/>
                <w:color w:val="auto"/>
              </w:rPr>
            </w:pPr>
          </w:p>
        </w:tc>
        <w:tc>
          <w:tcPr>
            <w:tcW w:w="102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980" w:type="dxa"/>
            <w:vAlign w:val="bottom"/>
            <w:tcBorders>
              <w:bottom w:val="single" w:sz="8" w:color="auto"/>
            </w:tcBorders>
          </w:tcPr>
          <w:p>
            <w:pPr>
              <w:jc w:val="center"/>
              <w:ind w:left="260"/>
              <w:spacing w:after="0"/>
              <w:rPr>
                <w:sz w:val="20"/>
                <w:szCs w:val="20"/>
                <w:color w:val="auto"/>
              </w:rPr>
            </w:pPr>
            <w:r>
              <w:rPr>
                <w:rFonts w:ascii="Arial" w:cs="Arial" w:eastAsia="Arial" w:hAnsi="Arial"/>
                <w:sz w:val="14"/>
                <w:szCs w:val="14"/>
                <w:b w:val="1"/>
                <w:bCs w:val="1"/>
                <w:color w:val="auto"/>
                <w:w w:val="94"/>
              </w:rPr>
              <w:t>Electric</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Electric</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gridSpan w:val="3"/>
          </w:tcPr>
          <w:p>
            <w:pPr>
              <w:jc w:val="right"/>
              <w:ind w:right="157"/>
              <w:spacing w:after="0"/>
              <w:rPr>
                <w:sz w:val="20"/>
                <w:szCs w:val="20"/>
                <w:color w:val="auto"/>
              </w:rPr>
            </w:pPr>
            <w:r>
              <w:rPr>
                <w:rFonts w:ascii="Arial" w:cs="Arial" w:eastAsia="Arial" w:hAnsi="Arial"/>
                <w:sz w:val="14"/>
                <w:szCs w:val="14"/>
                <w:b w:val="1"/>
                <w:bCs w:val="1"/>
                <w:color w:val="auto"/>
                <w:w w:val="96"/>
              </w:rPr>
              <w:t>(in millions)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46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8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37"/>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292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5"/>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Total lease cost </w:t>
            </w:r>
            <w:r>
              <w:rPr>
                <w:rFonts w:ascii="Arial" w:cs="Arial" w:eastAsia="Arial" w:hAnsi="Arial"/>
                <w:sz w:val="10"/>
                <w:szCs w:val="10"/>
                <w:color w:val="auto"/>
              </w:rPr>
              <w:t>(1)</w:t>
            </w:r>
          </w:p>
        </w:tc>
        <w:tc>
          <w:tcPr>
            <w:tcW w:w="460" w:type="dxa"/>
            <w:vAlign w:val="bottom"/>
            <w:tcBorders>
              <w:top w:val="single" w:sz="8" w:color="auto"/>
              <w:bottom w:val="single" w:sz="8" w:color="auto"/>
            </w:tcBorders>
            <w:shd w:val="clear" w:color="auto" w:fill="CCEEFF"/>
          </w:tcPr>
          <w:p>
            <w:pPr>
              <w:jc w:val="right"/>
              <w:ind w:right="277"/>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78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ind w:right="737"/>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57"/>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ind w:firstLine="325"/>
        <w:spacing w:after="0" w:line="266" w:lineRule="auto"/>
        <w:tabs>
          <w:tab w:leader="none" w:pos="5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CenterPoint Energy and Houston Electric defer finance lease costs for TEEEF to Regulatory assets for recovery rather than recognizing Depreciation and Amortization in the Condensed Statements of Consolidated Income.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Lease income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 w:right="740"/>
        <w:spacing w:after="0" w:line="366" w:lineRule="auto"/>
        <w:rPr>
          <w:sz w:val="20"/>
          <w:szCs w:val="20"/>
          <w:color w:val="auto"/>
        </w:rPr>
      </w:pPr>
      <w:r>
        <w:rPr>
          <w:rFonts w:ascii="Arial" w:cs="Arial" w:eastAsia="Arial" w:hAnsi="Arial"/>
          <w:sz w:val="14"/>
          <w:szCs w:val="14"/>
          <w:color w:val="auto"/>
        </w:rPr>
        <w:t>Operating lease income Variable lease income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lease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32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Three Months Ended September 30, 2023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560" w:type="dxa"/>
            <w:vAlign w:val="bottom"/>
            <w:gridSpan w:val="7"/>
          </w:tcPr>
          <w:p>
            <w:pPr>
              <w:jc w:val="center"/>
              <w:ind w:right="458"/>
              <w:spacing w:after="0"/>
              <w:rPr>
                <w:sz w:val="20"/>
                <w:szCs w:val="20"/>
                <w:color w:val="auto"/>
              </w:rPr>
            </w:pPr>
            <w:r>
              <w:rPr>
                <w:rFonts w:ascii="Arial" w:cs="Arial" w:eastAsia="Arial" w:hAnsi="Arial"/>
                <w:sz w:val="14"/>
                <w:szCs w:val="14"/>
                <w:b w:val="1"/>
                <w:bCs w:val="1"/>
                <w:color w:val="auto"/>
                <w:w w:val="91"/>
              </w:rPr>
              <w:t>Three Months Ended September 30, 2022</w:t>
            </w:r>
          </w:p>
        </w:tc>
        <w:tc>
          <w:tcPr>
            <w:tcW w:w="0" w:type="dxa"/>
            <w:vAlign w:val="bottom"/>
          </w:tcPr>
          <w:p>
            <w:pPr>
              <w:spacing w:after="0"/>
              <w:rPr>
                <w:sz w:val="1"/>
                <w:szCs w:val="1"/>
                <w:color w:val="auto"/>
              </w:rPr>
            </w:pPr>
          </w:p>
        </w:tc>
      </w:tr>
      <w:tr>
        <w:trPr>
          <w:trHeight w:val="24"/>
        </w:trPr>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CenterPoint Energy</w:t>
            </w:r>
          </w:p>
        </w:tc>
        <w:tc>
          <w:tcPr>
            <w:tcW w:w="980" w:type="dxa"/>
            <w:vAlign w:val="bottom"/>
          </w:tcPr>
          <w:p>
            <w:pPr>
              <w:jc w:val="center"/>
              <w:ind w:left="223"/>
              <w:spacing w:after="0" w:line="127" w:lineRule="exact"/>
              <w:rPr>
                <w:sz w:val="20"/>
                <w:szCs w:val="20"/>
                <w:color w:val="auto"/>
              </w:rPr>
            </w:pPr>
            <w:r>
              <w:rPr>
                <w:rFonts w:ascii="Arial" w:cs="Arial" w:eastAsia="Arial" w:hAnsi="Arial"/>
                <w:sz w:val="14"/>
                <w:szCs w:val="14"/>
                <w:b w:val="1"/>
                <w:bCs w:val="1"/>
                <w:color w:val="auto"/>
                <w:w w:val="91"/>
              </w:rPr>
              <w:t>Houston</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CERC</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CenterPoint Energy</w:t>
            </w:r>
          </w:p>
        </w:tc>
        <w:tc>
          <w:tcPr>
            <w:tcW w:w="240" w:type="dxa"/>
            <w:vAlign w:val="bottom"/>
          </w:tcPr>
          <w:p>
            <w:pPr>
              <w:spacing w:after="0"/>
              <w:rPr>
                <w:sz w:val="10"/>
                <w:szCs w:val="10"/>
                <w:color w:val="auto"/>
              </w:rPr>
            </w:pPr>
          </w:p>
        </w:tc>
        <w:tc>
          <w:tcPr>
            <w:tcW w:w="1160" w:type="dxa"/>
            <w:vAlign w:val="bottom"/>
            <w:gridSpan w:val="2"/>
          </w:tcPr>
          <w:p>
            <w:pPr>
              <w:jc w:val="center"/>
              <w:ind w:right="360"/>
              <w:spacing w:after="0" w:line="127" w:lineRule="exact"/>
              <w:rPr>
                <w:sz w:val="20"/>
                <w:szCs w:val="20"/>
                <w:color w:val="auto"/>
              </w:rPr>
            </w:pPr>
            <w:r>
              <w:rPr>
                <w:rFonts w:ascii="Arial" w:cs="Arial" w:eastAsia="Arial" w:hAnsi="Arial"/>
                <w:sz w:val="14"/>
                <w:szCs w:val="14"/>
                <w:b w:val="1"/>
                <w:bCs w:val="1"/>
                <w:color w:val="auto"/>
                <w:w w:val="91"/>
              </w:rPr>
              <w:t>Houston</w:t>
            </w:r>
          </w:p>
        </w:tc>
        <w:tc>
          <w:tcPr>
            <w:tcW w:w="280" w:type="dxa"/>
            <w:vAlign w:val="bottom"/>
          </w:tcPr>
          <w:p>
            <w:pPr>
              <w:spacing w:after="0"/>
              <w:rPr>
                <w:sz w:val="10"/>
                <w:szCs w:val="10"/>
                <w:color w:val="auto"/>
              </w:rPr>
            </w:pPr>
          </w:p>
        </w:tc>
        <w:tc>
          <w:tcPr>
            <w:tcW w:w="1020" w:type="dxa"/>
            <w:vAlign w:val="bottom"/>
            <w:vMerge w:val="restart"/>
          </w:tcPr>
          <w:p>
            <w:pPr>
              <w:jc w:val="right"/>
              <w:ind w:right="358"/>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3"/>
        </w:trPr>
        <w:tc>
          <w:tcPr>
            <w:tcW w:w="1400" w:type="dxa"/>
            <w:vAlign w:val="bottom"/>
            <w:tcBorders>
              <w:bottom w:val="single" w:sz="8" w:color="auto"/>
            </w:tcBorders>
            <w:gridSpan w:val="3"/>
            <w:vMerge w:val="continue"/>
          </w:tcPr>
          <w:p>
            <w:pPr>
              <w:spacing w:after="0"/>
              <w:rPr>
                <w:sz w:val="16"/>
                <w:szCs w:val="16"/>
                <w:color w:val="auto"/>
              </w:rPr>
            </w:pPr>
          </w:p>
        </w:tc>
        <w:tc>
          <w:tcPr>
            <w:tcW w:w="980" w:type="dxa"/>
            <w:vAlign w:val="bottom"/>
            <w:tcBorders>
              <w:bottom w:val="single" w:sz="8" w:color="auto"/>
            </w:tcBorders>
          </w:tcPr>
          <w:p>
            <w:pPr>
              <w:jc w:val="center"/>
              <w:ind w:left="263"/>
              <w:spacing w:after="0"/>
              <w:rPr>
                <w:sz w:val="20"/>
                <w:szCs w:val="20"/>
                <w:color w:val="auto"/>
              </w:rPr>
            </w:pPr>
            <w:r>
              <w:rPr>
                <w:rFonts w:ascii="Arial" w:cs="Arial" w:eastAsia="Arial" w:hAnsi="Arial"/>
                <w:sz w:val="14"/>
                <w:szCs w:val="14"/>
                <w:b w:val="1"/>
                <w:bCs w:val="1"/>
                <w:color w:val="auto"/>
                <w:w w:val="94"/>
              </w:rPr>
              <w:t>Electric</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Electric</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6"/>
              </w:rPr>
              <w:t>(in millions)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60" w:type="dxa"/>
            <w:vAlign w:val="bottom"/>
          </w:tcPr>
          <w:p>
            <w:pPr>
              <w:jc w:val="right"/>
              <w:ind w:right="28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980" w:type="dxa"/>
            <w:vAlign w:val="bottom"/>
          </w:tcPr>
          <w:p>
            <w:pPr>
              <w:jc w:val="right"/>
              <w:ind w:right="783"/>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920" w:type="dxa"/>
            <w:vAlign w:val="bottom"/>
          </w:tcPr>
          <w:p>
            <w:pPr>
              <w:jc w:val="right"/>
              <w:ind w:right="74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540" w:type="dxa"/>
            <w:vAlign w:val="bottom"/>
          </w:tcPr>
          <w:p>
            <w:pPr>
              <w:jc w:val="right"/>
              <w:ind w:right="36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7"/>
        </w:trPr>
        <w:tc>
          <w:tcPr>
            <w:tcW w:w="4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46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83"/>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4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8"/>
        </w:trPr>
        <w:tc>
          <w:tcPr>
            <w:tcW w:w="460" w:type="dxa"/>
            <w:vAlign w:val="bottom"/>
          </w:tcPr>
          <w:p>
            <w:pPr>
              <w:spacing w:after="0"/>
              <w:rPr>
                <w:sz w:val="24"/>
                <w:szCs w:val="24"/>
                <w:color w:val="auto"/>
              </w:rPr>
            </w:pPr>
          </w:p>
        </w:tc>
        <w:tc>
          <w:tcPr>
            <w:tcW w:w="32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1"/>
              </w:rPr>
              <w:t>Nine Months Ended September 30, 2023</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60" w:type="dxa"/>
            <w:vAlign w:val="bottom"/>
            <w:gridSpan w:val="7"/>
          </w:tcPr>
          <w:p>
            <w:pPr>
              <w:jc w:val="center"/>
              <w:ind w:right="458"/>
              <w:spacing w:after="0"/>
              <w:rPr>
                <w:sz w:val="20"/>
                <w:szCs w:val="20"/>
                <w:color w:val="auto"/>
              </w:rPr>
            </w:pPr>
            <w:r>
              <w:rPr>
                <w:rFonts w:ascii="Arial" w:cs="Arial" w:eastAsia="Arial" w:hAnsi="Arial"/>
                <w:sz w:val="14"/>
                <w:szCs w:val="14"/>
                <w:b w:val="1"/>
                <w:bCs w:val="1"/>
                <w:color w:val="auto"/>
                <w:w w:val="91"/>
              </w:rPr>
              <w:t>Nine Months Ended September 30, 2022</w:t>
            </w:r>
          </w:p>
        </w:tc>
        <w:tc>
          <w:tcPr>
            <w:tcW w:w="0" w:type="dxa"/>
            <w:vAlign w:val="bottom"/>
          </w:tcPr>
          <w:p>
            <w:pPr>
              <w:spacing w:after="0"/>
              <w:rPr>
                <w:sz w:val="1"/>
                <w:szCs w:val="1"/>
                <w:color w:val="auto"/>
              </w:rPr>
            </w:pPr>
          </w:p>
        </w:tc>
      </w:tr>
      <w:tr>
        <w:trPr>
          <w:trHeight w:val="24"/>
        </w:trPr>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CenterPoint Energy</w:t>
            </w:r>
          </w:p>
        </w:tc>
        <w:tc>
          <w:tcPr>
            <w:tcW w:w="980" w:type="dxa"/>
            <w:vAlign w:val="bottom"/>
          </w:tcPr>
          <w:p>
            <w:pPr>
              <w:jc w:val="center"/>
              <w:ind w:left="223"/>
              <w:spacing w:after="0" w:line="127" w:lineRule="exact"/>
              <w:rPr>
                <w:sz w:val="20"/>
                <w:szCs w:val="20"/>
                <w:color w:val="auto"/>
              </w:rPr>
            </w:pPr>
            <w:r>
              <w:rPr>
                <w:rFonts w:ascii="Arial" w:cs="Arial" w:eastAsia="Arial" w:hAnsi="Arial"/>
                <w:sz w:val="14"/>
                <w:szCs w:val="14"/>
                <w:b w:val="1"/>
                <w:bCs w:val="1"/>
                <w:color w:val="auto"/>
                <w:w w:val="91"/>
              </w:rPr>
              <w:t>Houston</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CERC</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CenterPoint Energy</w:t>
            </w:r>
          </w:p>
        </w:tc>
        <w:tc>
          <w:tcPr>
            <w:tcW w:w="240" w:type="dxa"/>
            <w:vAlign w:val="bottom"/>
          </w:tcPr>
          <w:p>
            <w:pPr>
              <w:spacing w:after="0"/>
              <w:rPr>
                <w:sz w:val="10"/>
                <w:szCs w:val="10"/>
                <w:color w:val="auto"/>
              </w:rPr>
            </w:pPr>
          </w:p>
        </w:tc>
        <w:tc>
          <w:tcPr>
            <w:tcW w:w="1160" w:type="dxa"/>
            <w:vAlign w:val="bottom"/>
            <w:gridSpan w:val="2"/>
          </w:tcPr>
          <w:p>
            <w:pPr>
              <w:jc w:val="center"/>
              <w:ind w:right="360"/>
              <w:spacing w:after="0" w:line="127" w:lineRule="exact"/>
              <w:rPr>
                <w:sz w:val="20"/>
                <w:szCs w:val="20"/>
                <w:color w:val="auto"/>
              </w:rPr>
            </w:pPr>
            <w:r>
              <w:rPr>
                <w:rFonts w:ascii="Arial" w:cs="Arial" w:eastAsia="Arial" w:hAnsi="Arial"/>
                <w:sz w:val="14"/>
                <w:szCs w:val="14"/>
                <w:b w:val="1"/>
                <w:bCs w:val="1"/>
                <w:color w:val="auto"/>
                <w:w w:val="91"/>
              </w:rPr>
              <w:t>Houston</w:t>
            </w:r>
          </w:p>
        </w:tc>
        <w:tc>
          <w:tcPr>
            <w:tcW w:w="280" w:type="dxa"/>
            <w:vAlign w:val="bottom"/>
          </w:tcPr>
          <w:p>
            <w:pPr>
              <w:spacing w:after="0"/>
              <w:rPr>
                <w:sz w:val="10"/>
                <w:szCs w:val="10"/>
                <w:color w:val="auto"/>
              </w:rPr>
            </w:pPr>
          </w:p>
        </w:tc>
        <w:tc>
          <w:tcPr>
            <w:tcW w:w="1020" w:type="dxa"/>
            <w:vAlign w:val="bottom"/>
            <w:vMerge w:val="restart"/>
          </w:tcPr>
          <w:p>
            <w:pPr>
              <w:jc w:val="right"/>
              <w:ind w:right="358"/>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4"/>
        </w:trPr>
        <w:tc>
          <w:tcPr>
            <w:tcW w:w="1400" w:type="dxa"/>
            <w:vAlign w:val="bottom"/>
            <w:gridSpan w:val="3"/>
            <w:vMerge w:val="continue"/>
          </w:tcPr>
          <w:p>
            <w:pPr>
              <w:spacing w:after="0"/>
              <w:rPr>
                <w:sz w:val="16"/>
                <w:szCs w:val="16"/>
                <w:color w:val="auto"/>
              </w:rPr>
            </w:pPr>
          </w:p>
        </w:tc>
        <w:tc>
          <w:tcPr>
            <w:tcW w:w="980" w:type="dxa"/>
            <w:vAlign w:val="bottom"/>
          </w:tcPr>
          <w:p>
            <w:pPr>
              <w:jc w:val="center"/>
              <w:ind w:left="263"/>
              <w:spacing w:after="0"/>
              <w:rPr>
                <w:sz w:val="20"/>
                <w:szCs w:val="20"/>
                <w:color w:val="auto"/>
              </w:rPr>
            </w:pPr>
            <w:r>
              <w:rPr>
                <w:rFonts w:ascii="Arial" w:cs="Arial" w:eastAsia="Arial" w:hAnsi="Arial"/>
                <w:sz w:val="14"/>
                <w:szCs w:val="14"/>
                <w:b w:val="1"/>
                <w:bCs w:val="1"/>
                <w:color w:val="auto"/>
                <w:w w:val="94"/>
              </w:rPr>
              <w:t>Electric</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Electric</w:t>
            </w: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-1849755</wp:posOffset>
            </wp:positionH>
            <wp:positionV relativeFrom="paragraph">
              <wp:posOffset>-960755</wp:posOffset>
            </wp:positionV>
            <wp:extent cx="7134225" cy="143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225" cy="143510"/>
                    </a:xfrm>
                    <a:prstGeom prst="rect">
                      <a:avLst/>
                    </a:prstGeom>
                    <a:noFill/>
                  </pic:spPr>
                </pic:pic>
              </a:graphicData>
            </a:graphic>
          </wp:anchor>
        </w:drawing>
        <w:drawing>
          <wp:anchor simplePos="0" relativeHeight="251657728" behindDoc="1" locked="0" layoutInCell="0" allowOverlap="1">
            <wp:simplePos x="0" y="0"/>
            <wp:positionH relativeFrom="column">
              <wp:posOffset>-1849755</wp:posOffset>
            </wp:positionH>
            <wp:positionV relativeFrom="paragraph">
              <wp:posOffset>-673735</wp:posOffset>
            </wp:positionV>
            <wp:extent cx="7134225" cy="168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225" cy="1689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9525</wp:posOffset>
            </wp:positionV>
            <wp:extent cx="52851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85105" cy="8255"/>
                    </a:xfrm>
                    <a:prstGeom prst="rect">
                      <a:avLst/>
                    </a:prstGeom>
                    <a:noFill/>
                  </pic:spPr>
                </pic:pic>
              </a:graphicData>
            </a:graphic>
          </wp:anchor>
        </w:drawing>
      </w:r>
    </w:p>
    <w:p>
      <w:pPr>
        <w:ind w:left="3800"/>
        <w:spacing w:after="0"/>
        <w:rPr>
          <w:sz w:val="20"/>
          <w:szCs w:val="20"/>
          <w:color w:val="auto"/>
        </w:rPr>
      </w:pPr>
      <w:r>
        <w:rPr>
          <w:rFonts w:ascii="Arial" w:cs="Arial" w:eastAsia="Arial" w:hAnsi="Arial"/>
          <w:sz w:val="14"/>
          <w:szCs w:val="14"/>
          <w:b w:val="1"/>
          <w:bCs w:val="1"/>
          <w:color w:val="auto"/>
        </w:rPr>
        <w:t>(in millions)</w:t>
      </w:r>
    </w:p>
    <w:p>
      <w:pPr>
        <w:spacing w:after="0" w:line="48" w:lineRule="exact"/>
        <w:rPr>
          <w:sz w:val="20"/>
          <w:szCs w:val="20"/>
          <w:color w:val="auto"/>
        </w:rPr>
      </w:pPr>
    </w:p>
    <w:p>
      <w:pPr>
        <w:sectPr>
          <w:pgSz w:w="11900" w:h="16838" w:orient="portrait"/>
          <w:cols w:equalWidth="0" w:num="2">
            <w:col w:w="2440" w:space="480"/>
            <w:col w:w="8320"/>
          </w:cols>
          <w:pgMar w:left="320" w:top="127" w:right="339" w:bottom="1440" w:gutter="0" w:footer="0" w:header="0"/>
        </w:sectPr>
      </w:pPr>
    </w:p>
    <w:tbl>
      <w:tblPr>
        <w:tblLayout w:type="fixed"/>
        <w:tblInd w:w="0" w:type="dxa"/>
        <w:tblCellMar>
          <w:top w:w="0" w:type="dxa"/>
          <w:left w:w="0" w:type="dxa"/>
          <w:bottom w:w="0" w:type="dxa"/>
          <w:right w:w="0" w:type="dxa"/>
        </w:tblCellMar>
      </w:tblPr>
      <w:tr>
        <w:trPr>
          <w:trHeight w:val="226"/>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income</w:t>
            </w:r>
          </w:p>
        </w:tc>
        <w:tc>
          <w:tcPr>
            <w:tcW w:w="6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5"/>
        </w:trPr>
        <w:tc>
          <w:tcPr>
            <w:tcW w:w="2920" w:type="dxa"/>
            <w:vAlign w:val="bottom"/>
          </w:tcPr>
          <w:p>
            <w:pPr>
              <w:ind w:left="20"/>
              <w:spacing w:after="0"/>
              <w:rPr>
                <w:sz w:val="20"/>
                <w:szCs w:val="20"/>
                <w:color w:val="auto"/>
              </w:rPr>
            </w:pPr>
            <w:r>
              <w:rPr>
                <w:rFonts w:ascii="Arial" w:cs="Arial" w:eastAsia="Arial" w:hAnsi="Arial"/>
                <w:sz w:val="18"/>
                <w:szCs w:val="18"/>
                <w:color w:val="auto"/>
              </w:rPr>
              <w:t>Variable lease income</w:t>
            </w:r>
          </w:p>
        </w:tc>
        <w:tc>
          <w:tcPr>
            <w:tcW w:w="6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income</w:t>
            </w:r>
          </w:p>
        </w:tc>
        <w:tc>
          <w:tcPr>
            <w:tcW w:w="620" w:type="dxa"/>
            <w:vAlign w:val="bottom"/>
            <w:tcBorders>
              <w:top w:val="single" w:sz="8" w:color="auto"/>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September 30, 2023</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2022</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260" w:type="dxa"/>
            <w:vAlign w:val="bottom"/>
          </w:tcPr>
          <w:p>
            <w:pPr>
              <w:spacing w:after="0"/>
              <w:rPr>
                <w:sz w:val="11"/>
                <w:szCs w:val="11"/>
                <w:color w:val="auto"/>
              </w:rPr>
            </w:pPr>
          </w:p>
        </w:tc>
        <w:tc>
          <w:tcPr>
            <w:tcW w:w="13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CenterPoint Energy</w:t>
            </w:r>
          </w:p>
        </w:tc>
        <w:tc>
          <w:tcPr>
            <w:tcW w:w="220" w:type="dxa"/>
            <w:vAlign w:val="bottom"/>
          </w:tcPr>
          <w:p>
            <w:pPr>
              <w:spacing w:after="0"/>
              <w:rPr>
                <w:sz w:val="11"/>
                <w:szCs w:val="11"/>
                <w:color w:val="auto"/>
              </w:rPr>
            </w:pPr>
          </w:p>
        </w:tc>
        <w:tc>
          <w:tcPr>
            <w:tcW w:w="1120" w:type="dxa"/>
            <w:vAlign w:val="bottom"/>
            <w:gridSpan w:val="2"/>
          </w:tcPr>
          <w:p>
            <w:pPr>
              <w:jc w:val="right"/>
              <w:ind w:right="480"/>
              <w:spacing w:after="0" w:line="131" w:lineRule="exact"/>
              <w:rPr>
                <w:sz w:val="20"/>
                <w:szCs w:val="20"/>
                <w:color w:val="auto"/>
              </w:rPr>
            </w:pPr>
            <w:r>
              <w:rPr>
                <w:rFonts w:ascii="Arial" w:cs="Arial" w:eastAsia="Arial" w:hAnsi="Arial"/>
                <w:sz w:val="14"/>
                <w:szCs w:val="14"/>
                <w:b w:val="1"/>
                <w:bCs w:val="1"/>
                <w:color w:val="auto"/>
              </w:rPr>
              <w:t>Houston</w:t>
            </w:r>
          </w:p>
        </w:tc>
        <w:tc>
          <w:tcPr>
            <w:tcW w:w="260" w:type="dxa"/>
            <w:vAlign w:val="bottom"/>
          </w:tcPr>
          <w:p>
            <w:pPr>
              <w:spacing w:after="0"/>
              <w:rPr>
                <w:sz w:val="11"/>
                <w:szCs w:val="11"/>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CERC</w:t>
            </w:r>
          </w:p>
        </w:tc>
        <w:tc>
          <w:tcPr>
            <w:tcW w:w="1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CenterPoint Energy</w:t>
            </w:r>
          </w:p>
        </w:tc>
        <w:tc>
          <w:tcPr>
            <w:tcW w:w="220" w:type="dxa"/>
            <w:vAlign w:val="bottom"/>
          </w:tcPr>
          <w:p>
            <w:pPr>
              <w:spacing w:after="0"/>
              <w:rPr>
                <w:sz w:val="11"/>
                <w:szCs w:val="11"/>
                <w:color w:val="auto"/>
              </w:rPr>
            </w:pPr>
          </w:p>
        </w:tc>
        <w:tc>
          <w:tcPr>
            <w:tcW w:w="1120" w:type="dxa"/>
            <w:vAlign w:val="bottom"/>
            <w:gridSpan w:val="2"/>
          </w:tcPr>
          <w:p>
            <w:pPr>
              <w:jc w:val="right"/>
              <w:ind w:right="480"/>
              <w:spacing w:after="0" w:line="131" w:lineRule="exact"/>
              <w:rPr>
                <w:sz w:val="20"/>
                <w:szCs w:val="20"/>
                <w:color w:val="auto"/>
              </w:rPr>
            </w:pPr>
            <w:r>
              <w:rPr>
                <w:rFonts w:ascii="Arial" w:cs="Arial" w:eastAsia="Arial" w:hAnsi="Arial"/>
                <w:sz w:val="14"/>
                <w:szCs w:val="14"/>
                <w:b w:val="1"/>
                <w:bCs w:val="1"/>
                <w:color w:val="auto"/>
              </w:rPr>
              <w:t>Houston</w:t>
            </w:r>
          </w:p>
        </w:tc>
        <w:tc>
          <w:tcPr>
            <w:tcW w:w="260" w:type="dxa"/>
            <w:vAlign w:val="bottom"/>
          </w:tcPr>
          <w:p>
            <w:pPr>
              <w:spacing w:after="0"/>
              <w:rPr>
                <w:sz w:val="11"/>
                <w:szCs w:val="11"/>
                <w:color w:val="auto"/>
              </w:rPr>
            </w:pPr>
          </w:p>
        </w:tc>
        <w:tc>
          <w:tcPr>
            <w:tcW w:w="96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0"/>
        </w:trPr>
        <w:tc>
          <w:tcPr>
            <w:tcW w:w="3260" w:type="dxa"/>
            <w:vAlign w:val="bottom"/>
          </w:tcPr>
          <w:p>
            <w:pPr>
              <w:spacing w:after="0"/>
              <w:rPr>
                <w:sz w:val="16"/>
                <w:szCs w:val="16"/>
                <w:color w:val="auto"/>
              </w:rPr>
            </w:pPr>
          </w:p>
        </w:tc>
        <w:tc>
          <w:tcPr>
            <w:tcW w:w="138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Electric</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38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Electric</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40" w:type="dxa"/>
            <w:vAlign w:val="bottom"/>
            <w:gridSpan w:val="9"/>
          </w:tcPr>
          <w:p>
            <w:pPr>
              <w:ind w:left="920"/>
              <w:spacing w:after="0"/>
              <w:rPr>
                <w:sz w:val="20"/>
                <w:szCs w:val="20"/>
                <w:color w:val="auto"/>
              </w:rPr>
            </w:pPr>
            <w:r>
              <w:rPr>
                <w:rFonts w:ascii="Arial" w:cs="Arial" w:eastAsia="Arial" w:hAnsi="Arial"/>
                <w:sz w:val="14"/>
                <w:szCs w:val="14"/>
                <w:b w:val="1"/>
                <w:bCs w:val="1"/>
                <w:color w:val="auto"/>
                <w:w w:val="95"/>
              </w:rPr>
              <w:t>(in millions, except lease term and discount rate)</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260" w:type="dxa"/>
            <w:vAlign w:val="bottom"/>
          </w:tcPr>
          <w:p>
            <w:pPr>
              <w:ind w:left="20"/>
              <w:spacing w:after="0"/>
              <w:rPr>
                <w:sz w:val="20"/>
                <w:szCs w:val="20"/>
                <w:color w:val="auto"/>
              </w:rPr>
            </w:pPr>
            <w:r>
              <w:rPr>
                <w:rFonts w:ascii="Arial" w:cs="Arial" w:eastAsia="Arial" w:hAnsi="Arial"/>
                <w:sz w:val="16"/>
                <w:szCs w:val="16"/>
                <w:color w:val="auto"/>
              </w:rPr>
              <w:t>Assets:</w:t>
            </w: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Operating ROU assets </w:t>
            </w:r>
            <w:r>
              <w:rPr>
                <w:rFonts w:ascii="Arial" w:cs="Arial" w:eastAsia="Arial" w:hAnsi="Arial"/>
                <w:sz w:val="12"/>
                <w:szCs w:val="12"/>
                <w:color w:val="auto"/>
              </w:rPr>
              <w:t>(1)</w:t>
            </w:r>
          </w:p>
        </w:tc>
        <w:tc>
          <w:tcPr>
            <w:tcW w:w="4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0"/>
        </w:trPr>
        <w:tc>
          <w:tcPr>
            <w:tcW w:w="3260" w:type="dxa"/>
            <w:vAlign w:val="bottom"/>
          </w:tcPr>
          <w:p>
            <w:pPr>
              <w:ind w:left="20"/>
              <w:spacing w:after="0"/>
              <w:rPr>
                <w:sz w:val="20"/>
                <w:szCs w:val="20"/>
                <w:color w:val="auto"/>
              </w:rPr>
            </w:pPr>
            <w:r>
              <w:rPr>
                <w:rFonts w:ascii="Arial" w:cs="Arial" w:eastAsia="Arial" w:hAnsi="Arial"/>
                <w:sz w:val="16"/>
                <w:szCs w:val="16"/>
                <w:color w:val="auto"/>
              </w:rPr>
              <w:t xml:space="preserve">Finance ROU assets </w:t>
            </w:r>
            <w:r>
              <w:rPr>
                <w:rFonts w:ascii="Arial" w:cs="Arial" w:eastAsia="Arial" w:hAnsi="Arial"/>
                <w:sz w:val="12"/>
                <w:szCs w:val="12"/>
                <w:color w:val="auto"/>
              </w:rPr>
              <w:t>(2)</w:t>
            </w:r>
          </w:p>
        </w:tc>
        <w:tc>
          <w:tcPr>
            <w:tcW w:w="440" w:type="dxa"/>
            <w:vAlign w:val="bottom"/>
          </w:tcPr>
          <w:p>
            <w:pPr>
              <w:spacing w:after="0"/>
              <w:rPr>
                <w:sz w:val="18"/>
                <w:szCs w:val="18"/>
                <w:color w:val="auto"/>
              </w:rPr>
            </w:pPr>
          </w:p>
        </w:tc>
        <w:tc>
          <w:tcPr>
            <w:tcW w:w="820" w:type="dxa"/>
            <w:vAlign w:val="bottom"/>
          </w:tcPr>
          <w:p>
            <w:pPr>
              <w:jc w:val="right"/>
              <w:ind w:right="120"/>
              <w:spacing w:after="0"/>
              <w:rPr>
                <w:sz w:val="20"/>
                <w:szCs w:val="20"/>
                <w:color w:val="auto"/>
              </w:rPr>
            </w:pPr>
            <w:r>
              <w:rPr>
                <w:rFonts w:ascii="Arial" w:cs="Arial" w:eastAsia="Arial" w:hAnsi="Arial"/>
                <w:sz w:val="16"/>
                <w:szCs w:val="16"/>
                <w:color w:val="auto"/>
              </w:rPr>
              <w:t>550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22"/>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820" w:type="dxa"/>
            <w:vAlign w:val="bottom"/>
          </w:tcPr>
          <w:p>
            <w:pPr>
              <w:jc w:val="right"/>
              <w:ind w:right="120"/>
              <w:spacing w:after="0"/>
              <w:rPr>
                <w:sz w:val="20"/>
                <w:szCs w:val="20"/>
                <w:color w:val="auto"/>
              </w:rPr>
            </w:pPr>
            <w:r>
              <w:rPr>
                <w:rFonts w:ascii="Arial" w:cs="Arial" w:eastAsia="Arial" w:hAnsi="Arial"/>
                <w:sz w:val="16"/>
                <w:szCs w:val="16"/>
                <w:color w:val="auto"/>
              </w:rPr>
              <w:t>621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22"/>
              <w:spacing w:after="0"/>
              <w:rPr>
                <w:sz w:val="20"/>
                <w:szCs w:val="20"/>
                <w:color w:val="auto"/>
              </w:rPr>
            </w:pPr>
            <w:r>
              <w:rPr>
                <w:rFonts w:ascii="Arial" w:cs="Arial" w:eastAsia="Arial" w:hAnsi="Arial"/>
                <w:sz w:val="16"/>
                <w:szCs w:val="16"/>
                <w:color w:val="auto"/>
              </w:rPr>
              <w:t>621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260" w:type="dxa"/>
            <w:vAlign w:val="bottom"/>
            <w:tcBorders>
              <w:top w:val="single" w:sz="8" w:color="CCEEFF"/>
              <w:bottom w:val="single" w:sz="8" w:color="CCEEFF"/>
            </w:tcBorders>
            <w:shd w:val="clear" w:color="auto" w:fill="CCEEFF"/>
          </w:tcPr>
          <w:p>
            <w:pPr>
              <w:ind w:left="20"/>
              <w:spacing w:after="0" w:line="182" w:lineRule="exact"/>
              <w:rPr>
                <w:sz w:val="20"/>
                <w:szCs w:val="20"/>
                <w:color w:val="auto"/>
              </w:rPr>
            </w:pPr>
            <w:r>
              <w:rPr>
                <w:rFonts w:ascii="Arial" w:cs="Arial" w:eastAsia="Arial" w:hAnsi="Arial"/>
                <w:sz w:val="16"/>
                <w:szCs w:val="16"/>
                <w:color w:val="auto"/>
              </w:rPr>
              <w:t>Total leased assets</w:t>
            </w:r>
          </w:p>
        </w:tc>
        <w:tc>
          <w:tcPr>
            <w:tcW w:w="440" w:type="dxa"/>
            <w:vAlign w:val="bottom"/>
            <w:tcBorders>
              <w:top w:val="single" w:sz="8" w:color="auto"/>
              <w:bottom w:val="single" w:sz="8" w:color="auto"/>
            </w:tcBorders>
            <w:shd w:val="clear" w:color="auto" w:fill="CCEEFF"/>
          </w:tcPr>
          <w:p>
            <w:pPr>
              <w:spacing w:after="0" w:line="182" w:lineRule="exact"/>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ind w:right="120"/>
              <w:spacing w:after="0" w:line="182" w:lineRule="exact"/>
              <w:rPr>
                <w:sz w:val="20"/>
                <w:szCs w:val="20"/>
                <w:color w:val="auto"/>
              </w:rPr>
            </w:pPr>
            <w:r>
              <w:rPr>
                <w:rFonts w:ascii="Arial" w:cs="Arial" w:eastAsia="Arial" w:hAnsi="Arial"/>
                <w:sz w:val="16"/>
                <w:szCs w:val="16"/>
                <w:color w:val="auto"/>
              </w:rPr>
              <w:t>565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ind w:left="20"/>
              <w:spacing w:after="0" w:line="182" w:lineRule="exact"/>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ind w:right="122"/>
              <w:spacing w:after="0" w:line="182" w:lineRule="exact"/>
              <w:rPr>
                <w:sz w:val="20"/>
                <w:szCs w:val="20"/>
                <w:color w:val="auto"/>
              </w:rPr>
            </w:pPr>
            <w:r>
              <w:rPr>
                <w:rFonts w:ascii="Arial" w:cs="Arial" w:eastAsia="Arial" w:hAnsi="Arial"/>
                <w:sz w:val="16"/>
                <w:szCs w:val="16"/>
                <w:color w:val="auto"/>
              </w:rPr>
              <w:t>556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0"/>
              <w:spacing w:after="0" w:line="182" w:lineRule="exact"/>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ind w:right="121"/>
              <w:spacing w:after="0" w:line="182" w:lineRule="exact"/>
              <w:rPr>
                <w:sz w:val="20"/>
                <w:szCs w:val="20"/>
                <w:color w:val="auto"/>
              </w:rPr>
            </w:pPr>
            <w:r>
              <w:rPr>
                <w:rFonts w:ascii="Arial" w:cs="Arial" w:eastAsia="Arial" w:hAnsi="Arial"/>
                <w:sz w:val="16"/>
                <w:szCs w:val="16"/>
                <w:color w:val="auto"/>
              </w:rPr>
              <w:t>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ind w:left="20"/>
              <w:spacing w:after="0" w:line="182" w:lineRule="exact"/>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ind w:right="120"/>
              <w:spacing w:after="0" w:line="182" w:lineRule="exact"/>
              <w:rPr>
                <w:sz w:val="20"/>
                <w:szCs w:val="20"/>
                <w:color w:val="auto"/>
              </w:rPr>
            </w:pPr>
            <w:r>
              <w:rPr>
                <w:rFonts w:ascii="Arial" w:cs="Arial" w:eastAsia="Arial" w:hAnsi="Arial"/>
                <w:sz w:val="16"/>
                <w:szCs w:val="16"/>
                <w:color w:val="auto"/>
              </w:rPr>
              <w:t>640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ind w:left="20"/>
              <w:spacing w:after="0" w:line="182" w:lineRule="exact"/>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ind w:right="122"/>
              <w:spacing w:after="0" w:line="182" w:lineRule="exact"/>
              <w:rPr>
                <w:sz w:val="20"/>
                <w:szCs w:val="20"/>
                <w:color w:val="auto"/>
              </w:rPr>
            </w:pPr>
            <w:r>
              <w:rPr>
                <w:rFonts w:ascii="Arial" w:cs="Arial" w:eastAsia="Arial" w:hAnsi="Arial"/>
                <w:sz w:val="16"/>
                <w:szCs w:val="16"/>
                <w:color w:val="auto"/>
              </w:rPr>
              <w:t>627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0"/>
              <w:spacing w:after="0" w:line="182" w:lineRule="exact"/>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ind w:right="121"/>
              <w:spacing w:after="0" w:line="182"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Liabilities:</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26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Current operating lease liability </w:t>
            </w:r>
            <w:r>
              <w:rPr>
                <w:rFonts w:ascii="Arial" w:cs="Arial" w:eastAsia="Arial" w:hAnsi="Arial"/>
                <w:sz w:val="12"/>
                <w:szCs w:val="12"/>
                <w:color w:val="auto"/>
              </w:rPr>
              <w:t>(3)</w:t>
            </w:r>
          </w:p>
        </w:tc>
        <w:tc>
          <w:tcPr>
            <w:tcW w:w="4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Non-current operating lease liability </w:t>
            </w:r>
            <w:r>
              <w:rPr>
                <w:rFonts w:ascii="Arial" w:cs="Arial" w:eastAsia="Arial" w:hAnsi="Arial"/>
                <w:sz w:val="12"/>
                <w:szCs w:val="12"/>
                <w:color w:val="auto"/>
              </w:rPr>
              <w:t>(4)</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4"/>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xml:space="preserve">Total leased liabilities </w:t>
            </w:r>
            <w:r>
              <w:rPr>
                <w:rFonts w:ascii="Arial" w:cs="Arial" w:eastAsia="Arial" w:hAnsi="Arial"/>
                <w:sz w:val="12"/>
                <w:szCs w:val="12"/>
                <w:color w:val="auto"/>
              </w:rPr>
              <w:t>(5)</w:t>
            </w: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26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w w:val="90"/>
              </w:rPr>
              <w:t>Weighted-average remaining lease term (in years)</w:t>
            </w:r>
          </w:p>
        </w:tc>
        <w:tc>
          <w:tcPr>
            <w:tcW w:w="4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9"/>
        </w:trPr>
        <w:tc>
          <w:tcPr>
            <w:tcW w:w="3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operating leases</w:t>
            </w:r>
          </w:p>
        </w:tc>
        <w:tc>
          <w:tcPr>
            <w:tcW w:w="4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tcPr>
          <w:p>
            <w:pPr>
              <w:ind w:left="20"/>
              <w:spacing w:after="0"/>
              <w:rPr>
                <w:sz w:val="20"/>
                <w:szCs w:val="20"/>
                <w:color w:val="auto"/>
              </w:rPr>
            </w:pPr>
            <w:r>
              <w:rPr>
                <w:rFonts w:ascii="Arial" w:cs="Arial" w:eastAsia="Arial" w:hAnsi="Arial"/>
                <w:sz w:val="16"/>
                <w:szCs w:val="16"/>
                <w:color w:val="auto"/>
                <w:w w:val="89"/>
              </w:rPr>
              <w:t>Weighted-average discount rate - operating leases</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3.94 %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4.09 %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3.60 %</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3.80 %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4.01 %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3.58 %</w:t>
            </w:r>
          </w:p>
        </w:tc>
        <w:tc>
          <w:tcPr>
            <w:tcW w:w="0" w:type="dxa"/>
            <w:vAlign w:val="bottom"/>
          </w:tcPr>
          <w:p>
            <w:pPr>
              <w:spacing w:after="0"/>
              <w:rPr>
                <w:sz w:val="1"/>
                <w:szCs w:val="1"/>
                <w:color w:val="auto"/>
              </w:rPr>
            </w:pPr>
          </w:p>
        </w:tc>
      </w:tr>
      <w:tr>
        <w:trPr>
          <w:trHeight w:val="166"/>
        </w:trPr>
        <w:tc>
          <w:tcPr>
            <w:tcW w:w="326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0"/>
              </w:rPr>
              <w:t>Weighted-average remaining lease term (in years)</w:t>
            </w:r>
          </w:p>
        </w:tc>
        <w:tc>
          <w:tcPr>
            <w:tcW w:w="4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finance leases</w:t>
            </w:r>
          </w:p>
        </w:tc>
        <w:tc>
          <w:tcPr>
            <w:tcW w:w="4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60" w:type="dxa"/>
            <w:vAlign w:val="bottom"/>
          </w:tcPr>
          <w:p>
            <w:pPr>
              <w:ind w:left="20"/>
              <w:spacing w:after="0"/>
              <w:rPr>
                <w:sz w:val="20"/>
                <w:szCs w:val="20"/>
                <w:color w:val="auto"/>
              </w:rPr>
            </w:pPr>
            <w:r>
              <w:rPr>
                <w:rFonts w:ascii="Arial" w:cs="Arial" w:eastAsia="Arial" w:hAnsi="Arial"/>
                <w:sz w:val="16"/>
                <w:szCs w:val="16"/>
                <w:color w:val="auto"/>
                <w:w w:val="93"/>
              </w:rPr>
              <w:t>Weighted-average discount rate - finance leases</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3.60 %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3.60 %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3.60 %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3.60 %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25" w:lineRule="exact"/>
        <w:rPr>
          <w:sz w:val="20"/>
          <w:szCs w:val="20"/>
          <w:color w:val="auto"/>
        </w:rPr>
      </w:pPr>
    </w:p>
    <w:p>
      <w:pPr>
        <w:ind w:left="640" w:hanging="315"/>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Reported within Other assets in the Registrants’ respective Condensed Consolidated Balance Sheets.</w:t>
      </w:r>
    </w:p>
    <w:p>
      <w:pPr>
        <w:spacing w:after="0" w:line="16" w:lineRule="exact"/>
        <w:rPr>
          <w:rFonts w:ascii="Arial" w:cs="Arial" w:eastAsia="Arial" w:hAnsi="Arial"/>
          <w:sz w:val="18"/>
          <w:szCs w:val="18"/>
          <w:color w:val="auto"/>
        </w:rPr>
      </w:pPr>
    </w:p>
    <w:p>
      <w:pPr>
        <w:ind w:left="640" w:hanging="315"/>
        <w:spacing w:after="0" w:line="246" w:lineRule="auto"/>
        <w:tabs>
          <w:tab w:leader="none" w:pos="634"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Reported within Property, Plant and Equipment in the Registrants’ respective Condensed Consolidated Balance Sheets. Finance lease assets are recorded net of accumulated amortization.</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Reported within Current other liabilities in the Registrants’ respective Condensed Consolidated Balance Sheets.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Reported within Other liabilities in the Registrants’ respective Condensed Consolidated Balance Sheets.</w:t>
      </w:r>
    </w:p>
    <w:p>
      <w:pPr>
        <w:spacing w:after="0" w:line="5" w:lineRule="exact"/>
        <w:rPr>
          <w:rFonts w:ascii="Arial" w:cs="Arial" w:eastAsia="Arial" w:hAnsi="Arial"/>
          <w:sz w:val="18"/>
          <w:szCs w:val="18"/>
          <w:color w:val="auto"/>
        </w:rPr>
      </w:pPr>
    </w:p>
    <w:p>
      <w:pPr>
        <w:ind w:left="640" w:hanging="315"/>
        <w:spacing w:after="0" w:line="253" w:lineRule="auto"/>
        <w:tabs>
          <w:tab w:leader="none" w:pos="634"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Finance lease liabilities were not significant as of June 30, 2023 or December 31, 2022 and are reported within Other long-term debt in the Registrants’ respective Condensed Consolidated Balance Sheets when applicable.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ind w:right="100" w:firstLine="319"/>
        <w:spacing w:after="0" w:line="250" w:lineRule="auto"/>
        <w:rPr>
          <w:sz w:val="20"/>
          <w:szCs w:val="20"/>
          <w:color w:val="auto"/>
        </w:rPr>
      </w:pPr>
      <w:r>
        <w:rPr>
          <w:rFonts w:ascii="Arial" w:cs="Arial" w:eastAsia="Arial" w:hAnsi="Arial"/>
          <w:sz w:val="18"/>
          <w:szCs w:val="18"/>
          <w:color w:val="auto"/>
        </w:rPr>
        <w:t>As of September 30, 2023, finance lease liabilities were not significant to the Registrants. As of September 30, 2023, maturities of operating lease liabilities were as follows:</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300" w:type="dxa"/>
            <w:vAlign w:val="bottom"/>
          </w:tcPr>
          <w:p>
            <w:pPr>
              <w:jc w:val="right"/>
              <w:ind w:right="20"/>
              <w:spacing w:after="0"/>
              <w:rPr>
                <w:sz w:val="20"/>
                <w:szCs w:val="20"/>
                <w:color w:val="auto"/>
              </w:rPr>
            </w:pPr>
            <w:r>
              <w:rPr>
                <w:rFonts w:ascii="Arial" w:cs="Arial" w:eastAsia="Arial" w:hAnsi="Arial"/>
                <w:sz w:val="14"/>
                <w:szCs w:val="14"/>
                <w:b w:val="1"/>
                <w:bCs w:val="1"/>
                <w:color w:val="auto"/>
              </w:rPr>
              <w:t>CenterPoint</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Houston</w:t>
            </w:r>
          </w:p>
        </w:tc>
        <w:tc>
          <w:tcPr>
            <w:tcW w:w="360" w:type="dxa"/>
            <w:vAlign w:val="bottom"/>
          </w:tcPr>
          <w:p>
            <w:pPr>
              <w:spacing w:after="0"/>
              <w:rPr>
                <w:sz w:val="14"/>
                <w:szCs w:val="14"/>
                <w:color w:val="auto"/>
              </w:rPr>
            </w:pPr>
          </w:p>
        </w:tc>
        <w:tc>
          <w:tcPr>
            <w:tcW w:w="128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3"/>
        </w:trPr>
        <w:tc>
          <w:tcPr>
            <w:tcW w:w="6020" w:type="dxa"/>
            <w:vAlign w:val="bottom"/>
          </w:tcPr>
          <w:p>
            <w:pPr>
              <w:spacing w:after="0"/>
              <w:rPr>
                <w:sz w:val="16"/>
                <w:szCs w:val="16"/>
                <w:color w:val="auto"/>
              </w:rPr>
            </w:pPr>
          </w:p>
        </w:tc>
        <w:tc>
          <w:tcPr>
            <w:tcW w:w="13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Energy</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Electric</w:t>
            </w: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(in millions)</w:t>
            </w: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2023</w:t>
            </w:r>
          </w:p>
        </w:tc>
        <w:tc>
          <w:tcPr>
            <w:tcW w:w="1300" w:type="dxa"/>
            <w:vAlign w:val="bottom"/>
            <w:shd w:val="clear" w:color="auto" w:fill="CCEEFF"/>
          </w:tcPr>
          <w:p>
            <w:pPr>
              <w:jc w:val="right"/>
              <w:ind w:right="112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6020" w:type="dxa"/>
            <w:vAlign w:val="bottom"/>
          </w:tcPr>
          <w:p>
            <w:pPr>
              <w:spacing w:after="0"/>
              <w:rPr>
                <w:sz w:val="20"/>
                <w:szCs w:val="20"/>
                <w:color w:val="auto"/>
              </w:rPr>
            </w:pPr>
            <w:r>
              <w:rPr>
                <w:rFonts w:ascii="Arial" w:cs="Arial" w:eastAsia="Arial" w:hAnsi="Arial"/>
                <w:sz w:val="18"/>
                <w:szCs w:val="18"/>
                <w:color w:val="auto"/>
              </w:rPr>
              <w:t>2024</w:t>
            </w:r>
          </w:p>
        </w:tc>
        <w:tc>
          <w:tcPr>
            <w:tcW w:w="13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7"/>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3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6020" w:type="dxa"/>
            <w:vAlign w:val="bottom"/>
          </w:tcPr>
          <w:p>
            <w:pPr>
              <w:spacing w:after="0"/>
              <w:rPr>
                <w:sz w:val="20"/>
                <w:szCs w:val="20"/>
                <w:color w:val="auto"/>
              </w:rPr>
            </w:pPr>
            <w:r>
              <w:rPr>
                <w:rFonts w:ascii="Arial" w:cs="Arial" w:eastAsia="Arial" w:hAnsi="Arial"/>
                <w:sz w:val="18"/>
                <w:szCs w:val="18"/>
                <w:color w:val="auto"/>
              </w:rPr>
              <w:t>2026</w:t>
            </w:r>
          </w:p>
        </w:tc>
        <w:tc>
          <w:tcPr>
            <w:tcW w:w="13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7"/>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13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020" w:type="dxa"/>
            <w:vAlign w:val="bottom"/>
          </w:tcPr>
          <w:p>
            <w:pPr>
              <w:spacing w:after="0"/>
              <w:rPr>
                <w:sz w:val="20"/>
                <w:szCs w:val="20"/>
                <w:color w:val="auto"/>
              </w:rPr>
            </w:pPr>
            <w:r>
              <w:rPr>
                <w:rFonts w:ascii="Arial" w:cs="Arial" w:eastAsia="Arial" w:hAnsi="Arial"/>
                <w:sz w:val="18"/>
                <w:szCs w:val="18"/>
                <w:color w:val="auto"/>
              </w:rPr>
              <w:t>2028</w:t>
            </w:r>
          </w:p>
        </w:tc>
        <w:tc>
          <w:tcPr>
            <w:tcW w:w="13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2029 and beyond</w:t>
            </w:r>
          </w:p>
        </w:tc>
        <w:tc>
          <w:tcPr>
            <w:tcW w:w="13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6020" w:type="dxa"/>
            <w:vAlign w:val="bottom"/>
          </w:tcPr>
          <w:p>
            <w:pPr>
              <w:spacing w:after="0" w:line="205" w:lineRule="exact"/>
              <w:rPr>
                <w:sz w:val="20"/>
                <w:szCs w:val="20"/>
                <w:color w:val="auto"/>
              </w:rPr>
            </w:pPr>
            <w:r>
              <w:rPr>
                <w:rFonts w:ascii="Arial" w:cs="Arial" w:eastAsia="Arial" w:hAnsi="Arial"/>
                <w:sz w:val="18"/>
                <w:szCs w:val="18"/>
                <w:color w:val="auto"/>
              </w:rPr>
              <w:t>Total lease payments</w:t>
            </w:r>
          </w:p>
        </w:tc>
        <w:tc>
          <w:tcPr>
            <w:tcW w:w="13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7"/>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Less: Interest</w:t>
            </w:r>
          </w:p>
        </w:tc>
        <w:tc>
          <w:tcPr>
            <w:tcW w:w="13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9"/>
        </w:trPr>
        <w:tc>
          <w:tcPr>
            <w:tcW w:w="6020" w:type="dxa"/>
            <w:vAlign w:val="bottom"/>
          </w:tcPr>
          <w:p>
            <w:pPr>
              <w:spacing w:after="0" w:line="205" w:lineRule="exact"/>
              <w:rPr>
                <w:sz w:val="20"/>
                <w:szCs w:val="20"/>
                <w:color w:val="auto"/>
              </w:rPr>
            </w:pPr>
            <w:r>
              <w:rPr>
                <w:rFonts w:ascii="Arial" w:cs="Arial" w:eastAsia="Arial" w:hAnsi="Arial"/>
                <w:sz w:val="18"/>
                <w:szCs w:val="18"/>
                <w:color w:val="auto"/>
              </w:rPr>
              <w:t>Present value of lease liabilities</w:t>
            </w:r>
          </w:p>
        </w:tc>
        <w:tc>
          <w:tcPr>
            <w:tcW w:w="1300" w:type="dxa"/>
            <w:vAlign w:val="bottom"/>
            <w:tcBorders>
              <w:bottom w:val="single" w:sz="8" w:color="auto"/>
            </w:tcBorders>
          </w:tcPr>
          <w:p>
            <w:pPr>
              <w:jc w:val="right"/>
              <w:ind w:right="112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both"/>
        <w:ind w:right="100" w:firstLine="319"/>
        <w:spacing w:after="0" w:line="266" w:lineRule="auto"/>
        <w:rPr>
          <w:sz w:val="20"/>
          <w:szCs w:val="20"/>
          <w:color w:val="auto"/>
        </w:rPr>
      </w:pPr>
      <w:r>
        <w:rPr>
          <w:rFonts w:ascii="Arial" w:cs="Arial" w:eastAsia="Arial" w:hAnsi="Arial"/>
          <w:sz w:val="18"/>
          <w:szCs w:val="18"/>
          <w:color w:val="auto"/>
        </w:rPr>
        <w:t>As of September 30, 2023, future minimum finance lease payments were not significant to the Registrants. As of September 30, 2023, maturities of undiscounted operating lease payments to be received are as follows:</w:t>
      </w:r>
    </w:p>
    <w:p>
      <w:pPr>
        <w:spacing w:after="0" w:line="301"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CenterPoint</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center"/>
              <w:ind w:left="262"/>
              <w:spacing w:after="0"/>
              <w:rPr>
                <w:sz w:val="20"/>
                <w:szCs w:val="20"/>
                <w:color w:val="auto"/>
              </w:rPr>
            </w:pPr>
            <w:r>
              <w:rPr>
                <w:rFonts w:ascii="Arial" w:cs="Arial" w:eastAsia="Arial" w:hAnsi="Arial"/>
                <w:sz w:val="14"/>
                <w:szCs w:val="14"/>
                <w:b w:val="1"/>
                <w:bCs w:val="1"/>
                <w:color w:val="auto"/>
                <w:w w:val="91"/>
              </w:rPr>
              <w:t>Houston</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0"/>
        </w:trPr>
        <w:tc>
          <w:tcPr>
            <w:tcW w:w="6040" w:type="dxa"/>
            <w:vAlign w:val="bottom"/>
          </w:tcPr>
          <w:p>
            <w:pPr>
              <w:spacing w:after="0"/>
              <w:rPr>
                <w:sz w:val="16"/>
                <w:szCs w:val="16"/>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Energy</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left="302"/>
              <w:spacing w:after="0"/>
              <w:rPr>
                <w:sz w:val="20"/>
                <w:szCs w:val="20"/>
                <w:color w:val="auto"/>
              </w:rPr>
            </w:pPr>
            <w:r>
              <w:rPr>
                <w:rFonts w:ascii="Arial" w:cs="Arial" w:eastAsia="Arial" w:hAnsi="Arial"/>
                <w:sz w:val="14"/>
                <w:szCs w:val="14"/>
                <w:b w:val="1"/>
                <w:bCs w:val="1"/>
                <w:color w:val="auto"/>
                <w:w w:val="94"/>
              </w:rPr>
              <w:t>Electric</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0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center"/>
              <w:ind w:left="262"/>
              <w:spacing w:after="0"/>
              <w:rPr>
                <w:sz w:val="20"/>
                <w:szCs w:val="20"/>
                <w:color w:val="auto"/>
              </w:rPr>
            </w:pPr>
            <w:r>
              <w:rPr>
                <w:rFonts w:ascii="Arial" w:cs="Arial" w:eastAsia="Arial" w:hAnsi="Arial"/>
                <w:sz w:val="14"/>
                <w:szCs w:val="14"/>
                <w:b w:val="1"/>
                <w:bCs w:val="1"/>
                <w:color w:val="auto"/>
                <w:w w:val="91"/>
              </w:rPr>
              <w:t>(in millions)</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1260" w:type="dxa"/>
            <w:vAlign w:val="bottom"/>
            <w:shd w:val="clear" w:color="auto" w:fill="CCEEFF"/>
          </w:tcPr>
          <w:p>
            <w:pPr>
              <w:jc w:val="right"/>
              <w:ind w:right="108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122"/>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040" w:type="dxa"/>
            <w:vAlign w:val="bottom"/>
          </w:tcPr>
          <w:p>
            <w:pPr>
              <w:ind w:left="20"/>
              <w:spacing w:after="0"/>
              <w:rPr>
                <w:sz w:val="20"/>
                <w:szCs w:val="20"/>
                <w:color w:val="auto"/>
              </w:rPr>
            </w:pPr>
            <w:r>
              <w:rPr>
                <w:rFonts w:ascii="Arial" w:cs="Arial" w:eastAsia="Arial" w:hAnsi="Arial"/>
                <w:sz w:val="18"/>
                <w:szCs w:val="18"/>
                <w:color w:val="auto"/>
              </w:rPr>
              <w:t>2024</w:t>
            </w:r>
          </w:p>
        </w:tc>
        <w:tc>
          <w:tcPr>
            <w:tcW w:w="1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40" w:type="dxa"/>
            <w:vAlign w:val="bottom"/>
          </w:tcPr>
          <w:p>
            <w:pPr>
              <w:ind w:left="20"/>
              <w:spacing w:after="0"/>
              <w:rPr>
                <w:sz w:val="20"/>
                <w:szCs w:val="20"/>
                <w:color w:val="auto"/>
              </w:rPr>
            </w:pPr>
            <w:r>
              <w:rPr>
                <w:rFonts w:ascii="Arial" w:cs="Arial" w:eastAsia="Arial" w:hAnsi="Arial"/>
                <w:sz w:val="18"/>
                <w:szCs w:val="18"/>
                <w:color w:val="auto"/>
              </w:rPr>
              <w:t>2026</w:t>
            </w:r>
          </w:p>
        </w:tc>
        <w:tc>
          <w:tcPr>
            <w:tcW w:w="1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2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40" w:type="dxa"/>
            <w:vAlign w:val="bottom"/>
          </w:tcPr>
          <w:p>
            <w:pPr>
              <w:ind w:left="20"/>
              <w:spacing w:after="0"/>
              <w:rPr>
                <w:sz w:val="20"/>
                <w:szCs w:val="20"/>
                <w:color w:val="auto"/>
              </w:rPr>
            </w:pPr>
            <w:r>
              <w:rPr>
                <w:rFonts w:ascii="Arial" w:cs="Arial" w:eastAsia="Arial" w:hAnsi="Arial"/>
                <w:sz w:val="18"/>
                <w:szCs w:val="18"/>
                <w:color w:val="auto"/>
              </w:rPr>
              <w:t>2028</w:t>
            </w:r>
          </w:p>
        </w:tc>
        <w:tc>
          <w:tcPr>
            <w:tcW w:w="1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 and beyond</w:t>
            </w:r>
          </w:p>
        </w:tc>
        <w:tc>
          <w:tcPr>
            <w:tcW w:w="12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9"/>
        </w:trPr>
        <w:tc>
          <w:tcPr>
            <w:tcW w:w="6040" w:type="dxa"/>
            <w:vAlign w:val="bottom"/>
          </w:tcPr>
          <w:p>
            <w:pPr>
              <w:ind w:left="20"/>
              <w:spacing w:after="0" w:line="205" w:lineRule="exact"/>
              <w:rPr>
                <w:sz w:val="20"/>
                <w:szCs w:val="20"/>
                <w:color w:val="auto"/>
              </w:rPr>
            </w:pPr>
            <w:r>
              <w:rPr>
                <w:rFonts w:ascii="Arial" w:cs="Arial" w:eastAsia="Arial" w:hAnsi="Arial"/>
                <w:sz w:val="18"/>
                <w:szCs w:val="18"/>
                <w:color w:val="auto"/>
              </w:rPr>
              <w:t>Total lease payments to be received</w:t>
            </w:r>
          </w:p>
        </w:tc>
        <w:tc>
          <w:tcPr>
            <w:tcW w:w="1260" w:type="dxa"/>
            <w:vAlign w:val="bottom"/>
            <w:tcBorders>
              <w:top w:val="single" w:sz="8" w:color="auto"/>
              <w:bottom w:val="single" w:sz="8" w:color="auto"/>
            </w:tcBorders>
          </w:tcPr>
          <w:p>
            <w:pPr>
              <w:jc w:val="right"/>
              <w:ind w:right="108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211</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ind w:right="1122"/>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information related to leases is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3420" w:type="dxa"/>
            <w:vAlign w:val="bottom"/>
            <w:gridSpan w:val="5"/>
          </w:tcPr>
          <w:p>
            <w:pPr>
              <w:jc w:val="center"/>
              <w:ind w:left="289"/>
              <w:spacing w:after="0"/>
              <w:rPr>
                <w:sz w:val="20"/>
                <w:szCs w:val="20"/>
                <w:color w:val="auto"/>
              </w:rPr>
            </w:pPr>
            <w:r>
              <w:rPr>
                <w:rFonts w:ascii="Arial" w:cs="Arial" w:eastAsia="Arial" w:hAnsi="Arial"/>
                <w:sz w:val="14"/>
                <w:szCs w:val="14"/>
                <w:b w:val="1"/>
                <w:bCs w:val="1"/>
                <w:color w:val="auto"/>
                <w:w w:val="91"/>
              </w:rPr>
              <w:t>Three Months Ended September 30, 2023</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20" w:type="dxa"/>
            <w:vAlign w:val="bottom"/>
            <w:gridSpan w:val="5"/>
          </w:tcPr>
          <w:p>
            <w:pPr>
              <w:jc w:val="center"/>
              <w:ind w:right="89"/>
              <w:spacing w:after="0"/>
              <w:rPr>
                <w:sz w:val="20"/>
                <w:szCs w:val="20"/>
                <w:color w:val="auto"/>
              </w:rPr>
            </w:pPr>
            <w:r>
              <w:rPr>
                <w:rFonts w:ascii="Arial" w:cs="Arial" w:eastAsia="Arial" w:hAnsi="Arial"/>
                <w:sz w:val="14"/>
                <w:szCs w:val="14"/>
                <w:b w:val="1"/>
                <w:bCs w:val="1"/>
                <w:color w:val="auto"/>
                <w:w w:val="91"/>
              </w:rPr>
              <w:t>Three Months Ended September 30, 2022</w:t>
            </w:r>
          </w:p>
        </w:tc>
        <w:tc>
          <w:tcPr>
            <w:tcW w:w="0" w:type="dxa"/>
            <w:vAlign w:val="bottom"/>
          </w:tcPr>
          <w:p>
            <w:pPr>
              <w:spacing w:after="0"/>
              <w:rPr>
                <w:sz w:val="1"/>
                <w:szCs w:val="1"/>
                <w:color w:val="auto"/>
              </w:rPr>
            </w:pPr>
          </w:p>
        </w:tc>
      </w:tr>
      <w:tr>
        <w:trPr>
          <w:trHeight w:val="24"/>
        </w:trPr>
        <w:tc>
          <w:tcPr>
            <w:tcW w:w="35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580" w:type="dxa"/>
            <w:vAlign w:val="bottom"/>
          </w:tcPr>
          <w:p>
            <w:pPr>
              <w:spacing w:after="0"/>
              <w:rPr>
                <w:sz w:val="10"/>
                <w:szCs w:val="10"/>
                <w:color w:val="auto"/>
              </w:rPr>
            </w:pPr>
          </w:p>
        </w:tc>
        <w:tc>
          <w:tcPr>
            <w:tcW w:w="980" w:type="dxa"/>
            <w:vAlign w:val="bottom"/>
          </w:tcPr>
          <w:p>
            <w:pPr>
              <w:jc w:val="center"/>
              <w:ind w:left="169"/>
              <w:spacing w:after="0" w:line="127" w:lineRule="exact"/>
              <w:rPr>
                <w:sz w:val="20"/>
                <w:szCs w:val="20"/>
                <w:color w:val="auto"/>
              </w:rPr>
            </w:pPr>
            <w:r>
              <w:rPr>
                <w:rFonts w:ascii="Arial" w:cs="Arial" w:eastAsia="Arial" w:hAnsi="Arial"/>
                <w:sz w:val="14"/>
                <w:szCs w:val="14"/>
                <w:b w:val="1"/>
                <w:bCs w:val="1"/>
                <w:color w:val="auto"/>
                <w:w w:val="93"/>
              </w:rPr>
              <w:t>CenterPoint</w:t>
            </w:r>
          </w:p>
        </w:tc>
        <w:tc>
          <w:tcPr>
            <w:tcW w:w="260" w:type="dxa"/>
            <w:vAlign w:val="bottom"/>
          </w:tcPr>
          <w:p>
            <w:pPr>
              <w:spacing w:after="0"/>
              <w:rPr>
                <w:sz w:val="10"/>
                <w:szCs w:val="10"/>
                <w:color w:val="auto"/>
              </w:rPr>
            </w:pPr>
          </w:p>
        </w:tc>
        <w:tc>
          <w:tcPr>
            <w:tcW w:w="980" w:type="dxa"/>
            <w:vAlign w:val="bottom"/>
          </w:tcPr>
          <w:p>
            <w:pPr>
              <w:jc w:val="center"/>
              <w:ind w:left="229"/>
              <w:spacing w:after="0" w:line="127" w:lineRule="exact"/>
              <w:rPr>
                <w:sz w:val="20"/>
                <w:szCs w:val="20"/>
                <w:color w:val="auto"/>
              </w:rPr>
            </w:pPr>
            <w:r>
              <w:rPr>
                <w:rFonts w:ascii="Arial" w:cs="Arial" w:eastAsia="Arial" w:hAnsi="Arial"/>
                <w:sz w:val="14"/>
                <w:szCs w:val="14"/>
                <w:b w:val="1"/>
                <w:bCs w:val="1"/>
                <w:color w:val="auto"/>
                <w:w w:val="91"/>
              </w:rPr>
              <w:t>Houston</w:t>
            </w:r>
          </w:p>
        </w:tc>
        <w:tc>
          <w:tcPr>
            <w:tcW w:w="30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CERC</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jc w:val="center"/>
              <w:ind w:right="129"/>
              <w:spacing w:after="0" w:line="127" w:lineRule="exact"/>
              <w:rPr>
                <w:sz w:val="20"/>
                <w:szCs w:val="20"/>
                <w:color w:val="auto"/>
              </w:rPr>
            </w:pPr>
            <w:r>
              <w:rPr>
                <w:rFonts w:ascii="Arial" w:cs="Arial" w:eastAsia="Arial" w:hAnsi="Arial"/>
                <w:sz w:val="14"/>
                <w:szCs w:val="14"/>
                <w:b w:val="1"/>
                <w:bCs w:val="1"/>
                <w:color w:val="auto"/>
                <w:w w:val="93"/>
              </w:rPr>
              <w:t>CenterPoint</w:t>
            </w:r>
          </w:p>
        </w:tc>
        <w:tc>
          <w:tcPr>
            <w:tcW w:w="280" w:type="dxa"/>
            <w:vAlign w:val="bottom"/>
          </w:tcPr>
          <w:p>
            <w:pPr>
              <w:spacing w:after="0"/>
              <w:rPr>
                <w:sz w:val="10"/>
                <w:szCs w:val="10"/>
                <w:color w:val="auto"/>
              </w:rPr>
            </w:pPr>
          </w:p>
        </w:tc>
        <w:tc>
          <w:tcPr>
            <w:tcW w:w="1020" w:type="dxa"/>
            <w:vAlign w:val="bottom"/>
          </w:tcPr>
          <w:p>
            <w:pPr>
              <w:jc w:val="center"/>
              <w:ind w:right="189"/>
              <w:spacing w:after="0" w:line="127" w:lineRule="exact"/>
              <w:rPr>
                <w:sz w:val="20"/>
                <w:szCs w:val="20"/>
                <w:color w:val="auto"/>
              </w:rPr>
            </w:pPr>
            <w:r>
              <w:rPr>
                <w:rFonts w:ascii="Arial" w:cs="Arial" w:eastAsia="Arial" w:hAnsi="Arial"/>
                <w:sz w:val="14"/>
                <w:szCs w:val="14"/>
                <w:b w:val="1"/>
                <w:bCs w:val="1"/>
                <w:color w:val="auto"/>
                <w:w w:val="91"/>
              </w:rPr>
              <w:t>Houston</w:t>
            </w:r>
          </w:p>
        </w:tc>
        <w:tc>
          <w:tcPr>
            <w:tcW w:w="300" w:type="dxa"/>
            <w:vAlign w:val="bottom"/>
          </w:tcPr>
          <w:p>
            <w:pPr>
              <w:spacing w:after="0"/>
              <w:rPr>
                <w:sz w:val="10"/>
                <w:szCs w:val="10"/>
                <w:color w:val="auto"/>
              </w:rPr>
            </w:pPr>
          </w:p>
        </w:tc>
        <w:tc>
          <w:tcPr>
            <w:tcW w:w="960" w:type="dxa"/>
            <w:vAlign w:val="bottom"/>
            <w:vMerge w:val="restart"/>
          </w:tcPr>
          <w:p>
            <w:pPr>
              <w:jc w:val="right"/>
              <w:ind w:right="329"/>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3"/>
        </w:trPr>
        <w:tc>
          <w:tcPr>
            <w:tcW w:w="3580" w:type="dxa"/>
            <w:vAlign w:val="bottom"/>
          </w:tcPr>
          <w:p>
            <w:pPr>
              <w:spacing w:after="0"/>
              <w:rPr>
                <w:sz w:val="16"/>
                <w:szCs w:val="16"/>
                <w:color w:val="auto"/>
              </w:rPr>
            </w:pPr>
          </w:p>
        </w:tc>
        <w:tc>
          <w:tcPr>
            <w:tcW w:w="980" w:type="dxa"/>
            <w:vAlign w:val="bottom"/>
            <w:tcBorders>
              <w:bottom w:val="single" w:sz="8" w:color="auto"/>
            </w:tcBorders>
          </w:tcPr>
          <w:p>
            <w:pPr>
              <w:jc w:val="center"/>
              <w:ind w:left="189"/>
              <w:spacing w:after="0"/>
              <w:rPr>
                <w:sz w:val="20"/>
                <w:szCs w:val="20"/>
                <w:color w:val="auto"/>
              </w:rPr>
            </w:pPr>
            <w:r>
              <w:rPr>
                <w:rFonts w:ascii="Arial" w:cs="Arial" w:eastAsia="Arial" w:hAnsi="Arial"/>
                <w:sz w:val="14"/>
                <w:szCs w:val="14"/>
                <w:b w:val="1"/>
                <w:bCs w:val="1"/>
                <w:color w:val="auto"/>
                <w:w w:val="92"/>
              </w:rPr>
              <w:t>Energy</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left="269"/>
              <w:spacing w:after="0"/>
              <w:rPr>
                <w:sz w:val="20"/>
                <w:szCs w:val="20"/>
                <w:color w:val="auto"/>
              </w:rPr>
            </w:pPr>
            <w:r>
              <w:rPr>
                <w:rFonts w:ascii="Arial" w:cs="Arial" w:eastAsia="Arial" w:hAnsi="Arial"/>
                <w:sz w:val="14"/>
                <w:szCs w:val="14"/>
                <w:b w:val="1"/>
                <w:bCs w:val="1"/>
                <w:color w:val="auto"/>
                <w:w w:val="94"/>
              </w:rPr>
              <w:t>Electric</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92"/>
              </w:rPr>
              <w:t>Energy</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69"/>
              <w:spacing w:after="0"/>
              <w:rPr>
                <w:sz w:val="20"/>
                <w:szCs w:val="20"/>
                <w:color w:val="auto"/>
              </w:rPr>
            </w:pPr>
            <w:r>
              <w:rPr>
                <w:rFonts w:ascii="Arial" w:cs="Arial" w:eastAsia="Arial" w:hAnsi="Arial"/>
                <w:sz w:val="14"/>
                <w:szCs w:val="14"/>
                <w:b w:val="1"/>
                <w:bCs w:val="1"/>
                <w:color w:val="auto"/>
                <w:w w:val="90"/>
              </w:rPr>
              <w:t>Electric</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80" w:type="dxa"/>
            <w:vAlign w:val="bottom"/>
            <w:gridSpan w:val="4"/>
          </w:tcPr>
          <w:p>
            <w:pPr>
              <w:jc w:val="right"/>
              <w:ind w:right="829"/>
              <w:spacing w:after="0"/>
              <w:rPr>
                <w:sz w:val="20"/>
                <w:szCs w:val="20"/>
                <w:color w:val="auto"/>
              </w:rPr>
            </w:pPr>
            <w:r>
              <w:rPr>
                <w:rFonts w:ascii="Arial" w:cs="Arial" w:eastAsia="Arial" w:hAnsi="Arial"/>
                <w:sz w:val="14"/>
                <w:szCs w:val="14"/>
                <w:b w:val="1"/>
                <w:bCs w:val="1"/>
                <w:color w:val="auto"/>
                <w:w w:val="96"/>
              </w:rPr>
              <w:t>(in millions)</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358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w w:val="97"/>
              </w:rPr>
              <w:t>Operating cash flows from operating leases included in the</w:t>
            </w:r>
          </w:p>
        </w:tc>
        <w:tc>
          <w:tcPr>
            <w:tcW w:w="980" w:type="dxa"/>
            <w:vAlign w:val="bottom"/>
            <w:vMerge w:val="restart"/>
            <w:shd w:val="clear" w:color="auto" w:fill="CCEEFF"/>
          </w:tcPr>
          <w:p>
            <w:pPr>
              <w:jc w:val="right"/>
              <w:ind w:right="809"/>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980" w:type="dxa"/>
            <w:vAlign w:val="bottom"/>
            <w:vMerge w:val="restart"/>
            <w:shd w:val="clear" w:color="auto" w:fill="CCEEFF"/>
          </w:tcPr>
          <w:p>
            <w:pPr>
              <w:jc w:val="right"/>
              <w:ind w:right="749"/>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669"/>
              <w:spacing w:after="0"/>
              <w:rPr>
                <w:sz w:val="20"/>
                <w:szCs w:val="20"/>
                <w:color w:val="auto"/>
              </w:rPr>
            </w:pPr>
            <w:r>
              <w:rPr>
                <w:rFonts w:ascii="Arial" w:cs="Arial" w:eastAsia="Arial" w:hAnsi="Arial"/>
                <w:sz w:val="14"/>
                <w:szCs w:val="14"/>
                <w:color w:val="auto"/>
              </w:rPr>
              <w:t>$</w:t>
            </w: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0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2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3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measurement of lease liabilities</w:t>
            </w:r>
          </w:p>
        </w:tc>
        <w:tc>
          <w:tcPr>
            <w:tcW w:w="98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460" w:type="dxa"/>
            <w:vAlign w:val="bottom"/>
            <w:gridSpan w:val="2"/>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3580" w:type="dxa"/>
            <w:vAlign w:val="bottom"/>
          </w:tcPr>
          <w:p>
            <w:pPr>
              <w:ind w:left="20"/>
              <w:spacing w:after="0" w:line="133" w:lineRule="exact"/>
              <w:rPr>
                <w:sz w:val="20"/>
                <w:szCs w:val="20"/>
                <w:color w:val="auto"/>
              </w:rPr>
            </w:pPr>
            <w:r>
              <w:rPr>
                <w:rFonts w:ascii="Arial" w:cs="Arial" w:eastAsia="Arial" w:hAnsi="Arial"/>
                <w:sz w:val="14"/>
                <w:szCs w:val="14"/>
                <w:color w:val="auto"/>
              </w:rPr>
              <w:t>Financing cash flows from finance leases included in the</w:t>
            </w:r>
          </w:p>
        </w:tc>
        <w:tc>
          <w:tcPr>
            <w:tcW w:w="980" w:type="dxa"/>
            <w:vAlign w:val="bottom"/>
          </w:tcPr>
          <w:p>
            <w:pPr>
              <w:spacing w:after="0"/>
              <w:rPr>
                <w:sz w:val="11"/>
                <w:szCs w:val="11"/>
                <w:color w:val="auto"/>
              </w:rPr>
            </w:pPr>
          </w:p>
        </w:tc>
        <w:tc>
          <w:tcPr>
            <w:tcW w:w="260" w:type="dxa"/>
            <w:vAlign w:val="bottom"/>
            <w:vMerge w:val="restart"/>
          </w:tcPr>
          <w:p>
            <w:pPr>
              <w:jc w:val="right"/>
              <w:ind w:right="29"/>
              <w:spacing w:after="0"/>
              <w:rPr>
                <w:sz w:val="20"/>
                <w:szCs w:val="20"/>
                <w:color w:val="auto"/>
              </w:rPr>
            </w:pPr>
            <w:r>
              <w:rPr>
                <w:rFonts w:ascii="Arial" w:cs="Arial" w:eastAsia="Arial" w:hAnsi="Arial"/>
                <w:sz w:val="14"/>
                <w:szCs w:val="14"/>
                <w:color w:val="auto"/>
                <w:w w:val="99"/>
              </w:rPr>
              <w:t>—</w:t>
            </w:r>
          </w:p>
        </w:tc>
        <w:tc>
          <w:tcPr>
            <w:tcW w:w="980" w:type="dxa"/>
            <w:vAlign w:val="bottom"/>
          </w:tcPr>
          <w:p>
            <w:pPr>
              <w:spacing w:after="0"/>
              <w:rPr>
                <w:sz w:val="11"/>
                <w:szCs w:val="11"/>
                <w:color w:val="auto"/>
              </w:rPr>
            </w:pPr>
          </w:p>
        </w:tc>
        <w:tc>
          <w:tcPr>
            <w:tcW w:w="30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1"/>
                <w:szCs w:val="11"/>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60" w:type="dxa"/>
            <w:vAlign w:val="bottom"/>
            <w:vMerge w:val="restart"/>
          </w:tcPr>
          <w:p>
            <w:pPr>
              <w:jc w:val="right"/>
              <w:ind w:right="29"/>
              <w:spacing w:after="0"/>
              <w:rPr>
                <w:sz w:val="20"/>
                <w:szCs w:val="20"/>
                <w:color w:val="auto"/>
              </w:rPr>
            </w:pPr>
            <w:r>
              <w:rPr>
                <w:rFonts w:ascii="Arial" w:cs="Arial" w:eastAsia="Arial" w:hAnsi="Arial"/>
                <w:sz w:val="14"/>
                <w:szCs w:val="14"/>
                <w:color w:val="auto"/>
              </w:rPr>
              <w:t>47</w:t>
            </w:r>
          </w:p>
        </w:tc>
        <w:tc>
          <w:tcPr>
            <w:tcW w:w="280" w:type="dxa"/>
            <w:vAlign w:val="bottom"/>
          </w:tcPr>
          <w:p>
            <w:pPr>
              <w:spacing w:after="0"/>
              <w:rPr>
                <w:sz w:val="11"/>
                <w:szCs w:val="11"/>
                <w:color w:val="auto"/>
              </w:rPr>
            </w:pPr>
          </w:p>
        </w:tc>
        <w:tc>
          <w:tcPr>
            <w:tcW w:w="1020" w:type="dxa"/>
            <w:vAlign w:val="bottom"/>
            <w:vMerge w:val="restart"/>
          </w:tcPr>
          <w:p>
            <w:pPr>
              <w:jc w:val="right"/>
              <w:ind w:right="9"/>
              <w:spacing w:after="0"/>
              <w:rPr>
                <w:sz w:val="20"/>
                <w:szCs w:val="20"/>
                <w:color w:val="auto"/>
              </w:rPr>
            </w:pPr>
            <w:r>
              <w:rPr>
                <w:rFonts w:ascii="Arial" w:cs="Arial" w:eastAsia="Arial" w:hAnsi="Arial"/>
                <w:sz w:val="14"/>
                <w:szCs w:val="14"/>
                <w:color w:val="auto"/>
              </w:rPr>
              <w:t>47</w:t>
            </w:r>
          </w:p>
        </w:tc>
        <w:tc>
          <w:tcPr>
            <w:tcW w:w="3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80" w:type="dxa"/>
            <w:vAlign w:val="bottom"/>
          </w:tcPr>
          <w:p>
            <w:pPr>
              <w:ind w:left="180"/>
              <w:spacing w:after="0"/>
              <w:rPr>
                <w:sz w:val="20"/>
                <w:szCs w:val="20"/>
                <w:color w:val="auto"/>
              </w:rPr>
            </w:pPr>
            <w:r>
              <w:rPr>
                <w:rFonts w:ascii="Arial" w:cs="Arial" w:eastAsia="Arial" w:hAnsi="Arial"/>
                <w:sz w:val="14"/>
                <w:szCs w:val="14"/>
                <w:color w:val="auto"/>
              </w:rPr>
              <w:t>measurement of lease liabilities</w:t>
            </w:r>
          </w:p>
        </w:tc>
        <w:tc>
          <w:tcPr>
            <w:tcW w:w="98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3580" w:type="dxa"/>
            <w:vAlign w:val="bottom"/>
          </w:tcPr>
          <w:p>
            <w:pPr>
              <w:spacing w:after="0"/>
              <w:rPr>
                <w:sz w:val="24"/>
                <w:szCs w:val="24"/>
                <w:color w:val="auto"/>
              </w:rPr>
            </w:pPr>
          </w:p>
        </w:tc>
        <w:tc>
          <w:tcPr>
            <w:tcW w:w="3420" w:type="dxa"/>
            <w:vAlign w:val="bottom"/>
            <w:gridSpan w:val="5"/>
          </w:tcPr>
          <w:p>
            <w:pPr>
              <w:jc w:val="center"/>
              <w:ind w:left="289"/>
              <w:spacing w:after="0"/>
              <w:rPr>
                <w:sz w:val="20"/>
                <w:szCs w:val="20"/>
                <w:color w:val="auto"/>
              </w:rPr>
            </w:pPr>
            <w:r>
              <w:rPr>
                <w:rFonts w:ascii="Arial" w:cs="Arial" w:eastAsia="Arial" w:hAnsi="Arial"/>
                <w:sz w:val="14"/>
                <w:szCs w:val="14"/>
                <w:b w:val="1"/>
                <w:bCs w:val="1"/>
                <w:color w:val="auto"/>
                <w:w w:val="91"/>
              </w:rPr>
              <w:t>Nine Months Ended September 30, 2023</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20" w:type="dxa"/>
            <w:vAlign w:val="bottom"/>
            <w:gridSpan w:val="5"/>
          </w:tcPr>
          <w:p>
            <w:pPr>
              <w:jc w:val="center"/>
              <w:ind w:right="89"/>
              <w:spacing w:after="0"/>
              <w:rPr>
                <w:sz w:val="20"/>
                <w:szCs w:val="20"/>
                <w:color w:val="auto"/>
              </w:rPr>
            </w:pPr>
            <w:r>
              <w:rPr>
                <w:rFonts w:ascii="Arial" w:cs="Arial" w:eastAsia="Arial" w:hAnsi="Arial"/>
                <w:sz w:val="14"/>
                <w:szCs w:val="14"/>
                <w:b w:val="1"/>
                <w:bCs w:val="1"/>
                <w:color w:val="auto"/>
                <w:w w:val="91"/>
              </w:rPr>
              <w:t>Nine Months Ended September 30, 2022</w:t>
            </w:r>
          </w:p>
        </w:tc>
        <w:tc>
          <w:tcPr>
            <w:tcW w:w="0" w:type="dxa"/>
            <w:vAlign w:val="bottom"/>
          </w:tcPr>
          <w:p>
            <w:pPr>
              <w:spacing w:after="0"/>
              <w:rPr>
                <w:sz w:val="1"/>
                <w:szCs w:val="1"/>
                <w:color w:val="auto"/>
              </w:rPr>
            </w:pPr>
          </w:p>
        </w:tc>
      </w:tr>
      <w:tr>
        <w:trPr>
          <w:trHeight w:val="24"/>
        </w:trPr>
        <w:tc>
          <w:tcPr>
            <w:tcW w:w="35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580" w:type="dxa"/>
            <w:vAlign w:val="bottom"/>
          </w:tcPr>
          <w:p>
            <w:pPr>
              <w:spacing w:after="0"/>
              <w:rPr>
                <w:sz w:val="10"/>
                <w:szCs w:val="10"/>
                <w:color w:val="auto"/>
              </w:rPr>
            </w:pPr>
          </w:p>
        </w:tc>
        <w:tc>
          <w:tcPr>
            <w:tcW w:w="980" w:type="dxa"/>
            <w:vAlign w:val="bottom"/>
          </w:tcPr>
          <w:p>
            <w:pPr>
              <w:jc w:val="center"/>
              <w:ind w:left="169"/>
              <w:spacing w:after="0" w:line="127" w:lineRule="exact"/>
              <w:rPr>
                <w:sz w:val="20"/>
                <w:szCs w:val="20"/>
                <w:color w:val="auto"/>
              </w:rPr>
            </w:pPr>
            <w:r>
              <w:rPr>
                <w:rFonts w:ascii="Arial" w:cs="Arial" w:eastAsia="Arial" w:hAnsi="Arial"/>
                <w:sz w:val="14"/>
                <w:szCs w:val="14"/>
                <w:b w:val="1"/>
                <w:bCs w:val="1"/>
                <w:color w:val="auto"/>
                <w:w w:val="93"/>
              </w:rPr>
              <w:t>CenterPoint</w:t>
            </w:r>
          </w:p>
        </w:tc>
        <w:tc>
          <w:tcPr>
            <w:tcW w:w="260" w:type="dxa"/>
            <w:vAlign w:val="bottom"/>
          </w:tcPr>
          <w:p>
            <w:pPr>
              <w:spacing w:after="0"/>
              <w:rPr>
                <w:sz w:val="10"/>
                <w:szCs w:val="10"/>
                <w:color w:val="auto"/>
              </w:rPr>
            </w:pPr>
          </w:p>
        </w:tc>
        <w:tc>
          <w:tcPr>
            <w:tcW w:w="980" w:type="dxa"/>
            <w:vAlign w:val="bottom"/>
          </w:tcPr>
          <w:p>
            <w:pPr>
              <w:jc w:val="center"/>
              <w:ind w:left="229"/>
              <w:spacing w:after="0" w:line="127" w:lineRule="exact"/>
              <w:rPr>
                <w:sz w:val="20"/>
                <w:szCs w:val="20"/>
                <w:color w:val="auto"/>
              </w:rPr>
            </w:pPr>
            <w:r>
              <w:rPr>
                <w:rFonts w:ascii="Arial" w:cs="Arial" w:eastAsia="Arial" w:hAnsi="Arial"/>
                <w:sz w:val="14"/>
                <w:szCs w:val="14"/>
                <w:b w:val="1"/>
                <w:bCs w:val="1"/>
                <w:color w:val="auto"/>
                <w:w w:val="91"/>
              </w:rPr>
              <w:t>Houston</w:t>
            </w:r>
          </w:p>
        </w:tc>
        <w:tc>
          <w:tcPr>
            <w:tcW w:w="30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CERC</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jc w:val="center"/>
              <w:ind w:right="129"/>
              <w:spacing w:after="0" w:line="127" w:lineRule="exact"/>
              <w:rPr>
                <w:sz w:val="20"/>
                <w:szCs w:val="20"/>
                <w:color w:val="auto"/>
              </w:rPr>
            </w:pPr>
            <w:r>
              <w:rPr>
                <w:rFonts w:ascii="Arial" w:cs="Arial" w:eastAsia="Arial" w:hAnsi="Arial"/>
                <w:sz w:val="14"/>
                <w:szCs w:val="14"/>
                <w:b w:val="1"/>
                <w:bCs w:val="1"/>
                <w:color w:val="auto"/>
                <w:w w:val="93"/>
              </w:rPr>
              <w:t>CenterPoint</w:t>
            </w:r>
          </w:p>
        </w:tc>
        <w:tc>
          <w:tcPr>
            <w:tcW w:w="280" w:type="dxa"/>
            <w:vAlign w:val="bottom"/>
          </w:tcPr>
          <w:p>
            <w:pPr>
              <w:spacing w:after="0"/>
              <w:rPr>
                <w:sz w:val="10"/>
                <w:szCs w:val="10"/>
                <w:color w:val="auto"/>
              </w:rPr>
            </w:pPr>
          </w:p>
        </w:tc>
        <w:tc>
          <w:tcPr>
            <w:tcW w:w="1020" w:type="dxa"/>
            <w:vAlign w:val="bottom"/>
          </w:tcPr>
          <w:p>
            <w:pPr>
              <w:jc w:val="center"/>
              <w:ind w:right="189"/>
              <w:spacing w:after="0" w:line="127" w:lineRule="exact"/>
              <w:rPr>
                <w:sz w:val="20"/>
                <w:szCs w:val="20"/>
                <w:color w:val="auto"/>
              </w:rPr>
            </w:pPr>
            <w:r>
              <w:rPr>
                <w:rFonts w:ascii="Arial" w:cs="Arial" w:eastAsia="Arial" w:hAnsi="Arial"/>
                <w:sz w:val="14"/>
                <w:szCs w:val="14"/>
                <w:b w:val="1"/>
                <w:bCs w:val="1"/>
                <w:color w:val="auto"/>
                <w:w w:val="91"/>
              </w:rPr>
              <w:t>Houston</w:t>
            </w:r>
          </w:p>
        </w:tc>
        <w:tc>
          <w:tcPr>
            <w:tcW w:w="300" w:type="dxa"/>
            <w:vAlign w:val="bottom"/>
          </w:tcPr>
          <w:p>
            <w:pPr>
              <w:spacing w:after="0"/>
              <w:rPr>
                <w:sz w:val="10"/>
                <w:szCs w:val="10"/>
                <w:color w:val="auto"/>
              </w:rPr>
            </w:pPr>
          </w:p>
        </w:tc>
        <w:tc>
          <w:tcPr>
            <w:tcW w:w="960" w:type="dxa"/>
            <w:vAlign w:val="bottom"/>
            <w:vMerge w:val="restart"/>
          </w:tcPr>
          <w:p>
            <w:pPr>
              <w:jc w:val="right"/>
              <w:ind w:right="329"/>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3"/>
        </w:trPr>
        <w:tc>
          <w:tcPr>
            <w:tcW w:w="3580" w:type="dxa"/>
            <w:vAlign w:val="bottom"/>
          </w:tcPr>
          <w:p>
            <w:pPr>
              <w:spacing w:after="0"/>
              <w:rPr>
                <w:sz w:val="16"/>
                <w:szCs w:val="16"/>
                <w:color w:val="auto"/>
              </w:rPr>
            </w:pPr>
          </w:p>
        </w:tc>
        <w:tc>
          <w:tcPr>
            <w:tcW w:w="980" w:type="dxa"/>
            <w:vAlign w:val="bottom"/>
            <w:tcBorders>
              <w:bottom w:val="single" w:sz="8" w:color="auto"/>
            </w:tcBorders>
          </w:tcPr>
          <w:p>
            <w:pPr>
              <w:jc w:val="center"/>
              <w:ind w:left="189"/>
              <w:spacing w:after="0"/>
              <w:rPr>
                <w:sz w:val="20"/>
                <w:szCs w:val="20"/>
                <w:color w:val="auto"/>
              </w:rPr>
            </w:pPr>
            <w:r>
              <w:rPr>
                <w:rFonts w:ascii="Arial" w:cs="Arial" w:eastAsia="Arial" w:hAnsi="Arial"/>
                <w:sz w:val="14"/>
                <w:szCs w:val="14"/>
                <w:b w:val="1"/>
                <w:bCs w:val="1"/>
                <w:color w:val="auto"/>
                <w:w w:val="92"/>
              </w:rPr>
              <w:t>Energy</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left="269"/>
              <w:spacing w:after="0"/>
              <w:rPr>
                <w:sz w:val="20"/>
                <w:szCs w:val="20"/>
                <w:color w:val="auto"/>
              </w:rPr>
            </w:pPr>
            <w:r>
              <w:rPr>
                <w:rFonts w:ascii="Arial" w:cs="Arial" w:eastAsia="Arial" w:hAnsi="Arial"/>
                <w:sz w:val="14"/>
                <w:szCs w:val="14"/>
                <w:b w:val="1"/>
                <w:bCs w:val="1"/>
                <w:color w:val="auto"/>
                <w:w w:val="94"/>
              </w:rPr>
              <w:t>Electric</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92"/>
              </w:rPr>
              <w:t>Energy</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69"/>
              <w:spacing w:after="0"/>
              <w:rPr>
                <w:sz w:val="20"/>
                <w:szCs w:val="20"/>
                <w:color w:val="auto"/>
              </w:rPr>
            </w:pPr>
            <w:r>
              <w:rPr>
                <w:rFonts w:ascii="Arial" w:cs="Arial" w:eastAsia="Arial" w:hAnsi="Arial"/>
                <w:sz w:val="14"/>
                <w:szCs w:val="14"/>
                <w:b w:val="1"/>
                <w:bCs w:val="1"/>
                <w:color w:val="auto"/>
                <w:w w:val="90"/>
              </w:rPr>
              <w:t>Electric</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80" w:type="dxa"/>
            <w:vAlign w:val="bottom"/>
            <w:gridSpan w:val="4"/>
          </w:tcPr>
          <w:p>
            <w:pPr>
              <w:jc w:val="right"/>
              <w:ind w:right="829"/>
              <w:spacing w:after="0"/>
              <w:rPr>
                <w:sz w:val="20"/>
                <w:szCs w:val="20"/>
                <w:color w:val="auto"/>
              </w:rPr>
            </w:pPr>
            <w:r>
              <w:rPr>
                <w:rFonts w:ascii="Arial" w:cs="Arial" w:eastAsia="Arial" w:hAnsi="Arial"/>
                <w:sz w:val="14"/>
                <w:szCs w:val="14"/>
                <w:b w:val="1"/>
                <w:bCs w:val="1"/>
                <w:color w:val="auto"/>
                <w:w w:val="96"/>
              </w:rPr>
              <w:t>(in millions)</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358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w w:val="97"/>
              </w:rPr>
              <w:t>Operating cash flows from operating leases included in the</w:t>
            </w:r>
          </w:p>
        </w:tc>
        <w:tc>
          <w:tcPr>
            <w:tcW w:w="980" w:type="dxa"/>
            <w:vAlign w:val="bottom"/>
            <w:vMerge w:val="restart"/>
            <w:shd w:val="clear" w:color="auto" w:fill="CCEEFF"/>
          </w:tcPr>
          <w:p>
            <w:pPr>
              <w:jc w:val="right"/>
              <w:ind w:right="809"/>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w:t>
            </w:r>
          </w:p>
        </w:tc>
        <w:tc>
          <w:tcPr>
            <w:tcW w:w="980" w:type="dxa"/>
            <w:vAlign w:val="bottom"/>
            <w:vMerge w:val="restart"/>
            <w:shd w:val="clear" w:color="auto" w:fill="CCEEFF"/>
          </w:tcPr>
          <w:p>
            <w:pPr>
              <w:jc w:val="right"/>
              <w:ind w:right="749"/>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900" w:type="dxa"/>
            <w:vAlign w:val="bottom"/>
            <w:vMerge w:val="restart"/>
            <w:shd w:val="clear" w:color="auto" w:fill="CCEEFF"/>
          </w:tcPr>
          <w:p>
            <w:pPr>
              <w:jc w:val="right"/>
              <w:ind w:right="669"/>
              <w:spacing w:after="0"/>
              <w:rPr>
                <w:sz w:val="20"/>
                <w:szCs w:val="20"/>
                <w:color w:val="auto"/>
              </w:rPr>
            </w:pPr>
            <w:r>
              <w:rPr>
                <w:rFonts w:ascii="Arial" w:cs="Arial" w:eastAsia="Arial" w:hAnsi="Arial"/>
                <w:sz w:val="14"/>
                <w:szCs w:val="14"/>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0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w:t>
            </w:r>
          </w:p>
        </w:tc>
        <w:tc>
          <w:tcPr>
            <w:tcW w:w="2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9"/>
        </w:trPr>
        <w:tc>
          <w:tcPr>
            <w:tcW w:w="3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measurement of lease liabilities</w:t>
            </w:r>
          </w:p>
        </w:tc>
        <w:tc>
          <w:tcPr>
            <w:tcW w:w="98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3580" w:type="dxa"/>
            <w:vAlign w:val="bottom"/>
          </w:tcPr>
          <w:p>
            <w:pPr>
              <w:ind w:left="20"/>
              <w:spacing w:after="0" w:line="133" w:lineRule="exact"/>
              <w:rPr>
                <w:sz w:val="20"/>
                <w:szCs w:val="20"/>
                <w:color w:val="auto"/>
              </w:rPr>
            </w:pPr>
            <w:r>
              <w:rPr>
                <w:rFonts w:ascii="Arial" w:cs="Arial" w:eastAsia="Arial" w:hAnsi="Arial"/>
                <w:sz w:val="14"/>
                <w:szCs w:val="14"/>
                <w:color w:val="auto"/>
              </w:rPr>
              <w:t>Financing cash flows from finance leases included in the</w:t>
            </w:r>
          </w:p>
        </w:tc>
        <w:tc>
          <w:tcPr>
            <w:tcW w:w="980" w:type="dxa"/>
            <w:vAlign w:val="bottom"/>
          </w:tcPr>
          <w:p>
            <w:pPr>
              <w:spacing w:after="0"/>
              <w:rPr>
                <w:sz w:val="11"/>
                <w:szCs w:val="11"/>
                <w:color w:val="auto"/>
              </w:rPr>
            </w:pPr>
          </w:p>
        </w:tc>
        <w:tc>
          <w:tcPr>
            <w:tcW w:w="260" w:type="dxa"/>
            <w:vAlign w:val="bottom"/>
            <w:vMerge w:val="restart"/>
          </w:tcPr>
          <w:p>
            <w:pPr>
              <w:jc w:val="right"/>
              <w:ind w:right="29"/>
              <w:spacing w:after="0"/>
              <w:rPr>
                <w:sz w:val="20"/>
                <w:szCs w:val="20"/>
                <w:color w:val="auto"/>
              </w:rPr>
            </w:pPr>
            <w:r>
              <w:rPr>
                <w:rFonts w:ascii="Arial" w:cs="Arial" w:eastAsia="Arial" w:hAnsi="Arial"/>
                <w:sz w:val="14"/>
                <w:szCs w:val="14"/>
                <w:color w:val="auto"/>
                <w:w w:val="99"/>
              </w:rPr>
              <w:t>—</w:t>
            </w:r>
          </w:p>
        </w:tc>
        <w:tc>
          <w:tcPr>
            <w:tcW w:w="980" w:type="dxa"/>
            <w:vAlign w:val="bottom"/>
          </w:tcPr>
          <w:p>
            <w:pPr>
              <w:spacing w:after="0"/>
              <w:rPr>
                <w:sz w:val="11"/>
                <w:szCs w:val="11"/>
                <w:color w:val="auto"/>
              </w:rPr>
            </w:pPr>
          </w:p>
        </w:tc>
        <w:tc>
          <w:tcPr>
            <w:tcW w:w="30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1"/>
                <w:szCs w:val="11"/>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60" w:type="dxa"/>
            <w:vAlign w:val="bottom"/>
            <w:vMerge w:val="restart"/>
          </w:tcPr>
          <w:p>
            <w:pPr>
              <w:jc w:val="right"/>
              <w:ind w:right="29"/>
              <w:spacing w:after="0"/>
              <w:rPr>
                <w:sz w:val="20"/>
                <w:szCs w:val="20"/>
                <w:color w:val="auto"/>
              </w:rPr>
            </w:pPr>
            <w:r>
              <w:rPr>
                <w:rFonts w:ascii="Arial" w:cs="Arial" w:eastAsia="Arial" w:hAnsi="Arial"/>
                <w:sz w:val="14"/>
                <w:szCs w:val="14"/>
                <w:color w:val="auto"/>
              </w:rPr>
              <w:t>218</w:t>
            </w:r>
          </w:p>
        </w:tc>
        <w:tc>
          <w:tcPr>
            <w:tcW w:w="280" w:type="dxa"/>
            <w:vAlign w:val="bottom"/>
          </w:tcPr>
          <w:p>
            <w:pPr>
              <w:spacing w:after="0"/>
              <w:rPr>
                <w:sz w:val="11"/>
                <w:szCs w:val="11"/>
                <w:color w:val="auto"/>
              </w:rPr>
            </w:pPr>
          </w:p>
        </w:tc>
        <w:tc>
          <w:tcPr>
            <w:tcW w:w="1020" w:type="dxa"/>
            <w:vAlign w:val="bottom"/>
            <w:vMerge w:val="restart"/>
          </w:tcPr>
          <w:p>
            <w:pPr>
              <w:jc w:val="right"/>
              <w:ind w:right="9"/>
              <w:spacing w:after="0"/>
              <w:rPr>
                <w:sz w:val="20"/>
                <w:szCs w:val="20"/>
                <w:color w:val="auto"/>
              </w:rPr>
            </w:pPr>
            <w:r>
              <w:rPr>
                <w:rFonts w:ascii="Arial" w:cs="Arial" w:eastAsia="Arial" w:hAnsi="Arial"/>
                <w:sz w:val="14"/>
                <w:szCs w:val="14"/>
                <w:color w:val="auto"/>
              </w:rPr>
              <w:t>218</w:t>
            </w:r>
          </w:p>
        </w:tc>
        <w:tc>
          <w:tcPr>
            <w:tcW w:w="3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80" w:type="dxa"/>
            <w:vAlign w:val="bottom"/>
          </w:tcPr>
          <w:p>
            <w:pPr>
              <w:ind w:left="180"/>
              <w:spacing w:after="0"/>
              <w:rPr>
                <w:sz w:val="20"/>
                <w:szCs w:val="20"/>
                <w:color w:val="auto"/>
              </w:rPr>
            </w:pPr>
            <w:r>
              <w:rPr>
                <w:rFonts w:ascii="Arial" w:cs="Arial" w:eastAsia="Arial" w:hAnsi="Arial"/>
                <w:sz w:val="14"/>
                <w:szCs w:val="14"/>
                <w:color w:val="auto"/>
              </w:rPr>
              <w:t>measurement of lease liabilities</w:t>
            </w:r>
          </w:p>
        </w:tc>
        <w:tc>
          <w:tcPr>
            <w:tcW w:w="98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16 for information on ROU assets obtained in exchange for operating lease liabilities.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jc w:val="both"/>
        <w:ind w:left="800" w:hanging="797"/>
        <w:spacing w:after="0" w:line="273" w:lineRule="auto"/>
        <w:tabs>
          <w:tab w:leader="none" w:pos="78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 OF CENTERPOINT ENERGY, INC. AND SUBSIDIARIES</w:t>
      </w:r>
    </w:p>
    <w:p>
      <w:pPr>
        <w:spacing w:after="0" w:line="200"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i w:val="1"/>
          <w:iCs w:val="1"/>
          <w:color w:val="auto"/>
        </w:rPr>
        <w:t>The following combined discussion and analysis should be read in combination with the Interim Condensed Financial Statements contained in this combined Form 10-Q and the Registrants’ combined 2022 Form 10-K. When discussing CenterPoint Energy’s consolidated financial information, it includes the results of Houston Electric and CERC, which, along with CenterPoint Energy, are collectively referred to as the Registrants. Where appropriate, information relating to a specific Registrant has been segregated and labeled as such. In this combined Form 10-Q, the terms “our,” “we” and “us” are used as abbreviated references to CenterPoint Energy, Inc. together with its consolidated subsidiaries. No Registrant makes any representations as to the information related solely to CenterPoint Energy or the subsidiaries of CenterPoint Energy other than itself.</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 EVENTS</w:t>
      </w:r>
    </w:p>
    <w:p>
      <w:pPr>
        <w:spacing w:after="0" w:line="25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b w:val="1"/>
          <w:bCs w:val="1"/>
          <w:i w:val="1"/>
          <w:iCs w:val="1"/>
          <w:color w:val="auto"/>
        </w:rPr>
        <w:t xml:space="preserve">Series A Preferred Stock Redemption. </w:t>
      </w:r>
      <w:r>
        <w:rPr>
          <w:rFonts w:ascii="Arial" w:cs="Arial" w:eastAsia="Arial" w:hAnsi="Arial"/>
          <w:sz w:val="18"/>
          <w:szCs w:val="18"/>
          <w:color w:val="auto"/>
        </w:rPr>
        <w:t>On September 1, 2023, CenterPoint Energy redeemed the Series A Preferred Stock in whole for cash of $800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at a redemption price of $1,000 per share, plus accumulated and unpaid dividends thereon to, but excluding, the redemption date. For further information, see Note 18 to the Interim Condensed Financial Statements.</w:t>
      </w:r>
    </w:p>
    <w:p>
      <w:pPr>
        <w:spacing w:after="0" w:line="228"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7"/>
          <w:szCs w:val="17"/>
          <w:b w:val="1"/>
          <w:bCs w:val="1"/>
          <w:i w:val="1"/>
          <w:iCs w:val="1"/>
          <w:color w:val="auto"/>
        </w:rPr>
        <w:t xml:space="preserve">Divestiture of Energy Systems Group. </w:t>
      </w:r>
      <w:r>
        <w:rPr>
          <w:rFonts w:ascii="Arial" w:cs="Arial" w:eastAsia="Arial" w:hAnsi="Arial"/>
          <w:sz w:val="17"/>
          <w:szCs w:val="17"/>
          <w:color w:val="auto"/>
        </w:rPr>
        <w:t>On May 21, 2023, Vectren Energy Services entered into an Equity Purchase Agreement to sell all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outstanding limited liability company interests of Energy Systems Group to ESG Holdings Group, for a purchase price of $157 million, subject to customary adjustments set forth in the Equity Purchase Agreement, including adjustments based on Energy Systems Group’s net working capital at closing, indebtedness, cash and cash equivalents and transaction expenses. The transaction closed on June 30, 2023, for $154 million in cash, subject to finalization of the purchase price adjustment. For further information, see Note 3 to the Interim Condensed Financial Statements.</w:t>
      </w:r>
    </w:p>
    <w:p>
      <w:pPr>
        <w:spacing w:after="0" w:line="206"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6"/>
          <w:szCs w:val="16"/>
          <w:b w:val="1"/>
          <w:bCs w:val="1"/>
          <w:i w:val="1"/>
          <w:iCs w:val="1"/>
          <w:color w:val="auto"/>
        </w:rPr>
        <w:t xml:space="preserve">Regulatory Proceedings. </w:t>
      </w:r>
      <w:r>
        <w:rPr>
          <w:rFonts w:ascii="Arial" w:cs="Arial" w:eastAsia="Arial" w:hAnsi="Arial"/>
          <w:sz w:val="16"/>
          <w:szCs w:val="16"/>
          <w:color w:val="auto"/>
        </w:rPr>
        <w:t>On March 23, 2023, CenterPoint Energy and CERC, collectively, received approximately $1.1 billion in proceeds from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 rate relief bonds issued by the Texas Public Financing Authority related to the February 2021 Winter Storm Event. On April 5, 2023, a final order was issued approving the $39 million revenue requirement from Houston Electric’s 2021 investment in TEEEF. On April 5, 2023, Houston Electric filed its second TEEEF filing requesting a net increase in TEEEF revenues of approximately $149 million. On August 28, 2023 the State Office of Administrative Hearings issued an Order setting interim rates to collect an annual revenue requirement at the filed amount. On June 29, 2023, Indiana Electric received the net securitization proceeds of $337 million to reimburse it for or fund qualified costs approved by the IURC related to the retirement of its A.B. Brown coal-fired generation facilities. For further information, see Note 6 to the Interim Condensed Financial Statements. For information related to our pending and completed regulatory proceedings to date in 2023, see “—Liquidity and Capital Resources —Regulatory Matters” below.</w:t>
      </w:r>
    </w:p>
    <w:p>
      <w:pPr>
        <w:spacing w:after="0" w:line="211"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7"/>
          <w:szCs w:val="17"/>
          <w:b w:val="1"/>
          <w:bCs w:val="1"/>
          <w:i w:val="1"/>
          <w:iCs w:val="1"/>
          <w:color w:val="auto"/>
        </w:rPr>
        <w:t xml:space="preserve">Debt Transactions. </w:t>
      </w:r>
      <w:r>
        <w:rPr>
          <w:rFonts w:ascii="Arial" w:cs="Arial" w:eastAsia="Arial" w:hAnsi="Arial"/>
          <w:sz w:val="17"/>
          <w:szCs w:val="17"/>
          <w:color w:val="auto"/>
        </w:rPr>
        <w:t>During the nine months ended September 30, 2023, CenterPoint Energy issued or borrowed a combined $5.6 billion in new debt,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Houston Electric’s issuance of $1.4 billion aggregate principal amount of general mortgage bonds, CERC’s issuance of $1.5 billion aggregate principal amount of senior notes and $500 million term loan, SIGECO Securitization Subsidiary’s issuance of $341 million aggregate principal amount of SIGECO Securitization Bonds, SIGECO’s issuance of $180 million aggregate principal amount of first mortgage bonds, and CenterPoint Energy’s issuance of $1.0 billion aggregate principal of convertible notes, $400 million aggregate principal of senior notes and $250 million term loan. During the nine months ended September 30, 2023, CenterPoint Energy repaid or redeemed a combined $2.5 billion of debt, including CERC’s repayment of $1.0 billion of term loans and $1.275 billion of senior notes maturing in 2023, CenterPoint Energy’s repayment of its $250 million term loan and SIGECO’s early redemption of $11 million of first mortgage bonds maturing in 2044, excluding scheduled principal payments on Securitization Bonds. On October 13, 2023, SIGECO issued a total of $470 million aggregate principal amount of first mortgage bonds in three tranches. For information about debt transactions to date in 2023, see Note 11 to the Interim Condensed Financial Statements.</w:t>
      </w:r>
    </w:p>
    <w:p>
      <w:pPr>
        <w:spacing w:after="0" w:line="208"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6"/>
          <w:szCs w:val="16"/>
          <w:b w:val="1"/>
          <w:bCs w:val="1"/>
          <w:i w:val="1"/>
          <w:iCs w:val="1"/>
          <w:color w:val="auto"/>
        </w:rPr>
        <w:t xml:space="preserve">CenterPoint Energy Leadership Transition. </w:t>
      </w:r>
      <w:r>
        <w:rPr>
          <w:rFonts w:ascii="Arial" w:cs="Arial" w:eastAsia="Arial" w:hAnsi="Arial"/>
          <w:sz w:val="16"/>
          <w:szCs w:val="16"/>
          <w:color w:val="auto"/>
        </w:rPr>
        <w:t>On March 15, 2023, CenterPoint Energy announced the appointment of Christopher Foster to the position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Vice President and Chief Financial Officer, effective May 5, 2023. On September 27, 2023, CenterPoint Energy appointed Kristie L. Colvin to the position of Senior Vice President, Chief Accounting Officer of CenterPoint Energy and its affiliated subsidiaries, effective October 5, 2023.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 CONSOLIDATED RESULTS OF OPERATIONS</w:t>
      </w:r>
    </w:p>
    <w:p>
      <w:pPr>
        <w:spacing w:after="0" w:line="251"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color w:val="auto"/>
        </w:rPr>
        <w:t>For information regarding factors that may affect the future results of our consolidated operations, please read “Risk Factors” in Item 1A of Part I of the Registrants’ combined 2022 Form 10-K.</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Income available to common shareholders for the three and nine months ended September 30, 2023 and 2022 was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Pr>
          <w:p>
            <w:pPr>
              <w:spacing w:after="0"/>
              <w:rPr>
                <w:sz w:val="16"/>
                <w:szCs w:val="16"/>
                <w:color w:val="auto"/>
              </w:rPr>
            </w:pPr>
          </w:p>
        </w:tc>
        <w:tc>
          <w:tcPr>
            <w:tcW w:w="3620" w:type="dxa"/>
            <w:vAlign w:val="bottom"/>
            <w:gridSpan w:val="9"/>
          </w:tcPr>
          <w:p>
            <w:pPr>
              <w:ind w:left="660"/>
              <w:spacing w:after="0"/>
              <w:rPr>
                <w:sz w:val="20"/>
                <w:szCs w:val="20"/>
                <w:color w:val="auto"/>
              </w:rPr>
            </w:pPr>
            <w:r>
              <w:rPr>
                <w:rFonts w:ascii="Arial" w:cs="Arial" w:eastAsia="Arial" w:hAnsi="Arial"/>
                <w:sz w:val="14"/>
                <w:szCs w:val="14"/>
                <w:b w:val="1"/>
                <w:bCs w:val="1"/>
                <w:color w:val="auto"/>
              </w:rPr>
              <w:t>Three Months Ended September 30,</w:t>
            </w:r>
          </w:p>
        </w:tc>
        <w:tc>
          <w:tcPr>
            <w:tcW w:w="760" w:type="dxa"/>
            <w:vAlign w:val="bottom"/>
          </w:tcPr>
          <w:p>
            <w:pPr>
              <w:spacing w:after="0"/>
              <w:rPr>
                <w:sz w:val="16"/>
                <w:szCs w:val="16"/>
                <w:color w:val="auto"/>
              </w:rPr>
            </w:pPr>
          </w:p>
        </w:tc>
        <w:tc>
          <w:tcPr>
            <w:tcW w:w="2980" w:type="dxa"/>
            <w:vAlign w:val="bottom"/>
            <w:gridSpan w:val="7"/>
          </w:tcPr>
          <w:p>
            <w:pPr>
              <w:jc w:val="right"/>
              <w:ind w:right="716"/>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24"/>
        </w:trPr>
        <w:tc>
          <w:tcPr>
            <w:tcW w:w="3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880" w:type="dxa"/>
            <w:vAlign w:val="bottom"/>
          </w:tcPr>
          <w:p>
            <w:pPr>
              <w:spacing w:after="0"/>
              <w:rPr>
                <w:sz w:val="11"/>
                <w:szCs w:val="11"/>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58"/>
              <w:spacing w:after="0" w:line="131" w:lineRule="exact"/>
              <w:rPr>
                <w:sz w:val="20"/>
                <w:szCs w:val="20"/>
                <w:color w:val="auto"/>
              </w:rPr>
            </w:pPr>
            <w:r>
              <w:rPr>
                <w:rFonts w:ascii="Arial" w:cs="Arial" w:eastAsia="Arial" w:hAnsi="Arial"/>
                <w:sz w:val="14"/>
                <w:szCs w:val="14"/>
                <w:b w:val="1"/>
                <w:bCs w:val="1"/>
                <w:color w:val="auto"/>
                <w:w w:val="93"/>
              </w:rPr>
              <w:t>Favorable</w:t>
            </w:r>
          </w:p>
        </w:tc>
        <w:tc>
          <w:tcPr>
            <w:tcW w:w="80" w:type="dxa"/>
            <w:vAlign w:val="bottom"/>
          </w:tcPr>
          <w:p>
            <w:pPr>
              <w:spacing w:after="0"/>
              <w:rPr>
                <w:sz w:val="11"/>
                <w:szCs w:val="11"/>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196"/>
              <w:spacing w:after="0" w:line="131" w:lineRule="exact"/>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190"/>
        </w:trPr>
        <w:tc>
          <w:tcPr>
            <w:tcW w:w="388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(Unfavorable)</w:t>
            </w:r>
          </w:p>
        </w:tc>
        <w:tc>
          <w:tcPr>
            <w:tcW w:w="7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191"/>
        </w:trPr>
        <w:tc>
          <w:tcPr>
            <w:tcW w:w="3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gridSpan w:val="3"/>
          </w:tcPr>
          <w:p>
            <w:pPr>
              <w:jc w:val="center"/>
              <w:ind w:left="398"/>
              <w:spacing w:after="0"/>
              <w:rPr>
                <w:sz w:val="20"/>
                <w:szCs w:val="20"/>
                <w:color w:val="auto"/>
              </w:rPr>
            </w:pPr>
            <w:r>
              <w:rPr>
                <w:rFonts w:ascii="Arial" w:cs="Arial" w:eastAsia="Arial" w:hAnsi="Arial"/>
                <w:sz w:val="14"/>
                <w:szCs w:val="14"/>
                <w:b w:val="1"/>
                <w:bCs w:val="1"/>
                <w:color w:val="auto"/>
                <w:w w:val="91"/>
              </w:rPr>
              <w:t>(in millions)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w:t>
            </w:r>
          </w:p>
        </w:tc>
        <w:tc>
          <w:tcPr>
            <w:tcW w:w="720" w:type="dxa"/>
            <w:vAlign w:val="bottom"/>
            <w:shd w:val="clear" w:color="auto" w:fill="CCEEFF"/>
          </w:tcPr>
          <w:p>
            <w:pPr>
              <w:jc w:val="right"/>
              <w:ind w:right="54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9"/>
              </w:rPr>
              <w:t>234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center"/>
              <w:ind w:left="618"/>
              <w:spacing w:after="0"/>
              <w:rPr>
                <w:sz w:val="20"/>
                <w:szCs w:val="20"/>
                <w:color w:val="auto"/>
              </w:rPr>
            </w:pPr>
            <w:r>
              <w:rPr>
                <w:rFonts w:ascii="Arial" w:cs="Arial" w:eastAsia="Arial" w:hAnsi="Arial"/>
                <w:sz w:val="18"/>
                <w:szCs w:val="18"/>
                <w:color w:val="auto"/>
                <w:w w:val="89"/>
              </w:rPr>
              <w:t>56</w:t>
            </w: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center"/>
              <w:ind w:right="537"/>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593</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617"/>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489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5"/>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Natural Gas</w:t>
            </w: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3"/>
              </w:rPr>
              <w:t>(10)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618"/>
              <w:spacing w:after="0"/>
              <w:rPr>
                <w:sz w:val="20"/>
                <w:szCs w:val="20"/>
                <w:color w:val="auto"/>
              </w:rPr>
            </w:pPr>
            <w:r>
              <w:rPr>
                <w:rFonts w:ascii="Arial" w:cs="Arial" w:eastAsia="Arial" w:hAnsi="Arial"/>
                <w:sz w:val="18"/>
                <w:szCs w:val="18"/>
                <w:color w:val="auto"/>
                <w:w w:val="89"/>
              </w:rPr>
              <w:t>37</w:t>
            </w:r>
          </w:p>
        </w:tc>
        <w:tc>
          <w:tcPr>
            <w:tcW w:w="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296</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0"/>
        </w:trPr>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Utility Operations</w:t>
            </w: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9"/>
              </w:rPr>
              <w:t>224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618"/>
              <w:spacing w:after="0"/>
              <w:rPr>
                <w:sz w:val="20"/>
                <w:szCs w:val="20"/>
                <w:color w:val="auto"/>
              </w:rPr>
            </w:pPr>
            <w:r>
              <w:rPr>
                <w:rFonts w:ascii="Arial" w:cs="Arial" w:eastAsia="Arial" w:hAnsi="Arial"/>
                <w:sz w:val="18"/>
                <w:szCs w:val="18"/>
                <w:color w:val="auto"/>
                <w:w w:val="89"/>
              </w:rPr>
              <w:t>93</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889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905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9"/>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4"/>
                <w:szCs w:val="14"/>
                <w:color w:val="auto"/>
              </w:rPr>
              <w:t>(1)</w:t>
            </w:r>
          </w:p>
        </w:tc>
        <w:tc>
          <w:tcPr>
            <w:tcW w:w="7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3"/>
              </w:rPr>
              <w:t>(35)</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left="598"/>
              <w:spacing w:after="0"/>
              <w:rPr>
                <w:sz w:val="20"/>
                <w:szCs w:val="20"/>
                <w:color w:val="auto"/>
              </w:rPr>
            </w:pPr>
            <w:r>
              <w:rPr>
                <w:rFonts w:ascii="Arial" w:cs="Arial" w:eastAsia="Arial" w:hAnsi="Arial"/>
                <w:sz w:val="18"/>
                <w:szCs w:val="18"/>
                <w:color w:val="auto"/>
                <w:w w:val="87"/>
              </w:rPr>
              <w:t>(26)</w:t>
            </w:r>
          </w:p>
        </w:tc>
        <w:tc>
          <w:tcPr>
            <w:tcW w:w="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(214)</w:t>
            </w: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3"/>
              </w:rPr>
              <w:t>(19)</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5"/>
        </w:trPr>
        <w:tc>
          <w:tcPr>
            <w:tcW w:w="3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CenterPoint Energy</w:t>
            </w:r>
          </w:p>
        </w:tc>
        <w:tc>
          <w:tcPr>
            <w:tcW w:w="720" w:type="dxa"/>
            <w:vAlign w:val="bottom"/>
            <w:tcBorders>
              <w:bottom w:val="single" w:sz="8" w:color="auto"/>
            </w:tcBorders>
            <w:shd w:val="clear" w:color="auto" w:fill="CCEEFF"/>
          </w:tcPr>
          <w:p>
            <w:pPr>
              <w:jc w:val="right"/>
              <w:ind w:right="54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99"/>
              </w:rPr>
              <w:t>189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center"/>
              <w:ind w:left="618"/>
              <w:spacing w:after="0"/>
              <w:rPr>
                <w:sz w:val="20"/>
                <w:szCs w:val="20"/>
                <w:color w:val="auto"/>
              </w:rPr>
            </w:pPr>
            <w:r>
              <w:rPr>
                <w:rFonts w:ascii="Arial" w:cs="Arial" w:eastAsia="Arial" w:hAnsi="Arial"/>
                <w:sz w:val="18"/>
                <w:szCs w:val="18"/>
                <w:color w:val="auto"/>
                <w:w w:val="89"/>
              </w:rPr>
              <w:t>67</w:t>
            </w: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center"/>
              <w:ind w:right="537"/>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675</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17"/>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886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jc w:val="both"/>
        <w:ind w:left="640" w:hanging="315"/>
        <w:spacing w:after="0" w:line="256" w:lineRule="auto"/>
        <w:tabs>
          <w:tab w:leader="none" w:pos="634"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Includes energy performance contracting and sustainable infrastructure services through </w:t>
      </w:r>
      <w:r>
        <w:rPr>
          <w:rFonts w:ascii="Arial" w:cs="Arial" w:eastAsia="Arial" w:hAnsi="Arial"/>
          <w:sz w:val="18"/>
          <w:szCs w:val="18"/>
          <w:color w:val="221F1F"/>
        </w:rPr>
        <w:t>Energy Systems Group</w:t>
      </w:r>
      <w:r>
        <w:rPr>
          <w:rFonts w:ascii="Arial" w:cs="Arial" w:eastAsia="Arial" w:hAnsi="Arial"/>
          <w:sz w:val="18"/>
          <w:szCs w:val="18"/>
          <w:color w:val="auto"/>
        </w:rPr>
        <w:t xml:space="preserve"> through June 30, 2023, the date of the sale of Energy Systems Group, unallocated corporate costs, interest income and interest expense, intercompany eliminations and the reduction of income allocated to preferred shareholders.</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Three months ended September 30, 2023 compared to three months ended September 30, 2022</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Income available to common shareholders increased $67 million primarily due to the following items:</w:t>
      </w:r>
    </w:p>
    <w:p>
      <w:pPr>
        <w:spacing w:after="0" w:line="245" w:lineRule="exact"/>
        <w:rPr>
          <w:sz w:val="20"/>
          <w:szCs w:val="20"/>
          <w:color w:val="auto"/>
        </w:rPr>
      </w:pPr>
    </w:p>
    <w:p>
      <w:pPr>
        <w:ind w:left="640" w:hanging="315"/>
        <w:spacing w:after="0"/>
        <w:tabs>
          <w:tab w:leader="none" w:pos="6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 increase in income available to common shareholders of $56 million for the Electric reportable segment, as further discussed below;</w:t>
      </w:r>
    </w:p>
    <w:p>
      <w:pPr>
        <w:spacing w:after="0" w:line="28" w:lineRule="exact"/>
        <w:rPr>
          <w:rFonts w:ascii="Arial" w:cs="Arial" w:eastAsia="Arial" w:hAnsi="Arial"/>
          <w:sz w:val="17"/>
          <w:szCs w:val="17"/>
          <w:color w:val="auto"/>
        </w:rPr>
      </w:pPr>
    </w:p>
    <w:p>
      <w:pPr>
        <w:ind w:left="640" w:hanging="315"/>
        <w:spacing w:after="0"/>
        <w:tabs>
          <w:tab w:leader="none" w:pos="6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 increase in income available to common shareholders of $37 million for the Natural Gas reportable segment, as further discussed below;</w:t>
      </w:r>
    </w:p>
    <w:p>
      <w:pPr>
        <w:spacing w:after="0" w:line="17" w:lineRule="exact"/>
        <w:rPr>
          <w:rFonts w:ascii="Arial" w:cs="Arial" w:eastAsia="Arial" w:hAnsi="Arial"/>
          <w:sz w:val="17"/>
          <w:szCs w:val="17"/>
          <w:color w:val="auto"/>
        </w:rPr>
      </w:pPr>
    </w:p>
    <w:p>
      <w:pPr>
        <w:jc w:val="both"/>
        <w:ind w:left="640" w:hanging="315"/>
        <w:spacing w:after="0" w:line="248" w:lineRule="auto"/>
        <w:tabs>
          <w:tab w:leader="none" w:pos="6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decrease in income available to common shareholders of $26 million for Corporate and Other, primarily due to approximately $17 million of costs related to redemption of the Series A Preferred Stock in September 2023 as discussed in Note 18 to the Interim Condensed Financial statements, partially offset by the termination of the associated dividend payment that would have been paid in September 2023 post-redemption. The remaining variance is primarily driven by an increase in borrowing costs.</w:t>
      </w:r>
    </w:p>
    <w:p>
      <w:pPr>
        <w:spacing w:after="0" w:line="21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Nine months ended September 30, 2023 compared to nine months ended September 30, 2022</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Income available to common shareholders decreased $211 million primarily due to the following items:</w:t>
      </w:r>
    </w:p>
    <w:p>
      <w:pPr>
        <w:spacing w:after="0" w:line="245" w:lineRule="exact"/>
        <w:rPr>
          <w:sz w:val="20"/>
          <w:szCs w:val="20"/>
          <w:color w:val="auto"/>
        </w:rPr>
      </w:pPr>
    </w:p>
    <w:p>
      <w:pPr>
        <w:ind w:left="640" w:hanging="315"/>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increase in net income of $104 million for the Electric reportable segment, as further discussed below;</w:t>
      </w:r>
    </w:p>
    <w:p>
      <w:pPr>
        <w:spacing w:after="0" w:line="16" w:lineRule="exact"/>
        <w:rPr>
          <w:rFonts w:ascii="Arial" w:cs="Arial" w:eastAsia="Arial" w:hAnsi="Arial"/>
          <w:sz w:val="18"/>
          <w:szCs w:val="18"/>
          <w:color w:val="auto"/>
        </w:rPr>
      </w:pPr>
    </w:p>
    <w:p>
      <w:pPr>
        <w:ind w:left="640" w:hanging="315"/>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decrease in net income of $120 million for the Natural Gas reportable segment, as further discussed below;</w:t>
      </w:r>
    </w:p>
    <w:p>
      <w:pPr>
        <w:spacing w:after="0" w:line="5" w:lineRule="exact"/>
        <w:rPr>
          <w:rFonts w:ascii="Arial" w:cs="Arial" w:eastAsia="Arial" w:hAnsi="Arial"/>
          <w:sz w:val="18"/>
          <w:szCs w:val="18"/>
          <w:color w:val="auto"/>
        </w:rPr>
      </w:pPr>
    </w:p>
    <w:p>
      <w:pPr>
        <w:jc w:val="both"/>
        <w:ind w:left="640" w:hanging="315"/>
        <w:spacing w:after="0" w:line="264" w:lineRule="auto"/>
        <w:tabs>
          <w:tab w:leader="none" w:pos="635" w:val="left"/>
        </w:tabs>
        <w:numPr>
          <w:ilvl w:val="0"/>
          <w:numId w:val="50"/>
        </w:numPr>
        <w:rPr>
          <w:rFonts w:ascii="Arial" w:cs="Arial" w:eastAsia="Arial" w:hAnsi="Arial"/>
          <w:sz w:val="17"/>
          <w:szCs w:val="17"/>
          <w:color w:val="auto"/>
        </w:rPr>
      </w:pPr>
      <w:r>
        <w:rPr>
          <w:rFonts w:ascii="Arial" w:cs="Arial" w:eastAsia="Arial" w:hAnsi="Arial"/>
          <w:sz w:val="17"/>
          <w:szCs w:val="17"/>
          <w:color w:val="auto"/>
        </w:rPr>
        <w:t>a decrease in income available to common shareholders of $195 million for Corporate and Other, primarily due to the pre-tax net gain of $86 million on the sale of Energy Transfer equity securities in 2022 further discussed in Note 10 to the Interim Condensed Financial Statements, partially offset by $45 million of costs associated with early redemption of long-term debt in first quarter 2022, a loss on sale of $12 million and current tax expense of $33 million related to the divestiture of Energy Systems Group further discussed in Note 3 to the Interim Condensed Financial Statements, as well as $19 million due to remeasurement of deferred income tax balances. The decrease in income is also due to approximately $17 million of costs related to redemption of the Series A Preferred Stock in September 2023 as discussed in Note 18 to the Interim Condensed Financial statements, partially offset by the termination of the associated dividend payment that would have been paid in September 2023 post-redemption. The remaining variance is due largely to increase in borrowing costs.</w:t>
      </w:r>
    </w:p>
    <w:p>
      <w:pPr>
        <w:spacing w:after="0" w:line="21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a discussion of effective tax rate per period, see Note 12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ENERGY’S RESULTS OF OPERATIONS BY REPORTABLE SEGMENT</w:t>
      </w:r>
    </w:p>
    <w:p>
      <w:pPr>
        <w:spacing w:after="0" w:line="251"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CenterPoint Energy’s CODM views net income as the measure of profit or loss for the reportable segments. Segment results include inter-segment interest income and expense, which may result in inter-segment profit and loss.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discussion of CenterPoint Energy’s results of operations is separated into two reportable segments, Electric and Natural Gas.</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Electric (CenterPoint Energy)</w:t>
      </w:r>
    </w:p>
    <w:p>
      <w:pPr>
        <w:spacing w:after="0" w:line="251"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For information regarding factors that may affect the future results of operations of CenterPoint Energy’s Electric reportable segment, please read “Risk Factors — Risk Factors Affecting Operations — Electric Generation, Transmission and Distribution,” “— Risk Factors Affecting Regulatory, Environmental and Legal Risks,” “— Risk Factors Affecting Financial, Economic and Market Risks,” “— Risk Factors Affecting Safety and Security Risks” and “— General and Other Risks” in Item 1A of Part I of the Registrants’ combined 2022 Form 10-K.</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summary data of the Electric reportable segment: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760" w:type="dxa"/>
            <w:vAlign w:val="bottom"/>
            <w:gridSpan w:val="8"/>
          </w:tcPr>
          <w:p>
            <w:pPr>
              <w:ind w:left="60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3660" w:type="dxa"/>
            <w:vAlign w:val="bottom"/>
            <w:gridSpan w:val="7"/>
          </w:tcPr>
          <w:p>
            <w:pPr>
              <w:jc w:val="right"/>
              <w:ind w:right="849"/>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2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38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40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49"/>
              <w:spacing w:after="0" w:line="131" w:lineRule="exact"/>
              <w:rPr>
                <w:sz w:val="20"/>
                <w:szCs w:val="20"/>
                <w:color w:val="auto"/>
              </w:rPr>
            </w:pPr>
            <w:r>
              <w:rPr>
                <w:rFonts w:ascii="Arial" w:cs="Arial" w:eastAsia="Arial" w:hAnsi="Arial"/>
                <w:sz w:val="14"/>
                <w:szCs w:val="14"/>
                <w:b w:val="1"/>
                <w:bCs w:val="1"/>
                <w:color w:val="auto"/>
                <w:w w:val="90"/>
              </w:rPr>
              <w:t>Favorable</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38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40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249"/>
              <w:spacing w:after="0" w:line="131" w:lineRule="exact"/>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190"/>
        </w:trPr>
        <w:tc>
          <w:tcPr>
            <w:tcW w:w="3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(Unfavorable)</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w w:val="97"/>
              </w:rPr>
              <w:t>(Unfavorable)</w:t>
            </w:r>
          </w:p>
        </w:tc>
        <w:tc>
          <w:tcPr>
            <w:tcW w:w="0" w:type="dxa"/>
            <w:vAlign w:val="bottom"/>
          </w:tcPr>
          <w:p>
            <w:pPr>
              <w:spacing w:after="0"/>
              <w:rPr>
                <w:sz w:val="1"/>
                <w:szCs w:val="1"/>
                <w:color w:val="auto"/>
              </w:rPr>
            </w:pPr>
          </w:p>
        </w:tc>
      </w:tr>
      <w:tr>
        <w:trPr>
          <w:trHeight w:val="191"/>
        </w:trPr>
        <w:tc>
          <w:tcPr>
            <w:tcW w:w="3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5"/>
          </w:tcPr>
          <w:p>
            <w:pPr>
              <w:ind w:left="20"/>
              <w:spacing w:after="0"/>
              <w:rPr>
                <w:sz w:val="20"/>
                <w:szCs w:val="20"/>
                <w:color w:val="auto"/>
              </w:rPr>
            </w:pPr>
            <w:r>
              <w:rPr>
                <w:rFonts w:ascii="Arial" w:cs="Arial" w:eastAsia="Arial" w:hAnsi="Arial"/>
                <w:sz w:val="14"/>
                <w:szCs w:val="14"/>
                <w:b w:val="1"/>
                <w:bCs w:val="1"/>
                <w:color w:val="auto"/>
                <w:w w:val="97"/>
              </w:rPr>
              <w:t>(in millions, except operating statistics)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1,261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1,146</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3,250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3,092</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70"/>
        </w:trPr>
        <w:tc>
          <w:tcPr>
            <w:tcW w:w="3260" w:type="dxa"/>
            <w:vAlign w:val="bottom"/>
          </w:tcPr>
          <w:p>
            <w:pPr>
              <w:ind w:left="20"/>
              <w:spacing w:after="0"/>
              <w:rPr>
                <w:sz w:val="20"/>
                <w:szCs w:val="20"/>
                <w:color w:val="auto"/>
              </w:rPr>
            </w:pPr>
            <w:r>
              <w:rPr>
                <w:rFonts w:ascii="Arial" w:cs="Arial" w:eastAsia="Arial" w:hAnsi="Arial"/>
                <w:sz w:val="14"/>
                <w:szCs w:val="14"/>
                <w:color w:val="auto"/>
              </w:rPr>
              <w:t>Expenses:</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Utility natural gas, fuel and purchased power</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90"/>
        </w:trPr>
        <w:tc>
          <w:tcPr>
            <w:tcW w:w="3260" w:type="dxa"/>
            <w:vAlign w:val="bottom"/>
          </w:tcPr>
          <w:p>
            <w:pPr>
              <w:ind w:left="140"/>
              <w:spacing w:after="0"/>
              <w:rPr>
                <w:sz w:val="20"/>
                <w:szCs w:val="20"/>
                <w:color w:val="auto"/>
              </w:rPr>
            </w:pPr>
            <w:r>
              <w:rPr>
                <w:rFonts w:ascii="Arial" w:cs="Arial" w:eastAsia="Arial" w:hAnsi="Arial"/>
                <w:sz w:val="14"/>
                <w:szCs w:val="14"/>
                <w:color w:val="auto"/>
              </w:rPr>
              <w:t>Operation and maintenance</w:t>
            </w:r>
          </w:p>
        </w:tc>
        <w:tc>
          <w:tcPr>
            <w:tcW w:w="28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459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29"/>
              <w:spacing w:after="0"/>
              <w:rPr>
                <w:sz w:val="20"/>
                <w:szCs w:val="20"/>
                <w:color w:val="auto"/>
              </w:rPr>
            </w:pPr>
            <w:r>
              <w:rPr>
                <w:rFonts w:ascii="Arial" w:cs="Arial" w:eastAsia="Arial" w:hAnsi="Arial"/>
                <w:sz w:val="14"/>
                <w:szCs w:val="14"/>
                <w:color w:val="auto"/>
              </w:rPr>
              <w:t>465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1,335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9"/>
              <w:spacing w:after="0"/>
              <w:rPr>
                <w:sz w:val="20"/>
                <w:szCs w:val="20"/>
                <w:color w:val="auto"/>
              </w:rPr>
            </w:pPr>
            <w:r>
              <w:rPr>
                <w:rFonts w:ascii="Arial" w:cs="Arial" w:eastAsia="Arial" w:hAnsi="Arial"/>
                <w:sz w:val="14"/>
                <w:szCs w:val="14"/>
                <w:color w:val="auto"/>
              </w:rPr>
              <w:t>1,351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9"/>
        </w:trPr>
        <w:tc>
          <w:tcPr>
            <w:tcW w:w="3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241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207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650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93"/>
        </w:trPr>
        <w:tc>
          <w:tcPr>
            <w:tcW w:w="32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Taxes other than income taxes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67</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208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207</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9"/>
        </w:trPr>
        <w:tc>
          <w:tcPr>
            <w:tcW w:w="3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expenses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824</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804</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2,323</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2,324</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Income</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437</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342</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95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927</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768</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86"/>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60" w:type="dxa"/>
            <w:vAlign w:val="bottom"/>
          </w:tcPr>
          <w:p>
            <w:pPr>
              <w:ind w:left="140"/>
              <w:spacing w:after="0"/>
              <w:rPr>
                <w:sz w:val="20"/>
                <w:szCs w:val="20"/>
                <w:color w:val="auto"/>
              </w:rPr>
            </w:pPr>
            <w:r>
              <w:rPr>
                <w:rFonts w:ascii="Arial" w:cs="Arial" w:eastAsia="Arial" w:hAnsi="Arial"/>
                <w:sz w:val="14"/>
                <w:szCs w:val="14"/>
                <w:color w:val="auto"/>
              </w:rPr>
              <w:t>Interest expense and other finance charges</w:t>
            </w:r>
          </w:p>
        </w:tc>
        <w:tc>
          <w:tcPr>
            <w:tcW w:w="280" w:type="dxa"/>
            <w:vAlign w:val="bottom"/>
          </w:tcPr>
          <w:p>
            <w:pPr>
              <w:spacing w:after="0"/>
              <w:rPr>
                <w:sz w:val="16"/>
                <w:szCs w:val="16"/>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69"/>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(213)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(174)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9"/>
        </w:trPr>
        <w:tc>
          <w:tcPr>
            <w:tcW w:w="3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income, net</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3"/>
        </w:trPr>
        <w:tc>
          <w:tcPr>
            <w:tcW w:w="326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280" w:type="dxa"/>
            <w:vAlign w:val="bottom"/>
          </w:tcPr>
          <w:p>
            <w:pPr>
              <w:spacing w:after="0"/>
              <w:rPr>
                <w:sz w:val="15"/>
                <w:szCs w:val="15"/>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369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129"/>
              <w:spacing w:after="0"/>
              <w:rPr>
                <w:sz w:val="20"/>
                <w:szCs w:val="20"/>
                <w:color w:val="auto"/>
              </w:rPr>
            </w:pPr>
            <w:r>
              <w:rPr>
                <w:rFonts w:ascii="Arial" w:cs="Arial" w:eastAsia="Arial" w:hAnsi="Arial"/>
                <w:sz w:val="14"/>
                <w:szCs w:val="14"/>
                <w:color w:val="auto"/>
              </w:rPr>
              <w:t>293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753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109"/>
              <w:spacing w:after="0"/>
              <w:rPr>
                <w:sz w:val="20"/>
                <w:szCs w:val="20"/>
                <w:color w:val="auto"/>
              </w:rPr>
            </w:pPr>
            <w:r>
              <w:rPr>
                <w:rFonts w:ascii="Arial" w:cs="Arial" w:eastAsia="Arial" w:hAnsi="Arial"/>
                <w:sz w:val="14"/>
                <w:szCs w:val="14"/>
                <w:color w:val="auto"/>
              </w:rPr>
              <w:t>615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02"/>
        </w:trPr>
        <w:tc>
          <w:tcPr>
            <w:tcW w:w="3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tax expense</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59</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160</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126</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99"/>
        </w:trPr>
        <w:tc>
          <w:tcPr>
            <w:tcW w:w="32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290</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234</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593</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489</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Throughput (in GWh):</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60" w:type="dxa"/>
            <w:vAlign w:val="bottom"/>
          </w:tcPr>
          <w:p>
            <w:pPr>
              <w:ind w:left="340"/>
              <w:spacing w:after="0"/>
              <w:rPr>
                <w:sz w:val="20"/>
                <w:szCs w:val="20"/>
                <w:color w:val="auto"/>
              </w:rPr>
            </w:pPr>
            <w:r>
              <w:rPr>
                <w:rFonts w:ascii="Arial" w:cs="Arial" w:eastAsia="Arial" w:hAnsi="Arial"/>
                <w:sz w:val="14"/>
                <w:szCs w:val="14"/>
                <w:color w:val="auto"/>
              </w:rPr>
              <w:t>Residential</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13,851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11,970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28,855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28,319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209"/>
        </w:trPr>
        <w:tc>
          <w:tcPr>
            <w:tcW w:w="3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35,029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84,794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41"/>
        </w:trPr>
        <w:tc>
          <w:tcPr>
            <w:tcW w:w="3260" w:type="dxa"/>
            <w:vAlign w:val="bottom"/>
          </w:tcPr>
          <w:p>
            <w:pPr>
              <w:ind w:left="20"/>
              <w:spacing w:after="0" w:line="141" w:lineRule="exact"/>
              <w:rPr>
                <w:sz w:val="20"/>
                <w:szCs w:val="20"/>
                <w:color w:val="auto"/>
              </w:rPr>
            </w:pPr>
            <w:r>
              <w:rPr>
                <w:rFonts w:ascii="Arial" w:cs="Arial" w:eastAsia="Arial" w:hAnsi="Arial"/>
                <w:sz w:val="14"/>
                <w:szCs w:val="14"/>
                <w:color w:val="auto"/>
              </w:rPr>
              <w:t>Weather (percentage of 10-year average for service</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260" w:type="dxa"/>
            <w:vAlign w:val="bottom"/>
          </w:tcPr>
          <w:p>
            <w:pPr>
              <w:ind w:left="180"/>
              <w:spacing w:after="0"/>
              <w:rPr>
                <w:sz w:val="20"/>
                <w:szCs w:val="20"/>
                <w:color w:val="auto"/>
              </w:rPr>
            </w:pPr>
            <w:r>
              <w:rPr>
                <w:rFonts w:ascii="Arial" w:cs="Arial" w:eastAsia="Arial" w:hAnsi="Arial"/>
                <w:sz w:val="14"/>
                <w:szCs w:val="14"/>
                <w:color w:val="auto"/>
              </w:rPr>
              <w:t>area):</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Cooling degree days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123 %</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117 %</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110 %</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190"/>
        </w:trPr>
        <w:tc>
          <w:tcPr>
            <w:tcW w:w="3260" w:type="dxa"/>
            <w:vAlign w:val="bottom"/>
          </w:tcPr>
          <w:p>
            <w:pPr>
              <w:ind w:left="340"/>
              <w:spacing w:after="0"/>
              <w:rPr>
                <w:sz w:val="20"/>
                <w:szCs w:val="20"/>
                <w:color w:val="auto"/>
              </w:rPr>
            </w:pPr>
            <w:r>
              <w:rPr>
                <w:rFonts w:ascii="Arial" w:cs="Arial" w:eastAsia="Arial" w:hAnsi="Arial"/>
                <w:sz w:val="14"/>
                <w:szCs w:val="14"/>
                <w:color w:val="auto"/>
              </w:rPr>
              <w:t>Heating degree days</w:t>
            </w:r>
          </w:p>
        </w:tc>
        <w:tc>
          <w:tcPr>
            <w:tcW w:w="28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200 %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86 %</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121 %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09"/>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Number of metered customers at end of period:</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260" w:type="dxa"/>
            <w:vAlign w:val="bottom"/>
          </w:tcPr>
          <w:p>
            <w:pPr>
              <w:ind w:left="340"/>
              <w:spacing w:after="0"/>
              <w:rPr>
                <w:sz w:val="20"/>
                <w:szCs w:val="20"/>
                <w:color w:val="auto"/>
              </w:rPr>
            </w:pPr>
            <w:r>
              <w:rPr>
                <w:rFonts w:ascii="Arial" w:cs="Arial" w:eastAsia="Arial" w:hAnsi="Arial"/>
                <w:sz w:val="14"/>
                <w:szCs w:val="14"/>
                <w:color w:val="auto"/>
              </w:rPr>
              <w:t>Residential</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2,578,969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2,527,383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2,578,969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2,527,383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209"/>
        </w:trPr>
        <w:tc>
          <w:tcPr>
            <w:tcW w:w="3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2,906,307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2,850,910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2,906,307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2,850,910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following table provides variance explanations for the three months ended September 30, 2023 compared to the three months ended September 30, 2022 as well as for the nine months ended September 30, 2023 compared to the nine months ended September 30, 2022 by major income statement caption for the Electric reportable segment: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60" w:type="dxa"/>
            <w:vAlign w:val="bottom"/>
            <w:gridSpan w:val="3"/>
          </w:tcPr>
          <w:p>
            <w:pPr>
              <w:jc w:val="right"/>
              <w:ind w:right="301"/>
              <w:spacing w:after="0"/>
              <w:rPr>
                <w:sz w:val="20"/>
                <w:szCs w:val="20"/>
                <w:color w:val="auto"/>
              </w:rPr>
            </w:pPr>
            <w:r>
              <w:rPr>
                <w:rFonts w:ascii="Arial" w:cs="Arial" w:eastAsia="Arial" w:hAnsi="Arial"/>
                <w:sz w:val="14"/>
                <w:szCs w:val="14"/>
                <w:b w:val="1"/>
                <w:bCs w:val="1"/>
                <w:color w:val="auto"/>
              </w:rPr>
              <w:t>Favorable (Unfavorable)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7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2"/>
              </w:rPr>
              <w:t>Three Months Ended</w:t>
            </w:r>
          </w:p>
        </w:tc>
        <w:tc>
          <w:tcPr>
            <w:tcW w:w="1760" w:type="dxa"/>
            <w:vAlign w:val="bottom"/>
            <w:gridSpan w:val="2"/>
          </w:tcPr>
          <w:p>
            <w:pPr>
              <w:jc w:val="right"/>
              <w:ind w:right="180"/>
              <w:spacing w:after="0" w:line="131"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7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9"/>
              </w:rPr>
              <w:t>September 30, 2023 vs 2022</w:t>
            </w: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September 30, 2023 vs 2022</w:t>
            </w:r>
          </w:p>
        </w:tc>
        <w:tc>
          <w:tcPr>
            <w:tcW w:w="0" w:type="dxa"/>
            <w:vAlign w:val="bottom"/>
          </w:tcPr>
          <w:p>
            <w:pPr>
              <w:spacing w:after="0"/>
              <w:rPr>
                <w:sz w:val="1"/>
                <w:szCs w:val="1"/>
                <w:color w:val="auto"/>
              </w:rPr>
            </w:pPr>
          </w:p>
        </w:tc>
      </w:tr>
      <w:tr>
        <w:trPr>
          <w:trHeight w:val="183"/>
        </w:trPr>
        <w:tc>
          <w:tcPr>
            <w:tcW w:w="7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60" w:type="dxa"/>
            <w:vAlign w:val="bottom"/>
            <w:gridSpan w:val="3"/>
          </w:tcPr>
          <w:p>
            <w:pPr>
              <w:jc w:val="right"/>
              <w:ind w:right="681"/>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Revenues</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764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6"/>
                <w:szCs w:val="16"/>
                <w:color w:val="auto"/>
                <w:w w:val="95"/>
              </w:rPr>
              <w:t>Transmission Revenues, including TCOS and TCRF, inclusive of costs billed by transmission providers, partially</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24</w:t>
            </w:r>
          </w:p>
        </w:tc>
        <w:tc>
          <w:tcPr>
            <w:tcW w:w="8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09"/>
        </w:trPr>
        <w:tc>
          <w:tcPr>
            <w:tcW w:w="76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offset in operation and maintenance below</w:t>
            </w:r>
          </w:p>
        </w:tc>
        <w:tc>
          <w:tcPr>
            <w:tcW w:w="160" w:type="dxa"/>
            <w:vAlign w:val="bottom"/>
            <w:vMerge w:val="continue"/>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Customer rates</w:t>
            </w:r>
          </w:p>
        </w:tc>
        <w:tc>
          <w:tcPr>
            <w:tcW w:w="16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68</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fuel and purchased power, offset in utility natural gas, fuel and purchased power below</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Customer growth</w:t>
            </w:r>
          </w:p>
        </w:tc>
        <w:tc>
          <w:tcPr>
            <w:tcW w:w="16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Miscellaneous revenues, including service connections and off-system sales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w w:val="93"/>
              </w:rPr>
              <w:t>Equity return, related to the annual true-up of transition charges for amounts over or under collected in prior periods</w:t>
            </w:r>
          </w:p>
        </w:tc>
        <w:tc>
          <w:tcPr>
            <w:tcW w:w="16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Energy efficiency, and other pass-through, offset in operation and maintenance below</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Weather, efficiency improvements and other usage impacts</w:t>
            </w:r>
          </w:p>
        </w:tc>
        <w:tc>
          <w:tcPr>
            <w:tcW w:w="16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Bond Companies and SIGECO Securitization Subsidiary, offset in other line items below</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3"/>
        </w:trPr>
        <w:tc>
          <w:tcPr>
            <w:tcW w:w="7640" w:type="dxa"/>
            <w:vAlign w:val="bottom"/>
            <w:tcBorders>
              <w:bottom w:val="single" w:sz="8" w:color="CCEEFF"/>
            </w:tcBorders>
            <w:gridSpan w:val="2"/>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115</w:t>
            </w: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182"/>
        </w:trPr>
        <w:tc>
          <w:tcPr>
            <w:tcW w:w="7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Utility natural gas, fuel and purchased power</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Cost of fuel, including coal, natural gas, and fuel oil, offset in revenues above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1080" w:type="dxa"/>
            <w:vAlign w:val="bottom"/>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purchased power, offset in revenues above</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3"/>
        </w:trPr>
        <w:tc>
          <w:tcPr>
            <w:tcW w:w="7640" w:type="dxa"/>
            <w:vAlign w:val="bottom"/>
            <w:tcBorders>
              <w:bottom w:val="single" w:sz="8" w:color="CCEEFF"/>
            </w:tcBorders>
            <w:gridSpan w:val="2"/>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w:t>
            </w: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82"/>
        </w:trPr>
        <w:tc>
          <w:tcPr>
            <w:tcW w:w="7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Operation and maintenance</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All other operation and maintenance expense, including materials and supplies and insurance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7"/>
                <w:szCs w:val="17"/>
                <w:color w:val="auto"/>
              </w:rPr>
            </w:pPr>
          </w:p>
        </w:tc>
        <w:tc>
          <w:tcPr>
            <w:tcW w:w="1080" w:type="dxa"/>
            <w:vAlign w:val="bottom"/>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Energy efficiency, and other pass-through, offset in revenues above</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Labor and benefits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Contract services</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Bond Companies and SIGECO Securitization Subsidiary, offset in other line items</w:t>
            </w:r>
          </w:p>
        </w:tc>
        <w:tc>
          <w:tcPr>
            <w:tcW w:w="16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Support services, primarily information technology cost</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0"/>
        </w:trPr>
        <w:tc>
          <w:tcPr>
            <w:tcW w:w="76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Transmission costs billed by transmission providers, offset in revenues above</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9"/>
        </w:trPr>
        <w:tc>
          <w:tcPr>
            <w:tcW w:w="7640" w:type="dxa"/>
            <w:vAlign w:val="bottom"/>
            <w:gridSpan w:val="2"/>
            <w:shd w:val="clear" w:color="auto" w:fill="CCEEFF"/>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73"/>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Depreciation and amortization</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Bond Companies and SIGECO Securitization Subsidiary, offset in other line items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0"/>
        </w:trPr>
        <w:tc>
          <w:tcPr>
            <w:tcW w:w="76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Ongoing additions to plant-in-service</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09"/>
        </w:trPr>
        <w:tc>
          <w:tcPr>
            <w:tcW w:w="7640" w:type="dxa"/>
            <w:vAlign w:val="bottom"/>
            <w:gridSpan w:val="2"/>
            <w:shd w:val="clear" w:color="auto" w:fill="CCEEFF"/>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73"/>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Taxes other than income taxes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Franchise fees and other taxes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0"/>
        </w:trPr>
        <w:tc>
          <w:tcPr>
            <w:tcW w:w="76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Incremental capital projects placed in service, net of updated property tax rates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9"/>
        </w:trPr>
        <w:tc>
          <w:tcPr>
            <w:tcW w:w="7640" w:type="dxa"/>
            <w:vAlign w:val="bottom"/>
            <w:gridSpan w:val="2"/>
            <w:shd w:val="clear" w:color="auto" w:fill="CCEEFF"/>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3"/>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Interest expense and other finance charges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Changes in outstanding debt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Bond Companies and SIGECO Securitization Subsidiary, offset in other line items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primarily AFUDC and impacts of regulatory deferrals</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3"/>
        </w:trPr>
        <w:tc>
          <w:tcPr>
            <w:tcW w:w="7640" w:type="dxa"/>
            <w:vAlign w:val="bottom"/>
            <w:tcBorders>
              <w:bottom w:val="single" w:sz="8" w:color="CCEEFF"/>
            </w:tcBorders>
            <w:gridSpan w:val="2"/>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82"/>
        </w:trPr>
        <w:tc>
          <w:tcPr>
            <w:tcW w:w="7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0"/>
              </w:rPr>
              <w:t>Other income, net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Other income, including AFUDC - Equity</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7"/>
                <w:szCs w:val="17"/>
                <w:color w:val="auto"/>
              </w:rPr>
            </w:pPr>
          </w:p>
        </w:tc>
        <w:tc>
          <w:tcPr>
            <w:tcW w:w="1080" w:type="dxa"/>
            <w:vAlign w:val="bottom"/>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Bond Companies and SIGECO Securitization Subsidiary interest income , offset in other line items</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3"/>
        </w:trPr>
        <w:tc>
          <w:tcPr>
            <w:tcW w:w="7640" w:type="dxa"/>
            <w:vAlign w:val="bottom"/>
            <w:gridSpan w:val="2"/>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For a discussion of effective tax rate per period by Registrant, see Note 12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Natural Gas (CenterPoint Energy)</w:t>
      </w:r>
    </w:p>
    <w:p>
      <w:pPr>
        <w:spacing w:after="0" w:line="251"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For information regarding factors that may affect the future results of operations of CenterPoint Energy’s Natural Gas reportable segment, please read “Risk Factors — Risk Factors Affecting Operations — Natural Gas,” “— Risk Factors Affecting Regulatory, Environmental and Legal Risks,” “— Risk Factors Affecting Financial, Economic and Market Risks,” “— Risk Factors Affecting Safety and Security Risks” and “— General and Other Risks” in Item 1A of Part I of the Registrants’ combined 2022 Form 10-K.</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summary data of CenterPoint Energy’s Natural Gas reportable segment: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80" w:type="dxa"/>
            <w:vAlign w:val="bottom"/>
            <w:gridSpan w:val="8"/>
          </w:tcPr>
          <w:p>
            <w:pPr>
              <w:ind w:left="5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3660" w:type="dxa"/>
            <w:vAlign w:val="bottom"/>
            <w:gridSpan w:val="7"/>
          </w:tcPr>
          <w:p>
            <w:pPr>
              <w:jc w:val="right"/>
              <w:ind w:right="849"/>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3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3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6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8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269"/>
              <w:spacing w:after="0" w:line="131" w:lineRule="exact"/>
              <w:rPr>
                <w:sz w:val="20"/>
                <w:szCs w:val="20"/>
                <w:color w:val="auto"/>
              </w:rPr>
            </w:pPr>
            <w:r>
              <w:rPr>
                <w:rFonts w:ascii="Arial" w:cs="Arial" w:eastAsia="Arial" w:hAnsi="Arial"/>
                <w:sz w:val="14"/>
                <w:szCs w:val="14"/>
                <w:b w:val="1"/>
                <w:bCs w:val="1"/>
                <w:color w:val="auto"/>
              </w:rPr>
              <w:t>Favorable</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38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40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249"/>
              <w:spacing w:after="0" w:line="131" w:lineRule="exact"/>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190"/>
        </w:trPr>
        <w:tc>
          <w:tcPr>
            <w:tcW w:w="3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(Unfavorable)</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w w:val="97"/>
              </w:rPr>
              <w:t>(Unfavorable)</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gridSpan w:val="5"/>
          </w:tcPr>
          <w:p>
            <w:pPr>
              <w:ind w:left="60"/>
              <w:spacing w:after="0"/>
              <w:rPr>
                <w:sz w:val="20"/>
                <w:szCs w:val="20"/>
                <w:color w:val="auto"/>
              </w:rPr>
            </w:pPr>
            <w:r>
              <w:rPr>
                <w:rFonts w:ascii="Arial" w:cs="Arial" w:eastAsia="Arial" w:hAnsi="Arial"/>
                <w:sz w:val="14"/>
                <w:szCs w:val="14"/>
                <w:b w:val="1"/>
                <w:bCs w:val="1"/>
                <w:color w:val="auto"/>
                <w:w w:val="95"/>
              </w:rPr>
              <w:t>(in millions, except operating statistics)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692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3,136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3,334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70"/>
        </w:trPr>
        <w:tc>
          <w:tcPr>
            <w:tcW w:w="3360" w:type="dxa"/>
            <w:vAlign w:val="bottom"/>
          </w:tcPr>
          <w:p>
            <w:pPr>
              <w:ind w:left="20"/>
              <w:spacing w:after="0"/>
              <w:rPr>
                <w:sz w:val="20"/>
                <w:szCs w:val="20"/>
                <w:color w:val="auto"/>
              </w:rPr>
            </w:pPr>
            <w:r>
              <w:rPr>
                <w:rFonts w:ascii="Arial" w:cs="Arial" w:eastAsia="Arial" w:hAnsi="Arial"/>
                <w:sz w:val="14"/>
                <w:szCs w:val="14"/>
                <w:color w:val="auto"/>
              </w:rPr>
              <w:t>Expenses:</w:t>
            </w: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Utility natural gas, fuel and purchased power</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284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1,420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1,698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90"/>
        </w:trPr>
        <w:tc>
          <w:tcPr>
            <w:tcW w:w="3360" w:type="dxa"/>
            <w:vAlign w:val="bottom"/>
          </w:tcPr>
          <w:p>
            <w:pPr>
              <w:ind w:left="140"/>
              <w:spacing w:after="0"/>
              <w:rPr>
                <w:sz w:val="20"/>
                <w:szCs w:val="20"/>
                <w:color w:val="auto"/>
              </w:rPr>
            </w:pPr>
            <w:r>
              <w:rPr>
                <w:rFonts w:ascii="Arial" w:cs="Arial" w:eastAsia="Arial" w:hAnsi="Arial"/>
                <w:sz w:val="14"/>
                <w:szCs w:val="14"/>
                <w:color w:val="auto"/>
              </w:rPr>
              <w:t>Non-utility cost of revenues, including natural gas</w:t>
            </w:r>
          </w:p>
        </w:tc>
        <w:tc>
          <w:tcPr>
            <w:tcW w:w="26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9"/>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9"/>
        </w:trPr>
        <w:tc>
          <w:tcPr>
            <w:tcW w:w="3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Operation and maintenance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199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648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0"/>
        </w:trPr>
        <w:tc>
          <w:tcPr>
            <w:tcW w:w="336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118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380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9"/>
              <w:spacing w:after="0"/>
              <w:rPr>
                <w:sz w:val="20"/>
                <w:szCs w:val="20"/>
                <w:color w:val="auto"/>
              </w:rPr>
            </w:pPr>
            <w:r>
              <w:rPr>
                <w:rFonts w:ascii="Arial" w:cs="Arial" w:eastAsia="Arial" w:hAnsi="Arial"/>
                <w:sz w:val="14"/>
                <w:szCs w:val="14"/>
                <w:color w:val="auto"/>
              </w:rPr>
              <w:t>347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09"/>
        </w:trPr>
        <w:tc>
          <w:tcPr>
            <w:tcW w:w="3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Taxes other than income taxes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51</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182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189</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6"/>
        </w:trPr>
        <w:tc>
          <w:tcPr>
            <w:tcW w:w="336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expenses</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523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653</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130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2,632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2,891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19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504</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443</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70"/>
        </w:trPr>
        <w:tc>
          <w:tcPr>
            <w:tcW w:w="336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Gain on sale</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190"/>
        </w:trPr>
        <w:tc>
          <w:tcPr>
            <w:tcW w:w="3360" w:type="dxa"/>
            <w:vAlign w:val="bottom"/>
          </w:tcPr>
          <w:p>
            <w:pPr>
              <w:ind w:left="140"/>
              <w:spacing w:after="0"/>
              <w:rPr>
                <w:sz w:val="20"/>
                <w:szCs w:val="20"/>
                <w:color w:val="auto"/>
              </w:rPr>
            </w:pPr>
            <w:r>
              <w:rPr>
                <w:rFonts w:ascii="Arial" w:cs="Arial" w:eastAsia="Arial" w:hAnsi="Arial"/>
                <w:sz w:val="14"/>
                <w:szCs w:val="14"/>
                <w:color w:val="auto"/>
              </w:rPr>
              <w:t>Interest expense and other finance charges</w:t>
            </w:r>
          </w:p>
        </w:tc>
        <w:tc>
          <w:tcPr>
            <w:tcW w:w="260" w:type="dxa"/>
            <w:vAlign w:val="bottom"/>
          </w:tcPr>
          <w:p>
            <w:pPr>
              <w:spacing w:after="0"/>
              <w:rPr>
                <w:sz w:val="16"/>
                <w:szCs w:val="16"/>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(97)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09"/>
        </w:trPr>
        <w:tc>
          <w:tcPr>
            <w:tcW w:w="3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income (expense), net</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3"/>
        </w:trPr>
        <w:tc>
          <w:tcPr>
            <w:tcW w:w="336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260" w:type="dxa"/>
            <w:vAlign w:val="bottom"/>
          </w:tcPr>
          <w:p>
            <w:pPr>
              <w:spacing w:after="0"/>
              <w:rPr>
                <w:sz w:val="15"/>
                <w:szCs w:val="15"/>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380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109"/>
              <w:spacing w:after="0"/>
              <w:rPr>
                <w:sz w:val="20"/>
                <w:szCs w:val="20"/>
                <w:color w:val="auto"/>
              </w:rPr>
            </w:pPr>
            <w:r>
              <w:rPr>
                <w:rFonts w:ascii="Arial" w:cs="Arial" w:eastAsia="Arial" w:hAnsi="Arial"/>
                <w:sz w:val="14"/>
                <w:szCs w:val="14"/>
                <w:color w:val="auto"/>
              </w:rPr>
              <w:t>639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209"/>
        </w:trPr>
        <w:tc>
          <w:tcPr>
            <w:tcW w:w="3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tax expense</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223</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66"/>
        </w:trPr>
        <w:tc>
          <w:tcPr>
            <w:tcW w:w="33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296</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416</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Throughput (in Bcf):</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360" w:type="dxa"/>
            <w:vAlign w:val="bottom"/>
          </w:tcPr>
          <w:p>
            <w:pPr>
              <w:ind w:left="340"/>
              <w:spacing w:after="0"/>
              <w:rPr>
                <w:sz w:val="20"/>
                <w:szCs w:val="20"/>
                <w:color w:val="auto"/>
              </w:rPr>
            </w:pPr>
            <w:r>
              <w:rPr>
                <w:rFonts w:ascii="Arial" w:cs="Arial" w:eastAsia="Arial" w:hAnsi="Arial"/>
                <w:sz w:val="14"/>
                <w:szCs w:val="14"/>
                <w:color w:val="auto"/>
              </w:rPr>
              <w:t>Residential</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2"/>
        </w:trPr>
        <w:tc>
          <w:tcPr>
            <w:tcW w:w="33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Commercial and Industrial</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9"/>
        </w:trPr>
        <w:tc>
          <w:tcPr>
            <w:tcW w:w="3360" w:type="dxa"/>
            <w:vAlign w:val="bottom"/>
          </w:tcPr>
          <w:p>
            <w:pPr>
              <w:ind w:left="44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2 %</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1"/>
              </w:rPr>
              <w:t>Weather (percentage of 10-year average for service area):</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360" w:type="dxa"/>
            <w:vAlign w:val="bottom"/>
          </w:tcPr>
          <w:p>
            <w:pPr>
              <w:ind w:left="340"/>
              <w:spacing w:after="0"/>
              <w:rPr>
                <w:sz w:val="20"/>
                <w:szCs w:val="20"/>
                <w:color w:val="auto"/>
              </w:rPr>
            </w:pPr>
            <w:r>
              <w:rPr>
                <w:rFonts w:ascii="Arial" w:cs="Arial" w:eastAsia="Arial" w:hAnsi="Arial"/>
                <w:sz w:val="14"/>
                <w:szCs w:val="14"/>
                <w:color w:val="auto"/>
              </w:rPr>
              <w:t>Heating degree days</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85 %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87 %</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108 %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Number of metered customers at end of period:</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360" w:type="dxa"/>
            <w:vAlign w:val="bottom"/>
          </w:tcPr>
          <w:p>
            <w:pPr>
              <w:ind w:left="340"/>
              <w:spacing w:after="0"/>
              <w:rPr>
                <w:sz w:val="20"/>
                <w:szCs w:val="20"/>
                <w:color w:val="auto"/>
              </w:rPr>
            </w:pPr>
            <w:r>
              <w:rPr>
                <w:rFonts w:ascii="Arial" w:cs="Arial" w:eastAsia="Arial" w:hAnsi="Arial"/>
                <w:sz w:val="14"/>
                <w:szCs w:val="14"/>
                <w:color w:val="auto"/>
              </w:rPr>
              <w:t>Residential</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3,967,080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3,920,848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3,967,080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3,920,848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202"/>
        </w:trPr>
        <w:tc>
          <w:tcPr>
            <w:tcW w:w="33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Commercial and Industrial</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299,915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296,144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299,915</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296,144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99"/>
        </w:trPr>
        <w:tc>
          <w:tcPr>
            <w:tcW w:w="3360" w:type="dxa"/>
            <w:vAlign w:val="bottom"/>
          </w:tcPr>
          <w:p>
            <w:pPr>
              <w:ind w:left="44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4,266,995</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4,216,992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1 %</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4,266,995</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4,216,992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following table provides variance explanations for the three months ended September 30, 2023 compared to the three months ended September 30, 2022 as well as for the nine months ended September 30, 2023 compared to the nine months ended September 30, 2022 by major income statement caption for the Natural Gas reportable segment: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20" w:type="dxa"/>
            <w:vAlign w:val="bottom"/>
            <w:gridSpan w:val="3"/>
          </w:tcPr>
          <w:p>
            <w:pPr>
              <w:jc w:val="right"/>
              <w:ind w:right="261"/>
              <w:spacing w:after="0"/>
              <w:rPr>
                <w:sz w:val="20"/>
                <w:szCs w:val="20"/>
                <w:color w:val="auto"/>
              </w:rPr>
            </w:pPr>
            <w:r>
              <w:rPr>
                <w:rFonts w:ascii="Arial" w:cs="Arial" w:eastAsia="Arial" w:hAnsi="Arial"/>
                <w:sz w:val="14"/>
                <w:szCs w:val="14"/>
                <w:b w:val="1"/>
                <w:bCs w:val="1"/>
                <w:color w:val="auto"/>
              </w:rPr>
              <w:t>Favorable (Unfavorable)</w:t>
            </w:r>
          </w:p>
        </w:tc>
        <w:tc>
          <w:tcPr>
            <w:tcW w:w="720" w:type="dxa"/>
            <w:vAlign w:val="bottom"/>
          </w:tcPr>
          <w:p>
            <w:pPr>
              <w:spacing w:after="0"/>
              <w:rPr>
                <w:sz w:val="16"/>
                <w:szCs w:val="16"/>
                <w:color w:val="auto"/>
              </w:rPr>
            </w:pPr>
          </w:p>
        </w:tc>
      </w:tr>
      <w:tr>
        <w:trPr>
          <w:trHeight w:val="24"/>
        </w:trPr>
        <w:tc>
          <w:tcPr>
            <w:tcW w:w="7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r>
      <w:tr>
        <w:trPr>
          <w:trHeight w:val="130"/>
        </w:trPr>
        <w:tc>
          <w:tcPr>
            <w:tcW w:w="7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2"/>
              </w:rPr>
              <w:t>Three Months Ended</w:t>
            </w:r>
          </w:p>
        </w:tc>
        <w:tc>
          <w:tcPr>
            <w:tcW w:w="1760" w:type="dxa"/>
            <w:vAlign w:val="bottom"/>
            <w:gridSpan w:val="2"/>
          </w:tcPr>
          <w:p>
            <w:pPr>
              <w:jc w:val="right"/>
              <w:ind w:right="180"/>
              <w:spacing w:after="0" w:line="131" w:lineRule="exact"/>
              <w:rPr>
                <w:sz w:val="20"/>
                <w:szCs w:val="20"/>
                <w:color w:val="auto"/>
              </w:rPr>
            </w:pPr>
            <w:r>
              <w:rPr>
                <w:rFonts w:ascii="Arial" w:cs="Arial" w:eastAsia="Arial" w:hAnsi="Arial"/>
                <w:sz w:val="14"/>
                <w:szCs w:val="14"/>
                <w:b w:val="1"/>
                <w:bCs w:val="1"/>
                <w:color w:val="auto"/>
              </w:rPr>
              <w:t>Nine Months Ended</w:t>
            </w:r>
          </w:p>
        </w:tc>
      </w:tr>
      <w:tr>
        <w:trPr>
          <w:trHeight w:val="190"/>
        </w:trPr>
        <w:tc>
          <w:tcPr>
            <w:tcW w:w="7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9"/>
              </w:rPr>
              <w:t>September 30, 2023 vs 2022</w:t>
            </w: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September 30, 2023 vs 2022</w:t>
            </w:r>
          </w:p>
        </w:tc>
      </w:tr>
      <w:tr>
        <w:trPr>
          <w:trHeight w:val="183"/>
        </w:trPr>
        <w:tc>
          <w:tcPr>
            <w:tcW w:w="7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20" w:type="dxa"/>
            <w:vAlign w:val="bottom"/>
            <w:gridSpan w:val="3"/>
          </w:tcPr>
          <w:p>
            <w:pPr>
              <w:jc w:val="right"/>
              <w:ind w:right="641"/>
              <w:spacing w:after="0"/>
              <w:rPr>
                <w:sz w:val="20"/>
                <w:szCs w:val="20"/>
                <w:color w:val="auto"/>
              </w:rPr>
            </w:pPr>
            <w:r>
              <w:rPr>
                <w:rFonts w:ascii="Arial" w:cs="Arial" w:eastAsia="Arial" w:hAnsi="Arial"/>
                <w:sz w:val="14"/>
                <w:szCs w:val="14"/>
                <w:b w:val="1"/>
                <w:bCs w:val="1"/>
                <w:color w:val="auto"/>
              </w:rPr>
              <w:t>(in millions)</w:t>
            </w:r>
          </w:p>
        </w:tc>
        <w:tc>
          <w:tcPr>
            <w:tcW w:w="720" w:type="dxa"/>
            <w:vAlign w:val="bottom"/>
          </w:tcPr>
          <w:p>
            <w:pPr>
              <w:spacing w:after="0"/>
              <w:rPr>
                <w:sz w:val="15"/>
                <w:szCs w:val="15"/>
                <w:color w:val="auto"/>
              </w:rPr>
            </w:pPr>
          </w:p>
        </w:tc>
      </w:tr>
      <w:tr>
        <w:trPr>
          <w:trHeight w:val="190"/>
        </w:trPr>
        <w:tc>
          <w:tcPr>
            <w:tcW w:w="7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Revenues</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4"/>
        </w:trPr>
        <w:tc>
          <w:tcPr>
            <w:tcW w:w="7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r>
      <w:tr>
        <w:trPr>
          <w:trHeight w:val="206"/>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Nine days in January 2022 for Arkansas and Oklahoma Natural Gas businesses due to sale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Weather and usage</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natural gas, offset in utility natural gas, fuel and purchased power below</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Gross receipts tax, offset in taxes other than income taxes below</w:t>
            </w:r>
          </w:p>
        </w:tc>
        <w:tc>
          <w:tcPr>
            <w:tcW w:w="16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Energy efficiency, offset in operation and maintenance below</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Non-volumetric and miscellaneous revenue</w:t>
            </w:r>
          </w:p>
        </w:tc>
        <w:tc>
          <w:tcPr>
            <w:tcW w:w="16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Changes in non-utility revenues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Customer growth</w:t>
            </w:r>
          </w:p>
        </w:tc>
        <w:tc>
          <w:tcPr>
            <w:tcW w:w="16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Pass-through revenues, offset in operation and maintenance below</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0"/>
        </w:trPr>
        <w:tc>
          <w:tcPr>
            <w:tcW w:w="76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Customer rates and impact of the change in rate design</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w:t>
            </w: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r>
      <w:tr>
        <w:trPr>
          <w:trHeight w:val="209"/>
        </w:trPr>
        <w:tc>
          <w:tcPr>
            <w:tcW w:w="7640" w:type="dxa"/>
            <w:vAlign w:val="bottom"/>
            <w:gridSpan w:val="2"/>
            <w:shd w:val="clear" w:color="auto" w:fill="CCEEFF"/>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r>
      <w:tr>
        <w:trPr>
          <w:trHeight w:val="173"/>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Utility natural gas, fuel and purchased power</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r>
      <w:tr>
        <w:trPr>
          <w:trHeight w:val="213"/>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Nine days in January 2022 for Arkansas and Oklahoma Natural Gas businesses due to sale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0"/>
        </w:trPr>
        <w:tc>
          <w:tcPr>
            <w:tcW w:w="76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Cost of natural gas, offset in revenues above</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143</w:t>
            </w: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r>
      <w:tr>
        <w:trPr>
          <w:trHeight w:val="209"/>
        </w:trPr>
        <w:tc>
          <w:tcPr>
            <w:tcW w:w="7640" w:type="dxa"/>
            <w:vAlign w:val="bottom"/>
            <w:gridSpan w:val="2"/>
            <w:shd w:val="clear" w:color="auto" w:fill="CCEEFF"/>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143</w:t>
            </w:r>
          </w:p>
        </w:tc>
        <w:tc>
          <w:tcPr>
            <w:tcW w:w="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w:t>
            </w:r>
          </w:p>
        </w:tc>
      </w:tr>
      <w:tr>
        <w:trPr>
          <w:trHeight w:val="173"/>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Non-utility costs of revenues, including natural gas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r>
      <w:tr>
        <w:trPr>
          <w:trHeight w:val="213"/>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primarily non-utility cost of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3"/>
        </w:trPr>
        <w:tc>
          <w:tcPr>
            <w:tcW w:w="7640" w:type="dxa"/>
            <w:vAlign w:val="bottom"/>
            <w:gridSpan w:val="2"/>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82"/>
        </w:trPr>
        <w:tc>
          <w:tcPr>
            <w:tcW w:w="7540" w:type="dxa"/>
            <w:vAlign w:val="bottom"/>
            <w:tcBorders>
              <w:top w:val="single" w:sz="8" w:color="CCEEFF"/>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Operation and maintenance</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r>
      <w:tr>
        <w:trPr>
          <w:trHeight w:val="203"/>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Corporate support services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Labor and benefits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Energy efficiency, offset in revenues above</w:t>
            </w:r>
          </w:p>
        </w:tc>
        <w:tc>
          <w:tcPr>
            <w:tcW w:w="16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Miscellaneous operations and maintenance expense, including bad debt expense</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Nine days in January 2022 for Arkansas and Oklahoma Natural Gas businesses due to sale</w:t>
            </w:r>
          </w:p>
        </w:tc>
        <w:tc>
          <w:tcPr>
            <w:tcW w:w="16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Contract services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0"/>
        </w:trPr>
        <w:tc>
          <w:tcPr>
            <w:tcW w:w="76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Pass-through expense, offset in revenues above</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09"/>
        </w:trPr>
        <w:tc>
          <w:tcPr>
            <w:tcW w:w="7640" w:type="dxa"/>
            <w:vAlign w:val="bottom"/>
            <w:gridSpan w:val="2"/>
            <w:shd w:val="clear" w:color="auto" w:fill="CCEEFF"/>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173"/>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Depreciation and amortization</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r>
      <w:tr>
        <w:trPr>
          <w:trHeight w:val="213"/>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Incremental capital projects placed in service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Nine days in January 2022 for Arkansas and Oklahoma Natural Gas businesses due to sale</w:t>
            </w:r>
          </w:p>
        </w:tc>
        <w:tc>
          <w:tcPr>
            <w:tcW w:w="16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09"/>
        </w:trPr>
        <w:tc>
          <w:tcPr>
            <w:tcW w:w="7640" w:type="dxa"/>
            <w:vAlign w:val="bottom"/>
            <w:tcBorders>
              <w:top w:val="single" w:sz="8" w:color="CCEEFF"/>
            </w:tcBorders>
            <w:gridSpan w:val="2"/>
            <w:shd w:val="clear" w:color="auto" w:fill="CCEEFF"/>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173"/>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Taxes other than income taxes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r>
      <w:tr>
        <w:trPr>
          <w:trHeight w:val="213"/>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Gross receipts tax, offset in revenues above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Other, primarily property taxes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Nine days in January 2022 for Arkansas and Oklahoma Natural Gas businesses due to sale</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3"/>
        </w:trPr>
        <w:tc>
          <w:tcPr>
            <w:tcW w:w="7640" w:type="dxa"/>
            <w:vAlign w:val="bottom"/>
            <w:tcBorders>
              <w:bottom w:val="single" w:sz="8" w:color="CCEEFF"/>
            </w:tcBorders>
            <w:gridSpan w:val="2"/>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182"/>
        </w:trPr>
        <w:tc>
          <w:tcPr>
            <w:tcW w:w="7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8"/>
              </w:rPr>
              <w:t>Gain on sale</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03"/>
        </w:trPr>
        <w:tc>
          <w:tcPr>
            <w:tcW w:w="76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gain on sale of Arkansas and Oklahoma Natural Gas businesses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w:t>
            </w:r>
          </w:p>
        </w:tc>
      </w:tr>
      <w:tr>
        <w:trPr>
          <w:trHeight w:val="209"/>
        </w:trPr>
        <w:tc>
          <w:tcPr>
            <w:tcW w:w="7640" w:type="dxa"/>
            <w:vAlign w:val="bottom"/>
            <w:gridSpan w:val="2"/>
            <w:shd w:val="clear" w:color="auto" w:fill="CCEEFF"/>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r>
      <w:tr>
        <w:trPr>
          <w:trHeight w:val="173"/>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Interest expense and other finance charges</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CCEEFF"/>
            </w:tcBorders>
          </w:tcPr>
          <w:p>
            <w:pPr>
              <w:spacing w:after="0"/>
              <w:rPr>
                <w:sz w:val="15"/>
                <w:szCs w:val="15"/>
                <w:color w:val="auto"/>
              </w:rPr>
            </w:pPr>
          </w:p>
        </w:tc>
        <w:tc>
          <w:tcPr>
            <w:tcW w:w="1600" w:type="dxa"/>
            <w:vAlign w:val="bottom"/>
            <w:tcBorders>
              <w:top w:val="single" w:sz="8" w:color="auto"/>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CCEEFF"/>
            </w:tcBorders>
          </w:tcPr>
          <w:p>
            <w:pPr>
              <w:spacing w:after="0"/>
              <w:rPr>
                <w:sz w:val="15"/>
                <w:szCs w:val="15"/>
                <w:color w:val="auto"/>
              </w:rPr>
            </w:pPr>
          </w:p>
        </w:tc>
        <w:tc>
          <w:tcPr>
            <w:tcW w:w="720" w:type="dxa"/>
            <w:vAlign w:val="bottom"/>
            <w:tcBorders>
              <w:top w:val="single" w:sz="8" w:color="auto"/>
              <w:bottom w:val="single" w:sz="8" w:color="CCEEFF"/>
            </w:tcBorders>
          </w:tcPr>
          <w:p>
            <w:pPr>
              <w:spacing w:after="0"/>
              <w:rPr>
                <w:sz w:val="15"/>
                <w:szCs w:val="15"/>
                <w:color w:val="auto"/>
              </w:rPr>
            </w:pPr>
          </w:p>
        </w:tc>
      </w:tr>
      <w:tr>
        <w:trPr>
          <w:trHeight w:val="213"/>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Changes in outstanding debt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10"/>
        </w:trPr>
        <w:tc>
          <w:tcPr>
            <w:tcW w:w="76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primarily AFUDC and impacts of regulatory deferrals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09"/>
        </w:trPr>
        <w:tc>
          <w:tcPr>
            <w:tcW w:w="7640" w:type="dxa"/>
            <w:vAlign w:val="bottom"/>
            <w:gridSpan w:val="2"/>
            <w:shd w:val="clear" w:color="auto" w:fill="CCEEFF"/>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173"/>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Other income (expense), net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r>
      <w:tr>
        <w:trPr>
          <w:trHeight w:val="213"/>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AFUDC - Equity, primarily from increased capital spend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Decrease to non-service benefit cost</w:t>
            </w:r>
          </w:p>
        </w:tc>
        <w:tc>
          <w:tcPr>
            <w:tcW w:w="16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03"/>
        </w:trPr>
        <w:tc>
          <w:tcPr>
            <w:tcW w:w="7640" w:type="dxa"/>
            <w:vAlign w:val="bottom"/>
            <w:gridSpan w:val="2"/>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7"/>
                <w:szCs w:val="17"/>
                <w:color w:val="auto"/>
              </w:rPr>
            </w:pPr>
          </w:p>
        </w:tc>
        <w:tc>
          <w:tcPr>
            <w:tcW w:w="1040" w:type="dxa"/>
            <w:vAlign w:val="bottom"/>
            <w:tcBorders>
              <w:bottom w:val="single" w:sz="8" w:color="auto"/>
            </w:tcBorders>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bl>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For a discussion of effective tax rate per period by Registrant, see Note 12 to the Interim Condensed Financial Statements.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ELECTRIC’S MANAGEMENT’S NARRATIVE ANALYSIS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CONSOLIDATED RESULTS OF OPERATIONS</w:t>
      </w:r>
    </w:p>
    <w:p>
      <w:pPr>
        <w:spacing w:after="0" w:line="234" w:lineRule="exact"/>
        <w:rPr>
          <w:sz w:val="20"/>
          <w:szCs w:val="20"/>
          <w:color w:val="auto"/>
        </w:rPr>
      </w:pPr>
    </w:p>
    <w:p>
      <w:pPr>
        <w:jc w:val="both"/>
        <w:ind w:firstLine="319"/>
        <w:spacing w:after="0" w:line="286" w:lineRule="auto"/>
        <w:rPr>
          <w:sz w:val="20"/>
          <w:szCs w:val="20"/>
          <w:color w:val="auto"/>
        </w:rPr>
      </w:pPr>
      <w:r>
        <w:rPr>
          <w:rFonts w:ascii="Arial" w:cs="Arial" w:eastAsia="Arial" w:hAnsi="Arial"/>
          <w:sz w:val="16"/>
          <w:szCs w:val="16"/>
          <w:color w:val="auto"/>
        </w:rPr>
        <w:t>Houston Electric’s CODM views net income as the measure of profit or loss for its single reportable segment. Houston Electric’s results of operations are affected by seasonal fluctuations in the demand for electricity. Houston Electric’s results of operations are also affected by, among other things, the actions of various governmental authorities having jurisdiction over rates Houston Electric charges, debt service costs, income tax expense, Houston Electric’s ability to collect receivables from REPs and Houston Electric’s ability to recover its regulatory assets. For more information regarding factors that may affect the future results of operations of Houston Electric’s business, please read “Risk Factors — Risk Factors Affecting Operations — Electric Generation, Transmission and Distribution,” “— Risk Factors Affecting Regulatory, Environmental and Legal Risks,” “— Risk Factors Affecting Financial, Economic and Market Risks,” “— Risk Factors Affecting Safety and Security Risks” and “— General and Other Risks” in Item 1A of Part I of the Registrants’ combined 2022 Form 10-K.</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760" w:type="dxa"/>
            <w:vAlign w:val="bottom"/>
            <w:gridSpan w:val="8"/>
          </w:tcPr>
          <w:p>
            <w:pPr>
              <w:ind w:left="60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3660" w:type="dxa"/>
            <w:vAlign w:val="bottom"/>
            <w:gridSpan w:val="7"/>
          </w:tcPr>
          <w:p>
            <w:pPr>
              <w:jc w:val="right"/>
              <w:ind w:right="849"/>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2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38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40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49"/>
              <w:spacing w:after="0" w:line="131" w:lineRule="exact"/>
              <w:rPr>
                <w:sz w:val="20"/>
                <w:szCs w:val="20"/>
                <w:color w:val="auto"/>
              </w:rPr>
            </w:pPr>
            <w:r>
              <w:rPr>
                <w:rFonts w:ascii="Arial" w:cs="Arial" w:eastAsia="Arial" w:hAnsi="Arial"/>
                <w:sz w:val="14"/>
                <w:szCs w:val="14"/>
                <w:b w:val="1"/>
                <w:bCs w:val="1"/>
                <w:color w:val="auto"/>
                <w:w w:val="90"/>
              </w:rPr>
              <w:t>Favorable</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38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40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249"/>
              <w:spacing w:after="0" w:line="131" w:lineRule="exact"/>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190"/>
        </w:trPr>
        <w:tc>
          <w:tcPr>
            <w:tcW w:w="3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(Unfavorable)</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w w:val="97"/>
              </w:rPr>
              <w:t>(Unfavorable)</w:t>
            </w:r>
          </w:p>
        </w:tc>
        <w:tc>
          <w:tcPr>
            <w:tcW w:w="0" w:type="dxa"/>
            <w:vAlign w:val="bottom"/>
          </w:tcPr>
          <w:p>
            <w:pPr>
              <w:spacing w:after="0"/>
              <w:rPr>
                <w:sz w:val="1"/>
                <w:szCs w:val="1"/>
                <w:color w:val="auto"/>
              </w:rPr>
            </w:pPr>
          </w:p>
        </w:tc>
      </w:tr>
      <w:tr>
        <w:trPr>
          <w:trHeight w:val="183"/>
        </w:trPr>
        <w:tc>
          <w:tcPr>
            <w:tcW w:w="3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gridSpan w:val="5"/>
          </w:tcPr>
          <w:p>
            <w:pPr>
              <w:ind w:left="20"/>
              <w:spacing w:after="0"/>
              <w:rPr>
                <w:sz w:val="20"/>
                <w:szCs w:val="20"/>
                <w:color w:val="auto"/>
              </w:rPr>
            </w:pPr>
            <w:r>
              <w:rPr>
                <w:rFonts w:ascii="Arial" w:cs="Arial" w:eastAsia="Arial" w:hAnsi="Arial"/>
                <w:sz w:val="14"/>
                <w:szCs w:val="14"/>
                <w:b w:val="1"/>
                <w:bCs w:val="1"/>
                <w:color w:val="auto"/>
                <w:w w:val="97"/>
              </w:rPr>
              <w:t>(in millions, except operating statistics)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260" w:type="dxa"/>
            <w:vAlign w:val="bottom"/>
          </w:tcPr>
          <w:p>
            <w:pPr>
              <w:ind w:left="20"/>
              <w:spacing w:after="0"/>
              <w:rPr>
                <w:sz w:val="20"/>
                <w:szCs w:val="20"/>
                <w:color w:val="auto"/>
              </w:rPr>
            </w:pPr>
            <w:r>
              <w:rPr>
                <w:rFonts w:ascii="Arial" w:cs="Arial" w:eastAsia="Arial" w:hAnsi="Arial"/>
                <w:sz w:val="14"/>
                <w:szCs w:val="14"/>
                <w:color w:val="auto"/>
              </w:rPr>
              <w:t>Revenues: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TDU</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1,027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879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2,655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2,394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193"/>
        </w:trPr>
        <w:tc>
          <w:tcPr>
            <w:tcW w:w="3260" w:type="dxa"/>
            <w:vAlign w:val="bottom"/>
          </w:tcPr>
          <w:p>
            <w:pPr>
              <w:ind w:left="140"/>
              <w:spacing w:after="0"/>
              <w:rPr>
                <w:sz w:val="20"/>
                <w:szCs w:val="20"/>
                <w:color w:val="auto"/>
              </w:rPr>
            </w:pPr>
            <w:r>
              <w:rPr>
                <w:rFonts w:ascii="Arial" w:cs="Arial" w:eastAsia="Arial" w:hAnsi="Arial"/>
                <w:sz w:val="14"/>
                <w:szCs w:val="14"/>
                <w:color w:val="auto"/>
              </w:rPr>
              <w:t>Bond Companies</w:t>
            </w:r>
          </w:p>
        </w:tc>
        <w:tc>
          <w:tcPr>
            <w:tcW w:w="28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29"/>
              <w:spacing w:after="0"/>
              <w:rPr>
                <w:sz w:val="20"/>
                <w:szCs w:val="20"/>
                <w:color w:val="auto"/>
              </w:rPr>
            </w:pPr>
            <w:r>
              <w:rPr>
                <w:rFonts w:ascii="Arial" w:cs="Arial" w:eastAsia="Arial" w:hAnsi="Arial"/>
                <w:sz w:val="14"/>
                <w:szCs w:val="14"/>
                <w:color w:val="auto"/>
              </w:rPr>
              <w:t>56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9"/>
              <w:spacing w:after="0"/>
              <w:rPr>
                <w:sz w:val="20"/>
                <w:szCs w:val="20"/>
                <w:color w:val="auto"/>
              </w:rPr>
            </w:pPr>
            <w:r>
              <w:rPr>
                <w:rFonts w:ascii="Arial" w:cs="Arial" w:eastAsia="Arial" w:hAnsi="Arial"/>
                <w:sz w:val="14"/>
                <w:szCs w:val="14"/>
                <w:color w:val="auto"/>
              </w:rPr>
              <w:t>168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99"/>
        </w:trPr>
        <w:tc>
          <w:tcPr>
            <w:tcW w:w="32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revenues</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1,083</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935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148</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2,784</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2,562</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70"/>
        </w:trPr>
        <w:tc>
          <w:tcPr>
            <w:tcW w:w="3260" w:type="dxa"/>
            <w:vAlign w:val="bottom"/>
          </w:tcPr>
          <w:p>
            <w:pPr>
              <w:ind w:left="20"/>
              <w:spacing w:after="0"/>
              <w:rPr>
                <w:sz w:val="20"/>
                <w:szCs w:val="20"/>
                <w:color w:val="auto"/>
              </w:rPr>
            </w:pPr>
            <w:r>
              <w:rPr>
                <w:rFonts w:ascii="Arial" w:cs="Arial" w:eastAsia="Arial" w:hAnsi="Arial"/>
                <w:sz w:val="14"/>
                <w:szCs w:val="14"/>
                <w:color w:val="auto"/>
              </w:rPr>
              <w:t>Expenses:</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260" w:type="dxa"/>
            <w:vAlign w:val="bottom"/>
            <w:shd w:val="clear" w:color="auto" w:fill="CCEEFF"/>
          </w:tcPr>
          <w:p>
            <w:pPr>
              <w:ind w:left="180"/>
              <w:spacing w:after="0" w:line="151" w:lineRule="exact"/>
              <w:rPr>
                <w:sz w:val="20"/>
                <w:szCs w:val="20"/>
                <w:color w:val="auto"/>
              </w:rPr>
            </w:pPr>
            <w:r>
              <w:rPr>
                <w:rFonts w:ascii="Arial" w:cs="Arial" w:eastAsia="Arial" w:hAnsi="Arial"/>
                <w:sz w:val="14"/>
                <w:szCs w:val="14"/>
                <w:color w:val="auto"/>
              </w:rPr>
              <w:t>Operation and maintenance, excluding Bond</w:t>
            </w:r>
          </w:p>
        </w:tc>
        <w:tc>
          <w:tcPr>
            <w:tcW w:w="28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407</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393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1,186</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1,190</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1"/>
        </w:trPr>
        <w:tc>
          <w:tcPr>
            <w:tcW w:w="3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Companies</w:t>
            </w:r>
          </w:p>
        </w:tc>
        <w:tc>
          <w:tcPr>
            <w:tcW w:w="28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3260" w:type="dxa"/>
            <w:vAlign w:val="bottom"/>
          </w:tcPr>
          <w:p>
            <w:pPr>
              <w:ind w:left="180"/>
              <w:spacing w:after="0" w:line="141" w:lineRule="exact"/>
              <w:rPr>
                <w:sz w:val="20"/>
                <w:szCs w:val="20"/>
                <w:color w:val="auto"/>
              </w:rPr>
            </w:pPr>
            <w:r>
              <w:rPr>
                <w:rFonts w:ascii="Arial" w:cs="Arial" w:eastAsia="Arial" w:hAnsi="Arial"/>
                <w:sz w:val="14"/>
                <w:szCs w:val="14"/>
                <w:color w:val="auto"/>
              </w:rPr>
              <w:t>Depreciation and amortization, excluding Bond</w:t>
            </w:r>
          </w:p>
        </w:tc>
        <w:tc>
          <w:tcPr>
            <w:tcW w:w="280" w:type="dxa"/>
            <w:vAlign w:val="bottom"/>
          </w:tcPr>
          <w:p>
            <w:pPr>
              <w:spacing w:after="0"/>
              <w:rPr>
                <w:sz w:val="12"/>
                <w:szCs w:val="12"/>
                <w:color w:val="auto"/>
              </w:rPr>
            </w:pPr>
          </w:p>
        </w:tc>
        <w:tc>
          <w:tcPr>
            <w:tcW w:w="940" w:type="dxa"/>
            <w:vAlign w:val="bottom"/>
            <w:vMerge w:val="restart"/>
          </w:tcPr>
          <w:p>
            <w:pPr>
              <w:jc w:val="right"/>
              <w:ind w:right="109"/>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129"/>
              <w:spacing w:after="0"/>
              <w:rPr>
                <w:sz w:val="20"/>
                <w:szCs w:val="20"/>
                <w:color w:val="auto"/>
              </w:rPr>
            </w:pPr>
            <w:r>
              <w:rPr>
                <w:rFonts w:ascii="Arial" w:cs="Arial" w:eastAsia="Arial" w:hAnsi="Arial"/>
                <w:sz w:val="14"/>
                <w:szCs w:val="14"/>
                <w:color w:val="auto"/>
              </w:rPr>
              <w:t>123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restart"/>
          </w:tcPr>
          <w:p>
            <w:pPr>
              <w:jc w:val="right"/>
              <w:ind w:right="69"/>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restart"/>
          </w:tcPr>
          <w:p>
            <w:pPr>
              <w:jc w:val="right"/>
              <w:ind w:right="109"/>
              <w:spacing w:after="0"/>
              <w:rPr>
                <w:sz w:val="20"/>
                <w:szCs w:val="20"/>
                <w:color w:val="auto"/>
              </w:rPr>
            </w:pPr>
            <w:r>
              <w:rPr>
                <w:rFonts w:ascii="Arial" w:cs="Arial" w:eastAsia="Arial" w:hAnsi="Arial"/>
                <w:sz w:val="14"/>
                <w:szCs w:val="14"/>
                <w:color w:val="auto"/>
              </w:rPr>
              <w:t>433</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109"/>
              <w:spacing w:after="0"/>
              <w:rPr>
                <w:sz w:val="20"/>
                <w:szCs w:val="20"/>
                <w:color w:val="auto"/>
              </w:rPr>
            </w:pPr>
            <w:r>
              <w:rPr>
                <w:rFonts w:ascii="Arial" w:cs="Arial" w:eastAsia="Arial" w:hAnsi="Arial"/>
                <w:sz w:val="14"/>
                <w:szCs w:val="14"/>
                <w:color w:val="auto"/>
              </w:rPr>
              <w:t>357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right"/>
              <w:ind w:right="69"/>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86"/>
        </w:trPr>
        <w:tc>
          <w:tcPr>
            <w:tcW w:w="3260" w:type="dxa"/>
            <w:vAlign w:val="bottom"/>
          </w:tcPr>
          <w:p>
            <w:pPr>
              <w:ind w:left="340"/>
              <w:spacing w:after="0"/>
              <w:rPr>
                <w:sz w:val="20"/>
                <w:szCs w:val="20"/>
                <w:color w:val="auto"/>
              </w:rPr>
            </w:pPr>
            <w:r>
              <w:rPr>
                <w:rFonts w:ascii="Arial" w:cs="Arial" w:eastAsia="Arial" w:hAnsi="Arial"/>
                <w:sz w:val="14"/>
                <w:szCs w:val="14"/>
                <w:color w:val="auto"/>
              </w:rPr>
              <w:t>Companies</w:t>
            </w: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Taxes other than income taxes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65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201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196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3"/>
        </w:trPr>
        <w:tc>
          <w:tcPr>
            <w:tcW w:w="32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Bond Companies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55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54</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126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157</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99"/>
        </w:trPr>
        <w:tc>
          <w:tcPr>
            <w:tcW w:w="3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expenses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689</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635</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1,946</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1,900</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6"/>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Income</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394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300</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94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838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662</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86"/>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60" w:type="dxa"/>
            <w:vAlign w:val="bottom"/>
          </w:tcPr>
          <w:p>
            <w:pPr>
              <w:ind w:left="140"/>
              <w:spacing w:after="0"/>
              <w:rPr>
                <w:sz w:val="20"/>
                <w:szCs w:val="20"/>
                <w:color w:val="auto"/>
              </w:rPr>
            </w:pPr>
            <w:r>
              <w:rPr>
                <w:rFonts w:ascii="Arial" w:cs="Arial" w:eastAsia="Arial" w:hAnsi="Arial"/>
                <w:sz w:val="14"/>
                <w:szCs w:val="14"/>
                <w:color w:val="auto"/>
              </w:rPr>
              <w:t>Interest expense and other finance charges</w:t>
            </w:r>
          </w:p>
        </w:tc>
        <w:tc>
          <w:tcPr>
            <w:tcW w:w="280" w:type="dxa"/>
            <w:vAlign w:val="bottom"/>
          </w:tcPr>
          <w:p>
            <w:pPr>
              <w:spacing w:after="0"/>
              <w:rPr>
                <w:sz w:val="16"/>
                <w:szCs w:val="16"/>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69"/>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(148)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9"/>
        </w:trPr>
        <w:tc>
          <w:tcPr>
            <w:tcW w:w="3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expense on Securitization Bonds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3"/>
        </w:trPr>
        <w:tc>
          <w:tcPr>
            <w:tcW w:w="3260" w:type="dxa"/>
            <w:vAlign w:val="bottom"/>
          </w:tcPr>
          <w:p>
            <w:pPr>
              <w:ind w:left="140"/>
              <w:spacing w:after="0"/>
              <w:rPr>
                <w:sz w:val="20"/>
                <w:szCs w:val="20"/>
                <w:color w:val="auto"/>
              </w:rPr>
            </w:pPr>
            <w:r>
              <w:rPr>
                <w:rFonts w:ascii="Arial" w:cs="Arial" w:eastAsia="Arial" w:hAnsi="Arial"/>
                <w:sz w:val="14"/>
                <w:szCs w:val="14"/>
                <w:color w:val="auto"/>
              </w:rPr>
              <w:t>Other income, net</w:t>
            </w:r>
          </w:p>
        </w:tc>
        <w:tc>
          <w:tcPr>
            <w:tcW w:w="28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29"/>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9"/>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9"/>
        </w:trPr>
        <w:tc>
          <w:tcPr>
            <w:tcW w:w="3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2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328</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252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76</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669</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516</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93"/>
        </w:trPr>
        <w:tc>
          <w:tcPr>
            <w:tcW w:w="32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Income tax expense</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52</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147</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108</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24"/>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256</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200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56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522</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408</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Throughput (in GWh):</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2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3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Residential</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13,410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27,803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90"/>
        </w:trPr>
        <w:tc>
          <w:tcPr>
            <w:tcW w:w="3260" w:type="dxa"/>
            <w:vAlign w:val="bottom"/>
          </w:tcPr>
          <w:p>
            <w:pPr>
              <w:ind w:left="340"/>
              <w:spacing w:after="0"/>
              <w:rPr>
                <w:sz w:val="20"/>
                <w:szCs w:val="20"/>
                <w:color w:val="auto"/>
              </w:rPr>
            </w:pPr>
            <w:r>
              <w:rPr>
                <w:rFonts w:ascii="Arial" w:cs="Arial" w:eastAsia="Arial" w:hAnsi="Arial"/>
                <w:sz w:val="14"/>
                <w:szCs w:val="14"/>
                <w:color w:val="auto"/>
              </w:rPr>
              <w:t>Total</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33,546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28,928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80,984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78,565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51"/>
        </w:trPr>
        <w:tc>
          <w:tcPr>
            <w:tcW w:w="326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Weather (percentage of 10-year average for service</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area):</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60" w:type="dxa"/>
            <w:vAlign w:val="bottom"/>
          </w:tcPr>
          <w:p>
            <w:pPr>
              <w:ind w:left="340"/>
              <w:spacing w:after="0"/>
              <w:rPr>
                <w:sz w:val="20"/>
                <w:szCs w:val="20"/>
                <w:color w:val="auto"/>
              </w:rPr>
            </w:pPr>
            <w:r>
              <w:rPr>
                <w:rFonts w:ascii="Arial" w:cs="Arial" w:eastAsia="Arial" w:hAnsi="Arial"/>
                <w:sz w:val="14"/>
                <w:szCs w:val="14"/>
                <w:color w:val="auto"/>
              </w:rPr>
              <w:t>Cooling degree days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123 %</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105 %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117 %</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111 %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209"/>
        </w:trPr>
        <w:tc>
          <w:tcPr>
            <w:tcW w:w="3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Heating degree days</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90"/>
        </w:trPr>
        <w:tc>
          <w:tcPr>
            <w:tcW w:w="3260" w:type="dxa"/>
            <w:vAlign w:val="bottom"/>
          </w:tcPr>
          <w:p>
            <w:pPr>
              <w:ind w:left="20"/>
              <w:spacing w:after="0"/>
              <w:rPr>
                <w:sz w:val="20"/>
                <w:szCs w:val="20"/>
                <w:color w:val="auto"/>
              </w:rPr>
            </w:pPr>
            <w:r>
              <w:rPr>
                <w:rFonts w:ascii="Arial" w:cs="Arial" w:eastAsia="Arial" w:hAnsi="Arial"/>
                <w:sz w:val="14"/>
                <w:szCs w:val="14"/>
                <w:color w:val="auto"/>
              </w:rPr>
              <w:t>Number of metered customers at end of period:</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Residential</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2,443,150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2,392,107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2,443,150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2,392,107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80"/>
        </w:trPr>
        <w:tc>
          <w:tcPr>
            <w:tcW w:w="3260" w:type="dxa"/>
            <w:vAlign w:val="bottom"/>
          </w:tcPr>
          <w:p>
            <w:pPr>
              <w:ind w:left="340"/>
              <w:spacing w:after="0"/>
              <w:rPr>
                <w:sz w:val="20"/>
                <w:szCs w:val="20"/>
                <w:color w:val="auto"/>
              </w:rPr>
            </w:pPr>
            <w:r>
              <w:rPr>
                <w:rFonts w:ascii="Arial" w:cs="Arial" w:eastAsia="Arial" w:hAnsi="Arial"/>
                <w:sz w:val="14"/>
                <w:szCs w:val="14"/>
                <w:color w:val="auto"/>
              </w:rPr>
              <w:t>Total</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2,751,218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2,696,366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2,751,218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2,696,366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1" w:name="page72"/>
    <w:bookmarkEnd w:id="71"/>
    <w:p>
      <w:pPr>
        <w:jc w:val="both"/>
        <w:ind w:firstLine="319"/>
        <w:spacing w:after="0" w:line="256" w:lineRule="auto"/>
        <w:rPr>
          <w:sz w:val="20"/>
          <w:szCs w:val="20"/>
          <w:color w:val="auto"/>
        </w:rPr>
      </w:pPr>
      <w:r>
        <w:rPr>
          <w:rFonts w:ascii="Arial" w:cs="Arial" w:eastAsia="Arial" w:hAnsi="Arial"/>
          <w:sz w:val="18"/>
          <w:szCs w:val="18"/>
          <w:color w:val="auto"/>
        </w:rPr>
        <w:t>The following table provides variance explanations for the three months ended September 30, 2023 compared to the three months ended September 30, 2022 as well as for the nine months ended September 30, 2023 compared to the nine months ended September 30, 2022 by major income statement caption for Houston Electric:</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60" w:type="dxa"/>
            <w:vAlign w:val="bottom"/>
            <w:gridSpan w:val="3"/>
          </w:tcPr>
          <w:p>
            <w:pPr>
              <w:jc w:val="right"/>
              <w:ind w:right="301"/>
              <w:spacing w:after="0"/>
              <w:rPr>
                <w:sz w:val="20"/>
                <w:szCs w:val="20"/>
                <w:color w:val="auto"/>
              </w:rPr>
            </w:pPr>
            <w:r>
              <w:rPr>
                <w:rFonts w:ascii="Arial" w:cs="Arial" w:eastAsia="Arial" w:hAnsi="Arial"/>
                <w:sz w:val="14"/>
                <w:szCs w:val="14"/>
                <w:b w:val="1"/>
                <w:bCs w:val="1"/>
                <w:color w:val="auto"/>
              </w:rPr>
              <w:t>Favorable (Unfavorable)</w:t>
            </w:r>
          </w:p>
        </w:tc>
        <w:tc>
          <w:tcPr>
            <w:tcW w:w="680" w:type="dxa"/>
            <w:vAlign w:val="bottom"/>
          </w:tcPr>
          <w:p>
            <w:pPr>
              <w:spacing w:after="0"/>
              <w:rPr>
                <w:sz w:val="16"/>
                <w:szCs w:val="16"/>
                <w:color w:val="auto"/>
              </w:rPr>
            </w:pPr>
          </w:p>
        </w:tc>
      </w:tr>
      <w:tr>
        <w:trPr>
          <w:trHeight w:val="24"/>
        </w:trPr>
        <w:tc>
          <w:tcPr>
            <w:tcW w:w="7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r>
      <w:tr>
        <w:trPr>
          <w:trHeight w:val="130"/>
        </w:trPr>
        <w:tc>
          <w:tcPr>
            <w:tcW w:w="7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2"/>
              </w:rPr>
              <w:t>Three Months Ended</w:t>
            </w:r>
          </w:p>
        </w:tc>
        <w:tc>
          <w:tcPr>
            <w:tcW w:w="1760" w:type="dxa"/>
            <w:vAlign w:val="bottom"/>
            <w:gridSpan w:val="2"/>
          </w:tcPr>
          <w:p>
            <w:pPr>
              <w:jc w:val="right"/>
              <w:ind w:right="180"/>
              <w:spacing w:after="0" w:line="131" w:lineRule="exact"/>
              <w:rPr>
                <w:sz w:val="20"/>
                <w:szCs w:val="20"/>
                <w:color w:val="auto"/>
              </w:rPr>
            </w:pPr>
            <w:r>
              <w:rPr>
                <w:rFonts w:ascii="Arial" w:cs="Arial" w:eastAsia="Arial" w:hAnsi="Arial"/>
                <w:sz w:val="14"/>
                <w:szCs w:val="14"/>
                <w:b w:val="1"/>
                <w:bCs w:val="1"/>
                <w:color w:val="auto"/>
              </w:rPr>
              <w:t>Nine Months Ended</w:t>
            </w:r>
          </w:p>
        </w:tc>
      </w:tr>
      <w:tr>
        <w:trPr>
          <w:trHeight w:val="190"/>
        </w:trPr>
        <w:tc>
          <w:tcPr>
            <w:tcW w:w="7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9"/>
              </w:rPr>
              <w:t>September 30, 2023 vs 2022</w:t>
            </w: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September 30, 2023 vs 2022</w:t>
            </w:r>
          </w:p>
        </w:tc>
      </w:tr>
      <w:tr>
        <w:trPr>
          <w:trHeight w:val="183"/>
        </w:trPr>
        <w:tc>
          <w:tcPr>
            <w:tcW w:w="7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60" w:type="dxa"/>
            <w:vAlign w:val="bottom"/>
            <w:gridSpan w:val="3"/>
          </w:tcPr>
          <w:p>
            <w:pPr>
              <w:jc w:val="right"/>
              <w:ind w:right="681"/>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5"/>
                <w:szCs w:val="15"/>
                <w:color w:val="auto"/>
              </w:rPr>
            </w:pPr>
          </w:p>
        </w:tc>
      </w:tr>
      <w:tr>
        <w:trPr>
          <w:trHeight w:val="190"/>
        </w:trPr>
        <w:tc>
          <w:tcPr>
            <w:tcW w:w="7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Revenues</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4"/>
        </w:trPr>
        <w:tc>
          <w:tcPr>
            <w:tcW w:w="7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r>
      <w:tr>
        <w:trPr>
          <w:trHeight w:val="206"/>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Transmission Revenues, including TCOS and TCRF, inclusive of costs billed by transmission providers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Customer rates</w:t>
            </w:r>
          </w:p>
        </w:tc>
        <w:tc>
          <w:tcPr>
            <w:tcW w:w="16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80</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146</w:t>
            </w: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Customer growth</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w w:val="93"/>
              </w:rPr>
              <w:t>Equity return, related to the annual true-up of transition charges for amounts over or under collected in prior periods</w:t>
            </w:r>
          </w:p>
        </w:tc>
        <w:tc>
          <w:tcPr>
            <w:tcW w:w="16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Weather impacts and other usage</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Energy efficiency, offset in operations and maintenance below</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Bond Companies, offset in other line items below</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03"/>
        </w:trPr>
        <w:tc>
          <w:tcPr>
            <w:tcW w:w="7640" w:type="dxa"/>
            <w:vAlign w:val="bottom"/>
            <w:tcBorders>
              <w:bottom w:val="single" w:sz="8" w:color="CCEEFF"/>
            </w:tcBorders>
            <w:gridSpan w:val="2"/>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148</w:t>
            </w:r>
          </w:p>
        </w:tc>
        <w:tc>
          <w:tcPr>
            <w:tcW w:w="8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222</w:t>
            </w:r>
          </w:p>
        </w:tc>
      </w:tr>
      <w:tr>
        <w:trPr>
          <w:trHeight w:val="182"/>
        </w:trPr>
        <w:tc>
          <w:tcPr>
            <w:tcW w:w="7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0"/>
              </w:rPr>
              <w:t>Operation and maintenance, excluding Bond Companies</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203"/>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All other operation and maintenance expense, including materials and supplies and insurance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7"/>
                <w:szCs w:val="17"/>
                <w:color w:val="auto"/>
              </w:rPr>
            </w:pPr>
          </w:p>
        </w:tc>
        <w:tc>
          <w:tcPr>
            <w:tcW w:w="1080" w:type="dxa"/>
            <w:vAlign w:val="bottom"/>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Labor and benefits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Support services, primarily information technology cost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Contract services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Energy efficiency, offset in revenues above</w:t>
            </w:r>
          </w:p>
        </w:tc>
        <w:tc>
          <w:tcPr>
            <w:tcW w:w="16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Transmission costs billed by transmission providers, offset in revenues above</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03"/>
        </w:trPr>
        <w:tc>
          <w:tcPr>
            <w:tcW w:w="7640" w:type="dxa"/>
            <w:vAlign w:val="bottom"/>
            <w:tcBorders>
              <w:bottom w:val="single" w:sz="8" w:color="CCEEFF"/>
            </w:tcBorders>
            <w:gridSpan w:val="2"/>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182"/>
        </w:trPr>
        <w:tc>
          <w:tcPr>
            <w:tcW w:w="7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Depreciation and amortization, excluding Bond Companies</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203"/>
        </w:trPr>
        <w:tc>
          <w:tcPr>
            <w:tcW w:w="76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Ongoing additions to plant-in-service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r>
      <w:tr>
        <w:trPr>
          <w:trHeight w:val="209"/>
        </w:trPr>
        <w:tc>
          <w:tcPr>
            <w:tcW w:w="7640" w:type="dxa"/>
            <w:vAlign w:val="bottom"/>
            <w:gridSpan w:val="2"/>
            <w:shd w:val="clear" w:color="auto" w:fill="CCEEFF"/>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173"/>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Taxes other than income taxes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r>
      <w:tr>
        <w:trPr>
          <w:trHeight w:val="213"/>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Incremental capital projects placed in service, net of updated property tax rates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3"/>
        </w:trPr>
        <w:tc>
          <w:tcPr>
            <w:tcW w:w="7640" w:type="dxa"/>
            <w:vAlign w:val="bottom"/>
            <w:tcBorders>
              <w:bottom w:val="single" w:sz="8" w:color="CCEEFF"/>
            </w:tcBorders>
            <w:gridSpan w:val="2"/>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182"/>
        </w:trPr>
        <w:tc>
          <w:tcPr>
            <w:tcW w:w="7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7"/>
              </w:rPr>
              <w:t>Bond Companies expense</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203"/>
        </w:trPr>
        <w:tc>
          <w:tcPr>
            <w:tcW w:w="76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Operations and maintenance and depreciation expense, offset in revenues above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r>
      <w:tr>
        <w:trPr>
          <w:trHeight w:val="209"/>
        </w:trPr>
        <w:tc>
          <w:tcPr>
            <w:tcW w:w="7640" w:type="dxa"/>
            <w:vAlign w:val="bottom"/>
            <w:gridSpan w:val="2"/>
            <w:shd w:val="clear" w:color="auto" w:fill="CCEEFF"/>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173"/>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Interest expense and other finance charges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r>
      <w:tr>
        <w:trPr>
          <w:trHeight w:val="213"/>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Changes in outstanding debt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10"/>
        </w:trPr>
        <w:tc>
          <w:tcPr>
            <w:tcW w:w="76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primarily AFUDC, impacts of regulatory deferrals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09"/>
        </w:trPr>
        <w:tc>
          <w:tcPr>
            <w:tcW w:w="7640" w:type="dxa"/>
            <w:vAlign w:val="bottom"/>
            <w:gridSpan w:val="2"/>
            <w:shd w:val="clear" w:color="auto" w:fill="CCEEFF"/>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173"/>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Interest expense on Securitization Bonds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r>
      <w:tr>
        <w:trPr>
          <w:trHeight w:val="213"/>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Lower outstanding principal balance, offset in revenues above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3"/>
        </w:trPr>
        <w:tc>
          <w:tcPr>
            <w:tcW w:w="7640" w:type="dxa"/>
            <w:vAlign w:val="bottom"/>
            <w:tcBorders>
              <w:bottom w:val="single" w:sz="8" w:color="CCEEFF"/>
            </w:tcBorders>
            <w:gridSpan w:val="2"/>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182"/>
        </w:trPr>
        <w:tc>
          <w:tcPr>
            <w:tcW w:w="7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0"/>
              </w:rPr>
              <w:t>Other income, net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203"/>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Other income, including AFUDC - Equity</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Bond Companies interest income, offset in other line items</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3"/>
        </w:trPr>
        <w:tc>
          <w:tcPr>
            <w:tcW w:w="7640" w:type="dxa"/>
            <w:vAlign w:val="bottom"/>
            <w:gridSpan w:val="2"/>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80" w:type="dxa"/>
            <w:vAlign w:val="bottom"/>
            <w:tcBorders>
              <w:bottom w:val="single" w:sz="8" w:color="auto"/>
            </w:tcBorders>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bl>
    <w:p>
      <w:pPr>
        <w:spacing w:after="0" w:line="30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a discussion of effective tax rate per period, see Note 12 to the Interim Condensed Financial Statements.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CERC’S MANAGEMENT’S NARRATIVE ANALYSIS OF CONSOLIDATED RESULTS OF OPERATIONS</w:t>
      </w:r>
    </w:p>
    <w:p>
      <w:pPr>
        <w:spacing w:after="0" w:line="238"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7"/>
          <w:szCs w:val="17"/>
          <w:color w:val="auto"/>
        </w:rPr>
        <w:t>CERC’s CODM views net income as the measure of profit or loss for its single reportable segment. CERC’s results of operations are affected by seasonal fluctuations in the demand for natural gas. CERC’s results of operations are also affected by, among other things, the actions of various federal, state and local governmental authorities having jurisdiction over rates CERC charges, debt service costs and income tax expense, CERC’s ability to collect receivables from customers and CERC’s ability to recover its regulatory assets. For more information regarding factors that may affect the future results of operations for CERC’s business, please read “Risk Factors — Risk Factors Affecting Operations — Natural Gas,” “— Risk Factors Affecting Regulatory, Environmental and Legal Risks,” “— Risk Factors Affecting Financial, Economic and Market Risks,” “— Risk Factors Affecting Safety and Security Risks” and “— General and Other Risks” in Item 1A of Part I of the Registrants’ combined 2022 Form 10-K.</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80" w:type="dxa"/>
            <w:vAlign w:val="bottom"/>
            <w:gridSpan w:val="8"/>
          </w:tcPr>
          <w:p>
            <w:pPr>
              <w:ind w:left="5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3660" w:type="dxa"/>
            <w:vAlign w:val="bottom"/>
            <w:gridSpan w:val="7"/>
          </w:tcPr>
          <w:p>
            <w:pPr>
              <w:jc w:val="right"/>
              <w:ind w:right="849"/>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3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4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34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89"/>
              <w:spacing w:after="0" w:line="131" w:lineRule="exact"/>
              <w:rPr>
                <w:sz w:val="20"/>
                <w:szCs w:val="20"/>
                <w:color w:val="auto"/>
              </w:rPr>
            </w:pPr>
            <w:r>
              <w:rPr>
                <w:rFonts w:ascii="Arial" w:cs="Arial" w:eastAsia="Arial" w:hAnsi="Arial"/>
                <w:sz w:val="14"/>
                <w:szCs w:val="14"/>
                <w:b w:val="1"/>
                <w:bCs w:val="1"/>
                <w:color w:val="auto"/>
                <w:w w:val="93"/>
              </w:rPr>
              <w:t>Favorable</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38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40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249"/>
              <w:spacing w:after="0" w:line="131" w:lineRule="exact"/>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190"/>
        </w:trPr>
        <w:tc>
          <w:tcPr>
            <w:tcW w:w="3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(Unfavorable)</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w w:val="97"/>
              </w:rPr>
              <w:t>(Unfavorable)</w:t>
            </w:r>
          </w:p>
        </w:tc>
        <w:tc>
          <w:tcPr>
            <w:tcW w:w="0" w:type="dxa"/>
            <w:vAlign w:val="bottom"/>
          </w:tcPr>
          <w:p>
            <w:pPr>
              <w:spacing w:after="0"/>
              <w:rPr>
                <w:sz w:val="1"/>
                <w:szCs w:val="1"/>
                <w:color w:val="auto"/>
              </w:rPr>
            </w:pPr>
          </w:p>
        </w:tc>
      </w:tr>
      <w:tr>
        <w:trPr>
          <w:trHeight w:val="191"/>
        </w:trPr>
        <w:tc>
          <w:tcPr>
            <w:tcW w:w="3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9"/>
              </w:rPr>
              <w:t>(in millions, except operating statistics)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583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672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0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3,045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3,232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70"/>
        </w:trPr>
        <w:tc>
          <w:tcPr>
            <w:tcW w:w="3460" w:type="dxa"/>
            <w:vAlign w:val="bottom"/>
          </w:tcPr>
          <w:p>
            <w:pPr>
              <w:ind w:left="20"/>
              <w:spacing w:after="0"/>
              <w:rPr>
                <w:sz w:val="20"/>
                <w:szCs w:val="20"/>
                <w:color w:val="auto"/>
              </w:rPr>
            </w:pPr>
            <w:r>
              <w:rPr>
                <w:rFonts w:ascii="Arial" w:cs="Arial" w:eastAsia="Arial" w:hAnsi="Arial"/>
                <w:sz w:val="14"/>
                <w:szCs w:val="14"/>
                <w:color w:val="auto"/>
              </w:rPr>
              <w:t>Expenses:</w:t>
            </w: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Utility natural gas, fuel and purchased power</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141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1,399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1,660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190"/>
        </w:trPr>
        <w:tc>
          <w:tcPr>
            <w:tcW w:w="3460" w:type="dxa"/>
            <w:vAlign w:val="bottom"/>
          </w:tcPr>
          <w:p>
            <w:pPr>
              <w:ind w:left="140"/>
              <w:spacing w:after="0"/>
              <w:rPr>
                <w:sz w:val="20"/>
                <w:szCs w:val="20"/>
                <w:color w:val="auto"/>
              </w:rPr>
            </w:pPr>
            <w:r>
              <w:rPr>
                <w:rFonts w:ascii="Arial" w:cs="Arial" w:eastAsia="Arial" w:hAnsi="Arial"/>
                <w:sz w:val="14"/>
                <w:szCs w:val="14"/>
                <w:color w:val="auto"/>
              </w:rPr>
              <w:t>Non-utility cost of revenues, including natural gas</w:t>
            </w:r>
          </w:p>
        </w:tc>
        <w:tc>
          <w:tcPr>
            <w:tcW w:w="260" w:type="dxa"/>
            <w:vAlign w:val="bottom"/>
          </w:tcPr>
          <w:p>
            <w:pPr>
              <w:spacing w:after="0"/>
              <w:rPr>
                <w:sz w:val="16"/>
                <w:szCs w:val="16"/>
                <w:color w:val="auto"/>
              </w:rPr>
            </w:pPr>
          </w:p>
        </w:tc>
        <w:tc>
          <w:tcPr>
            <w:tcW w:w="880" w:type="dxa"/>
            <w:vAlign w:val="bottom"/>
          </w:tcPr>
          <w:p>
            <w:pPr>
              <w:jc w:val="right"/>
              <w:ind w:right="10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109"/>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9"/>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Operation and maintenance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187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616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0"/>
        </w:trPr>
        <w:tc>
          <w:tcPr>
            <w:tcW w:w="346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6"/>
                <w:szCs w:val="16"/>
                <w:color w:val="auto"/>
              </w:rPr>
            </w:pPr>
          </w:p>
        </w:tc>
        <w:tc>
          <w:tcPr>
            <w:tcW w:w="880" w:type="dxa"/>
            <w:vAlign w:val="bottom"/>
          </w:tcPr>
          <w:p>
            <w:pPr>
              <w:jc w:val="right"/>
              <w:ind w:right="109"/>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109"/>
              <w:spacing w:after="0"/>
              <w:rPr>
                <w:sz w:val="20"/>
                <w:szCs w:val="20"/>
                <w:color w:val="auto"/>
              </w:rPr>
            </w:pPr>
            <w:r>
              <w:rPr>
                <w:rFonts w:ascii="Arial" w:cs="Arial" w:eastAsia="Arial" w:hAnsi="Arial"/>
                <w:sz w:val="14"/>
                <w:szCs w:val="14"/>
                <w:color w:val="auto"/>
              </w:rPr>
              <w:t>113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365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9"/>
              <w:spacing w:after="0"/>
              <w:rPr>
                <w:sz w:val="20"/>
                <w:szCs w:val="20"/>
                <w:color w:val="auto"/>
              </w:rPr>
            </w:pPr>
            <w:r>
              <w:rPr>
                <w:rFonts w:ascii="Arial" w:cs="Arial" w:eastAsia="Arial" w:hAnsi="Arial"/>
                <w:sz w:val="14"/>
                <w:szCs w:val="14"/>
                <w:color w:val="auto"/>
              </w:rPr>
              <w:t>333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Taxes other than income taxes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181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185</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6"/>
        </w:trPr>
        <w:tc>
          <w:tcPr>
            <w:tcW w:w="346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expenses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507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630</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2,563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2,811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99"/>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482</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421</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70"/>
        </w:trPr>
        <w:tc>
          <w:tcPr>
            <w:tcW w:w="346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Gain on sale</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557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190"/>
        </w:trPr>
        <w:tc>
          <w:tcPr>
            <w:tcW w:w="3460" w:type="dxa"/>
            <w:vAlign w:val="bottom"/>
          </w:tcPr>
          <w:p>
            <w:pPr>
              <w:ind w:left="140"/>
              <w:spacing w:after="0"/>
              <w:rPr>
                <w:sz w:val="20"/>
                <w:szCs w:val="20"/>
                <w:color w:val="auto"/>
              </w:rPr>
            </w:pPr>
            <w:r>
              <w:rPr>
                <w:rFonts w:ascii="Arial" w:cs="Arial" w:eastAsia="Arial" w:hAnsi="Arial"/>
                <w:sz w:val="14"/>
                <w:szCs w:val="14"/>
                <w:color w:val="auto"/>
              </w:rPr>
              <w:t>Interest expense and other finance charges</w:t>
            </w:r>
          </w:p>
        </w:tc>
        <w:tc>
          <w:tcPr>
            <w:tcW w:w="260" w:type="dxa"/>
            <w:vAlign w:val="bottom"/>
          </w:tcPr>
          <w:p>
            <w:pPr>
              <w:spacing w:after="0"/>
              <w:rPr>
                <w:sz w:val="16"/>
                <w:szCs w:val="16"/>
                <w:color w:val="auto"/>
              </w:rPr>
            </w:pP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(91)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income (loss), net</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3"/>
        </w:trPr>
        <w:tc>
          <w:tcPr>
            <w:tcW w:w="346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260" w:type="dxa"/>
            <w:vAlign w:val="bottom"/>
          </w:tcPr>
          <w:p>
            <w:pPr>
              <w:spacing w:after="0"/>
              <w:rPr>
                <w:sz w:val="15"/>
                <w:szCs w:val="15"/>
                <w:color w:val="auto"/>
              </w:rPr>
            </w:pPr>
          </w:p>
        </w:tc>
        <w:tc>
          <w:tcPr>
            <w:tcW w:w="880" w:type="dxa"/>
            <w:vAlign w:val="bottom"/>
          </w:tcPr>
          <w:p>
            <w:pPr>
              <w:jc w:val="right"/>
              <w:ind w:right="109"/>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109"/>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363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109"/>
              <w:spacing w:after="0"/>
              <w:rPr>
                <w:sz w:val="20"/>
                <w:szCs w:val="20"/>
                <w:color w:val="auto"/>
              </w:rPr>
            </w:pPr>
            <w:r>
              <w:rPr>
                <w:rFonts w:ascii="Arial" w:cs="Arial" w:eastAsia="Arial" w:hAnsi="Arial"/>
                <w:sz w:val="14"/>
                <w:szCs w:val="14"/>
                <w:color w:val="auto"/>
              </w:rPr>
              <w:t>876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(513)</w:t>
            </w: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tax expense</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220</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93"/>
        </w:trPr>
        <w:tc>
          <w:tcPr>
            <w:tcW w:w="34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283</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656</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Throughput (in Bcf):</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460" w:type="dxa"/>
            <w:vAlign w:val="bottom"/>
          </w:tcPr>
          <w:p>
            <w:pPr>
              <w:ind w:left="340"/>
              <w:spacing w:after="0"/>
              <w:rPr>
                <w:sz w:val="20"/>
                <w:szCs w:val="20"/>
                <w:color w:val="auto"/>
              </w:rPr>
            </w:pPr>
            <w:r>
              <w:rPr>
                <w:rFonts w:ascii="Arial" w:cs="Arial" w:eastAsia="Arial" w:hAnsi="Arial"/>
                <w:sz w:val="14"/>
                <w:szCs w:val="14"/>
                <w:color w:val="auto"/>
              </w:rPr>
              <w:t>Residential</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78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2"/>
        </w:trPr>
        <w:tc>
          <w:tcPr>
            <w:tcW w:w="34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Commercial and Industrial</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9"/>
        </w:trPr>
        <w:tc>
          <w:tcPr>
            <w:tcW w:w="3460" w:type="dxa"/>
            <w:vAlign w:val="bottom"/>
          </w:tcPr>
          <w:p>
            <w:pPr>
              <w:ind w:left="44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2 %</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Weather (percentage of 10-year average for service area):</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460" w:type="dxa"/>
            <w:vAlign w:val="bottom"/>
          </w:tcPr>
          <w:p>
            <w:pPr>
              <w:ind w:left="340"/>
              <w:spacing w:after="0"/>
              <w:rPr>
                <w:sz w:val="20"/>
                <w:szCs w:val="20"/>
                <w:color w:val="auto"/>
              </w:rPr>
            </w:pPr>
            <w:r>
              <w:rPr>
                <w:rFonts w:ascii="Arial" w:cs="Arial" w:eastAsia="Arial" w:hAnsi="Arial"/>
                <w:sz w:val="14"/>
                <w:szCs w:val="14"/>
                <w:color w:val="auto"/>
              </w:rPr>
              <w:t>Heating degree days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21 %</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85 %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88 %</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108 %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Number of metered customers at end of period:</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460" w:type="dxa"/>
            <w:vAlign w:val="bottom"/>
          </w:tcPr>
          <w:p>
            <w:pPr>
              <w:ind w:left="340"/>
              <w:spacing w:after="0"/>
              <w:rPr>
                <w:sz w:val="20"/>
                <w:szCs w:val="20"/>
                <w:color w:val="auto"/>
              </w:rPr>
            </w:pPr>
            <w:r>
              <w:rPr>
                <w:rFonts w:ascii="Arial" w:cs="Arial" w:eastAsia="Arial" w:hAnsi="Arial"/>
                <w:sz w:val="14"/>
                <w:szCs w:val="14"/>
                <w:color w:val="auto"/>
              </w:rPr>
              <w:t>Residential</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3,863,739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3,817,553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3,863,739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3,817,553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202"/>
        </w:trPr>
        <w:tc>
          <w:tcPr>
            <w:tcW w:w="34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Commercial and Industrial</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289,376</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285,576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289,376</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285,576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99"/>
        </w:trPr>
        <w:tc>
          <w:tcPr>
            <w:tcW w:w="3460" w:type="dxa"/>
            <w:vAlign w:val="bottom"/>
          </w:tcPr>
          <w:p>
            <w:pPr>
              <w:ind w:left="44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4,153,115</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4,103,129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1 %</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4,153,115</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4,103,129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ind w:right="100" w:firstLine="319"/>
        <w:spacing w:after="0" w:line="256" w:lineRule="auto"/>
        <w:rPr>
          <w:sz w:val="20"/>
          <w:szCs w:val="20"/>
          <w:color w:val="auto"/>
        </w:rPr>
      </w:pPr>
      <w:r>
        <w:rPr>
          <w:rFonts w:ascii="Arial" w:cs="Arial" w:eastAsia="Arial" w:hAnsi="Arial"/>
          <w:sz w:val="18"/>
          <w:szCs w:val="18"/>
          <w:color w:val="auto"/>
        </w:rPr>
        <w:t>The following table provides variance explanations for the three months ended September 30, 2023 compared to the three months ended September 30, 2022 as well as for the nine months ended September 30, 2023 compared to the nine months ended September 30, 2022 by major income statement caption for CERC:</w:t>
      </w:r>
    </w:p>
    <w:p>
      <w:pPr>
        <w:spacing w:after="0" w:line="5"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7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60" w:type="dxa"/>
            <w:vAlign w:val="bottom"/>
            <w:gridSpan w:val="3"/>
          </w:tcPr>
          <w:p>
            <w:pPr>
              <w:jc w:val="right"/>
              <w:ind w:right="289"/>
              <w:spacing w:after="0"/>
              <w:rPr>
                <w:sz w:val="20"/>
                <w:szCs w:val="20"/>
                <w:color w:val="auto"/>
              </w:rPr>
            </w:pPr>
            <w:r>
              <w:rPr>
                <w:rFonts w:ascii="Arial" w:cs="Arial" w:eastAsia="Arial" w:hAnsi="Arial"/>
                <w:sz w:val="14"/>
                <w:szCs w:val="14"/>
                <w:b w:val="1"/>
                <w:bCs w:val="1"/>
                <w:color w:val="auto"/>
              </w:rPr>
              <w:t>Favorable (Unfavorable)</w:t>
            </w:r>
          </w:p>
        </w:tc>
        <w:tc>
          <w:tcPr>
            <w:tcW w:w="700" w:type="dxa"/>
            <w:vAlign w:val="bottom"/>
          </w:tcPr>
          <w:p>
            <w:pPr>
              <w:spacing w:after="0"/>
              <w:rPr>
                <w:sz w:val="16"/>
                <w:szCs w:val="16"/>
                <w:color w:val="auto"/>
              </w:rPr>
            </w:pPr>
          </w:p>
        </w:tc>
      </w:tr>
      <w:tr>
        <w:trPr>
          <w:trHeight w:val="24"/>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r>
      <w:tr>
        <w:trPr>
          <w:trHeight w:val="130"/>
        </w:trPr>
        <w:tc>
          <w:tcPr>
            <w:tcW w:w="7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2"/>
              </w:rPr>
              <w:t>Three Months Ended</w:t>
            </w:r>
          </w:p>
        </w:tc>
        <w:tc>
          <w:tcPr>
            <w:tcW w:w="1760" w:type="dxa"/>
            <w:vAlign w:val="bottom"/>
            <w:gridSpan w:val="2"/>
          </w:tcPr>
          <w:p>
            <w:pPr>
              <w:jc w:val="right"/>
              <w:ind w:right="209"/>
              <w:spacing w:after="0" w:line="131" w:lineRule="exact"/>
              <w:rPr>
                <w:sz w:val="20"/>
                <w:szCs w:val="20"/>
                <w:color w:val="auto"/>
              </w:rPr>
            </w:pPr>
            <w:r>
              <w:rPr>
                <w:rFonts w:ascii="Arial" w:cs="Arial" w:eastAsia="Arial" w:hAnsi="Arial"/>
                <w:sz w:val="14"/>
                <w:szCs w:val="14"/>
                <w:b w:val="1"/>
                <w:bCs w:val="1"/>
                <w:color w:val="auto"/>
              </w:rPr>
              <w:t>Nine Months Ended</w:t>
            </w:r>
          </w:p>
        </w:tc>
      </w:tr>
      <w:tr>
        <w:trPr>
          <w:trHeight w:val="190"/>
        </w:trPr>
        <w:tc>
          <w:tcPr>
            <w:tcW w:w="7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89"/>
              </w:rPr>
              <w:t>September 30, 2023 vs 2022</w:t>
            </w: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September 30, 2023 vs 2022</w:t>
            </w:r>
          </w:p>
        </w:tc>
      </w:tr>
      <w:tr>
        <w:trPr>
          <w:trHeight w:val="183"/>
        </w:trPr>
        <w:tc>
          <w:tcPr>
            <w:tcW w:w="7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60" w:type="dxa"/>
            <w:vAlign w:val="bottom"/>
            <w:gridSpan w:val="3"/>
          </w:tcPr>
          <w:p>
            <w:pPr>
              <w:jc w:val="right"/>
              <w:ind w:right="669"/>
              <w:spacing w:after="0"/>
              <w:rPr>
                <w:sz w:val="20"/>
                <w:szCs w:val="20"/>
                <w:color w:val="auto"/>
              </w:rPr>
            </w:pPr>
            <w:r>
              <w:rPr>
                <w:rFonts w:ascii="Arial" w:cs="Arial" w:eastAsia="Arial" w:hAnsi="Arial"/>
                <w:sz w:val="14"/>
                <w:szCs w:val="14"/>
                <w:b w:val="1"/>
                <w:bCs w:val="1"/>
                <w:color w:val="auto"/>
              </w:rPr>
              <w:t>(in millions)</w:t>
            </w:r>
          </w:p>
        </w:tc>
        <w:tc>
          <w:tcPr>
            <w:tcW w:w="700" w:type="dxa"/>
            <w:vAlign w:val="bottom"/>
          </w:tcPr>
          <w:p>
            <w:pPr>
              <w:spacing w:after="0"/>
              <w:rPr>
                <w:sz w:val="15"/>
                <w:szCs w:val="15"/>
                <w:color w:val="auto"/>
              </w:rPr>
            </w:pPr>
          </w:p>
        </w:tc>
      </w:tr>
      <w:tr>
        <w:trPr>
          <w:trHeight w:val="190"/>
        </w:trPr>
        <w:tc>
          <w:tcPr>
            <w:tcW w:w="7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Revenues</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4"/>
        </w:trPr>
        <w:tc>
          <w:tcPr>
            <w:tcW w:w="7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r>
      <w:tr>
        <w:trPr>
          <w:trHeight w:val="193"/>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Nine days in January 2022 for Arkansas and Oklahoma Natural Gas businesses due to sale</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909"/>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190"/>
        </w:trPr>
        <w:tc>
          <w:tcPr>
            <w:tcW w:w="7220" w:type="dxa"/>
            <w:vAlign w:val="bottom"/>
            <w:gridSpan w:val="2"/>
          </w:tcPr>
          <w:p>
            <w:pPr>
              <w:ind w:left="20"/>
              <w:spacing w:after="0"/>
              <w:rPr>
                <w:sz w:val="20"/>
                <w:szCs w:val="20"/>
                <w:color w:val="auto"/>
              </w:rPr>
            </w:pPr>
            <w:r>
              <w:rPr>
                <w:rFonts w:ascii="Arial" w:cs="Arial" w:eastAsia="Arial" w:hAnsi="Arial"/>
                <w:sz w:val="14"/>
                <w:szCs w:val="14"/>
                <w:color w:val="auto"/>
              </w:rPr>
              <w:t>Weather and usage</w:t>
            </w: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09"/>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Cost of natural gas, offset in utility natural gas, fuel and purchased power below</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r>
      <w:tr>
        <w:trPr>
          <w:trHeight w:val="190"/>
        </w:trPr>
        <w:tc>
          <w:tcPr>
            <w:tcW w:w="7220" w:type="dxa"/>
            <w:vAlign w:val="bottom"/>
            <w:gridSpan w:val="2"/>
          </w:tcPr>
          <w:p>
            <w:pPr>
              <w:ind w:left="20"/>
              <w:spacing w:after="0"/>
              <w:rPr>
                <w:sz w:val="20"/>
                <w:szCs w:val="20"/>
                <w:color w:val="auto"/>
              </w:rPr>
            </w:pPr>
            <w:r>
              <w:rPr>
                <w:rFonts w:ascii="Arial" w:cs="Arial" w:eastAsia="Arial" w:hAnsi="Arial"/>
                <w:sz w:val="14"/>
                <w:szCs w:val="14"/>
                <w:color w:val="auto"/>
              </w:rPr>
              <w:t>Gross receipts tax, offset in taxes other than income taxes below</w:t>
            </w:r>
          </w:p>
        </w:tc>
        <w:tc>
          <w:tcPr>
            <w:tcW w:w="160" w:type="dxa"/>
            <w:vAlign w:val="bottom"/>
          </w:tcPr>
          <w:p>
            <w:pPr>
              <w:spacing w:after="0"/>
              <w:rPr>
                <w:sz w:val="16"/>
                <w:szCs w:val="16"/>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09"/>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Energy efficiency, offset in operation and maintenance below</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190"/>
        </w:trPr>
        <w:tc>
          <w:tcPr>
            <w:tcW w:w="7220" w:type="dxa"/>
            <w:vAlign w:val="bottom"/>
            <w:gridSpan w:val="2"/>
          </w:tcPr>
          <w:p>
            <w:pPr>
              <w:ind w:left="20"/>
              <w:spacing w:after="0"/>
              <w:rPr>
                <w:sz w:val="20"/>
                <w:szCs w:val="20"/>
                <w:color w:val="auto"/>
              </w:rPr>
            </w:pPr>
            <w:r>
              <w:rPr>
                <w:rFonts w:ascii="Arial" w:cs="Arial" w:eastAsia="Arial" w:hAnsi="Arial"/>
                <w:sz w:val="14"/>
                <w:szCs w:val="14"/>
                <w:color w:val="auto"/>
              </w:rPr>
              <w:t>Non-volumetric and miscellaneous revenue</w:t>
            </w: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09"/>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Changes in non-utility revenues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190"/>
        </w:trPr>
        <w:tc>
          <w:tcPr>
            <w:tcW w:w="7220" w:type="dxa"/>
            <w:vAlign w:val="bottom"/>
            <w:gridSpan w:val="2"/>
          </w:tcPr>
          <w:p>
            <w:pPr>
              <w:ind w:left="20"/>
              <w:spacing w:after="0"/>
              <w:rPr>
                <w:sz w:val="20"/>
                <w:szCs w:val="20"/>
                <w:color w:val="auto"/>
              </w:rPr>
            </w:pPr>
            <w:r>
              <w:rPr>
                <w:rFonts w:ascii="Arial" w:cs="Arial" w:eastAsia="Arial" w:hAnsi="Arial"/>
                <w:sz w:val="14"/>
                <w:szCs w:val="14"/>
                <w:color w:val="auto"/>
              </w:rPr>
              <w:t>Pass-through revenues, offset in operation and maintenance below</w:t>
            </w: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09"/>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Customer growth</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193"/>
        </w:trPr>
        <w:tc>
          <w:tcPr>
            <w:tcW w:w="72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Customer rates and impact of the change in rate design</w:t>
            </w: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r>
      <w:tr>
        <w:trPr>
          <w:trHeight w:val="199"/>
        </w:trPr>
        <w:tc>
          <w:tcPr>
            <w:tcW w:w="7220" w:type="dxa"/>
            <w:vAlign w:val="bottom"/>
            <w:gridSpan w:val="2"/>
            <w:shd w:val="clear" w:color="auto" w:fill="CCEEFF"/>
          </w:tcPr>
          <w:p>
            <w:pPr>
              <w:ind w:left="682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w:t>
            </w:r>
          </w:p>
        </w:tc>
      </w:tr>
      <w:tr>
        <w:trPr>
          <w:trHeight w:val="173"/>
        </w:trPr>
        <w:tc>
          <w:tcPr>
            <w:tcW w:w="7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Utility natural gas, fuel and purchased power</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99"/>
        </w:trPr>
        <w:tc>
          <w:tcPr>
            <w:tcW w:w="7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Nine days in January 2022 for Arkansas and Oklahoma Natural Gas businesses due to sale</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70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CCEEFF"/>
            </w:tcBorders>
            <w:shd w:val="clear" w:color="auto" w:fill="CCEEFF"/>
          </w:tcPr>
          <w:p>
            <w:pPr>
              <w:jc w:val="right"/>
              <w:ind w:right="909"/>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193"/>
        </w:trPr>
        <w:tc>
          <w:tcPr>
            <w:tcW w:w="72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Cost of natural gas, offset in revenues above</w:t>
            </w: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w:t>
            </w:r>
          </w:p>
        </w:tc>
      </w:tr>
      <w:tr>
        <w:trPr>
          <w:trHeight w:val="199"/>
        </w:trPr>
        <w:tc>
          <w:tcPr>
            <w:tcW w:w="7220" w:type="dxa"/>
            <w:vAlign w:val="bottom"/>
            <w:gridSpan w:val="2"/>
            <w:shd w:val="clear" w:color="auto" w:fill="CCEEFF"/>
          </w:tcPr>
          <w:p>
            <w:pPr>
              <w:ind w:left="682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w:t>
            </w:r>
          </w:p>
        </w:tc>
      </w:tr>
      <w:tr>
        <w:trPr>
          <w:trHeight w:val="173"/>
        </w:trPr>
        <w:tc>
          <w:tcPr>
            <w:tcW w:w="7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Non-utility costs of revenues, including natural gas</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99"/>
        </w:trPr>
        <w:tc>
          <w:tcPr>
            <w:tcW w:w="7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Other, primarily non-utility cost of revenues</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70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CCEEFF"/>
            </w:tcBorders>
            <w:shd w:val="clear" w:color="auto" w:fill="CCEEFF"/>
          </w:tcPr>
          <w:p>
            <w:pPr>
              <w:jc w:val="right"/>
              <w:ind w:right="909"/>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6"/>
        </w:trPr>
        <w:tc>
          <w:tcPr>
            <w:tcW w:w="7220" w:type="dxa"/>
            <w:vAlign w:val="bottom"/>
            <w:tcBorders>
              <w:bottom w:val="single" w:sz="8" w:color="CCEEFF"/>
            </w:tcBorders>
            <w:gridSpan w:val="2"/>
          </w:tcPr>
          <w:p>
            <w:pPr>
              <w:ind w:left="6820"/>
              <w:spacing w:after="0"/>
              <w:rPr>
                <w:sz w:val="20"/>
                <w:szCs w:val="20"/>
                <w:color w:val="auto"/>
              </w:rPr>
            </w:pPr>
            <w:r>
              <w:rPr>
                <w:rFonts w:ascii="Arial" w:cs="Arial" w:eastAsia="Arial" w:hAnsi="Arial"/>
                <w:sz w:val="14"/>
                <w:szCs w:val="14"/>
                <w:color w:val="auto"/>
              </w:rPr>
              <w:t>Total</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909"/>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186"/>
        </w:trPr>
        <w:tc>
          <w:tcPr>
            <w:tcW w:w="72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1"/>
              </w:rPr>
              <w:t>Operation and maintenance</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83"/>
        </w:trPr>
        <w:tc>
          <w:tcPr>
            <w:tcW w:w="7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Corporate support services</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060" w:type="dxa"/>
            <w:vAlign w:val="bottom"/>
          </w:tcPr>
          <w:p>
            <w:pPr>
              <w:jc w:val="right"/>
              <w:ind w:right="909"/>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09"/>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Labor and benefits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90"/>
        </w:trPr>
        <w:tc>
          <w:tcPr>
            <w:tcW w:w="7220" w:type="dxa"/>
            <w:vAlign w:val="bottom"/>
            <w:gridSpan w:val="2"/>
          </w:tcPr>
          <w:p>
            <w:pPr>
              <w:ind w:left="20"/>
              <w:spacing w:after="0"/>
              <w:rPr>
                <w:sz w:val="20"/>
                <w:szCs w:val="20"/>
                <w:color w:val="auto"/>
              </w:rPr>
            </w:pPr>
            <w:r>
              <w:rPr>
                <w:rFonts w:ascii="Arial" w:cs="Arial" w:eastAsia="Arial" w:hAnsi="Arial"/>
                <w:sz w:val="14"/>
                <w:szCs w:val="14"/>
                <w:color w:val="auto"/>
              </w:rPr>
              <w:t>Energy efficiency, offset in revenues above</w:t>
            </w:r>
          </w:p>
        </w:tc>
        <w:tc>
          <w:tcPr>
            <w:tcW w:w="160" w:type="dxa"/>
            <w:vAlign w:val="bottom"/>
          </w:tcPr>
          <w:p>
            <w:pPr>
              <w:spacing w:after="0"/>
              <w:rPr>
                <w:sz w:val="16"/>
                <w:szCs w:val="16"/>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09"/>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Nine days in January 2022 for Arkansas and Oklahoma Natural Gas businesses due to sale</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90"/>
        </w:trPr>
        <w:tc>
          <w:tcPr>
            <w:tcW w:w="7220" w:type="dxa"/>
            <w:vAlign w:val="bottom"/>
            <w:gridSpan w:val="2"/>
          </w:tcPr>
          <w:p>
            <w:pPr>
              <w:ind w:left="20"/>
              <w:spacing w:after="0"/>
              <w:rPr>
                <w:sz w:val="20"/>
                <w:szCs w:val="20"/>
                <w:color w:val="auto"/>
              </w:rPr>
            </w:pPr>
            <w:r>
              <w:rPr>
                <w:rFonts w:ascii="Arial" w:cs="Arial" w:eastAsia="Arial" w:hAnsi="Arial"/>
                <w:sz w:val="14"/>
                <w:szCs w:val="14"/>
                <w:color w:val="auto"/>
              </w:rPr>
              <w:t>Miscellaneous operations and maintenance expense, including bad debt expense</w:t>
            </w: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09"/>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Contract services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3"/>
        </w:trPr>
        <w:tc>
          <w:tcPr>
            <w:tcW w:w="72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Pass-through expense, offset in revenues above</w:t>
            </w: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r>
      <w:tr>
        <w:trPr>
          <w:trHeight w:val="199"/>
        </w:trPr>
        <w:tc>
          <w:tcPr>
            <w:tcW w:w="7220" w:type="dxa"/>
            <w:vAlign w:val="bottom"/>
            <w:gridSpan w:val="2"/>
            <w:shd w:val="clear" w:color="auto" w:fill="CCEEFF"/>
          </w:tcPr>
          <w:p>
            <w:pPr>
              <w:ind w:left="682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173"/>
        </w:trPr>
        <w:tc>
          <w:tcPr>
            <w:tcW w:w="7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Depreciation and amortization</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99"/>
        </w:trPr>
        <w:tc>
          <w:tcPr>
            <w:tcW w:w="7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Incremental capital projects placed in service</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jc w:val="right"/>
              <w:ind w:right="909"/>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193"/>
        </w:trPr>
        <w:tc>
          <w:tcPr>
            <w:tcW w:w="7220" w:type="dxa"/>
            <w:vAlign w:val="bottom"/>
            <w:gridSpan w:val="2"/>
          </w:tcPr>
          <w:p>
            <w:pPr>
              <w:ind w:left="20"/>
              <w:spacing w:after="0"/>
              <w:rPr>
                <w:sz w:val="20"/>
                <w:szCs w:val="20"/>
                <w:color w:val="auto"/>
              </w:rPr>
            </w:pPr>
            <w:r>
              <w:rPr>
                <w:rFonts w:ascii="Arial" w:cs="Arial" w:eastAsia="Arial" w:hAnsi="Arial"/>
                <w:sz w:val="14"/>
                <w:szCs w:val="14"/>
                <w:color w:val="auto"/>
              </w:rPr>
              <w:t>Nine days in January 2022 for Arkansas and Oklahoma Natural Gas businesses due to sale</w:t>
            </w:r>
          </w:p>
        </w:tc>
        <w:tc>
          <w:tcPr>
            <w:tcW w:w="160" w:type="dxa"/>
            <w:vAlign w:val="bottom"/>
          </w:tcPr>
          <w:p>
            <w:pPr>
              <w:spacing w:after="0"/>
              <w:rPr>
                <w:sz w:val="16"/>
                <w:szCs w:val="16"/>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99"/>
        </w:trPr>
        <w:tc>
          <w:tcPr>
            <w:tcW w:w="7220" w:type="dxa"/>
            <w:vAlign w:val="bottom"/>
            <w:tcBorders>
              <w:top w:val="single" w:sz="8" w:color="CCEEFF"/>
            </w:tcBorders>
            <w:gridSpan w:val="2"/>
            <w:shd w:val="clear" w:color="auto" w:fill="CCEEFF"/>
          </w:tcPr>
          <w:p>
            <w:pPr>
              <w:ind w:left="6820"/>
              <w:spacing w:after="0"/>
              <w:rPr>
                <w:sz w:val="20"/>
                <w:szCs w:val="20"/>
                <w:color w:val="auto"/>
              </w:rPr>
            </w:pPr>
            <w:r>
              <w:rPr>
                <w:rFonts w:ascii="Arial" w:cs="Arial" w:eastAsia="Arial" w:hAnsi="Arial"/>
                <w:sz w:val="14"/>
                <w:szCs w:val="14"/>
                <w:color w:val="auto"/>
              </w:rPr>
              <w:t>Total</w:t>
            </w: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ind w:right="909"/>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173"/>
        </w:trPr>
        <w:tc>
          <w:tcPr>
            <w:tcW w:w="7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Taxes other than income taxes</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99"/>
        </w:trPr>
        <w:tc>
          <w:tcPr>
            <w:tcW w:w="7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Gross receipts tax, offset in revenues above</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70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CCEEFF"/>
            </w:tcBorders>
            <w:shd w:val="clear" w:color="auto" w:fill="CCEEFF"/>
          </w:tcPr>
          <w:p>
            <w:pPr>
              <w:jc w:val="right"/>
              <w:ind w:right="909"/>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90"/>
        </w:trPr>
        <w:tc>
          <w:tcPr>
            <w:tcW w:w="7220" w:type="dxa"/>
            <w:vAlign w:val="bottom"/>
            <w:gridSpan w:val="2"/>
          </w:tcPr>
          <w:p>
            <w:pPr>
              <w:ind w:left="20"/>
              <w:spacing w:after="0"/>
              <w:rPr>
                <w:sz w:val="20"/>
                <w:szCs w:val="20"/>
                <w:color w:val="auto"/>
              </w:rPr>
            </w:pPr>
            <w:r>
              <w:rPr>
                <w:rFonts w:ascii="Arial" w:cs="Arial" w:eastAsia="Arial" w:hAnsi="Arial"/>
                <w:sz w:val="14"/>
                <w:szCs w:val="14"/>
                <w:color w:val="auto"/>
              </w:rPr>
              <w:t>Other, primarily property taxes</w:t>
            </w: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9"/>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Nine days in January 2022 for Arkansas and Oklahoma Natural Gas businesses due to sale</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6"/>
        </w:trPr>
        <w:tc>
          <w:tcPr>
            <w:tcW w:w="7220" w:type="dxa"/>
            <w:vAlign w:val="bottom"/>
            <w:tcBorders>
              <w:bottom w:val="single" w:sz="8" w:color="CCEEFF"/>
            </w:tcBorders>
            <w:gridSpan w:val="2"/>
          </w:tcPr>
          <w:p>
            <w:pPr>
              <w:ind w:left="6820"/>
              <w:spacing w:after="0"/>
              <w:rPr>
                <w:sz w:val="20"/>
                <w:szCs w:val="20"/>
                <w:color w:val="auto"/>
              </w:rPr>
            </w:pPr>
            <w:r>
              <w:rPr>
                <w:rFonts w:ascii="Arial" w:cs="Arial" w:eastAsia="Arial" w:hAnsi="Arial"/>
                <w:sz w:val="14"/>
                <w:szCs w:val="14"/>
                <w:color w:val="auto"/>
              </w:rPr>
              <w:t>Total</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909"/>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186"/>
        </w:trPr>
        <w:tc>
          <w:tcPr>
            <w:tcW w:w="72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1"/>
              </w:rPr>
              <w:t>Gain on sale</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86"/>
        </w:trPr>
        <w:tc>
          <w:tcPr>
            <w:tcW w:w="7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Net gain on sale of Arkansas and Oklahoma Natural Gas businesses</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909"/>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(557)</w:t>
            </w:r>
          </w:p>
        </w:tc>
      </w:tr>
      <w:tr>
        <w:trPr>
          <w:trHeight w:val="199"/>
        </w:trPr>
        <w:tc>
          <w:tcPr>
            <w:tcW w:w="7220" w:type="dxa"/>
            <w:vAlign w:val="bottom"/>
            <w:tcBorders>
              <w:top w:val="single" w:sz="8" w:color="CCEEFF"/>
            </w:tcBorders>
            <w:gridSpan w:val="2"/>
            <w:shd w:val="clear" w:color="auto" w:fill="CCEEFF"/>
          </w:tcPr>
          <w:p>
            <w:pPr>
              <w:ind w:left="6820"/>
              <w:spacing w:after="0"/>
              <w:rPr>
                <w:sz w:val="20"/>
                <w:szCs w:val="20"/>
                <w:color w:val="auto"/>
              </w:rPr>
            </w:pPr>
            <w:r>
              <w:rPr>
                <w:rFonts w:ascii="Arial" w:cs="Arial" w:eastAsia="Arial" w:hAnsi="Arial"/>
                <w:sz w:val="14"/>
                <w:szCs w:val="14"/>
                <w:color w:val="auto"/>
              </w:rPr>
              <w:t>Total</w:t>
            </w: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ind w:right="909"/>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(557)</w:t>
            </w:r>
          </w:p>
        </w:tc>
      </w:tr>
      <w:tr>
        <w:trPr>
          <w:trHeight w:val="173"/>
        </w:trPr>
        <w:tc>
          <w:tcPr>
            <w:tcW w:w="7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Interest expense and other finance charges</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99"/>
        </w:trPr>
        <w:tc>
          <w:tcPr>
            <w:tcW w:w="7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Changes in outstanding debt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jc w:val="right"/>
              <w:ind w:right="909"/>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w:t>
            </w:r>
          </w:p>
        </w:tc>
      </w:tr>
      <w:tr>
        <w:trPr>
          <w:trHeight w:val="193"/>
        </w:trPr>
        <w:tc>
          <w:tcPr>
            <w:tcW w:w="72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 primarily AFUDC and impacts of regulatory deferrals</w:t>
            </w: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r>
      <w:tr>
        <w:trPr>
          <w:trHeight w:val="199"/>
        </w:trPr>
        <w:tc>
          <w:tcPr>
            <w:tcW w:w="7220" w:type="dxa"/>
            <w:vAlign w:val="bottom"/>
            <w:gridSpan w:val="2"/>
            <w:shd w:val="clear" w:color="auto" w:fill="CCEEFF"/>
          </w:tcPr>
          <w:p>
            <w:pPr>
              <w:ind w:left="682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r>
      <w:tr>
        <w:trPr>
          <w:trHeight w:val="173"/>
        </w:trPr>
        <w:tc>
          <w:tcPr>
            <w:tcW w:w="7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Other income (expense), net</w:t>
            </w: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99"/>
        </w:trPr>
        <w:tc>
          <w:tcPr>
            <w:tcW w:w="7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AFUDC - Equity, primarily from increased capital spend</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jc w:val="right"/>
              <w:ind w:right="909"/>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90"/>
        </w:trPr>
        <w:tc>
          <w:tcPr>
            <w:tcW w:w="7220" w:type="dxa"/>
            <w:vAlign w:val="bottom"/>
            <w:gridSpan w:val="2"/>
          </w:tcPr>
          <w:p>
            <w:pPr>
              <w:ind w:left="20"/>
              <w:spacing w:after="0"/>
              <w:rPr>
                <w:sz w:val="20"/>
                <w:szCs w:val="20"/>
                <w:color w:val="auto"/>
              </w:rPr>
            </w:pPr>
            <w:r>
              <w:rPr>
                <w:rFonts w:ascii="Arial" w:cs="Arial" w:eastAsia="Arial" w:hAnsi="Arial"/>
                <w:sz w:val="14"/>
                <w:szCs w:val="14"/>
                <w:color w:val="auto"/>
              </w:rPr>
              <w:t>Decrease to non-service benefit cost</w:t>
            </w: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09"/>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86"/>
        </w:trPr>
        <w:tc>
          <w:tcPr>
            <w:tcW w:w="7220" w:type="dxa"/>
            <w:vAlign w:val="bottom"/>
            <w:gridSpan w:val="2"/>
          </w:tcPr>
          <w:p>
            <w:pPr>
              <w:ind w:left="682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909"/>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r>
    </w:tbl>
    <w:p>
      <w:pPr>
        <w:spacing w:after="0" w:line="32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a discussion of effective tax rate per period, see Note 12 to the Interim Condensed Financial Statements.</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74" w:name="page75"/>
    <w:bookmarkEnd w:id="74"/>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FACTORS AFFECTING FUTURE EARNINGS</w:t>
      </w:r>
    </w:p>
    <w:p>
      <w:pPr>
        <w:spacing w:after="0" w:line="251"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For information on other developments, factors and trends that may have an impact on the Registrants’ future earnings, please read “Management’s Discussion and Analysis of Financial Condition and Results of Operations — Certain Factors Affecting Future Earnings” in Item 7 of Part II and “Risk Factors” in Item 1A of Part I of the Registrants’ combined 2022 Form 10-K, and “Cautionary Statement Regarding Forward-Looking Information” in this combined Form 10-Q.</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Cash Flows</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net cash provided by (used in) operating, investing and financing activities during the nine months ended</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and 2022:</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4"/>
          </w:tcPr>
          <w:p>
            <w:pPr>
              <w:jc w:val="center"/>
              <w:ind w:right="171"/>
              <w:spacing w:after="0"/>
              <w:rPr>
                <w:sz w:val="20"/>
                <w:szCs w:val="20"/>
                <w:color w:val="auto"/>
              </w:rPr>
            </w:pPr>
            <w:r>
              <w:rPr>
                <w:rFonts w:ascii="Arial" w:cs="Arial" w:eastAsia="Arial" w:hAnsi="Arial"/>
                <w:sz w:val="14"/>
                <w:szCs w:val="14"/>
                <w:b w:val="1"/>
                <w:bCs w:val="1"/>
                <w:color w:val="auto"/>
                <w:w w:val="92"/>
              </w:rPr>
              <w:t>Nine Months Ended September 30,</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
        </w:trPr>
        <w:tc>
          <w:tcPr>
            <w:tcW w:w="28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28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93"/>
        </w:trPr>
        <w:tc>
          <w:tcPr>
            <w:tcW w:w="2840" w:type="dxa"/>
            <w:vAlign w:val="bottom"/>
          </w:tcPr>
          <w:p>
            <w:pPr>
              <w:spacing w:after="0"/>
              <w:rPr>
                <w:sz w:val="16"/>
                <w:szCs w:val="16"/>
                <w:color w:val="auto"/>
              </w:rPr>
            </w:pPr>
          </w:p>
        </w:tc>
        <w:tc>
          <w:tcPr>
            <w:tcW w:w="136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w w:val="94"/>
              </w:rPr>
              <w:t>CenterPoint Energy</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89"/>
              </w:rPr>
              <w:t>Houston Electric</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CERC</w:t>
            </w: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w w:val="96"/>
              </w:rPr>
              <w:t>CenterPoint Energy</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91"/>
              </w:rPr>
              <w:t>Houston Electric</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CERC</w:t>
            </w:r>
          </w:p>
        </w:tc>
      </w:tr>
      <w:tr>
        <w:trPr>
          <w:trHeight w:val="184"/>
        </w:trPr>
        <w:tc>
          <w:tcPr>
            <w:tcW w:w="2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gridSpan w:val="3"/>
          </w:tcPr>
          <w:p>
            <w:pPr>
              <w:jc w:val="center"/>
              <w:ind w:left="480"/>
              <w:spacing w:after="0"/>
              <w:rPr>
                <w:sz w:val="20"/>
                <w:szCs w:val="20"/>
                <w:color w:val="auto"/>
              </w:rPr>
            </w:pPr>
            <w:r>
              <w:rPr>
                <w:rFonts w:ascii="Arial" w:cs="Arial" w:eastAsia="Arial" w:hAnsi="Arial"/>
                <w:sz w:val="14"/>
                <w:szCs w:val="14"/>
                <w:b w:val="1"/>
                <w:bCs w:val="1"/>
                <w:color w:val="auto"/>
                <w:w w:val="91"/>
              </w:rPr>
              <w:t>(in millions)</w:t>
            </w: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1"/>
        </w:trPr>
        <w:tc>
          <w:tcPr>
            <w:tcW w:w="2840" w:type="dxa"/>
            <w:vAlign w:val="bottom"/>
          </w:tcPr>
          <w:p>
            <w:pPr>
              <w:ind w:left="20"/>
              <w:spacing w:after="0"/>
              <w:rPr>
                <w:sz w:val="20"/>
                <w:szCs w:val="20"/>
                <w:color w:val="auto"/>
              </w:rPr>
            </w:pPr>
            <w:r>
              <w:rPr>
                <w:rFonts w:ascii="Arial" w:cs="Arial" w:eastAsia="Arial" w:hAnsi="Arial"/>
                <w:sz w:val="18"/>
                <w:szCs w:val="18"/>
                <w:color w:val="auto"/>
              </w:rPr>
              <w:t>Cash provided by (used in):</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7"/>
        </w:trPr>
        <w:tc>
          <w:tcPr>
            <w:tcW w:w="2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activities</w:t>
            </w:r>
          </w:p>
        </w:tc>
        <w:tc>
          <w:tcPr>
            <w:tcW w:w="440" w:type="dxa"/>
            <w:vAlign w:val="bottom"/>
            <w:shd w:val="clear" w:color="auto" w:fill="CCEEFF"/>
          </w:tcPr>
          <w:p>
            <w:pPr>
              <w:jc w:val="right"/>
              <w:ind w:right="26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3,069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858</w:t>
            </w:r>
          </w:p>
        </w:tc>
        <w:tc>
          <w:tcPr>
            <w:tcW w:w="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545</w:t>
            </w:r>
          </w:p>
        </w:tc>
        <w:tc>
          <w:tcPr>
            <w:tcW w:w="3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r>
      <w:tr>
        <w:trPr>
          <w:trHeight w:val="225"/>
        </w:trPr>
        <w:tc>
          <w:tcPr>
            <w:tcW w:w="284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(3,190)</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(2,132)</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(229)</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(2,053)</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921</w:t>
            </w:r>
          </w:p>
        </w:tc>
      </w:tr>
      <w:tr>
        <w:trPr>
          <w:trHeight w:val="227"/>
        </w:trPr>
        <w:tc>
          <w:tcPr>
            <w:tcW w:w="2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activities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168</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1,312</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1,402</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r>
    </w:tbl>
    <w:p>
      <w:pPr>
        <w:spacing w:after="0" w:line="301"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 xml:space="preserve">Operating Activities. </w:t>
      </w:r>
      <w:r>
        <w:rPr>
          <w:rFonts w:ascii="Arial" w:cs="Arial" w:eastAsia="Arial" w:hAnsi="Arial"/>
          <w:sz w:val="16"/>
          <w:szCs w:val="16"/>
          <w:color w:val="auto"/>
        </w:rPr>
        <w:t>The following items contributed to increased (decreased) net cash provided by operating activities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compared to the nine months ended September 30, 2022:</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CenterPoint Energy</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Houston</w:t>
            </w:r>
          </w:p>
        </w:tc>
        <w:tc>
          <w:tcPr>
            <w:tcW w:w="320" w:type="dxa"/>
            <w:vAlign w:val="bottom"/>
          </w:tcPr>
          <w:p>
            <w:pPr>
              <w:spacing w:after="0"/>
              <w:rPr>
                <w:sz w:val="14"/>
                <w:szCs w:val="14"/>
                <w:color w:val="auto"/>
              </w:rPr>
            </w:pPr>
          </w:p>
        </w:tc>
        <w:tc>
          <w:tcPr>
            <w:tcW w:w="11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0"/>
        </w:trPr>
        <w:tc>
          <w:tcPr>
            <w:tcW w:w="67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Electric</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millions)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net income after adjusting for non-cash items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Changes in working capital</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4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Change in net regulatory assets and liabilities </w:t>
            </w:r>
            <w:r>
              <w:rPr>
                <w:rFonts w:ascii="Arial" w:cs="Arial" w:eastAsia="Arial" w:hAnsi="Arial"/>
                <w:sz w:val="14"/>
                <w:szCs w:val="14"/>
                <w:color w:val="auto"/>
              </w:rPr>
              <w:t>(1)</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Higher pension contribution</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9"/>
        </w:trPr>
        <w:tc>
          <w:tcPr>
            <w:tcW w:w="67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ind w:left="640" w:hanging="315"/>
        <w:spacing w:after="0" w:line="266" w:lineRule="auto"/>
        <w:tabs>
          <w:tab w:leader="none" w:pos="634"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change is primarily related to the receipt of proceeds at CenterPoint Energy and CERC from the Texas securitization program. For further details, see Note 6 to the Interim Condensed Financial Statements.</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 xml:space="preserve">Investing Activities. </w:t>
      </w:r>
      <w:r>
        <w:rPr>
          <w:rFonts w:ascii="Arial" w:cs="Arial" w:eastAsia="Arial" w:hAnsi="Arial"/>
          <w:sz w:val="17"/>
          <w:szCs w:val="17"/>
          <w:color w:val="auto"/>
        </w:rPr>
        <w:t>The following items contributed to (increased) decreased net cash used in investing activities for the nine months ended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compared to the nine months ended September 30, 2022:</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CenterPoint Energy</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Houston</w:t>
            </w:r>
          </w:p>
        </w:tc>
        <w:tc>
          <w:tcPr>
            <w:tcW w:w="320" w:type="dxa"/>
            <w:vAlign w:val="bottom"/>
          </w:tcPr>
          <w:p>
            <w:pPr>
              <w:spacing w:after="0"/>
              <w:rPr>
                <w:sz w:val="14"/>
                <w:szCs w:val="14"/>
                <w:color w:val="auto"/>
              </w:rPr>
            </w:pPr>
          </w:p>
        </w:tc>
        <w:tc>
          <w:tcPr>
            <w:tcW w:w="11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0"/>
        </w:trPr>
        <w:tc>
          <w:tcPr>
            <w:tcW w:w="67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Electric</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millions)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the sale of equity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notes receivable from affiliated companies</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Proceeds from divestitures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9"/>
        </w:trPr>
        <w:tc>
          <w:tcPr>
            <w:tcW w:w="67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 xml:space="preserve">Financing Activities. </w:t>
      </w:r>
      <w:r>
        <w:rPr>
          <w:rFonts w:ascii="Arial" w:cs="Arial" w:eastAsia="Arial" w:hAnsi="Arial"/>
          <w:sz w:val="17"/>
          <w:szCs w:val="17"/>
          <w:color w:val="auto"/>
        </w:rPr>
        <w:t>The following items contributed to (increased) decreased net cash used in financing activities for the nine months ended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compared to the nine months ended September 30, 2022:</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CenterPoint Energy</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Houston</w:t>
            </w:r>
          </w:p>
        </w:tc>
        <w:tc>
          <w:tcPr>
            <w:tcW w:w="320" w:type="dxa"/>
            <w:vAlign w:val="bottom"/>
          </w:tcPr>
          <w:p>
            <w:pPr>
              <w:spacing w:after="0"/>
              <w:rPr>
                <w:sz w:val="14"/>
                <w:szCs w:val="14"/>
                <w:color w:val="auto"/>
              </w:rPr>
            </w:pPr>
          </w:p>
        </w:tc>
        <w:tc>
          <w:tcPr>
            <w:tcW w:w="11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3"/>
        </w:trPr>
        <w:tc>
          <w:tcPr>
            <w:tcW w:w="67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Electric</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millions)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changes in commercial paper outstanding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w w:val="95"/>
              </w:rPr>
              <w:t>Net changes in long-term debt and term loans outstanding, excluding commercial paper</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changes in debt issuance costs</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Net changes in short-term borrowings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Redemption of Series A Preferred Stock</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Payment of obligation for finance lease</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Increased payment of common stock dividends</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Increased payment of preferred stock dividends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notes payable from affiliated companies</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Contribution from parent</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to parent</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25"/>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6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Sources and Uses of Cash</w:t>
      </w:r>
    </w:p>
    <w:p>
      <w:pPr>
        <w:spacing w:after="0" w:line="251"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The liquidity and capital requirements of the Registrants are affected primarily by results of operations, capital expenditures, debt service requirements, tax payments, working capital needs and various regulatory actions. Capital expenditures are expected to be used for investment in infrastructure. These capital expenditures are anticipated to maintain reliability and safety, increase resiliency and expand our systems through value-added projects. In addition to dividend payments on CenterPoint Energy’s Common Stock and interest payments on debt, the Registrants’ principal anticipated cash requirements for the remaining three months of 2023 include the following:</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102"/>
              <w:spacing w:after="0"/>
              <w:rPr>
                <w:sz w:val="20"/>
                <w:szCs w:val="20"/>
                <w:color w:val="auto"/>
              </w:rPr>
            </w:pPr>
            <w:r>
              <w:rPr>
                <w:rFonts w:ascii="Arial" w:cs="Arial" w:eastAsia="Arial" w:hAnsi="Arial"/>
                <w:sz w:val="14"/>
                <w:szCs w:val="14"/>
                <w:b w:val="1"/>
                <w:bCs w:val="1"/>
                <w:color w:val="auto"/>
                <w:w w:val="94"/>
              </w:rPr>
              <w:t>CenterPoint Energy</w:t>
            </w:r>
          </w:p>
        </w:tc>
        <w:tc>
          <w:tcPr>
            <w:tcW w:w="260" w:type="dxa"/>
            <w:vAlign w:val="bottom"/>
          </w:tcPr>
          <w:p>
            <w:pPr>
              <w:spacing w:after="0"/>
              <w:rPr>
                <w:sz w:val="16"/>
                <w:szCs w:val="16"/>
                <w:color w:val="auto"/>
              </w:rPr>
            </w:pPr>
          </w:p>
        </w:tc>
        <w:tc>
          <w:tcPr>
            <w:tcW w:w="1380" w:type="dxa"/>
            <w:vAlign w:val="bottom"/>
          </w:tcPr>
          <w:p>
            <w:pPr>
              <w:jc w:val="right"/>
              <w:ind w:right="203"/>
              <w:spacing w:after="0"/>
              <w:rPr>
                <w:sz w:val="20"/>
                <w:szCs w:val="20"/>
                <w:color w:val="auto"/>
              </w:rPr>
            </w:pPr>
            <w:r>
              <w:rPr>
                <w:rFonts w:ascii="Arial" w:cs="Arial" w:eastAsia="Arial" w:hAnsi="Arial"/>
                <w:sz w:val="14"/>
                <w:szCs w:val="14"/>
                <w:b w:val="1"/>
                <w:bCs w:val="1"/>
                <w:color w:val="auto"/>
                <w:w w:val="97"/>
              </w:rPr>
              <w:t>Houston Electric</w:t>
            </w:r>
          </w:p>
        </w:tc>
        <w:tc>
          <w:tcPr>
            <w:tcW w:w="400" w:type="dxa"/>
            <w:vAlign w:val="bottom"/>
          </w:tcPr>
          <w:p>
            <w:pPr>
              <w:spacing w:after="0"/>
              <w:rPr>
                <w:sz w:val="16"/>
                <w:szCs w:val="16"/>
                <w:color w:val="auto"/>
              </w:rPr>
            </w:pPr>
          </w:p>
        </w:tc>
        <w:tc>
          <w:tcPr>
            <w:tcW w:w="1200" w:type="dxa"/>
            <w:vAlign w:val="bottom"/>
          </w:tcPr>
          <w:p>
            <w:pPr>
              <w:jc w:val="right"/>
              <w:ind w:right="482"/>
              <w:spacing w:after="0"/>
              <w:rPr>
                <w:sz w:val="20"/>
                <w:szCs w:val="20"/>
                <w:color w:val="auto"/>
              </w:rPr>
            </w:pPr>
            <w:r>
              <w:rPr>
                <w:rFonts w:ascii="Arial" w:cs="Arial" w:eastAsia="Arial" w:hAnsi="Arial"/>
                <w:sz w:val="14"/>
                <w:szCs w:val="14"/>
                <w:b w:val="1"/>
                <w:bCs w:val="1"/>
                <w:color w:val="auto"/>
              </w:rPr>
              <w:t>CERC</w:t>
            </w:r>
          </w:p>
        </w:tc>
      </w:tr>
      <w:tr>
        <w:trPr>
          <w:trHeight w:val="24"/>
        </w:trPr>
        <w:tc>
          <w:tcPr>
            <w:tcW w:w="6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5"/>
        </w:trPr>
        <w:tc>
          <w:tcPr>
            <w:tcW w:w="6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right"/>
              <w:ind w:right="363"/>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0"/>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Estimated capital expenditures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802</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379</w:t>
            </w:r>
          </w:p>
        </w:tc>
        <w:tc>
          <w:tcPr>
            <w:tcW w:w="4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r>
      <w:tr>
        <w:trPr>
          <w:trHeight w:val="210"/>
        </w:trPr>
        <w:tc>
          <w:tcPr>
            <w:tcW w:w="6400" w:type="dxa"/>
            <w:vAlign w:val="bottom"/>
          </w:tcPr>
          <w:p>
            <w:pPr>
              <w:ind w:left="20"/>
              <w:spacing w:after="0"/>
              <w:rPr>
                <w:sz w:val="20"/>
                <w:szCs w:val="20"/>
                <w:color w:val="auto"/>
              </w:rPr>
            </w:pPr>
            <w:r>
              <w:rPr>
                <w:rFonts w:ascii="Arial" w:cs="Arial" w:eastAsia="Arial" w:hAnsi="Arial"/>
                <w:sz w:val="16"/>
                <w:szCs w:val="16"/>
                <w:color w:val="auto"/>
              </w:rPr>
              <w:t>Scheduled principal payments on Securitization Bonds</w:t>
            </w:r>
          </w:p>
        </w:tc>
        <w:tc>
          <w:tcPr>
            <w:tcW w:w="120" w:type="dxa"/>
            <w:vAlign w:val="bottom"/>
          </w:tcPr>
          <w:p>
            <w:pPr>
              <w:spacing w:after="0"/>
              <w:rPr>
                <w:sz w:val="18"/>
                <w:szCs w:val="18"/>
                <w:color w:val="auto"/>
              </w:rPr>
            </w:pPr>
          </w:p>
        </w:tc>
        <w:tc>
          <w:tcPr>
            <w:tcW w:w="1440" w:type="dxa"/>
            <w:vAlign w:val="bottom"/>
          </w:tcPr>
          <w:p>
            <w:pPr>
              <w:jc w:val="right"/>
              <w:ind w:right="22"/>
              <w:spacing w:after="0"/>
              <w:rPr>
                <w:sz w:val="20"/>
                <w:szCs w:val="20"/>
                <w:color w:val="auto"/>
              </w:rPr>
            </w:pPr>
            <w:r>
              <w:rPr>
                <w:rFonts w:ascii="Arial" w:cs="Arial" w:eastAsia="Arial" w:hAnsi="Arial"/>
                <w:sz w:val="16"/>
                <w:szCs w:val="16"/>
                <w:color w:val="auto"/>
              </w:rPr>
              <w:t>79</w:t>
            </w:r>
          </w:p>
        </w:tc>
        <w:tc>
          <w:tcPr>
            <w:tcW w:w="260" w:type="dxa"/>
            <w:vAlign w:val="bottom"/>
          </w:tcPr>
          <w:p>
            <w:pPr>
              <w:spacing w:after="0"/>
              <w:rPr>
                <w:sz w:val="18"/>
                <w:szCs w:val="18"/>
                <w:color w:val="auto"/>
              </w:rPr>
            </w:pPr>
          </w:p>
        </w:tc>
        <w:tc>
          <w:tcPr>
            <w:tcW w:w="1380" w:type="dxa"/>
            <w:vAlign w:val="bottom"/>
          </w:tcPr>
          <w:p>
            <w:pPr>
              <w:jc w:val="right"/>
              <w:ind w:right="23"/>
              <w:spacing w:after="0"/>
              <w:rPr>
                <w:sz w:val="20"/>
                <w:szCs w:val="20"/>
                <w:color w:val="auto"/>
              </w:rPr>
            </w:pPr>
            <w:r>
              <w:rPr>
                <w:rFonts w:ascii="Arial" w:cs="Arial" w:eastAsia="Arial" w:hAnsi="Arial"/>
                <w:sz w:val="16"/>
                <w:szCs w:val="16"/>
                <w:color w:val="auto"/>
              </w:rPr>
              <w:t>79</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Maturing senior notes</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57</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08"/>
        </w:trPr>
        <w:tc>
          <w:tcPr>
            <w:tcW w:w="6400" w:type="dxa"/>
            <w:vAlign w:val="bottom"/>
          </w:tcPr>
          <w:p>
            <w:pPr>
              <w:ind w:left="20"/>
              <w:spacing w:after="0"/>
              <w:rPr>
                <w:sz w:val="20"/>
                <w:szCs w:val="20"/>
                <w:color w:val="auto"/>
              </w:rPr>
            </w:pPr>
            <w:r>
              <w:rPr>
                <w:rFonts w:ascii="Arial" w:cs="Arial" w:eastAsia="Arial" w:hAnsi="Arial"/>
                <w:sz w:val="16"/>
                <w:szCs w:val="16"/>
                <w:color w:val="auto"/>
              </w:rPr>
              <w:t>Expected contributions to pension plans and other post-retirement plans</w:t>
            </w:r>
          </w:p>
        </w:tc>
        <w:tc>
          <w:tcPr>
            <w:tcW w:w="120" w:type="dxa"/>
            <w:vAlign w:val="bottom"/>
          </w:tcPr>
          <w:p>
            <w:pPr>
              <w:spacing w:after="0"/>
              <w:rPr>
                <w:sz w:val="18"/>
                <w:szCs w:val="18"/>
                <w:color w:val="auto"/>
              </w:rPr>
            </w:pPr>
          </w:p>
        </w:tc>
        <w:tc>
          <w:tcPr>
            <w:tcW w:w="1440" w:type="dxa"/>
            <w:vAlign w:val="bottom"/>
          </w:tcPr>
          <w:p>
            <w:pPr>
              <w:jc w:val="right"/>
              <w:ind w:right="22"/>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18"/>
                <w:szCs w:val="18"/>
                <w:color w:val="auto"/>
              </w:rPr>
            </w:pPr>
          </w:p>
        </w:tc>
        <w:tc>
          <w:tcPr>
            <w:tcW w:w="1380" w:type="dxa"/>
            <w:vAlign w:val="bottom"/>
          </w:tcPr>
          <w:p>
            <w:pPr>
              <w:jc w:val="right"/>
              <w:ind w:right="23"/>
              <w:spacing w:after="0"/>
              <w:rPr>
                <w:sz w:val="20"/>
                <w:szCs w:val="20"/>
                <w:color w:val="auto"/>
              </w:rPr>
            </w:pPr>
            <w:r>
              <w:rPr>
                <w:rFonts w:ascii="Arial" w:cs="Arial" w:eastAsia="Arial" w:hAnsi="Arial"/>
                <w:sz w:val="16"/>
                <w:szCs w:val="16"/>
                <w:color w:val="auto"/>
              </w:rPr>
              <w:t>1</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r>
    </w:tbl>
    <w:p>
      <w:pPr>
        <w:spacing w:after="0" w:line="325"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The Registrants expect that anticipated cash needs for the remaining three months of 2023 will be met with borrowings under their credit facilities, proceeds from the issuance of long-term debt, term loans, anticipated cash flows from operations, and, with respect to CenterPoint Energy and CERC, proceeds from commercial paper. Discretionary financing or refinancing may result in the issuance of debt securities of the Registrants in the capital markets or the arrangement of additional credit facilities or term bank loans. Issuances of debt in the capital markets, funds raised in the commercial paper markets and additional credit facilities may not, however, be available on acceptable terms.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1" w:lineRule="exact"/>
        <w:rPr>
          <w:sz w:val="20"/>
          <w:szCs w:val="20"/>
          <w:color w:val="auto"/>
        </w:rPr>
      </w:pPr>
    </w:p>
    <w:p>
      <w:pPr>
        <w:jc w:val="both"/>
        <w:ind w:firstLine="319"/>
        <w:spacing w:after="0" w:line="296" w:lineRule="auto"/>
        <w:rPr>
          <w:sz w:val="20"/>
          <w:szCs w:val="20"/>
          <w:color w:val="auto"/>
        </w:rPr>
      </w:pPr>
      <w:r>
        <w:rPr>
          <w:rFonts w:ascii="Arial" w:cs="Arial" w:eastAsia="Arial" w:hAnsi="Arial"/>
          <w:sz w:val="17"/>
          <w:szCs w:val="17"/>
          <w:color w:val="auto"/>
        </w:rPr>
        <w:t>Other than Houston Electric’s general mortgage bonds issued as collateral for tax-exempt long-term debt of CenterPoint Energy as discussed in Note 11 and guarantees as discussed in Note 13(b) to the Interim Condensed Financial Statements, we have no off-balance sheet arrangements.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5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February 2021 Winter Storm Event</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further information about the February 2021 Winter Storm Event, see Note 6 to the Interim Condensed Financial Statements.</w:t>
      </w:r>
    </w:p>
    <w:p>
      <w:pPr>
        <w:spacing w:after="0" w:line="24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Indiana Electric Securitization of Planned Generation Retirements (CenterPoint Energy)</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further information about the issuance of SIGECO Securitization Bonds, see Note 6 to the Interim Condensed Financial Statements.</w:t>
      </w:r>
    </w:p>
    <w:p>
      <w:pPr>
        <w:spacing w:after="0" w:line="24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Indiana Electric CPCN (CenterPoint Energy)</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BTAs</w:t>
      </w:r>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February 23, 2021, Indiana Electric filed a CPCN with the IURC seeking approval to purchase the Posey Solar project. On October 27, 2021, the IURC issued an order approving the CPCN, authorizing Indiana Electric to purchase the Posey Solar project through a BTA to acquire its solar array assets for a fixed purchase price and approved recovery of costs via a levelized rate over the anticipated 35-year life. Due to community feedback and rising project costs caused by inflation and supply chain issues affecting the energy industry, Indiana Electric, along with Arevon, the developer, announced plans in January 2022 to downsize the Posey Solar project to 191 MW. Indiana Electric collaboratively agreed to the scope change, and on February 1, 2023, Indiana Electric entered into an amended and restated BTA that is contingent on further IURC review and approval. On February 7, 2023, Indiana Electric filed a CPCN with the IURC to approve the amended BTA. With the passage of the IRA, Indiana Electric can now pursue PTCs for solar projects. Indiana Electric has filed an updated CPCN with a request that project costs, net of PTCs, be recovered in rate base, through base rates or the CECA mechanism, depending on which provides more timely recovery. On September 6, 2023 the IURC issued an order approving the CPCN. The Posey Solar project is expected to be placed in service in 2025.</w:t>
      </w:r>
    </w:p>
    <w:p>
      <w:pPr>
        <w:spacing w:after="0" w:line="5" w:lineRule="exact"/>
        <w:rPr>
          <w:sz w:val="20"/>
          <w:szCs w:val="20"/>
          <w:color w:val="auto"/>
        </w:rPr>
      </w:pPr>
    </w:p>
    <w:p>
      <w:pPr>
        <w:jc w:val="both"/>
        <w:ind w:firstLine="319"/>
        <w:spacing w:after="0" w:line="282" w:lineRule="auto"/>
        <w:rPr>
          <w:sz w:val="20"/>
          <w:szCs w:val="20"/>
          <w:color w:val="auto"/>
        </w:rPr>
      </w:pPr>
      <w:r>
        <w:rPr>
          <w:rFonts w:ascii="Arial" w:cs="Arial" w:eastAsia="Arial" w:hAnsi="Arial"/>
          <w:sz w:val="16"/>
          <w:szCs w:val="16"/>
          <w:color w:val="auto"/>
        </w:rPr>
        <w:t>On July 5, 2022, Indiana Electric entered into a BTA to acquire a 130 MW solar array in Pike County, Indiana through a special purpose entity for a capped purchase price. A CPCN for the project was filed with the IURC on July 29, 2022. On September 21, 2022, an agreement in principle was reached resolving all the issues between Indiana Electric and OUCC. The Stipulation and Settlement agreement was filed on October 6, 2022 and a settlement hearing was held on November 1, 2022. On January 11, 2023, the IURC issued an order approving the settlement agreement authorizing Indiana Electric to purchase and acquire the Pike County solar project through a BTA and approved the estimated cost. The IURC also designated the project as a clean energy project, approved the proposed levelized rate and associated ratemaking and accounting treatment. Due to inflationary pressures, the developer disclosed that costs have exceeded the agreed upon levels in the BTA. Once pricing is updated and parties determine whether to continue with the project, Indiana Electric may have to refile for approval of the project with the IURC, which could delay the in-service date from 2025 to 2026.</w:t>
      </w:r>
    </w:p>
    <w:p>
      <w:pPr>
        <w:spacing w:after="0" w:line="201"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On January 10, 2023, Indiana Electric filed a CPCN with the IURC to acquire a wind energy generating facility with installed capacity of 200 MWs through a BTA, consistent with its 2019/2020 IRP that calls for up to 300 MWs of wind generation. Indiana Electric has requested recovery of the wind facility via the CECA mechanism, which is expected to be placed in service by the end of 2026. On June 6, 2023 the IURC issued an order approving the CPCN, and thereby authorizing Indiana Electric to purchase the wind generating facility. However, as of the date of the filing of this Form 10-Q, Indiana Electric has not entered into any definitive agreement relating to this wind energy generating facility, and it is not certain that a definitive agreement will be entered into at all.</w:t>
      </w:r>
    </w:p>
    <w:p>
      <w:pPr>
        <w:spacing w:after="0" w:line="22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PPAs</w:t>
      </w:r>
    </w:p>
    <w:p>
      <w:pPr>
        <w:spacing w:after="0" w:line="245"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Indiana Electric also sought approval in February 2021 for a 100 MW solar PPA with Clenera LLC in Warrick County, Indiana. The request accounted for increased cost of debt related to this PPA, which provides equivalent equity return to offset imputed debt during the 25 year life of the PPA. In October 2021, the IURC approved the Warrick County solar PPA but denied the request to preemptively offset imputed debt in the PPA cost. Due to rising project costs caused by inflation and supply chain issues affecting the energy industry, Clenera LLC and Indiana Electric were compelled to renegotiate terms of the</w:t>
      </w:r>
    </w:p>
    <w:p>
      <w:pPr>
        <w:spacing w:after="0" w:line="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agreement to increase the PPA price. On January 17, 2023, Indiana Electric filed a request with the IURC to amend the previously approved PPA with certain modifications. Revised purchase power costs are requested to be recovered through the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fuel adjustment clause proceedings over the term of the amended PPA. The amended PPA was approved by the IURC in the second quarter of 2023. The Clenera LLC solar array is expected to be placed in service in the second quarter of 2025.</w:t>
      </w:r>
    </w:p>
    <w:p>
      <w:pPr>
        <w:spacing w:after="0" w:line="206" w:lineRule="exact"/>
        <w:rPr>
          <w:sz w:val="20"/>
          <w:szCs w:val="20"/>
          <w:color w:val="auto"/>
        </w:rPr>
      </w:pPr>
    </w:p>
    <w:p>
      <w:pPr>
        <w:jc w:val="both"/>
        <w:ind w:firstLine="319"/>
        <w:spacing w:after="0" w:line="264" w:lineRule="auto"/>
        <w:rPr>
          <w:sz w:val="20"/>
          <w:szCs w:val="20"/>
          <w:color w:val="auto"/>
        </w:rPr>
      </w:pPr>
      <w:r>
        <w:rPr>
          <w:rFonts w:ascii="Arial" w:cs="Arial" w:eastAsia="Arial" w:hAnsi="Arial"/>
          <w:sz w:val="17"/>
          <w:szCs w:val="17"/>
          <w:color w:val="auto"/>
        </w:rPr>
        <w:t xml:space="preserve">On August 25, 2021, Indiana Electric filed with the IURC seeking approval to purchase 185 MW of solar power, under a 15-year PPA, from </w:t>
      </w:r>
      <w:r>
        <w:rPr>
          <w:rFonts w:ascii="Arial" w:cs="Arial" w:eastAsia="Arial" w:hAnsi="Arial"/>
          <w:sz w:val="17"/>
          <w:szCs w:val="17"/>
          <w:color w:val="auto"/>
          <w:highlight w:val="white"/>
        </w:rPr>
        <w:t>Oriden,</w:t>
      </w:r>
      <w:r>
        <w:rPr>
          <w:rFonts w:ascii="Arial" w:cs="Arial" w:eastAsia="Arial" w:hAnsi="Arial"/>
          <w:sz w:val="17"/>
          <w:szCs w:val="17"/>
          <w:color w:val="auto"/>
        </w:rPr>
        <w:t xml:space="preserve"> which is developing a solar project in Vermillion County, Indiana, and 150 MW of solar power, under a 20-year PPA, from Origis, which is developing a solar project in Knox County, Indiana. On May 4, 2022, the IURC issued an order approving Indiana Electric to enter into both PPAs. In March 2022, when the results of the MISO interconnection study were completed, Origis advised Indiana Electric that the costs to construct the solar project in Knox County, Indiana had increased. The increase was largely driven by escalating commodity and supply chain costs impacting manufacturers worldwide. In August 2022, Indiana Electric and Origis entered into an amended PPA, which reiterated the terms contained in the 2021 PPA with certain modifications. On October 19, 2022, Indiana Electric filed with the IURC seeking approval of the amended PPA with Origis and a hearing was held on January 4, 2023. On February 22, 2023, the IURC issued an order authorizing Indiana Electric to (i) enter into the amended PPA with Origis; (ii) recover the cost of the amended PPA over its full term as proposed; and (iii) use the proposed ratemaking treatment. On January 17, 2023, Indiana Electric filed a request with the IURC to amend the previously approved PPA with Oriden with certain modifications. Revised purchase power costs are requested to be recovered through the fuel adjustment clause proceedings over the term of the amended PPA with Oriden. The amended PPA with Oriden was approved by the IURC in the second quarter of 2023. The Oriden solar array is expected to be placed in service in the second quarter of 2025 and the Origis solar array is expected to be placed in service by the third quarter of 2024.</w:t>
      </w:r>
    </w:p>
    <w:p>
      <w:pPr>
        <w:spacing w:after="0" w:line="21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Natural Gas Combustion Turbines</w:t>
      </w:r>
    </w:p>
    <w:p>
      <w:pPr>
        <w:spacing w:after="0" w:line="245" w:lineRule="exact"/>
        <w:rPr>
          <w:sz w:val="20"/>
          <w:szCs w:val="20"/>
          <w:color w:val="auto"/>
        </w:rPr>
      </w:pPr>
    </w:p>
    <w:p>
      <w:pPr>
        <w:jc w:val="both"/>
        <w:ind w:firstLine="319"/>
        <w:spacing w:after="0" w:line="281" w:lineRule="auto"/>
        <w:rPr>
          <w:sz w:val="20"/>
          <w:szCs w:val="20"/>
          <w:color w:val="auto"/>
        </w:rPr>
      </w:pPr>
      <w:r>
        <w:rPr>
          <w:rFonts w:ascii="Arial" w:cs="Arial" w:eastAsia="Arial" w:hAnsi="Arial"/>
          <w:sz w:val="16"/>
          <w:szCs w:val="16"/>
          <w:color w:val="auto"/>
        </w:rPr>
        <w:t>On June 17, 2021, Indiana Electric filed a CPCN with the IURC seeking approval to construct two natural gas combustion turbines to replace portions of its existing coal-fired generation fleet. On June 28, 2022, the IURC approved the CPCN. The estimated $334 million turbine facility is planned to be constructed at the current site of the A.B. Brown power plant in Posey County, Indiana and would provide a combined output of 460 MW. Indiana Electric received approval for depreciation expense and post in-service carrying costs to be deferred in a regulatory asset until the date Indiana South’s base rates include a return on and recovery of depreciation expense on the facility. A new approximately 23.5 mile pipeline will be constructed and operated by Texas Gas Transmission, LLC to supply natural gas to the turbine facility. Indiana Electric entered into an agreement with Texas Gas Transmission, pending FERC approval of a necessary pipeline, to supply firm gas service to the new combustion turbines being constructed as part of the generation transition. On October 20, 2022, FERC granted Texas Gas Transmission a certificate to construct the pipeline. On November 21, 2022, the Citizens Action Coalition of Indiana, Inc. filed a request for rehearing which was denied on June 8, 2023 when FERC issued a Notice of Denial of Rehearing by Operation of Law. Separately, on February 21, 2023, Citizens Action Coalition of Indiana, Inc. filed a Petition for Review at the United States Court of Appeals for the District of Columbia. The appeal is pending with the briefing schedule recently being released. Finally, on July 7, 2023, FERC issued a Notice to Proceed with Full Construction and Modification Approvals, granting Texas Gas Transmission’s request to proceed, in full, with construction of the Henderson County Expansion Project. Indiana Electric granted its contractor a full notice to proceed to construct the turbines on December 9, 2022. The facility is targeted to be operational by mid-2025. Recovery of the proposed natural gas combustion turbines and regulatory asset will be requested in the next Indiana Electric rate case expected in 2023.</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Culley Unit 3 Operations</w:t>
      </w:r>
    </w:p>
    <w:p>
      <w:pPr>
        <w:spacing w:after="0" w:line="245" w:lineRule="exact"/>
        <w:rPr>
          <w:sz w:val="20"/>
          <w:szCs w:val="20"/>
          <w:color w:val="auto"/>
        </w:rPr>
      </w:pPr>
    </w:p>
    <w:p>
      <w:pPr>
        <w:jc w:val="both"/>
        <w:ind w:firstLine="319"/>
        <w:spacing w:after="0" w:line="257" w:lineRule="auto"/>
        <w:rPr>
          <w:sz w:val="20"/>
          <w:szCs w:val="20"/>
          <w:color w:val="auto"/>
        </w:rPr>
      </w:pPr>
      <w:r>
        <w:rPr>
          <w:rFonts w:ascii="Arial" w:cs="Arial" w:eastAsia="Arial" w:hAnsi="Arial"/>
          <w:sz w:val="17"/>
          <w:szCs w:val="17"/>
          <w:color w:val="auto"/>
        </w:rPr>
        <w:t>In June 2022, F.B. Culley Unit 3, an Indiana Electric coal-fired electric generation unit with an installed generating capacity of 270 MW, experienced an operating issue relating to its boiler feed pump turbine. The unit returned to service in March 2023. In testimony filed September 13, 2023, the OUCC and an intervenor that represents industrial customers filed testimony with the IURC alleging that Indiana Electric did not act prudently which led to the unplanned outage and recommended disallowances between $21 million to $27 million. On October 23, 2023, Indiana Electric filed rebuttal testimony with the IURC. Indiana Electric expects a decision from the IURC in the first half of 2024.</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Space City Solar Transmission Interconnection Project (CenterPoint Energy and Houston Electric)</w:t>
      </w:r>
    </w:p>
    <w:p>
      <w:pPr>
        <w:spacing w:after="0" w:line="245"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On December 17, 2020, Houston Electric filed a certificate of convenience and necessity application with the PUCT for approval to build a 345 kV transmission line in Wharton County, Texas connecting the Hillje substation on Houston Electric’s transmission system to the planned 610 MW Space City Solar Generation facility being developed by third-party developer EDF Renewables. The actual capital costs of the project will depend on actual land acquisition costs, construction costs, and other factors. In November 2021, the PUCT approved a route that was estimated to cost $25 million and issued a final order on January 12, 2022. There have been project delays due to supply chain constraints in the developer acquiring solar panels.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Houston Electric expects construction to be substantially complete by the end of 2023 and the transmission line is expected to be energized shortly after the generation facility is complete.</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Kilgore Transmission Project (CenterPoint Energy and Houston Electric)</w:t>
      </w:r>
    </w:p>
    <w:p>
      <w:pPr>
        <w:spacing w:after="0" w:line="245"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On August 30, 2023, Houston Electric filed a CCN application with the PUCT for approval to build a 138 kV double circuit transmission line in Chambers County, Texas that will loop the existing 138 kV Chevron to Langston circuit number 86 on Houston Electric’s transmission system to Houston Electric’s planned Kilgore substation. The actual capital costs of the project, including the transmission line and the planned Kilgore substation, will depend on actual land acquisition costs, construction costs, and other factors and have been estimated to be $60 million to $99 million. A decision on the approval of the project in the PUCT proceeding is expected in the first quarter of 2024.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Texas Legislation (CenterPoint Energy, Houston Electric and CERC)</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Houston Electric and CERC are also reviewing legislation passed in 2023, including the following pieces of legislation that became law during the 88th</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Texas Legislature, including:</w:t>
      </w:r>
    </w:p>
    <w:p>
      <w:pPr>
        <w:spacing w:after="0" w:line="234" w:lineRule="exact"/>
        <w:rPr>
          <w:sz w:val="20"/>
          <w:szCs w:val="20"/>
          <w:color w:val="auto"/>
        </w:rPr>
      </w:pPr>
    </w:p>
    <w:p>
      <w:pPr>
        <w:jc w:val="both"/>
        <w:ind w:left="640" w:hanging="315"/>
        <w:spacing w:after="0" w:line="250" w:lineRule="auto"/>
        <w:tabs>
          <w:tab w:leader="none" w:pos="6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House Bill 1500 is effective September 1, 2023 and continues the functions of the PUCT, the Office of Public Utility Counsel, and ERCOT through 2029. This bill also includes an amendment that clarifies the use cases under which TDUs may lease and operate temporary generation during “significant” power outages;</w:t>
      </w:r>
    </w:p>
    <w:p>
      <w:pPr>
        <w:spacing w:after="0" w:line="2"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House Bill 2263 is effective June 12, 2023 and authorizes local distribution companies to offer programs to promote energy conservation and to recover costs prudently incurred to implement such programs under Railroad Commission authority;</w:t>
      </w:r>
    </w:p>
    <w:p>
      <w:pPr>
        <w:spacing w:after="0" w:line="1" w:lineRule="exact"/>
        <w:rPr>
          <w:rFonts w:ascii="Arial" w:cs="Arial" w:eastAsia="Arial" w:hAnsi="Arial"/>
          <w:sz w:val="18"/>
          <w:szCs w:val="18"/>
          <w:color w:val="auto"/>
        </w:rPr>
      </w:pPr>
    </w:p>
    <w:p>
      <w:pPr>
        <w:jc w:val="both"/>
        <w:ind w:left="640" w:hanging="315"/>
        <w:spacing w:after="0" w:line="277" w:lineRule="auto"/>
        <w:tabs>
          <w:tab w:leader="none" w:pos="635" w:val="left"/>
        </w:tabs>
        <w:numPr>
          <w:ilvl w:val="0"/>
          <w:numId w:val="52"/>
        </w:numPr>
        <w:rPr>
          <w:rFonts w:ascii="Arial" w:cs="Arial" w:eastAsia="Arial" w:hAnsi="Arial"/>
          <w:sz w:val="16"/>
          <w:szCs w:val="16"/>
          <w:color w:val="auto"/>
        </w:rPr>
      </w:pPr>
      <w:r>
        <w:rPr>
          <w:rFonts w:ascii="Arial" w:cs="Arial" w:eastAsia="Arial" w:hAnsi="Arial"/>
          <w:sz w:val="16"/>
          <w:szCs w:val="16"/>
          <w:color w:val="auto"/>
        </w:rPr>
        <w:t>House Bill 2555 is effective June 13, 2023 and allows an electric utility to create a transmission and distribution system resiliency plan with the PUCT and associated cost recovery to enhance its system through hardening, undergrounding certain lines, flood mitigation measures, and vegetation management. We anticipate that the PUCT will open a rule making proceeding; the PUCT has until December 10, 2023 to adopt a rule;</w:t>
      </w:r>
    </w:p>
    <w:p>
      <w:pPr>
        <w:spacing w:after="0" w:line="1" w:lineRule="exact"/>
        <w:rPr>
          <w:rFonts w:ascii="Arial" w:cs="Arial" w:eastAsia="Arial" w:hAnsi="Arial"/>
          <w:sz w:val="16"/>
          <w:szCs w:val="16"/>
          <w:color w:val="auto"/>
        </w:rPr>
      </w:pPr>
    </w:p>
    <w:p>
      <w:pPr>
        <w:ind w:left="640" w:hanging="315"/>
        <w:spacing w:after="0" w:line="246" w:lineRule="auto"/>
        <w:tabs>
          <w:tab w:leader="none" w:pos="6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Senate Bill 947 is effective September 1, 2023 and creates severe criminal offenses for intentional damage to critical infrastructure facilities that create extended power outages;</w:t>
      </w:r>
    </w:p>
    <w:p>
      <w:pPr>
        <w:spacing w:after="0" w:line="1"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Senate Bill 1015 is effective June 18, 2023 and allows utilities to file the DCRF twice a year, on any day the PUCT is open (at least 185 days after filing a full base rate proceeding) and setting an administrative approval timeline of 60 days;</w:t>
      </w:r>
    </w:p>
    <w:p>
      <w:pPr>
        <w:spacing w:after="0" w:line="1" w:lineRule="exact"/>
        <w:rPr>
          <w:rFonts w:ascii="Arial" w:cs="Arial" w:eastAsia="Arial" w:hAnsi="Arial"/>
          <w:sz w:val="18"/>
          <w:szCs w:val="18"/>
          <w:color w:val="auto"/>
        </w:rPr>
      </w:pPr>
    </w:p>
    <w:p>
      <w:pPr>
        <w:jc w:val="both"/>
        <w:ind w:left="640" w:hanging="315"/>
        <w:spacing w:after="0" w:line="246" w:lineRule="auto"/>
        <w:tabs>
          <w:tab w:leader="none" w:pos="6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Senate Bill 1016 is effective May 5, 2023 and requires the PUCT to presume that all employee compensation and benefits are reasonable and necessary when establishing a utility’s rates if based upon market compensation studies issued within the last three years; it includes exceptions for utility officer incentives that are based on financial metrics. Certain incentive compensation that is in-line with market studies will be presumed reasonable and recoverable; and</w:t>
      </w:r>
    </w:p>
    <w:p>
      <w:pPr>
        <w:spacing w:after="0" w:line="2" w:lineRule="exact"/>
        <w:rPr>
          <w:rFonts w:ascii="Arial" w:cs="Arial" w:eastAsia="Arial" w:hAnsi="Arial"/>
          <w:sz w:val="18"/>
          <w:szCs w:val="18"/>
          <w:color w:val="auto"/>
        </w:rPr>
      </w:pPr>
    </w:p>
    <w:p>
      <w:pPr>
        <w:ind w:left="640" w:hanging="315"/>
        <w:spacing w:after="0" w:line="253" w:lineRule="auto"/>
        <w:tabs>
          <w:tab w:leader="none" w:pos="6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Senate Bill 1076 is effective June 2, 2023 and moves the timeline for the PUCT to approve certificates of convenience and necessity for transmission projects to 180 days after the date of filing, rather than the first anniversary of the day it was filed.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Minnesota Legislation (CenterPoint Energy and CERC)</w:t>
      </w:r>
    </w:p>
    <w:p>
      <w:pPr>
        <w:spacing w:after="0" w:line="245"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The Natural Gas Innovation Act was passed by the Minnesota legislature in June 2021 with bipartisan support. This law establishes a regulatory framework to enable the state’s investor-owned natural gas utilities to provide customers with access to renewable energy resources and innovative technologies, with the goal of reducing greenhouse gas emissions and advancing the state’s clean energy future. The maximum allowable cost for an innovation plan will start at 1.75% of the utility's revenue in the state and could increase to 4% by 2033, subject to review and approval by the MPUC. Specifically, the Natural Gas Innovation Act allows a natural gas utility to submit an innovation plan for approval by the MPUC which could propose the use of renewable energy resources and innovative technologies such as:</w:t>
      </w:r>
    </w:p>
    <w:p>
      <w:pPr>
        <w:spacing w:after="0" w:line="222" w:lineRule="exact"/>
        <w:rPr>
          <w:sz w:val="20"/>
          <w:szCs w:val="20"/>
          <w:color w:val="auto"/>
        </w:rPr>
      </w:pPr>
    </w:p>
    <w:p>
      <w:pPr>
        <w:ind w:left="640" w:hanging="315"/>
        <w:spacing w:after="0"/>
        <w:tabs>
          <w:tab w:leader="none" w:pos="6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renewable natural gas (produces energy from organic materials such as wastewater, agricultural manure, food waste, agricultural or forest waste);</w:t>
      </w:r>
    </w:p>
    <w:p>
      <w:pPr>
        <w:spacing w:after="0" w:line="39" w:lineRule="exact"/>
        <w:rPr>
          <w:rFonts w:ascii="Arial" w:cs="Arial" w:eastAsia="Arial" w:hAnsi="Arial"/>
          <w:sz w:val="16"/>
          <w:szCs w:val="16"/>
          <w:color w:val="auto"/>
        </w:rPr>
      </w:pPr>
    </w:p>
    <w:p>
      <w:pPr>
        <w:ind w:left="640" w:hanging="315"/>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renewable hydrogen gas (produces energy from water through electrolysis with renewable electricity such as solar);</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energy efficiency measures (avoids energy consumption in excess of the utility’s existing conservation programs); and</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innovative technologies (reduces or avoids greenhouse gas emissions using technologies such as carbon capture).</w:t>
      </w:r>
    </w:p>
    <w:p>
      <w:pPr>
        <w:spacing w:after="0" w:line="234"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On June 28, 2023, CERC submitted its first innovation plan to the MPUC; the five-year plan includes 18 pilot projects and seven smaller research-and-development projects. These projects will deploy and evaluate a broad array of innovative resources including made-in-Minnesota alternative gases such as renewable natural gas and green hydrogen as well as pioneering technologies such as a networked geothermal district energy system and end-use carbon capture. The proposed plan requires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approval from the MPUC through a review process that is expected to take about one year. The MPUC requested comments by September 15, 2023 if parties believe that the filing is incomplete based on the reporting requirements or if parties do not believe that that the MPUC’s standard informal proceeding process is appropriate. No parties filed comments regarding completeness or raising concerns that the MPUC’s standard informal procedural process is inappropriate. The initial comment period closes November 3, 2023, reply comments are due January 12, 2024 and supplemental comments are due February 2, 2024; the MPUC indicated that unless warranted by comments received by September 15, 2023, it does not intend to hear this matter before the completion of the entire comment period.</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Solar Panel Issues (CenterPoint Energy)</w:t>
      </w:r>
    </w:p>
    <w:p>
      <w:pPr>
        <w:spacing w:after="0" w:line="245" w:lineRule="exact"/>
        <w:rPr>
          <w:sz w:val="20"/>
          <w:szCs w:val="20"/>
          <w:color w:val="auto"/>
        </w:rPr>
      </w:pPr>
    </w:p>
    <w:p>
      <w:pPr>
        <w:jc w:val="both"/>
        <w:ind w:firstLine="319"/>
        <w:spacing w:after="0" w:line="281" w:lineRule="auto"/>
        <w:rPr>
          <w:sz w:val="20"/>
          <w:szCs w:val="20"/>
          <w:color w:val="auto"/>
        </w:rPr>
      </w:pPr>
      <w:r>
        <w:rPr>
          <w:rFonts w:ascii="Arial" w:cs="Arial" w:eastAsia="Arial" w:hAnsi="Arial"/>
          <w:sz w:val="16"/>
          <w:szCs w:val="16"/>
          <w:color w:val="auto"/>
        </w:rPr>
        <w:t>CenterPoint Energy’s current and future solar projects have been impacted by delays and/or increased costs. The delays and inflationary cost pressures communicated from the developers of our solar projects have been primarily due to (i) unavailability of solar panels and other uncertainties related to a DOC investigation on anti-dumping and countervailing duties petition filed by a domestic solar manufacturer, (ii) the December 2021 Uyghur Forced Labor Prevention Act on solar modules and other products manufactured in China's Xinjiang Uyghur Autonomous Region and (iii) persistent general global supply chain and labor availability issues. On December 2, 2022, the DOC issued its preliminary determination, finding four of the eight companies being investigated are attempting to bypass U.S. duties. On August 18, 2023, the DOC announced its final determination and found that five of the eight companies investigated are attempting to bypass U.S. duties by doing minor processing in one of the Southeast Asian countries before shipment to the United States. Pursuant to President Biden’s executive order issued in June 2022, duties will not be collected on any solar module and cell imports from these Southeast Asian countries until June 2024, as long as the imports are consumed in the U.S. market within six months of the termination of the executive order. The executive order could be subject to legal and legislative challenges and its effects remain uncertain. The resolution of these issues will determine what additional costs or delays our solar projects will be subject to. These impacts have resulted in cost increases for certain projects, and may result in cost increases in other projects, and such impacts have resulted in, or are expected to result in, the need for us to seek additional regulatory review and approvals. Additionally, significant changes to project costs and schedules as a result of these factors could impact the viability of the projects. For more information regarding potential delays, cancellations and supply chain disruptions, see “Item 1A. Risk Factors” in the Registrants’ 2022 Form 10-K.</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Rate Change Applications</w:t>
      </w:r>
    </w:p>
    <w:p>
      <w:pPr>
        <w:spacing w:after="0" w:line="245"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The Registrants are routinely involved in rate change applications before state regulatory authorities. Those applications include general rate cases, where the entire cost of service of the utility is assessed and reset. In addition, Registrants are periodically involved in proceedings to adjust its capital tracking mechanisms (e.g., CSIA, DCRF, DRR, GRIP, TCOS and TDSIC), its cost of service adjustments (e.g., RSP and RRA), its decoupling mechanism (e.g., Decoupling and SRC), and its energy efficiency cost trackers (e.g., CIP, DSMA, EECR, EECRF, EEFC and EEFR). The table below reflects significant applications pending or completed since the Registrants’ combined 2022 Form 10-K was filed with the SEC through the date of the filing of this Form 10-Q.</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1160" w:type="dxa"/>
            <w:vAlign w:val="bottom"/>
          </w:tcPr>
          <w:p>
            <w:pPr>
              <w:jc w:val="center"/>
              <w:ind w:left="11"/>
              <w:spacing w:after="0"/>
              <w:rPr>
                <w:sz w:val="20"/>
                <w:szCs w:val="20"/>
                <w:color w:val="auto"/>
              </w:rPr>
            </w:pPr>
            <w:r>
              <w:rPr>
                <w:rFonts w:ascii="Arial" w:cs="Arial" w:eastAsia="Arial" w:hAnsi="Arial"/>
                <w:sz w:val="14"/>
                <w:szCs w:val="14"/>
                <w:b w:val="1"/>
                <w:bCs w:val="1"/>
                <w:color w:val="auto"/>
                <w:w w:val="92"/>
              </w:rPr>
              <w:t>Annual</w:t>
            </w: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220" w:type="dxa"/>
            <w:vAlign w:val="bottom"/>
          </w:tcPr>
          <w:p>
            <w:pPr>
              <w:spacing w:after="0"/>
              <w:rPr>
                <w:sz w:val="11"/>
                <w:szCs w:val="11"/>
                <w:color w:val="auto"/>
              </w:rPr>
            </w:pPr>
          </w:p>
        </w:tc>
        <w:tc>
          <w:tcPr>
            <w:tcW w:w="1160" w:type="dxa"/>
            <w:vAlign w:val="bottom"/>
          </w:tcPr>
          <w:p>
            <w:pPr>
              <w:jc w:val="center"/>
              <w:ind w:left="11"/>
              <w:spacing w:after="0" w:line="137" w:lineRule="exact"/>
              <w:rPr>
                <w:sz w:val="20"/>
                <w:szCs w:val="20"/>
                <w:color w:val="auto"/>
              </w:rPr>
            </w:pPr>
            <w:r>
              <w:rPr>
                <w:rFonts w:ascii="Arial" w:cs="Arial" w:eastAsia="Arial" w:hAnsi="Arial"/>
                <w:sz w:val="14"/>
                <w:szCs w:val="14"/>
                <w:b w:val="1"/>
                <w:bCs w:val="1"/>
                <w:color w:val="auto"/>
                <w:w w:val="91"/>
              </w:rPr>
              <w:t>Increase</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Filing</w:t>
            </w:r>
          </w:p>
        </w:tc>
        <w:tc>
          <w:tcPr>
            <w:tcW w:w="110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Approval</w:t>
            </w:r>
          </w:p>
        </w:tc>
        <w:tc>
          <w:tcPr>
            <w:tcW w:w="5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220" w:type="dxa"/>
            <w:vAlign w:val="bottom"/>
            <w:vMerge w:val="restart"/>
          </w:tcPr>
          <w:p>
            <w:pPr>
              <w:jc w:val="center"/>
              <w:ind w:left="9"/>
              <w:spacing w:after="0"/>
              <w:rPr>
                <w:sz w:val="20"/>
                <w:szCs w:val="20"/>
                <w:color w:val="auto"/>
              </w:rPr>
            </w:pPr>
            <w:r>
              <w:rPr>
                <w:rFonts w:ascii="Arial" w:cs="Arial" w:eastAsia="Arial" w:hAnsi="Arial"/>
                <w:sz w:val="14"/>
                <w:szCs w:val="14"/>
                <w:b w:val="1"/>
                <w:bCs w:val="1"/>
                <w:color w:val="auto"/>
                <w:w w:val="91"/>
              </w:rPr>
              <w:t>Mechanism</w:t>
            </w:r>
          </w:p>
        </w:tc>
        <w:tc>
          <w:tcPr>
            <w:tcW w:w="1160" w:type="dxa"/>
            <w:vAlign w:val="bottom"/>
          </w:tcPr>
          <w:p>
            <w:pPr>
              <w:jc w:val="center"/>
              <w:ind w:left="11"/>
              <w:spacing w:after="0" w:line="143" w:lineRule="exact"/>
              <w:rPr>
                <w:sz w:val="20"/>
                <w:szCs w:val="20"/>
                <w:color w:val="auto"/>
              </w:rPr>
            </w:pPr>
            <w:r>
              <w:rPr>
                <w:rFonts w:ascii="Arial" w:cs="Arial" w:eastAsia="Arial" w:hAnsi="Arial"/>
                <w:sz w:val="14"/>
                <w:szCs w:val="14"/>
                <w:b w:val="1"/>
                <w:bCs w:val="1"/>
                <w:color w:val="auto"/>
                <w:w w:val="91"/>
              </w:rPr>
              <w:t xml:space="preserve">(Decrease) </w:t>
            </w:r>
            <w:r>
              <w:rPr>
                <w:rFonts w:ascii="Arial" w:cs="Arial" w:eastAsia="Arial" w:hAnsi="Arial"/>
                <w:sz w:val="10"/>
                <w:szCs w:val="10"/>
                <w:b w:val="1"/>
                <w:bCs w:val="1"/>
                <w:color w:val="auto"/>
                <w:w w:val="91"/>
              </w:rPr>
              <w:t>(1)</w:t>
            </w:r>
          </w:p>
        </w:tc>
        <w:tc>
          <w:tcPr>
            <w:tcW w:w="980" w:type="dxa"/>
            <w:vAlign w:val="bottom"/>
            <w:vMerge w:val="continue"/>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Effective Date</w:t>
            </w:r>
          </w:p>
        </w:tc>
        <w:tc>
          <w:tcPr>
            <w:tcW w:w="960" w:type="dxa"/>
            <w:vAlign w:val="bottom"/>
            <w:vMerge w:val="continue"/>
          </w:tcPr>
          <w:p>
            <w:pPr>
              <w:spacing w:after="0"/>
              <w:rPr>
                <w:sz w:val="12"/>
                <w:szCs w:val="12"/>
                <w:color w:val="auto"/>
              </w:rPr>
            </w:pPr>
          </w:p>
        </w:tc>
        <w:tc>
          <w:tcPr>
            <w:tcW w:w="5820" w:type="dxa"/>
            <w:vAlign w:val="bottom"/>
            <w:vMerge w:val="restart"/>
          </w:tcPr>
          <w:p>
            <w:pPr>
              <w:ind w:left="2240"/>
              <w:spacing w:after="0"/>
              <w:rPr>
                <w:sz w:val="20"/>
                <w:szCs w:val="20"/>
                <w:color w:val="auto"/>
              </w:rPr>
            </w:pPr>
            <w:r>
              <w:rPr>
                <w:rFonts w:ascii="Arial" w:cs="Arial" w:eastAsia="Arial" w:hAnsi="Arial"/>
                <w:sz w:val="14"/>
                <w:szCs w:val="14"/>
                <w:b w:val="1"/>
                <w:bCs w:val="1"/>
                <w:color w:val="auto"/>
              </w:rPr>
              <w:t>Additional Information</w:t>
            </w:r>
          </w:p>
        </w:tc>
        <w:tc>
          <w:tcPr>
            <w:tcW w:w="0" w:type="dxa"/>
            <w:vAlign w:val="bottom"/>
          </w:tcPr>
          <w:p>
            <w:pPr>
              <w:spacing w:after="0"/>
              <w:rPr>
                <w:sz w:val="1"/>
                <w:szCs w:val="1"/>
                <w:color w:val="auto"/>
              </w:rPr>
            </w:pPr>
          </w:p>
        </w:tc>
      </w:tr>
      <w:tr>
        <w:trPr>
          <w:trHeight w:val="173"/>
        </w:trPr>
        <w:tc>
          <w:tcPr>
            <w:tcW w:w="122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tcPr>
          <w:p>
            <w:pPr>
              <w:jc w:val="center"/>
              <w:ind w:left="11"/>
              <w:spacing w:after="0"/>
              <w:rPr>
                <w:sz w:val="20"/>
                <w:szCs w:val="20"/>
                <w:color w:val="auto"/>
              </w:rPr>
            </w:pPr>
            <w:r>
              <w:rPr>
                <w:rFonts w:ascii="Arial" w:cs="Arial" w:eastAsia="Arial" w:hAnsi="Arial"/>
                <w:sz w:val="11"/>
                <w:szCs w:val="11"/>
                <w:b w:val="1"/>
                <w:bCs w:val="1"/>
                <w:color w:val="auto"/>
                <w:w w:val="90"/>
              </w:rPr>
              <w:t>(in millions)</w:t>
            </w:r>
          </w:p>
        </w:tc>
        <w:tc>
          <w:tcPr>
            <w:tcW w:w="9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Date</w:t>
            </w:r>
          </w:p>
        </w:tc>
        <w:tc>
          <w:tcPr>
            <w:tcW w:w="110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5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80" w:type="dxa"/>
            <w:vAlign w:val="bottom"/>
            <w:gridSpan w:val="3"/>
          </w:tcPr>
          <w:p>
            <w:pPr>
              <w:ind w:left="740"/>
              <w:spacing w:after="0"/>
              <w:rPr>
                <w:sz w:val="20"/>
                <w:szCs w:val="20"/>
                <w:color w:val="auto"/>
              </w:rPr>
            </w:pPr>
            <w:r>
              <w:rPr>
                <w:rFonts w:ascii="Arial" w:cs="Arial" w:eastAsia="Arial" w:hAnsi="Arial"/>
                <w:sz w:val="14"/>
                <w:szCs w:val="14"/>
                <w:b w:val="1"/>
                <w:bCs w:val="1"/>
                <w:color w:val="auto"/>
              </w:rPr>
              <w:t>CenterPoint Energy and Houston Electric (PUCT)</w:t>
            </w:r>
          </w:p>
        </w:tc>
        <w:tc>
          <w:tcPr>
            <w:tcW w:w="0" w:type="dxa"/>
            <w:vAlign w:val="bottom"/>
          </w:tcPr>
          <w:p>
            <w:pPr>
              <w:spacing w:after="0"/>
              <w:rPr>
                <w:sz w:val="1"/>
                <w:szCs w:val="1"/>
                <w:color w:val="auto"/>
              </w:rPr>
            </w:pPr>
          </w:p>
        </w:tc>
      </w:tr>
      <w:tr>
        <w:trPr>
          <w:trHeight w:val="175"/>
        </w:trPr>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TCOS</w:t>
            </w:r>
          </w:p>
        </w:tc>
        <w:tc>
          <w:tcPr>
            <w:tcW w:w="1160" w:type="dxa"/>
            <w:vAlign w:val="bottom"/>
            <w:shd w:val="clear" w:color="auto" w:fill="CCEEFF"/>
          </w:tcPr>
          <w:p>
            <w:pPr>
              <w:jc w:val="center"/>
              <w:ind w:left="31"/>
              <w:spacing w:after="0"/>
              <w:rPr>
                <w:sz w:val="20"/>
                <w:szCs w:val="20"/>
                <w:color w:val="auto"/>
              </w:rPr>
            </w:pPr>
            <w:r>
              <w:rPr>
                <w:rFonts w:ascii="Arial" w:cs="Arial" w:eastAsia="Arial" w:hAnsi="Arial"/>
                <w:sz w:val="14"/>
                <w:szCs w:val="14"/>
                <w:color w:val="auto"/>
                <w:w w:val="89"/>
              </w:rPr>
              <w:t>44</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August 2023</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October 2023</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October 2023</w:t>
            </w:r>
          </w:p>
        </w:tc>
        <w:tc>
          <w:tcPr>
            <w:tcW w:w="5820" w:type="dxa"/>
            <w:vAlign w:val="bottom"/>
            <w:shd w:val="clear" w:color="auto" w:fill="CCEEFF"/>
          </w:tcPr>
          <w:p>
            <w:pPr>
              <w:ind w:left="80"/>
              <w:spacing w:after="0"/>
              <w:rPr>
                <w:sz w:val="20"/>
                <w:szCs w:val="20"/>
                <w:color w:val="auto"/>
              </w:rPr>
            </w:pPr>
            <w:r>
              <w:rPr>
                <w:rFonts w:ascii="Arial" w:cs="Arial" w:eastAsia="Arial" w:hAnsi="Arial"/>
                <w:sz w:val="14"/>
                <w:szCs w:val="14"/>
                <w:color w:val="auto"/>
                <w:w w:val="96"/>
              </w:rPr>
              <w:t>Based on net change in invested capital of $405 million for the period February 1, 2023 through</w:t>
            </w:r>
          </w:p>
        </w:tc>
        <w:tc>
          <w:tcPr>
            <w:tcW w:w="0" w:type="dxa"/>
            <w:vAlign w:val="bottom"/>
          </w:tcPr>
          <w:p>
            <w:pPr>
              <w:spacing w:after="0"/>
              <w:rPr>
                <w:sz w:val="1"/>
                <w:szCs w:val="1"/>
                <w:color w:val="auto"/>
              </w:rPr>
            </w:pPr>
          </w:p>
        </w:tc>
      </w:tr>
      <w:tr>
        <w:trPr>
          <w:trHeight w:val="185"/>
        </w:trPr>
        <w:tc>
          <w:tcPr>
            <w:tcW w:w="12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5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June 30, 2023. Notice of Approval issued October 6, 2023.</w:t>
            </w:r>
          </w:p>
        </w:tc>
        <w:tc>
          <w:tcPr>
            <w:tcW w:w="0" w:type="dxa"/>
            <w:vAlign w:val="bottom"/>
          </w:tcPr>
          <w:p>
            <w:pPr>
              <w:spacing w:after="0"/>
              <w:rPr>
                <w:sz w:val="1"/>
                <w:szCs w:val="1"/>
                <w:color w:val="auto"/>
              </w:rPr>
            </w:pPr>
          </w:p>
        </w:tc>
      </w:tr>
      <w:tr>
        <w:trPr>
          <w:trHeight w:val="146"/>
        </w:trPr>
        <w:tc>
          <w:tcPr>
            <w:tcW w:w="1220" w:type="dxa"/>
            <w:vAlign w:val="bottom"/>
          </w:tcPr>
          <w:p>
            <w:pPr>
              <w:jc w:val="center"/>
              <w:spacing w:after="0" w:line="147" w:lineRule="exact"/>
              <w:rPr>
                <w:sz w:val="20"/>
                <w:szCs w:val="20"/>
                <w:color w:val="auto"/>
              </w:rPr>
            </w:pPr>
            <w:r>
              <w:rPr>
                <w:rFonts w:ascii="Arial" w:cs="Arial" w:eastAsia="Arial" w:hAnsi="Arial"/>
                <w:sz w:val="14"/>
                <w:szCs w:val="14"/>
                <w:color w:val="auto"/>
                <w:w w:val="94"/>
              </w:rPr>
              <w:t xml:space="preserve">EECRF </w:t>
            </w:r>
            <w:r>
              <w:rPr>
                <w:rFonts w:ascii="Arial" w:cs="Arial" w:eastAsia="Arial" w:hAnsi="Arial"/>
                <w:sz w:val="10"/>
                <w:szCs w:val="10"/>
                <w:color w:val="auto"/>
                <w:w w:val="94"/>
              </w:rPr>
              <w:t>(1)</w:t>
            </w:r>
          </w:p>
        </w:tc>
        <w:tc>
          <w:tcPr>
            <w:tcW w:w="1160" w:type="dxa"/>
            <w:vAlign w:val="bottom"/>
          </w:tcPr>
          <w:p>
            <w:pPr>
              <w:jc w:val="center"/>
              <w:ind w:left="31"/>
              <w:spacing w:after="0" w:line="147" w:lineRule="exact"/>
              <w:rPr>
                <w:sz w:val="20"/>
                <w:szCs w:val="20"/>
                <w:color w:val="auto"/>
              </w:rPr>
            </w:pPr>
            <w:r>
              <w:rPr>
                <w:rFonts w:ascii="Arial" w:cs="Arial" w:eastAsia="Arial" w:hAnsi="Arial"/>
                <w:sz w:val="14"/>
                <w:szCs w:val="14"/>
                <w:color w:val="auto"/>
                <w:w w:val="89"/>
              </w:rPr>
              <w:t>16</w:t>
            </w:r>
          </w:p>
        </w:tc>
        <w:tc>
          <w:tcPr>
            <w:tcW w:w="980" w:type="dxa"/>
            <w:vAlign w:val="bottom"/>
          </w:tcPr>
          <w:p>
            <w:pPr>
              <w:jc w:val="center"/>
              <w:spacing w:after="0" w:line="147" w:lineRule="exact"/>
              <w:rPr>
                <w:sz w:val="20"/>
                <w:szCs w:val="20"/>
                <w:color w:val="auto"/>
              </w:rPr>
            </w:pPr>
            <w:r>
              <w:rPr>
                <w:rFonts w:ascii="Arial" w:cs="Arial" w:eastAsia="Arial" w:hAnsi="Arial"/>
                <w:sz w:val="14"/>
                <w:szCs w:val="14"/>
                <w:color w:val="auto"/>
                <w:w w:val="85"/>
              </w:rPr>
              <w:t>June</w:t>
            </w:r>
          </w:p>
        </w:tc>
        <w:tc>
          <w:tcPr>
            <w:tcW w:w="1100" w:type="dxa"/>
            <w:vAlign w:val="bottom"/>
          </w:tcPr>
          <w:p>
            <w:pPr>
              <w:jc w:val="center"/>
              <w:spacing w:after="0" w:line="147" w:lineRule="exact"/>
              <w:rPr>
                <w:sz w:val="20"/>
                <w:szCs w:val="20"/>
                <w:color w:val="auto"/>
              </w:rPr>
            </w:pPr>
            <w:r>
              <w:rPr>
                <w:rFonts w:ascii="Arial" w:cs="Arial" w:eastAsia="Arial" w:hAnsi="Arial"/>
                <w:sz w:val="14"/>
                <w:szCs w:val="14"/>
                <w:color w:val="auto"/>
                <w:w w:val="99"/>
              </w:rPr>
              <w:t>TBD</w:t>
            </w:r>
          </w:p>
        </w:tc>
        <w:tc>
          <w:tcPr>
            <w:tcW w:w="960" w:type="dxa"/>
            <w:vAlign w:val="bottom"/>
          </w:tcPr>
          <w:p>
            <w:pPr>
              <w:jc w:val="center"/>
              <w:spacing w:after="0" w:line="147" w:lineRule="exact"/>
              <w:rPr>
                <w:sz w:val="20"/>
                <w:szCs w:val="20"/>
                <w:color w:val="auto"/>
              </w:rPr>
            </w:pPr>
            <w:r>
              <w:rPr>
                <w:rFonts w:ascii="Arial" w:cs="Arial" w:eastAsia="Arial" w:hAnsi="Arial"/>
                <w:sz w:val="14"/>
                <w:szCs w:val="14"/>
                <w:color w:val="auto"/>
                <w:w w:val="99"/>
              </w:rPr>
              <w:t>TBD</w:t>
            </w:r>
          </w:p>
        </w:tc>
        <w:tc>
          <w:tcPr>
            <w:tcW w:w="5820" w:type="dxa"/>
            <w:vAlign w:val="bottom"/>
          </w:tcPr>
          <w:p>
            <w:pPr>
              <w:ind w:left="80"/>
              <w:spacing w:after="0" w:line="147" w:lineRule="exact"/>
              <w:rPr>
                <w:sz w:val="20"/>
                <w:szCs w:val="20"/>
                <w:color w:val="auto"/>
              </w:rPr>
            </w:pPr>
            <w:r>
              <w:rPr>
                <w:rFonts w:ascii="Arial" w:cs="Arial" w:eastAsia="Arial" w:hAnsi="Arial"/>
                <w:sz w:val="14"/>
                <w:szCs w:val="14"/>
                <w:color w:val="auto"/>
              </w:rPr>
              <w:t>The requested $53 million is comprised primarily of the following: 2024 program costs of $38</w:t>
            </w:r>
          </w:p>
        </w:tc>
        <w:tc>
          <w:tcPr>
            <w:tcW w:w="0" w:type="dxa"/>
            <w:vAlign w:val="bottom"/>
          </w:tcPr>
          <w:p>
            <w:pPr>
              <w:spacing w:after="0"/>
              <w:rPr>
                <w:sz w:val="1"/>
                <w:szCs w:val="1"/>
                <w:color w:val="auto"/>
              </w:rPr>
            </w:pPr>
          </w:p>
        </w:tc>
      </w:tr>
      <w:tr>
        <w:trPr>
          <w:trHeight w:val="181"/>
        </w:trPr>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9"/>
              </w:rPr>
              <w:t>2023</w:t>
            </w: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20" w:type="dxa"/>
            <w:vAlign w:val="bottom"/>
          </w:tcPr>
          <w:p>
            <w:pPr>
              <w:ind w:left="80"/>
              <w:spacing w:after="0"/>
              <w:rPr>
                <w:sz w:val="20"/>
                <w:szCs w:val="20"/>
                <w:color w:val="auto"/>
              </w:rPr>
            </w:pPr>
            <w:r>
              <w:rPr>
                <w:rFonts w:ascii="Arial" w:cs="Arial" w:eastAsia="Arial" w:hAnsi="Arial"/>
                <w:sz w:val="14"/>
                <w:szCs w:val="14"/>
                <w:color w:val="auto"/>
                <w:w w:val="95"/>
              </w:rPr>
              <w:t>million; a credit of $2 million related to the over-recovery of 2022 program costs; the 2022 earned</w:t>
            </w: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20" w:type="dxa"/>
            <w:vAlign w:val="bottom"/>
          </w:tcPr>
          <w:p>
            <w:pPr>
              <w:ind w:left="80"/>
              <w:spacing w:after="0" w:line="147" w:lineRule="exact"/>
              <w:rPr>
                <w:sz w:val="20"/>
                <w:szCs w:val="20"/>
                <w:color w:val="auto"/>
              </w:rPr>
            </w:pPr>
            <w:r>
              <w:rPr>
                <w:rFonts w:ascii="Arial" w:cs="Arial" w:eastAsia="Arial" w:hAnsi="Arial"/>
                <w:sz w:val="14"/>
                <w:szCs w:val="14"/>
                <w:color w:val="auto"/>
                <w:w w:val="98"/>
              </w:rPr>
              <w:t>bonus of $16 million and 2024 projected evaluation, measurement and verification costs of $1</w:t>
            </w:r>
          </w:p>
        </w:tc>
        <w:tc>
          <w:tcPr>
            <w:tcW w:w="0" w:type="dxa"/>
            <w:vAlign w:val="bottom"/>
          </w:tcPr>
          <w:p>
            <w:pPr>
              <w:spacing w:after="0"/>
              <w:rPr>
                <w:sz w:val="1"/>
                <w:szCs w:val="1"/>
                <w:color w:val="auto"/>
              </w:rPr>
            </w:pPr>
          </w:p>
        </w:tc>
      </w:tr>
      <w:tr>
        <w:trPr>
          <w:trHeight w:val="180"/>
        </w:trPr>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20" w:type="dxa"/>
            <w:vAlign w:val="bottom"/>
          </w:tcPr>
          <w:p>
            <w:pPr>
              <w:ind w:left="80"/>
              <w:spacing w:after="0"/>
              <w:rPr>
                <w:sz w:val="20"/>
                <w:szCs w:val="20"/>
                <w:color w:val="auto"/>
              </w:rPr>
            </w:pPr>
            <w:r>
              <w:rPr>
                <w:rFonts w:ascii="Arial" w:cs="Arial" w:eastAsia="Arial" w:hAnsi="Arial"/>
                <w:sz w:val="14"/>
                <w:szCs w:val="14"/>
                <w:color w:val="auto"/>
              </w:rPr>
              <w:t>million.</w:t>
            </w:r>
          </w:p>
        </w:tc>
        <w:tc>
          <w:tcPr>
            <w:tcW w:w="0" w:type="dxa"/>
            <w:vAlign w:val="bottom"/>
          </w:tcPr>
          <w:p>
            <w:pPr>
              <w:spacing w:after="0"/>
              <w:rPr>
                <w:sz w:val="1"/>
                <w:szCs w:val="1"/>
                <w:color w:val="auto"/>
              </w:rPr>
            </w:pPr>
          </w:p>
        </w:tc>
      </w:tr>
      <w:tr>
        <w:trPr>
          <w:trHeight w:val="38"/>
        </w:trPr>
        <w:tc>
          <w:tcPr>
            <w:tcW w:w="1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5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1220" w:type="dxa"/>
            <w:vAlign w:val="bottom"/>
            <w:shd w:val="clear" w:color="auto" w:fill="CCEEFF"/>
          </w:tcPr>
          <w:p>
            <w:pPr>
              <w:jc w:val="center"/>
              <w:spacing w:after="0" w:line="133" w:lineRule="exact"/>
              <w:rPr>
                <w:sz w:val="20"/>
                <w:szCs w:val="20"/>
                <w:color w:val="auto"/>
              </w:rPr>
            </w:pPr>
            <w:r>
              <w:rPr>
                <w:rFonts w:ascii="Arial" w:cs="Arial" w:eastAsia="Arial" w:hAnsi="Arial"/>
                <w:sz w:val="14"/>
                <w:szCs w:val="14"/>
                <w:color w:val="auto"/>
                <w:w w:val="92"/>
              </w:rPr>
              <w:t>DCRF</w:t>
            </w:r>
          </w:p>
        </w:tc>
        <w:tc>
          <w:tcPr>
            <w:tcW w:w="1160" w:type="dxa"/>
            <w:vAlign w:val="bottom"/>
            <w:shd w:val="clear" w:color="auto" w:fill="CCEEFF"/>
          </w:tcPr>
          <w:p>
            <w:pPr>
              <w:jc w:val="center"/>
              <w:ind w:left="31"/>
              <w:spacing w:after="0" w:line="133" w:lineRule="exact"/>
              <w:rPr>
                <w:sz w:val="20"/>
                <w:szCs w:val="20"/>
                <w:color w:val="auto"/>
              </w:rPr>
            </w:pPr>
            <w:r>
              <w:rPr>
                <w:rFonts w:ascii="Arial" w:cs="Arial" w:eastAsia="Arial" w:hAnsi="Arial"/>
                <w:sz w:val="14"/>
                <w:szCs w:val="14"/>
                <w:color w:val="auto"/>
                <w:w w:val="89"/>
              </w:rPr>
              <w:t>70</w:t>
            </w:r>
          </w:p>
        </w:tc>
        <w:tc>
          <w:tcPr>
            <w:tcW w:w="980" w:type="dxa"/>
            <w:vAlign w:val="bottom"/>
            <w:shd w:val="clear" w:color="auto" w:fill="CCEEFF"/>
          </w:tcPr>
          <w:p>
            <w:pPr>
              <w:jc w:val="center"/>
              <w:spacing w:after="0" w:line="133" w:lineRule="exact"/>
              <w:rPr>
                <w:sz w:val="20"/>
                <w:szCs w:val="20"/>
                <w:color w:val="auto"/>
              </w:rPr>
            </w:pPr>
            <w:r>
              <w:rPr>
                <w:rFonts w:ascii="Arial" w:cs="Arial" w:eastAsia="Arial" w:hAnsi="Arial"/>
                <w:sz w:val="14"/>
                <w:szCs w:val="14"/>
                <w:color w:val="auto"/>
              </w:rPr>
              <w:t>April</w:t>
            </w:r>
          </w:p>
        </w:tc>
        <w:tc>
          <w:tcPr>
            <w:tcW w:w="1100" w:type="dxa"/>
            <w:vAlign w:val="bottom"/>
            <w:shd w:val="clear" w:color="auto" w:fill="CCEEFF"/>
          </w:tcPr>
          <w:p>
            <w:pPr>
              <w:jc w:val="center"/>
              <w:spacing w:after="0" w:line="133" w:lineRule="exact"/>
              <w:rPr>
                <w:sz w:val="20"/>
                <w:szCs w:val="20"/>
                <w:color w:val="auto"/>
              </w:rPr>
            </w:pPr>
            <w:r>
              <w:rPr>
                <w:rFonts w:ascii="Arial" w:cs="Arial" w:eastAsia="Arial" w:hAnsi="Arial"/>
                <w:sz w:val="14"/>
                <w:szCs w:val="14"/>
                <w:color w:val="auto"/>
                <w:w w:val="87"/>
              </w:rPr>
              <w:t>September</w:t>
            </w:r>
          </w:p>
        </w:tc>
        <w:tc>
          <w:tcPr>
            <w:tcW w:w="960" w:type="dxa"/>
            <w:vAlign w:val="bottom"/>
            <w:shd w:val="clear" w:color="auto" w:fill="CCEEFF"/>
          </w:tcPr>
          <w:p>
            <w:pPr>
              <w:jc w:val="center"/>
              <w:spacing w:after="0" w:line="133" w:lineRule="exact"/>
              <w:rPr>
                <w:sz w:val="20"/>
                <w:szCs w:val="20"/>
                <w:color w:val="auto"/>
              </w:rPr>
            </w:pPr>
            <w:r>
              <w:rPr>
                <w:rFonts w:ascii="Arial" w:cs="Arial" w:eastAsia="Arial" w:hAnsi="Arial"/>
                <w:sz w:val="14"/>
                <w:szCs w:val="14"/>
                <w:color w:val="auto"/>
                <w:w w:val="87"/>
              </w:rPr>
              <w:t>September</w:t>
            </w:r>
          </w:p>
        </w:tc>
        <w:tc>
          <w:tcPr>
            <w:tcW w:w="5820" w:type="dxa"/>
            <w:vAlign w:val="bottom"/>
            <w:shd w:val="clear" w:color="auto" w:fill="CCEEFF"/>
          </w:tcPr>
          <w:p>
            <w:pPr>
              <w:ind w:left="80"/>
              <w:spacing w:after="0" w:line="133" w:lineRule="exact"/>
              <w:rPr>
                <w:sz w:val="20"/>
                <w:szCs w:val="20"/>
                <w:color w:val="auto"/>
              </w:rPr>
            </w:pPr>
            <w:r>
              <w:rPr>
                <w:rFonts w:ascii="Arial" w:cs="Arial" w:eastAsia="Arial" w:hAnsi="Arial"/>
                <w:sz w:val="14"/>
                <w:szCs w:val="14"/>
                <w:color w:val="auto"/>
                <w:w w:val="94"/>
              </w:rPr>
              <w:t>The net change in distribution invested capital since its last base rate proceeding of approximately</w:t>
            </w:r>
          </w:p>
        </w:tc>
        <w:tc>
          <w:tcPr>
            <w:tcW w:w="0" w:type="dxa"/>
            <w:vAlign w:val="bottom"/>
          </w:tcPr>
          <w:p>
            <w:pPr>
              <w:spacing w:after="0"/>
              <w:rPr>
                <w:sz w:val="1"/>
                <w:szCs w:val="1"/>
                <w:color w:val="auto"/>
              </w:rPr>
            </w:pPr>
          </w:p>
        </w:tc>
      </w:tr>
      <w:tr>
        <w:trPr>
          <w:trHeight w:val="141"/>
        </w:trPr>
        <w:tc>
          <w:tcPr>
            <w:tcW w:w="1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89"/>
              </w:rPr>
              <w:t>2023</w:t>
            </w:r>
          </w:p>
        </w:tc>
        <w:tc>
          <w:tcPr>
            <w:tcW w:w="110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89"/>
              </w:rPr>
              <w:t>2023</w:t>
            </w:r>
          </w:p>
        </w:tc>
        <w:tc>
          <w:tcPr>
            <w:tcW w:w="96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89"/>
              </w:rPr>
              <w:t>2023</w:t>
            </w:r>
          </w:p>
        </w:tc>
        <w:tc>
          <w:tcPr>
            <w:tcW w:w="5820" w:type="dxa"/>
            <w:vAlign w:val="bottom"/>
            <w:shd w:val="clear" w:color="auto" w:fill="CCEEFF"/>
          </w:tcPr>
          <w:p>
            <w:pPr>
              <w:ind w:left="80"/>
              <w:spacing w:after="0" w:line="141" w:lineRule="exact"/>
              <w:rPr>
                <w:sz w:val="20"/>
                <w:szCs w:val="20"/>
                <w:color w:val="auto"/>
              </w:rPr>
            </w:pPr>
            <w:r>
              <w:rPr>
                <w:rFonts w:ascii="Arial" w:cs="Arial" w:eastAsia="Arial" w:hAnsi="Arial"/>
                <w:sz w:val="14"/>
                <w:szCs w:val="14"/>
                <w:color w:val="auto"/>
                <w:w w:val="91"/>
              </w:rPr>
              <w:t>$1.9 billion for the period January 1, 2019 through December 31, 2022 for a revenue increase of $85</w:t>
            </w:r>
          </w:p>
        </w:tc>
        <w:tc>
          <w:tcPr>
            <w:tcW w:w="0" w:type="dxa"/>
            <w:vAlign w:val="bottom"/>
          </w:tcPr>
          <w:p>
            <w:pPr>
              <w:spacing w:after="0"/>
              <w:rPr>
                <w:sz w:val="1"/>
                <w:szCs w:val="1"/>
                <w:color w:val="auto"/>
              </w:rPr>
            </w:pPr>
          </w:p>
        </w:tc>
      </w:tr>
      <w:tr>
        <w:trPr>
          <w:trHeight w:val="146"/>
        </w:trPr>
        <w:tc>
          <w:tcPr>
            <w:tcW w:w="1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820" w:type="dxa"/>
            <w:vAlign w:val="bottom"/>
            <w:shd w:val="clear" w:color="auto" w:fill="CCEEFF"/>
          </w:tcPr>
          <w:p>
            <w:pPr>
              <w:ind w:left="80"/>
              <w:spacing w:after="0" w:line="147" w:lineRule="exact"/>
              <w:rPr>
                <w:sz w:val="20"/>
                <w:szCs w:val="20"/>
                <w:color w:val="auto"/>
              </w:rPr>
            </w:pPr>
            <w:r>
              <w:rPr>
                <w:rFonts w:ascii="Arial" w:cs="Arial" w:eastAsia="Arial" w:hAnsi="Arial"/>
                <w:sz w:val="14"/>
                <w:szCs w:val="14"/>
                <w:color w:val="auto"/>
                <w:w w:val="94"/>
              </w:rPr>
              <w:t>million, adjusted for load growth. On July 14, 2023 a settlement was filed that results in a revenue</w:t>
            </w:r>
          </w:p>
        </w:tc>
        <w:tc>
          <w:tcPr>
            <w:tcW w:w="0" w:type="dxa"/>
            <w:vAlign w:val="bottom"/>
          </w:tcPr>
          <w:p>
            <w:pPr>
              <w:spacing w:after="0"/>
              <w:rPr>
                <w:sz w:val="1"/>
                <w:szCs w:val="1"/>
                <w:color w:val="auto"/>
              </w:rPr>
            </w:pPr>
          </w:p>
        </w:tc>
      </w:tr>
      <w:tr>
        <w:trPr>
          <w:trHeight w:val="138"/>
        </w:trPr>
        <w:tc>
          <w:tcPr>
            <w:tcW w:w="1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820" w:type="dxa"/>
            <w:vAlign w:val="bottom"/>
            <w:shd w:val="clear" w:color="auto" w:fill="CCEEFF"/>
          </w:tcPr>
          <w:p>
            <w:pPr>
              <w:ind w:left="80"/>
              <w:spacing w:after="0" w:line="139" w:lineRule="exact"/>
              <w:rPr>
                <w:sz w:val="20"/>
                <w:szCs w:val="20"/>
                <w:color w:val="auto"/>
              </w:rPr>
            </w:pPr>
            <w:r>
              <w:rPr>
                <w:rFonts w:ascii="Arial" w:cs="Arial" w:eastAsia="Arial" w:hAnsi="Arial"/>
                <w:sz w:val="14"/>
                <w:szCs w:val="14"/>
                <w:color w:val="auto"/>
              </w:rPr>
              <w:t>increase of $70 million adjusted for load growth. Order approving the rates included in the</w:t>
            </w:r>
          </w:p>
        </w:tc>
        <w:tc>
          <w:tcPr>
            <w:tcW w:w="0" w:type="dxa"/>
            <w:vAlign w:val="bottom"/>
          </w:tcPr>
          <w:p>
            <w:pPr>
              <w:spacing w:after="0"/>
              <w:rPr>
                <w:sz w:val="1"/>
                <w:szCs w:val="1"/>
                <w:color w:val="auto"/>
              </w:rPr>
            </w:pPr>
          </w:p>
        </w:tc>
      </w:tr>
      <w:tr>
        <w:trPr>
          <w:trHeight w:val="199"/>
        </w:trPr>
        <w:tc>
          <w:tcPr>
            <w:tcW w:w="1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820" w:type="dxa"/>
            <w:vAlign w:val="bottom"/>
            <w:shd w:val="clear" w:color="auto" w:fill="CCEEFF"/>
          </w:tcPr>
          <w:p>
            <w:pPr>
              <w:ind w:left="80"/>
              <w:spacing w:after="0"/>
              <w:rPr>
                <w:sz w:val="20"/>
                <w:szCs w:val="20"/>
                <w:color w:val="auto"/>
              </w:rPr>
            </w:pPr>
            <w:r>
              <w:rPr>
                <w:rFonts w:ascii="Arial" w:cs="Arial" w:eastAsia="Arial" w:hAnsi="Arial"/>
                <w:sz w:val="14"/>
                <w:szCs w:val="14"/>
                <w:color w:val="auto"/>
              </w:rPr>
              <w:t>settlement was issued September 14, 2023.</w:t>
            </w:r>
          </w:p>
        </w:tc>
        <w:tc>
          <w:tcPr>
            <w:tcW w:w="0" w:type="dxa"/>
            <w:vAlign w:val="bottom"/>
          </w:tcPr>
          <w:p>
            <w:pPr>
              <w:spacing w:after="0"/>
              <w:rPr>
                <w:sz w:val="1"/>
                <w:szCs w:val="1"/>
                <w:color w:val="auto"/>
              </w:rPr>
            </w:pPr>
          </w:p>
        </w:tc>
      </w:tr>
      <w:tr>
        <w:trPr>
          <w:trHeight w:val="140"/>
        </w:trPr>
        <w:tc>
          <w:tcPr>
            <w:tcW w:w="1220" w:type="dxa"/>
            <w:vAlign w:val="bottom"/>
          </w:tcPr>
          <w:p>
            <w:pPr>
              <w:jc w:val="center"/>
              <w:spacing w:after="0" w:line="140" w:lineRule="exact"/>
              <w:rPr>
                <w:sz w:val="20"/>
                <w:szCs w:val="20"/>
                <w:color w:val="auto"/>
              </w:rPr>
            </w:pPr>
            <w:r>
              <w:rPr>
                <w:rFonts w:ascii="Arial" w:cs="Arial" w:eastAsia="Arial" w:hAnsi="Arial"/>
                <w:sz w:val="14"/>
                <w:szCs w:val="14"/>
                <w:color w:val="auto"/>
                <w:w w:val="93"/>
              </w:rPr>
              <w:t xml:space="preserve">TEEEF </w:t>
            </w:r>
            <w:r>
              <w:rPr>
                <w:rFonts w:ascii="Arial" w:cs="Arial" w:eastAsia="Arial" w:hAnsi="Arial"/>
                <w:sz w:val="9"/>
                <w:szCs w:val="9"/>
                <w:color w:val="auto"/>
                <w:w w:val="93"/>
              </w:rPr>
              <w:t>(1)</w:t>
            </w:r>
          </w:p>
        </w:tc>
        <w:tc>
          <w:tcPr>
            <w:tcW w:w="1160" w:type="dxa"/>
            <w:vAlign w:val="bottom"/>
          </w:tcPr>
          <w:p>
            <w:pPr>
              <w:jc w:val="center"/>
              <w:ind w:left="11"/>
              <w:spacing w:after="0" w:line="140" w:lineRule="exact"/>
              <w:rPr>
                <w:sz w:val="20"/>
                <w:szCs w:val="20"/>
                <w:color w:val="auto"/>
              </w:rPr>
            </w:pPr>
            <w:r>
              <w:rPr>
                <w:rFonts w:ascii="Arial" w:cs="Arial" w:eastAsia="Arial" w:hAnsi="Arial"/>
                <w:sz w:val="14"/>
                <w:szCs w:val="14"/>
                <w:color w:val="auto"/>
                <w:w w:val="85"/>
              </w:rPr>
              <w:t>149</w:t>
            </w:r>
          </w:p>
        </w:tc>
        <w:tc>
          <w:tcPr>
            <w:tcW w:w="980" w:type="dxa"/>
            <w:vAlign w:val="bottom"/>
          </w:tcPr>
          <w:p>
            <w:pPr>
              <w:jc w:val="center"/>
              <w:spacing w:after="0" w:line="140" w:lineRule="exact"/>
              <w:rPr>
                <w:sz w:val="20"/>
                <w:szCs w:val="20"/>
                <w:color w:val="auto"/>
              </w:rPr>
            </w:pPr>
            <w:r>
              <w:rPr>
                <w:rFonts w:ascii="Arial" w:cs="Arial" w:eastAsia="Arial" w:hAnsi="Arial"/>
                <w:sz w:val="14"/>
                <w:szCs w:val="14"/>
                <w:color w:val="auto"/>
              </w:rPr>
              <w:t>April</w:t>
            </w:r>
          </w:p>
        </w:tc>
        <w:tc>
          <w:tcPr>
            <w:tcW w:w="1100" w:type="dxa"/>
            <w:vAlign w:val="bottom"/>
          </w:tcPr>
          <w:p>
            <w:pPr>
              <w:jc w:val="center"/>
              <w:spacing w:after="0" w:line="140" w:lineRule="exact"/>
              <w:rPr>
                <w:sz w:val="20"/>
                <w:szCs w:val="20"/>
                <w:color w:val="auto"/>
              </w:rPr>
            </w:pPr>
            <w:r>
              <w:rPr>
                <w:rFonts w:ascii="Arial" w:cs="Arial" w:eastAsia="Arial" w:hAnsi="Arial"/>
                <w:sz w:val="14"/>
                <w:szCs w:val="14"/>
                <w:color w:val="auto"/>
                <w:w w:val="99"/>
              </w:rPr>
              <w:t>TBD</w:t>
            </w:r>
          </w:p>
        </w:tc>
        <w:tc>
          <w:tcPr>
            <w:tcW w:w="960" w:type="dxa"/>
            <w:vAlign w:val="bottom"/>
          </w:tcPr>
          <w:p>
            <w:pPr>
              <w:jc w:val="center"/>
              <w:spacing w:after="0" w:line="140" w:lineRule="exact"/>
              <w:rPr>
                <w:sz w:val="20"/>
                <w:szCs w:val="20"/>
                <w:color w:val="auto"/>
              </w:rPr>
            </w:pPr>
            <w:r>
              <w:rPr>
                <w:rFonts w:ascii="Arial" w:cs="Arial" w:eastAsia="Arial" w:hAnsi="Arial"/>
                <w:sz w:val="14"/>
                <w:szCs w:val="14"/>
                <w:color w:val="auto"/>
                <w:w w:val="99"/>
              </w:rPr>
              <w:t>TBD</w:t>
            </w:r>
          </w:p>
        </w:tc>
        <w:tc>
          <w:tcPr>
            <w:tcW w:w="5820" w:type="dxa"/>
            <w:vAlign w:val="bottom"/>
          </w:tcPr>
          <w:p>
            <w:pPr>
              <w:ind w:left="80"/>
              <w:spacing w:after="0" w:line="140" w:lineRule="exact"/>
              <w:rPr>
                <w:sz w:val="20"/>
                <w:szCs w:val="20"/>
                <w:color w:val="auto"/>
              </w:rPr>
            </w:pPr>
            <w:r>
              <w:rPr>
                <w:rFonts w:ascii="Arial" w:cs="Arial" w:eastAsia="Arial" w:hAnsi="Arial"/>
                <w:sz w:val="14"/>
                <w:szCs w:val="14"/>
                <w:color w:val="auto"/>
                <w:w w:val="95"/>
              </w:rPr>
              <w:t>A total Rider TEEEF revenue requirement of $188 million for cost incurred through December 31,</w:t>
            </w:r>
          </w:p>
        </w:tc>
        <w:tc>
          <w:tcPr>
            <w:tcW w:w="0" w:type="dxa"/>
            <w:vAlign w:val="bottom"/>
          </w:tcPr>
          <w:p>
            <w:pPr>
              <w:spacing w:after="0"/>
              <w:rPr>
                <w:sz w:val="1"/>
                <w:szCs w:val="1"/>
                <w:color w:val="auto"/>
              </w:rPr>
            </w:pPr>
          </w:p>
        </w:tc>
      </w:tr>
      <w:tr>
        <w:trPr>
          <w:trHeight w:val="134"/>
        </w:trPr>
        <w:tc>
          <w:tcPr>
            <w:tcW w:w="1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89"/>
              </w:rPr>
              <w:t>2023</w:t>
            </w:r>
          </w:p>
        </w:tc>
        <w:tc>
          <w:tcPr>
            <w:tcW w:w="1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20" w:type="dxa"/>
            <w:vAlign w:val="bottom"/>
          </w:tcPr>
          <w:p>
            <w:pPr>
              <w:ind w:left="80"/>
              <w:spacing w:after="0" w:line="135" w:lineRule="exact"/>
              <w:rPr>
                <w:sz w:val="20"/>
                <w:szCs w:val="20"/>
                <w:color w:val="auto"/>
              </w:rPr>
            </w:pPr>
            <w:r>
              <w:rPr>
                <w:rFonts w:ascii="Arial" w:cs="Arial" w:eastAsia="Arial" w:hAnsi="Arial"/>
                <w:sz w:val="14"/>
                <w:szCs w:val="14"/>
                <w:color w:val="auto"/>
                <w:w w:val="92"/>
              </w:rPr>
              <w:t>2022. The revenue change between the rates resulting from the 2022 TEEEF and this application is</w:t>
            </w: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20" w:type="dxa"/>
            <w:vAlign w:val="bottom"/>
          </w:tcPr>
          <w:p>
            <w:pPr>
              <w:ind w:left="80"/>
              <w:spacing w:after="0" w:line="147" w:lineRule="exact"/>
              <w:rPr>
                <w:sz w:val="20"/>
                <w:szCs w:val="20"/>
                <w:color w:val="auto"/>
              </w:rPr>
            </w:pPr>
            <w:r>
              <w:rPr>
                <w:rFonts w:ascii="Arial" w:cs="Arial" w:eastAsia="Arial" w:hAnsi="Arial"/>
                <w:sz w:val="14"/>
                <w:szCs w:val="14"/>
                <w:color w:val="auto"/>
                <w:w w:val="97"/>
              </w:rPr>
              <w:t>$149 million. Interim rates effective September 1, 2023. Settlement in principle announced and</w:t>
            </w:r>
          </w:p>
        </w:tc>
        <w:tc>
          <w:tcPr>
            <w:tcW w:w="0" w:type="dxa"/>
            <w:vAlign w:val="bottom"/>
          </w:tcPr>
          <w:p>
            <w:pPr>
              <w:spacing w:after="0"/>
              <w:rPr>
                <w:sz w:val="1"/>
                <w:szCs w:val="1"/>
                <w:color w:val="auto"/>
              </w:rPr>
            </w:pPr>
          </w:p>
        </w:tc>
      </w:tr>
      <w:tr>
        <w:trPr>
          <w:trHeight w:val="180"/>
        </w:trPr>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20" w:type="dxa"/>
            <w:vAlign w:val="bottom"/>
          </w:tcPr>
          <w:p>
            <w:pPr>
              <w:ind w:left="80"/>
              <w:spacing w:after="0"/>
              <w:rPr>
                <w:sz w:val="20"/>
                <w:szCs w:val="20"/>
                <w:color w:val="auto"/>
              </w:rPr>
            </w:pPr>
            <w:r>
              <w:rPr>
                <w:rFonts w:ascii="Arial" w:cs="Arial" w:eastAsia="Arial" w:hAnsi="Arial"/>
                <w:sz w:val="14"/>
                <w:szCs w:val="14"/>
                <w:color w:val="auto"/>
              </w:rPr>
              <w:t>motion to abate filed October 12, 2023.</w:t>
            </w:r>
          </w:p>
        </w:tc>
        <w:tc>
          <w:tcPr>
            <w:tcW w:w="0" w:type="dxa"/>
            <w:vAlign w:val="bottom"/>
          </w:tcPr>
          <w:p>
            <w:pPr>
              <w:spacing w:after="0"/>
              <w:rPr>
                <w:sz w:val="1"/>
                <w:szCs w:val="1"/>
                <w:color w:val="auto"/>
              </w:rPr>
            </w:pPr>
          </w:p>
        </w:tc>
      </w:tr>
      <w:tr>
        <w:trPr>
          <w:trHeight w:val="24"/>
        </w:trPr>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1220" w:type="dxa"/>
            <w:vAlign w:val="bottom"/>
            <w:shd w:val="clear" w:color="auto" w:fill="CCEEFF"/>
          </w:tcPr>
          <w:p>
            <w:pPr>
              <w:jc w:val="center"/>
              <w:spacing w:after="0" w:line="133" w:lineRule="exact"/>
              <w:rPr>
                <w:sz w:val="20"/>
                <w:szCs w:val="20"/>
                <w:color w:val="auto"/>
              </w:rPr>
            </w:pPr>
            <w:r>
              <w:rPr>
                <w:rFonts w:ascii="Arial" w:cs="Arial" w:eastAsia="Arial" w:hAnsi="Arial"/>
                <w:sz w:val="14"/>
                <w:szCs w:val="14"/>
                <w:color w:val="auto"/>
                <w:w w:val="92"/>
              </w:rPr>
              <w:t>TCOS</w:t>
            </w:r>
          </w:p>
        </w:tc>
        <w:tc>
          <w:tcPr>
            <w:tcW w:w="1160" w:type="dxa"/>
            <w:vAlign w:val="bottom"/>
            <w:shd w:val="clear" w:color="auto" w:fill="CCEEFF"/>
          </w:tcPr>
          <w:p>
            <w:pPr>
              <w:jc w:val="center"/>
              <w:ind w:left="31"/>
              <w:spacing w:after="0" w:line="133" w:lineRule="exact"/>
              <w:rPr>
                <w:sz w:val="20"/>
                <w:szCs w:val="20"/>
                <w:color w:val="auto"/>
              </w:rPr>
            </w:pPr>
            <w:r>
              <w:rPr>
                <w:rFonts w:ascii="Arial" w:cs="Arial" w:eastAsia="Arial" w:hAnsi="Arial"/>
                <w:sz w:val="14"/>
                <w:szCs w:val="14"/>
                <w:color w:val="auto"/>
                <w:w w:val="89"/>
              </w:rPr>
              <w:t>40</w:t>
            </w:r>
          </w:p>
        </w:tc>
        <w:tc>
          <w:tcPr>
            <w:tcW w:w="980" w:type="dxa"/>
            <w:vAlign w:val="bottom"/>
            <w:shd w:val="clear" w:color="auto" w:fill="CCEEFF"/>
          </w:tcPr>
          <w:p>
            <w:pPr>
              <w:jc w:val="center"/>
              <w:spacing w:after="0" w:line="133" w:lineRule="exact"/>
              <w:rPr>
                <w:sz w:val="20"/>
                <w:szCs w:val="20"/>
                <w:color w:val="auto"/>
              </w:rPr>
            </w:pPr>
            <w:r>
              <w:rPr>
                <w:rFonts w:ascii="Arial" w:cs="Arial" w:eastAsia="Arial" w:hAnsi="Arial"/>
                <w:sz w:val="14"/>
                <w:szCs w:val="14"/>
                <w:color w:val="auto"/>
                <w:w w:val="94"/>
              </w:rPr>
              <w:t>March 2023</w:t>
            </w:r>
          </w:p>
        </w:tc>
        <w:tc>
          <w:tcPr>
            <w:tcW w:w="1100" w:type="dxa"/>
            <w:vAlign w:val="bottom"/>
            <w:shd w:val="clear" w:color="auto" w:fill="CCEEFF"/>
          </w:tcPr>
          <w:p>
            <w:pPr>
              <w:jc w:val="center"/>
              <w:spacing w:after="0" w:line="133" w:lineRule="exact"/>
              <w:rPr>
                <w:sz w:val="20"/>
                <w:szCs w:val="20"/>
                <w:color w:val="auto"/>
              </w:rPr>
            </w:pPr>
            <w:r>
              <w:rPr>
                <w:rFonts w:ascii="Arial" w:cs="Arial" w:eastAsia="Arial" w:hAnsi="Arial"/>
                <w:sz w:val="14"/>
                <w:szCs w:val="14"/>
                <w:color w:val="auto"/>
                <w:w w:val="98"/>
              </w:rPr>
              <w:t>May</w:t>
            </w:r>
          </w:p>
        </w:tc>
        <w:tc>
          <w:tcPr>
            <w:tcW w:w="960" w:type="dxa"/>
            <w:vAlign w:val="bottom"/>
            <w:shd w:val="clear" w:color="auto" w:fill="CCEEFF"/>
          </w:tcPr>
          <w:p>
            <w:pPr>
              <w:jc w:val="center"/>
              <w:spacing w:after="0" w:line="133" w:lineRule="exact"/>
              <w:rPr>
                <w:sz w:val="20"/>
                <w:szCs w:val="20"/>
                <w:color w:val="auto"/>
              </w:rPr>
            </w:pPr>
            <w:r>
              <w:rPr>
                <w:rFonts w:ascii="Arial" w:cs="Arial" w:eastAsia="Arial" w:hAnsi="Arial"/>
                <w:sz w:val="14"/>
                <w:szCs w:val="14"/>
                <w:color w:val="auto"/>
                <w:w w:val="98"/>
              </w:rPr>
              <w:t>May</w:t>
            </w:r>
          </w:p>
        </w:tc>
        <w:tc>
          <w:tcPr>
            <w:tcW w:w="5820" w:type="dxa"/>
            <w:vAlign w:val="bottom"/>
            <w:shd w:val="clear" w:color="auto" w:fill="CCEEFF"/>
          </w:tcPr>
          <w:p>
            <w:pPr>
              <w:ind w:left="80"/>
              <w:spacing w:after="0" w:line="133" w:lineRule="exact"/>
              <w:rPr>
                <w:sz w:val="20"/>
                <w:szCs w:val="20"/>
                <w:color w:val="auto"/>
              </w:rPr>
            </w:pPr>
            <w:r>
              <w:rPr>
                <w:rFonts w:ascii="Arial" w:cs="Arial" w:eastAsia="Arial" w:hAnsi="Arial"/>
                <w:sz w:val="14"/>
                <w:szCs w:val="14"/>
                <w:color w:val="auto"/>
                <w:w w:val="99"/>
              </w:rPr>
              <w:t>Based on net change in invested capital of $367 million for the period August 1, 2022 through</w:t>
            </w:r>
          </w:p>
        </w:tc>
        <w:tc>
          <w:tcPr>
            <w:tcW w:w="0" w:type="dxa"/>
            <w:vAlign w:val="bottom"/>
          </w:tcPr>
          <w:p>
            <w:pPr>
              <w:spacing w:after="0"/>
              <w:rPr>
                <w:sz w:val="1"/>
                <w:szCs w:val="1"/>
                <w:color w:val="auto"/>
              </w:rPr>
            </w:pPr>
          </w:p>
        </w:tc>
      </w:tr>
      <w:tr>
        <w:trPr>
          <w:trHeight w:val="199"/>
        </w:trPr>
        <w:tc>
          <w:tcPr>
            <w:tcW w:w="1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2023</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2023</w:t>
            </w:r>
          </w:p>
        </w:tc>
        <w:tc>
          <w:tcPr>
            <w:tcW w:w="5820" w:type="dxa"/>
            <w:vAlign w:val="bottom"/>
            <w:shd w:val="clear" w:color="auto" w:fill="CCEEFF"/>
          </w:tcPr>
          <w:p>
            <w:pPr>
              <w:ind w:left="80"/>
              <w:spacing w:after="0"/>
              <w:rPr>
                <w:sz w:val="20"/>
                <w:szCs w:val="20"/>
                <w:color w:val="auto"/>
              </w:rPr>
            </w:pPr>
            <w:r>
              <w:rPr>
                <w:rFonts w:ascii="Arial" w:cs="Arial" w:eastAsia="Arial" w:hAnsi="Arial"/>
                <w:sz w:val="14"/>
                <w:szCs w:val="14"/>
                <w:color w:val="auto"/>
              </w:rPr>
              <w:t>January 31, 2023.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6"/>
              </w:rPr>
              <w:t>Annual</w:t>
            </w: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240" w:type="dxa"/>
            <w:vAlign w:val="bottom"/>
          </w:tcPr>
          <w:p>
            <w:pPr>
              <w:spacing w:after="0"/>
              <w:rPr>
                <w:sz w:val="11"/>
                <w:szCs w:val="11"/>
                <w:color w:val="auto"/>
              </w:rPr>
            </w:pPr>
          </w:p>
        </w:tc>
        <w:tc>
          <w:tcPr>
            <w:tcW w:w="114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87"/>
              </w:rPr>
              <w:t>Increase</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Filing</w:t>
            </w:r>
          </w:p>
        </w:tc>
        <w:tc>
          <w:tcPr>
            <w:tcW w:w="110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Approval</w:t>
            </w:r>
          </w:p>
        </w:tc>
        <w:tc>
          <w:tcPr>
            <w:tcW w:w="5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Mechanism</w:t>
            </w:r>
          </w:p>
        </w:tc>
        <w:tc>
          <w:tcPr>
            <w:tcW w:w="11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 xml:space="preserve">(Decrease) </w:t>
            </w:r>
            <w:r>
              <w:rPr>
                <w:rFonts w:ascii="Arial" w:cs="Arial" w:eastAsia="Arial" w:hAnsi="Arial"/>
                <w:sz w:val="10"/>
                <w:szCs w:val="10"/>
                <w:b w:val="1"/>
                <w:bCs w:val="1"/>
                <w:color w:val="auto"/>
                <w:w w:val="88"/>
              </w:rPr>
              <w:t>(1)</w:t>
            </w:r>
          </w:p>
        </w:tc>
        <w:tc>
          <w:tcPr>
            <w:tcW w:w="980" w:type="dxa"/>
            <w:vAlign w:val="bottom"/>
            <w:vMerge w:val="continue"/>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Effective Date</w:t>
            </w:r>
          </w:p>
        </w:tc>
        <w:tc>
          <w:tcPr>
            <w:tcW w:w="960" w:type="dxa"/>
            <w:vAlign w:val="bottom"/>
            <w:vMerge w:val="continue"/>
          </w:tcPr>
          <w:p>
            <w:pPr>
              <w:spacing w:after="0"/>
              <w:rPr>
                <w:sz w:val="12"/>
                <w:szCs w:val="12"/>
                <w:color w:val="auto"/>
              </w:rPr>
            </w:pPr>
          </w:p>
        </w:tc>
        <w:tc>
          <w:tcPr>
            <w:tcW w:w="5820" w:type="dxa"/>
            <w:vAlign w:val="bottom"/>
            <w:vMerge w:val="restart"/>
          </w:tcPr>
          <w:p>
            <w:pPr>
              <w:ind w:left="2240"/>
              <w:spacing w:after="0"/>
              <w:rPr>
                <w:sz w:val="20"/>
                <w:szCs w:val="20"/>
                <w:color w:val="auto"/>
              </w:rPr>
            </w:pPr>
            <w:r>
              <w:rPr>
                <w:rFonts w:ascii="Arial" w:cs="Arial" w:eastAsia="Arial" w:hAnsi="Arial"/>
                <w:sz w:val="14"/>
                <w:szCs w:val="14"/>
                <w:b w:val="1"/>
                <w:bCs w:val="1"/>
                <w:color w:val="auto"/>
              </w:rPr>
              <w:t>Additional Information</w:t>
            </w:r>
          </w:p>
        </w:tc>
        <w:tc>
          <w:tcPr>
            <w:tcW w:w="0" w:type="dxa"/>
            <w:vAlign w:val="bottom"/>
          </w:tcPr>
          <w:p>
            <w:pPr>
              <w:spacing w:after="0"/>
              <w:rPr>
                <w:sz w:val="1"/>
                <w:szCs w:val="1"/>
                <w:color w:val="auto"/>
              </w:rPr>
            </w:pPr>
          </w:p>
        </w:tc>
      </w:tr>
      <w:tr>
        <w:trPr>
          <w:trHeight w:val="168"/>
        </w:trPr>
        <w:tc>
          <w:tcPr>
            <w:tcW w:w="1240" w:type="dxa"/>
            <w:vAlign w:val="bottom"/>
            <w:vMerge w:val="continue"/>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1"/>
                <w:szCs w:val="11"/>
                <w:b w:val="1"/>
                <w:bCs w:val="1"/>
                <w:color w:val="auto"/>
                <w:w w:val="87"/>
              </w:rPr>
              <w:t>(in millions)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100" w:type="dxa"/>
            <w:vAlign w:val="bottom"/>
            <w:vMerge w:val="continue"/>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5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1240" w:type="dxa"/>
            <w:vAlign w:val="bottom"/>
          </w:tcPr>
          <w:p>
            <w:pPr>
              <w:jc w:val="center"/>
              <w:spacing w:after="0" w:line="139" w:lineRule="exact"/>
              <w:rPr>
                <w:sz w:val="20"/>
                <w:szCs w:val="20"/>
                <w:color w:val="auto"/>
              </w:rPr>
            </w:pPr>
            <w:r>
              <w:rPr>
                <w:rFonts w:ascii="Arial" w:cs="Arial" w:eastAsia="Arial" w:hAnsi="Arial"/>
                <w:sz w:val="14"/>
                <w:szCs w:val="14"/>
                <w:color w:val="auto"/>
                <w:w w:val="92"/>
              </w:rPr>
              <w:t>DCRF</w:t>
            </w:r>
          </w:p>
        </w:tc>
        <w:tc>
          <w:tcPr>
            <w:tcW w:w="1140" w:type="dxa"/>
            <w:vAlign w:val="bottom"/>
          </w:tcPr>
          <w:p>
            <w:pPr>
              <w:jc w:val="center"/>
              <w:spacing w:after="0" w:line="139" w:lineRule="exact"/>
              <w:rPr>
                <w:sz w:val="20"/>
                <w:szCs w:val="20"/>
                <w:color w:val="auto"/>
              </w:rPr>
            </w:pPr>
            <w:r>
              <w:rPr>
                <w:rFonts w:ascii="Arial" w:cs="Arial" w:eastAsia="Arial" w:hAnsi="Arial"/>
                <w:sz w:val="14"/>
                <w:szCs w:val="14"/>
                <w:color w:val="auto"/>
                <w:w w:val="94"/>
              </w:rPr>
              <w:t>117</w:t>
            </w:r>
          </w:p>
        </w:tc>
        <w:tc>
          <w:tcPr>
            <w:tcW w:w="980" w:type="dxa"/>
            <w:vAlign w:val="bottom"/>
          </w:tcPr>
          <w:p>
            <w:pPr>
              <w:jc w:val="center"/>
              <w:spacing w:after="0" w:line="139" w:lineRule="exact"/>
              <w:rPr>
                <w:sz w:val="20"/>
                <w:szCs w:val="20"/>
                <w:color w:val="auto"/>
              </w:rPr>
            </w:pPr>
            <w:r>
              <w:rPr>
                <w:rFonts w:ascii="Arial" w:cs="Arial" w:eastAsia="Arial" w:hAnsi="Arial"/>
                <w:sz w:val="14"/>
                <w:szCs w:val="14"/>
                <w:color w:val="auto"/>
              </w:rPr>
              <w:t>April</w:t>
            </w:r>
          </w:p>
        </w:tc>
        <w:tc>
          <w:tcPr>
            <w:tcW w:w="1100" w:type="dxa"/>
            <w:vAlign w:val="bottom"/>
          </w:tcPr>
          <w:p>
            <w:pPr>
              <w:jc w:val="center"/>
              <w:spacing w:after="0" w:line="139" w:lineRule="exact"/>
              <w:rPr>
                <w:sz w:val="20"/>
                <w:szCs w:val="20"/>
                <w:color w:val="auto"/>
              </w:rPr>
            </w:pPr>
            <w:r>
              <w:rPr>
                <w:rFonts w:ascii="Arial" w:cs="Arial" w:eastAsia="Arial" w:hAnsi="Arial"/>
                <w:sz w:val="14"/>
                <w:szCs w:val="14"/>
                <w:color w:val="auto"/>
              </w:rPr>
              <w:t>April</w:t>
            </w:r>
          </w:p>
        </w:tc>
        <w:tc>
          <w:tcPr>
            <w:tcW w:w="960" w:type="dxa"/>
            <w:vAlign w:val="bottom"/>
          </w:tcPr>
          <w:p>
            <w:pPr>
              <w:jc w:val="center"/>
              <w:spacing w:after="0" w:line="139" w:lineRule="exact"/>
              <w:rPr>
                <w:sz w:val="20"/>
                <w:szCs w:val="20"/>
                <w:color w:val="auto"/>
              </w:rPr>
            </w:pPr>
            <w:r>
              <w:rPr>
                <w:rFonts w:ascii="Arial" w:cs="Arial" w:eastAsia="Arial" w:hAnsi="Arial"/>
                <w:sz w:val="14"/>
                <w:szCs w:val="14"/>
                <w:color w:val="auto"/>
                <w:w w:val="95"/>
              </w:rPr>
              <w:t>April 2023</w:t>
            </w:r>
          </w:p>
        </w:tc>
        <w:tc>
          <w:tcPr>
            <w:tcW w:w="5820" w:type="dxa"/>
            <w:vAlign w:val="bottom"/>
          </w:tcPr>
          <w:p>
            <w:pPr>
              <w:ind w:left="80"/>
              <w:spacing w:after="0" w:line="139" w:lineRule="exact"/>
              <w:rPr>
                <w:sz w:val="20"/>
                <w:szCs w:val="20"/>
                <w:color w:val="auto"/>
              </w:rPr>
            </w:pPr>
            <w:r>
              <w:rPr>
                <w:rFonts w:ascii="Arial" w:cs="Arial" w:eastAsia="Arial" w:hAnsi="Arial"/>
                <w:sz w:val="14"/>
                <w:szCs w:val="14"/>
                <w:color w:val="auto"/>
                <w:w w:val="95"/>
              </w:rPr>
              <w:t>Original filing included both capital that has traditionally been recovered under DCRF and TEEEF</w:t>
            </w:r>
          </w:p>
        </w:tc>
        <w:tc>
          <w:tcPr>
            <w:tcW w:w="0" w:type="dxa"/>
            <w:vAlign w:val="bottom"/>
          </w:tcPr>
          <w:p>
            <w:pPr>
              <w:spacing w:after="0"/>
              <w:rPr>
                <w:sz w:val="1"/>
                <w:szCs w:val="1"/>
                <w:color w:val="auto"/>
              </w:rPr>
            </w:pPr>
          </w:p>
        </w:tc>
      </w:tr>
      <w:tr>
        <w:trPr>
          <w:trHeight w:val="141"/>
        </w:trPr>
        <w:tc>
          <w:tcPr>
            <w:tcW w:w="1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80" w:type="dxa"/>
            <w:vAlign w:val="bottom"/>
          </w:tcPr>
          <w:p>
            <w:pPr>
              <w:jc w:val="center"/>
              <w:spacing w:after="0" w:line="141" w:lineRule="exact"/>
              <w:rPr>
                <w:sz w:val="20"/>
                <w:szCs w:val="20"/>
                <w:color w:val="auto"/>
              </w:rPr>
            </w:pPr>
            <w:r>
              <w:rPr>
                <w:rFonts w:ascii="Arial" w:cs="Arial" w:eastAsia="Arial" w:hAnsi="Arial"/>
                <w:sz w:val="14"/>
                <w:szCs w:val="14"/>
                <w:color w:val="auto"/>
                <w:w w:val="89"/>
              </w:rPr>
              <w:t>2022</w:t>
            </w:r>
          </w:p>
        </w:tc>
        <w:tc>
          <w:tcPr>
            <w:tcW w:w="1100" w:type="dxa"/>
            <w:vAlign w:val="bottom"/>
          </w:tcPr>
          <w:p>
            <w:pPr>
              <w:jc w:val="center"/>
              <w:spacing w:after="0" w:line="141" w:lineRule="exact"/>
              <w:rPr>
                <w:sz w:val="20"/>
                <w:szCs w:val="20"/>
                <w:color w:val="auto"/>
              </w:rPr>
            </w:pPr>
            <w:r>
              <w:rPr>
                <w:rFonts w:ascii="Arial" w:cs="Arial" w:eastAsia="Arial" w:hAnsi="Arial"/>
                <w:sz w:val="14"/>
                <w:szCs w:val="14"/>
                <w:color w:val="auto"/>
                <w:w w:val="89"/>
              </w:rPr>
              <w:t>2023</w:t>
            </w:r>
          </w:p>
        </w:tc>
        <w:tc>
          <w:tcPr>
            <w:tcW w:w="960" w:type="dxa"/>
            <w:vAlign w:val="bottom"/>
          </w:tcPr>
          <w:p>
            <w:pPr>
              <w:spacing w:after="0"/>
              <w:rPr>
                <w:sz w:val="12"/>
                <w:szCs w:val="12"/>
                <w:color w:val="auto"/>
              </w:rPr>
            </w:pPr>
          </w:p>
        </w:tc>
        <w:tc>
          <w:tcPr>
            <w:tcW w:w="5820" w:type="dxa"/>
            <w:vAlign w:val="bottom"/>
          </w:tcPr>
          <w:p>
            <w:pPr>
              <w:ind w:left="80"/>
              <w:spacing w:after="0" w:line="141" w:lineRule="exact"/>
              <w:rPr>
                <w:sz w:val="20"/>
                <w:szCs w:val="20"/>
                <w:color w:val="auto"/>
              </w:rPr>
            </w:pPr>
            <w:r>
              <w:rPr>
                <w:rFonts w:ascii="Arial" w:cs="Arial" w:eastAsia="Arial" w:hAnsi="Arial"/>
                <w:sz w:val="14"/>
                <w:szCs w:val="14"/>
                <w:color w:val="auto"/>
                <w:w w:val="97"/>
              </w:rPr>
              <w:t>capital; the filing was separated into traditional DCRF and TEEEF in June 2022. The traditional</w:t>
            </w:r>
          </w:p>
        </w:tc>
        <w:tc>
          <w:tcPr>
            <w:tcW w:w="0" w:type="dxa"/>
            <w:vAlign w:val="bottom"/>
          </w:tcPr>
          <w:p>
            <w:pPr>
              <w:spacing w:after="0"/>
              <w:rPr>
                <w:sz w:val="1"/>
                <w:szCs w:val="1"/>
                <w:color w:val="auto"/>
              </w:rPr>
            </w:pPr>
          </w:p>
        </w:tc>
      </w:tr>
      <w:tr>
        <w:trPr>
          <w:trHeight w:val="146"/>
        </w:trPr>
        <w:tc>
          <w:tcPr>
            <w:tcW w:w="1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20" w:type="dxa"/>
            <w:vAlign w:val="bottom"/>
          </w:tcPr>
          <w:p>
            <w:pPr>
              <w:ind w:left="80"/>
              <w:spacing w:after="0" w:line="147" w:lineRule="exact"/>
              <w:rPr>
                <w:sz w:val="20"/>
                <w:szCs w:val="20"/>
                <w:color w:val="auto"/>
              </w:rPr>
            </w:pPr>
            <w:r>
              <w:rPr>
                <w:rFonts w:ascii="Arial" w:cs="Arial" w:eastAsia="Arial" w:hAnsi="Arial"/>
                <w:sz w:val="14"/>
                <w:szCs w:val="14"/>
                <w:color w:val="auto"/>
                <w:w w:val="94"/>
              </w:rPr>
              <w:t>DCRF portion revenue requirement of $78 million was approved and was implemented September</w:t>
            </w:r>
          </w:p>
        </w:tc>
        <w:tc>
          <w:tcPr>
            <w:tcW w:w="0" w:type="dxa"/>
            <w:vAlign w:val="bottom"/>
          </w:tcPr>
          <w:p>
            <w:pPr>
              <w:spacing w:after="0"/>
              <w:rPr>
                <w:sz w:val="1"/>
                <w:szCs w:val="1"/>
                <w:color w:val="auto"/>
              </w:rPr>
            </w:pPr>
          </w:p>
        </w:tc>
      </w:tr>
      <w:tr>
        <w:trPr>
          <w:trHeight w:val="138"/>
        </w:trPr>
        <w:tc>
          <w:tcPr>
            <w:tcW w:w="1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20" w:type="dxa"/>
            <w:vAlign w:val="bottom"/>
          </w:tcPr>
          <w:p>
            <w:pPr>
              <w:ind w:left="80"/>
              <w:spacing w:after="0" w:line="139" w:lineRule="exact"/>
              <w:rPr>
                <w:sz w:val="20"/>
                <w:szCs w:val="20"/>
                <w:color w:val="auto"/>
              </w:rPr>
            </w:pPr>
            <w:r>
              <w:rPr>
                <w:rFonts w:ascii="Arial" w:cs="Arial" w:eastAsia="Arial" w:hAnsi="Arial"/>
                <w:sz w:val="14"/>
                <w:szCs w:val="14"/>
                <w:color w:val="auto"/>
                <w:w w:val="94"/>
              </w:rPr>
              <w:t>1, 2022. A final order was issued on April 5, 2023 approving a TEEEF revenue requirement of $39</w:t>
            </w:r>
          </w:p>
        </w:tc>
        <w:tc>
          <w:tcPr>
            <w:tcW w:w="0" w:type="dxa"/>
            <w:vAlign w:val="bottom"/>
          </w:tcPr>
          <w:p>
            <w:pPr>
              <w:spacing w:after="0"/>
              <w:rPr>
                <w:sz w:val="1"/>
                <w:szCs w:val="1"/>
                <w:color w:val="auto"/>
              </w:rPr>
            </w:pPr>
          </w:p>
        </w:tc>
      </w:tr>
      <w:tr>
        <w:trPr>
          <w:trHeight w:val="141"/>
        </w:trPr>
        <w:tc>
          <w:tcPr>
            <w:tcW w:w="1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20" w:type="dxa"/>
            <w:vAlign w:val="bottom"/>
          </w:tcPr>
          <w:p>
            <w:pPr>
              <w:ind w:left="80"/>
              <w:spacing w:after="0" w:line="141" w:lineRule="exact"/>
              <w:rPr>
                <w:sz w:val="20"/>
                <w:szCs w:val="20"/>
                <w:color w:val="auto"/>
              </w:rPr>
            </w:pPr>
            <w:r>
              <w:rPr>
                <w:rFonts w:ascii="Arial" w:cs="Arial" w:eastAsia="Arial" w:hAnsi="Arial"/>
                <w:sz w:val="14"/>
                <w:szCs w:val="14"/>
                <w:color w:val="auto"/>
                <w:w w:val="96"/>
              </w:rPr>
              <w:t>million with rates effective April 15, 2023. On April 28, 2023 and May 1, 2023 certain intervenors</w:t>
            </w:r>
          </w:p>
        </w:tc>
        <w:tc>
          <w:tcPr>
            <w:tcW w:w="0" w:type="dxa"/>
            <w:vAlign w:val="bottom"/>
          </w:tcPr>
          <w:p>
            <w:pPr>
              <w:spacing w:after="0"/>
              <w:rPr>
                <w:sz w:val="1"/>
                <w:szCs w:val="1"/>
                <w:color w:val="auto"/>
              </w:rPr>
            </w:pPr>
          </w:p>
        </w:tc>
      </w:tr>
      <w:tr>
        <w:trPr>
          <w:trHeight w:val="146"/>
        </w:trPr>
        <w:tc>
          <w:tcPr>
            <w:tcW w:w="1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20" w:type="dxa"/>
            <w:vAlign w:val="bottom"/>
          </w:tcPr>
          <w:p>
            <w:pPr>
              <w:ind w:left="80"/>
              <w:spacing w:after="0" w:line="147" w:lineRule="exact"/>
              <w:rPr>
                <w:sz w:val="20"/>
                <w:szCs w:val="20"/>
                <w:color w:val="auto"/>
              </w:rPr>
            </w:pPr>
            <w:r>
              <w:rPr>
                <w:rFonts w:ascii="Arial" w:cs="Arial" w:eastAsia="Arial" w:hAnsi="Arial"/>
                <w:sz w:val="14"/>
                <w:szCs w:val="14"/>
                <w:color w:val="auto"/>
                <w:w w:val="95"/>
              </w:rPr>
              <w:t>filed motions for rehearing of the PUCT’s April 5, 2023 order. On May 25, 2023 the PUCT issued</w:t>
            </w:r>
          </w:p>
        </w:tc>
        <w:tc>
          <w:tcPr>
            <w:tcW w:w="0" w:type="dxa"/>
            <w:vAlign w:val="bottom"/>
          </w:tcPr>
          <w:p>
            <w:pPr>
              <w:spacing w:after="0"/>
              <w:rPr>
                <w:sz w:val="1"/>
                <w:szCs w:val="1"/>
                <w:color w:val="auto"/>
              </w:rPr>
            </w:pPr>
          </w:p>
        </w:tc>
      </w:tr>
      <w:tr>
        <w:trPr>
          <w:trHeight w:val="138"/>
        </w:trPr>
        <w:tc>
          <w:tcPr>
            <w:tcW w:w="1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20" w:type="dxa"/>
            <w:vAlign w:val="bottom"/>
          </w:tcPr>
          <w:p>
            <w:pPr>
              <w:ind w:left="80"/>
              <w:spacing w:after="0" w:line="139" w:lineRule="exact"/>
              <w:rPr>
                <w:sz w:val="20"/>
                <w:szCs w:val="20"/>
                <w:color w:val="auto"/>
              </w:rPr>
            </w:pPr>
            <w:r>
              <w:rPr>
                <w:rFonts w:ascii="Arial" w:cs="Arial" w:eastAsia="Arial" w:hAnsi="Arial"/>
                <w:sz w:val="14"/>
                <w:szCs w:val="14"/>
                <w:color w:val="auto"/>
                <w:w w:val="99"/>
              </w:rPr>
              <w:t>its order on rehearing which clarified some of the findings, but did not change the approval of</w:t>
            </w:r>
          </w:p>
        </w:tc>
        <w:tc>
          <w:tcPr>
            <w:tcW w:w="0" w:type="dxa"/>
            <w:vAlign w:val="bottom"/>
          </w:tcPr>
          <w:p>
            <w:pPr>
              <w:spacing w:after="0"/>
              <w:rPr>
                <w:sz w:val="1"/>
                <w:szCs w:val="1"/>
                <w:color w:val="auto"/>
              </w:rPr>
            </w:pPr>
          </w:p>
        </w:tc>
      </w:tr>
      <w:tr>
        <w:trPr>
          <w:trHeight w:val="141"/>
        </w:trPr>
        <w:tc>
          <w:tcPr>
            <w:tcW w:w="1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20" w:type="dxa"/>
            <w:vAlign w:val="bottom"/>
          </w:tcPr>
          <w:p>
            <w:pPr>
              <w:ind w:left="80"/>
              <w:spacing w:after="0" w:line="141" w:lineRule="exact"/>
              <w:rPr>
                <w:sz w:val="20"/>
                <w:szCs w:val="20"/>
                <w:color w:val="auto"/>
              </w:rPr>
            </w:pPr>
            <w:r>
              <w:rPr>
                <w:rFonts w:ascii="Arial" w:cs="Arial" w:eastAsia="Arial" w:hAnsi="Arial"/>
                <w:sz w:val="14"/>
                <w:szCs w:val="14"/>
                <w:color w:val="auto"/>
                <w:w w:val="94"/>
              </w:rPr>
              <w:t>TEEEF cost recovery. On June 19, 2023 certain intervenors filed motions for rehearing of the May</w:t>
            </w:r>
          </w:p>
        </w:tc>
        <w:tc>
          <w:tcPr>
            <w:tcW w:w="0" w:type="dxa"/>
            <w:vAlign w:val="bottom"/>
          </w:tcPr>
          <w:p>
            <w:pPr>
              <w:spacing w:after="0"/>
              <w:rPr>
                <w:sz w:val="1"/>
                <w:szCs w:val="1"/>
                <w:color w:val="auto"/>
              </w:rPr>
            </w:pPr>
          </w:p>
        </w:tc>
      </w:tr>
      <w:tr>
        <w:trPr>
          <w:trHeight w:val="146"/>
        </w:trPr>
        <w:tc>
          <w:tcPr>
            <w:tcW w:w="1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20" w:type="dxa"/>
            <w:vAlign w:val="bottom"/>
          </w:tcPr>
          <w:p>
            <w:pPr>
              <w:ind w:left="80"/>
              <w:spacing w:after="0" w:line="147" w:lineRule="exact"/>
              <w:rPr>
                <w:sz w:val="20"/>
                <w:szCs w:val="20"/>
                <w:color w:val="auto"/>
              </w:rPr>
            </w:pPr>
            <w:r>
              <w:rPr>
                <w:rFonts w:ascii="Arial" w:cs="Arial" w:eastAsia="Arial" w:hAnsi="Arial"/>
                <w:sz w:val="14"/>
                <w:szCs w:val="14"/>
                <w:color w:val="auto"/>
                <w:w w:val="97"/>
              </w:rPr>
              <w:t>25, 2023 order on rehearing. The PUCT denied the motions for rehearing in an order issued on</w:t>
            </w: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20" w:type="dxa"/>
            <w:vAlign w:val="bottom"/>
          </w:tcPr>
          <w:p>
            <w:pPr>
              <w:ind w:left="80"/>
              <w:spacing w:after="0"/>
              <w:rPr>
                <w:sz w:val="20"/>
                <w:szCs w:val="20"/>
                <w:color w:val="auto"/>
              </w:rPr>
            </w:pPr>
            <w:r>
              <w:rPr>
                <w:rFonts w:ascii="Arial" w:cs="Arial" w:eastAsia="Arial" w:hAnsi="Arial"/>
                <w:sz w:val="14"/>
                <w:szCs w:val="14"/>
                <w:color w:val="auto"/>
                <w:w w:val="93"/>
              </w:rPr>
              <w:t>August 3, 2023. See Note 6 to the Interim Condensed Financial Statements for further information.</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0000" w:type="dxa"/>
            <w:vAlign w:val="bottom"/>
            <w:gridSpan w:val="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240" w:type="dxa"/>
            <w:vAlign w:val="bottom"/>
            <w:tcBorders>
              <w:bottom w:val="single" w:sz="8" w:color="auto"/>
            </w:tcBorders>
            <w:shd w:val="clear" w:color="auto" w:fill="CCEEFF"/>
          </w:tcPr>
          <w:p>
            <w:pPr>
              <w:spacing w:after="0"/>
              <w:rPr>
                <w:sz w:val="16"/>
                <w:szCs w:val="16"/>
                <w:color w:val="auto"/>
              </w:rPr>
            </w:pPr>
          </w:p>
        </w:tc>
        <w:tc>
          <w:tcPr>
            <w:tcW w:w="10000" w:type="dxa"/>
            <w:vAlign w:val="bottom"/>
            <w:tcBorders>
              <w:bottom w:val="single" w:sz="8" w:color="auto"/>
            </w:tcBorders>
            <w:gridSpan w:val="5"/>
            <w:shd w:val="clear" w:color="auto" w:fill="CCEEFF"/>
          </w:tcPr>
          <w:p>
            <w:pPr>
              <w:jc w:val="center"/>
              <w:ind w:right="1169"/>
              <w:spacing w:after="0"/>
              <w:rPr>
                <w:sz w:val="20"/>
                <w:szCs w:val="20"/>
                <w:color w:val="auto"/>
              </w:rPr>
            </w:pPr>
            <w:r>
              <w:rPr>
                <w:rFonts w:ascii="Arial" w:cs="Arial" w:eastAsia="Arial" w:hAnsi="Arial"/>
                <w:sz w:val="14"/>
                <w:szCs w:val="14"/>
                <w:b w:val="1"/>
                <w:bCs w:val="1"/>
                <w:color w:val="auto"/>
                <w:w w:val="91"/>
              </w:rPr>
              <w:t>CenterPoint Energy and CERC - Beaumont/East Texas, South Texas, Houston and Texas Coast (Railroad Commission)</w:t>
            </w:r>
          </w:p>
        </w:tc>
        <w:tc>
          <w:tcPr>
            <w:tcW w:w="0" w:type="dxa"/>
            <w:vAlign w:val="bottom"/>
          </w:tcPr>
          <w:p>
            <w:pPr>
              <w:spacing w:after="0"/>
              <w:rPr>
                <w:sz w:val="1"/>
                <w:szCs w:val="1"/>
                <w:color w:val="auto"/>
              </w:rPr>
            </w:pPr>
          </w:p>
        </w:tc>
      </w:tr>
      <w:tr>
        <w:trPr>
          <w:trHeight w:val="133"/>
        </w:trPr>
        <w:tc>
          <w:tcPr>
            <w:tcW w:w="1240" w:type="dxa"/>
            <w:vAlign w:val="bottom"/>
          </w:tcPr>
          <w:p>
            <w:pPr>
              <w:jc w:val="center"/>
              <w:spacing w:after="0" w:line="133" w:lineRule="exact"/>
              <w:rPr>
                <w:sz w:val="20"/>
                <w:szCs w:val="20"/>
                <w:color w:val="auto"/>
              </w:rPr>
            </w:pPr>
            <w:r>
              <w:rPr>
                <w:rFonts w:ascii="Arial" w:cs="Arial" w:eastAsia="Arial" w:hAnsi="Arial"/>
                <w:sz w:val="14"/>
                <w:szCs w:val="14"/>
                <w:color w:val="auto"/>
                <w:w w:val="93"/>
              </w:rPr>
              <w:t>GRIP</w:t>
            </w:r>
          </w:p>
        </w:tc>
        <w:tc>
          <w:tcPr>
            <w:tcW w:w="1140" w:type="dxa"/>
            <w:vAlign w:val="bottom"/>
          </w:tcPr>
          <w:p>
            <w:pPr>
              <w:jc w:val="center"/>
              <w:spacing w:after="0" w:line="133" w:lineRule="exact"/>
              <w:rPr>
                <w:sz w:val="20"/>
                <w:szCs w:val="20"/>
                <w:color w:val="auto"/>
              </w:rPr>
            </w:pPr>
            <w:r>
              <w:rPr>
                <w:rFonts w:ascii="Arial" w:cs="Arial" w:eastAsia="Arial" w:hAnsi="Arial"/>
                <w:sz w:val="14"/>
                <w:szCs w:val="14"/>
                <w:color w:val="auto"/>
                <w:w w:val="89"/>
              </w:rPr>
              <w:t>60</w:t>
            </w:r>
          </w:p>
        </w:tc>
        <w:tc>
          <w:tcPr>
            <w:tcW w:w="980" w:type="dxa"/>
            <w:vAlign w:val="bottom"/>
          </w:tcPr>
          <w:p>
            <w:pPr>
              <w:jc w:val="center"/>
              <w:spacing w:after="0" w:line="133" w:lineRule="exact"/>
              <w:rPr>
                <w:sz w:val="20"/>
                <w:szCs w:val="20"/>
                <w:color w:val="auto"/>
              </w:rPr>
            </w:pPr>
            <w:r>
              <w:rPr>
                <w:rFonts w:ascii="Arial" w:cs="Arial" w:eastAsia="Arial" w:hAnsi="Arial"/>
                <w:sz w:val="14"/>
                <w:szCs w:val="14"/>
                <w:color w:val="auto"/>
                <w:w w:val="91"/>
              </w:rPr>
              <w:t>March 2023</w:t>
            </w:r>
          </w:p>
        </w:tc>
        <w:tc>
          <w:tcPr>
            <w:tcW w:w="1100" w:type="dxa"/>
            <w:vAlign w:val="bottom"/>
          </w:tcPr>
          <w:p>
            <w:pPr>
              <w:jc w:val="center"/>
              <w:spacing w:after="0" w:line="133" w:lineRule="exact"/>
              <w:rPr>
                <w:sz w:val="20"/>
                <w:szCs w:val="20"/>
                <w:color w:val="auto"/>
              </w:rPr>
            </w:pPr>
            <w:r>
              <w:rPr>
                <w:rFonts w:ascii="Arial" w:cs="Arial" w:eastAsia="Arial" w:hAnsi="Arial"/>
                <w:sz w:val="14"/>
                <w:szCs w:val="14"/>
                <w:color w:val="auto"/>
                <w:w w:val="85"/>
              </w:rPr>
              <w:t>June</w:t>
            </w:r>
          </w:p>
        </w:tc>
        <w:tc>
          <w:tcPr>
            <w:tcW w:w="960" w:type="dxa"/>
            <w:vAlign w:val="bottom"/>
          </w:tcPr>
          <w:p>
            <w:pPr>
              <w:jc w:val="center"/>
              <w:spacing w:after="0" w:line="133" w:lineRule="exact"/>
              <w:rPr>
                <w:sz w:val="20"/>
                <w:szCs w:val="20"/>
                <w:color w:val="auto"/>
              </w:rPr>
            </w:pPr>
            <w:r>
              <w:rPr>
                <w:rFonts w:ascii="Arial" w:cs="Arial" w:eastAsia="Arial" w:hAnsi="Arial"/>
                <w:sz w:val="14"/>
                <w:szCs w:val="14"/>
                <w:color w:val="auto"/>
                <w:w w:val="85"/>
              </w:rPr>
              <w:t>June</w:t>
            </w:r>
          </w:p>
        </w:tc>
        <w:tc>
          <w:tcPr>
            <w:tcW w:w="5820" w:type="dxa"/>
            <w:vAlign w:val="bottom"/>
          </w:tcPr>
          <w:p>
            <w:pPr>
              <w:ind w:left="80"/>
              <w:spacing w:after="0" w:line="133" w:lineRule="exact"/>
              <w:rPr>
                <w:sz w:val="20"/>
                <w:szCs w:val="20"/>
                <w:color w:val="auto"/>
              </w:rPr>
            </w:pPr>
            <w:r>
              <w:rPr>
                <w:rFonts w:ascii="Arial" w:cs="Arial" w:eastAsia="Arial" w:hAnsi="Arial"/>
                <w:sz w:val="14"/>
                <w:szCs w:val="14"/>
                <w:color w:val="auto"/>
              </w:rPr>
              <w:t>Based on net change in invested capital for calendar year 2022 of $390 million.</w:t>
            </w:r>
          </w:p>
        </w:tc>
        <w:tc>
          <w:tcPr>
            <w:tcW w:w="0" w:type="dxa"/>
            <w:vAlign w:val="bottom"/>
          </w:tcPr>
          <w:p>
            <w:pPr>
              <w:spacing w:after="0"/>
              <w:rPr>
                <w:sz w:val="1"/>
                <w:szCs w:val="1"/>
                <w:color w:val="auto"/>
              </w:rPr>
            </w:pPr>
          </w:p>
        </w:tc>
      </w:tr>
      <w:tr>
        <w:trPr>
          <w:trHeight w:val="190"/>
        </w:trPr>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2023</w:t>
            </w: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2023</w:t>
            </w:r>
          </w:p>
        </w:tc>
        <w:tc>
          <w:tcPr>
            <w:tcW w:w="5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7880" w:type="dxa"/>
            <w:vAlign w:val="bottom"/>
            <w:tcBorders>
              <w:bottom w:val="single" w:sz="8" w:color="auto"/>
            </w:tcBorders>
            <w:gridSpan w:val="3"/>
            <w:shd w:val="clear" w:color="auto" w:fill="CCEEFF"/>
          </w:tcPr>
          <w:p>
            <w:pPr>
              <w:jc w:val="center"/>
              <w:ind w:right="3269"/>
              <w:spacing w:after="0"/>
              <w:rPr>
                <w:sz w:val="20"/>
                <w:szCs w:val="20"/>
                <w:color w:val="auto"/>
              </w:rPr>
            </w:pPr>
            <w:r>
              <w:rPr>
                <w:rFonts w:ascii="Arial" w:cs="Arial" w:eastAsia="Arial" w:hAnsi="Arial"/>
                <w:sz w:val="14"/>
                <w:szCs w:val="14"/>
                <w:b w:val="1"/>
                <w:bCs w:val="1"/>
                <w:color w:val="auto"/>
                <w:w w:val="94"/>
              </w:rPr>
              <w:t>CenterPoint Energy and CERC - Minnesota (MPUC)</w:t>
            </w:r>
          </w:p>
        </w:tc>
        <w:tc>
          <w:tcPr>
            <w:tcW w:w="0" w:type="dxa"/>
            <w:vAlign w:val="bottom"/>
          </w:tcPr>
          <w:p>
            <w:pPr>
              <w:spacing w:after="0"/>
              <w:rPr>
                <w:sz w:val="1"/>
                <w:szCs w:val="1"/>
                <w:color w:val="auto"/>
              </w:rPr>
            </w:pPr>
          </w:p>
        </w:tc>
      </w:tr>
      <w:tr>
        <w:trPr>
          <w:trHeight w:val="133"/>
        </w:trPr>
        <w:tc>
          <w:tcPr>
            <w:tcW w:w="1240" w:type="dxa"/>
            <w:vAlign w:val="bottom"/>
          </w:tcPr>
          <w:p>
            <w:pPr>
              <w:jc w:val="center"/>
              <w:spacing w:after="0" w:line="133" w:lineRule="exact"/>
              <w:rPr>
                <w:sz w:val="20"/>
                <w:szCs w:val="20"/>
                <w:color w:val="auto"/>
              </w:rPr>
            </w:pPr>
            <w:r>
              <w:rPr>
                <w:rFonts w:ascii="Arial" w:cs="Arial" w:eastAsia="Arial" w:hAnsi="Arial"/>
                <w:sz w:val="14"/>
                <w:szCs w:val="14"/>
                <w:color w:val="auto"/>
                <w:w w:val="93"/>
              </w:rPr>
              <w:t>CIP Financial</w:t>
            </w:r>
          </w:p>
        </w:tc>
        <w:tc>
          <w:tcPr>
            <w:tcW w:w="1140" w:type="dxa"/>
            <w:vAlign w:val="bottom"/>
          </w:tcPr>
          <w:p>
            <w:pPr>
              <w:jc w:val="center"/>
              <w:spacing w:after="0" w:line="133" w:lineRule="exact"/>
              <w:rPr>
                <w:sz w:val="20"/>
                <w:szCs w:val="20"/>
                <w:color w:val="auto"/>
              </w:rPr>
            </w:pPr>
            <w:r>
              <w:rPr>
                <w:rFonts w:ascii="Arial" w:cs="Arial" w:eastAsia="Arial" w:hAnsi="Arial"/>
                <w:sz w:val="14"/>
                <w:szCs w:val="14"/>
                <w:color w:val="auto"/>
                <w:w w:val="76"/>
              </w:rPr>
              <w:t>8</w:t>
            </w:r>
          </w:p>
        </w:tc>
        <w:tc>
          <w:tcPr>
            <w:tcW w:w="980" w:type="dxa"/>
            <w:vAlign w:val="bottom"/>
          </w:tcPr>
          <w:p>
            <w:pPr>
              <w:jc w:val="center"/>
              <w:spacing w:after="0" w:line="133" w:lineRule="exact"/>
              <w:rPr>
                <w:sz w:val="20"/>
                <w:szCs w:val="20"/>
                <w:color w:val="auto"/>
              </w:rPr>
            </w:pPr>
            <w:r>
              <w:rPr>
                <w:rFonts w:ascii="Arial" w:cs="Arial" w:eastAsia="Arial" w:hAnsi="Arial"/>
                <w:sz w:val="14"/>
                <w:szCs w:val="14"/>
                <w:color w:val="auto"/>
                <w:w w:val="98"/>
              </w:rPr>
              <w:t>May</w:t>
            </w:r>
          </w:p>
        </w:tc>
        <w:tc>
          <w:tcPr>
            <w:tcW w:w="1100" w:type="dxa"/>
            <w:vAlign w:val="bottom"/>
          </w:tcPr>
          <w:p>
            <w:pPr>
              <w:jc w:val="center"/>
              <w:spacing w:after="0" w:line="133" w:lineRule="exact"/>
              <w:rPr>
                <w:sz w:val="20"/>
                <w:szCs w:val="20"/>
                <w:color w:val="auto"/>
              </w:rPr>
            </w:pPr>
            <w:r>
              <w:rPr>
                <w:rFonts w:ascii="Arial" w:cs="Arial" w:eastAsia="Arial" w:hAnsi="Arial"/>
                <w:sz w:val="14"/>
                <w:szCs w:val="14"/>
                <w:color w:val="auto"/>
                <w:w w:val="87"/>
              </w:rPr>
              <w:t>September</w:t>
            </w:r>
          </w:p>
        </w:tc>
        <w:tc>
          <w:tcPr>
            <w:tcW w:w="960" w:type="dxa"/>
            <w:vAlign w:val="bottom"/>
          </w:tcPr>
          <w:p>
            <w:pPr>
              <w:jc w:val="center"/>
              <w:spacing w:after="0" w:line="133" w:lineRule="exact"/>
              <w:rPr>
                <w:sz w:val="20"/>
                <w:szCs w:val="20"/>
                <w:color w:val="auto"/>
              </w:rPr>
            </w:pPr>
            <w:r>
              <w:rPr>
                <w:rFonts w:ascii="Arial" w:cs="Arial" w:eastAsia="Arial" w:hAnsi="Arial"/>
                <w:sz w:val="14"/>
                <w:szCs w:val="14"/>
                <w:color w:val="auto"/>
                <w:w w:val="89"/>
              </w:rPr>
              <w:t>October 2023</w:t>
            </w:r>
          </w:p>
        </w:tc>
        <w:tc>
          <w:tcPr>
            <w:tcW w:w="5820" w:type="dxa"/>
            <w:vAlign w:val="bottom"/>
          </w:tcPr>
          <w:p>
            <w:pPr>
              <w:ind w:left="80"/>
              <w:spacing w:after="0" w:line="133" w:lineRule="exact"/>
              <w:rPr>
                <w:sz w:val="20"/>
                <w:szCs w:val="20"/>
                <w:color w:val="auto"/>
              </w:rPr>
            </w:pPr>
            <w:r>
              <w:rPr>
                <w:rFonts w:ascii="Arial" w:cs="Arial" w:eastAsia="Arial" w:hAnsi="Arial"/>
                <w:sz w:val="14"/>
                <w:szCs w:val="14"/>
                <w:color w:val="auto"/>
              </w:rPr>
              <w:t>CIP Financial Incentive based on 2022 CIP program activity.</w:t>
            </w:r>
          </w:p>
        </w:tc>
        <w:tc>
          <w:tcPr>
            <w:tcW w:w="0" w:type="dxa"/>
            <w:vAlign w:val="bottom"/>
          </w:tcPr>
          <w:p>
            <w:pPr>
              <w:spacing w:after="0"/>
              <w:rPr>
                <w:sz w:val="1"/>
                <w:szCs w:val="1"/>
                <w:color w:val="auto"/>
              </w:rPr>
            </w:pPr>
          </w:p>
        </w:tc>
      </w:tr>
      <w:tr>
        <w:trPr>
          <w:trHeight w:val="199"/>
        </w:trPr>
        <w:tc>
          <w:tcPr>
            <w:tcW w:w="1240" w:type="dxa"/>
            <w:vAlign w:val="bottom"/>
          </w:tcPr>
          <w:p>
            <w:pPr>
              <w:jc w:val="center"/>
              <w:spacing w:after="0" w:line="200" w:lineRule="exact"/>
              <w:rPr>
                <w:sz w:val="20"/>
                <w:szCs w:val="20"/>
                <w:color w:val="auto"/>
              </w:rPr>
            </w:pPr>
            <w:r>
              <w:rPr>
                <w:rFonts w:ascii="Arial" w:cs="Arial" w:eastAsia="Arial" w:hAnsi="Arial"/>
                <w:sz w:val="14"/>
                <w:szCs w:val="14"/>
                <w:color w:val="auto"/>
                <w:w w:val="91"/>
              </w:rPr>
              <w:t xml:space="preserve">Incentive </w:t>
            </w:r>
            <w:r>
              <w:rPr>
                <w:rFonts w:ascii="Arial" w:cs="Arial" w:eastAsia="Arial" w:hAnsi="Arial"/>
                <w:sz w:val="18"/>
                <w:szCs w:val="18"/>
                <w:color w:val="auto"/>
                <w:w w:val="91"/>
                <w:vertAlign w:val="subscript"/>
              </w:rPr>
              <w:t>(1)</w:t>
            </w:r>
          </w:p>
        </w:tc>
        <w:tc>
          <w:tcPr>
            <w:tcW w:w="11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9"/>
              </w:rPr>
              <w:t>2023</w:t>
            </w: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2023</w:t>
            </w:r>
          </w:p>
        </w:tc>
        <w:tc>
          <w:tcPr>
            <w:tcW w:w="96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7880" w:type="dxa"/>
            <w:vAlign w:val="bottom"/>
            <w:tcBorders>
              <w:bottom w:val="single" w:sz="8" w:color="auto"/>
            </w:tcBorders>
            <w:gridSpan w:val="3"/>
            <w:shd w:val="clear" w:color="auto" w:fill="CCEEFF"/>
          </w:tcPr>
          <w:p>
            <w:pPr>
              <w:jc w:val="center"/>
              <w:ind w:right="3269"/>
              <w:spacing w:after="0"/>
              <w:rPr>
                <w:sz w:val="20"/>
                <w:szCs w:val="20"/>
                <w:color w:val="auto"/>
              </w:rPr>
            </w:pPr>
            <w:r>
              <w:rPr>
                <w:rFonts w:ascii="Arial" w:cs="Arial" w:eastAsia="Arial" w:hAnsi="Arial"/>
                <w:sz w:val="14"/>
                <w:szCs w:val="14"/>
                <w:b w:val="1"/>
                <w:bCs w:val="1"/>
                <w:color w:val="auto"/>
                <w:w w:val="92"/>
              </w:rPr>
              <w:t>CenterPoint Energy and CERC - Mississippi</w:t>
            </w:r>
          </w:p>
        </w:tc>
        <w:tc>
          <w:tcPr>
            <w:tcW w:w="0" w:type="dxa"/>
            <w:vAlign w:val="bottom"/>
          </w:tcPr>
          <w:p>
            <w:pPr>
              <w:spacing w:after="0"/>
              <w:rPr>
                <w:sz w:val="1"/>
                <w:szCs w:val="1"/>
                <w:color w:val="auto"/>
              </w:rPr>
            </w:pPr>
          </w:p>
        </w:tc>
      </w:tr>
      <w:tr>
        <w:trPr>
          <w:trHeight w:val="140"/>
        </w:trPr>
        <w:tc>
          <w:tcPr>
            <w:tcW w:w="1240" w:type="dxa"/>
            <w:vAlign w:val="bottom"/>
          </w:tcPr>
          <w:p>
            <w:pPr>
              <w:jc w:val="center"/>
              <w:spacing w:after="0" w:line="140" w:lineRule="exact"/>
              <w:rPr>
                <w:sz w:val="20"/>
                <w:szCs w:val="20"/>
                <w:color w:val="auto"/>
              </w:rPr>
            </w:pPr>
            <w:r>
              <w:rPr>
                <w:rFonts w:ascii="Arial" w:cs="Arial" w:eastAsia="Arial" w:hAnsi="Arial"/>
                <w:sz w:val="14"/>
                <w:szCs w:val="14"/>
                <w:color w:val="auto"/>
                <w:w w:val="98"/>
              </w:rPr>
              <w:t xml:space="preserve">RRA </w:t>
            </w:r>
            <w:r>
              <w:rPr>
                <w:rFonts w:ascii="Arial" w:cs="Arial" w:eastAsia="Arial" w:hAnsi="Arial"/>
                <w:sz w:val="9"/>
                <w:szCs w:val="9"/>
                <w:color w:val="auto"/>
                <w:w w:val="98"/>
              </w:rPr>
              <w:t>(1)</w:t>
            </w:r>
          </w:p>
        </w:tc>
        <w:tc>
          <w:tcPr>
            <w:tcW w:w="1140" w:type="dxa"/>
            <w:vAlign w:val="bottom"/>
          </w:tcPr>
          <w:p>
            <w:pPr>
              <w:jc w:val="right"/>
              <w:ind w:right="351"/>
              <w:spacing w:after="0" w:line="140" w:lineRule="exact"/>
              <w:rPr>
                <w:sz w:val="20"/>
                <w:szCs w:val="20"/>
                <w:color w:val="auto"/>
              </w:rPr>
            </w:pPr>
            <w:r>
              <w:rPr>
                <w:rFonts w:ascii="Arial" w:cs="Arial" w:eastAsia="Arial" w:hAnsi="Arial"/>
                <w:sz w:val="14"/>
                <w:szCs w:val="14"/>
                <w:color w:val="auto"/>
              </w:rPr>
              <w:t>7</w:t>
            </w:r>
          </w:p>
        </w:tc>
        <w:tc>
          <w:tcPr>
            <w:tcW w:w="980" w:type="dxa"/>
            <w:vAlign w:val="bottom"/>
          </w:tcPr>
          <w:p>
            <w:pPr>
              <w:jc w:val="center"/>
              <w:spacing w:after="0" w:line="140" w:lineRule="exact"/>
              <w:rPr>
                <w:sz w:val="20"/>
                <w:szCs w:val="20"/>
                <w:color w:val="auto"/>
              </w:rPr>
            </w:pPr>
            <w:r>
              <w:rPr>
                <w:rFonts w:ascii="Arial" w:cs="Arial" w:eastAsia="Arial" w:hAnsi="Arial"/>
                <w:sz w:val="14"/>
                <w:szCs w:val="14"/>
                <w:color w:val="auto"/>
                <w:w w:val="98"/>
              </w:rPr>
              <w:t>May</w:t>
            </w:r>
          </w:p>
        </w:tc>
        <w:tc>
          <w:tcPr>
            <w:tcW w:w="1100" w:type="dxa"/>
            <w:vAlign w:val="bottom"/>
          </w:tcPr>
          <w:p>
            <w:pPr>
              <w:jc w:val="center"/>
              <w:spacing w:after="0" w:line="140" w:lineRule="exact"/>
              <w:rPr>
                <w:sz w:val="20"/>
                <w:szCs w:val="20"/>
                <w:color w:val="auto"/>
              </w:rPr>
            </w:pPr>
            <w:r>
              <w:rPr>
                <w:rFonts w:ascii="Arial" w:cs="Arial" w:eastAsia="Arial" w:hAnsi="Arial"/>
                <w:sz w:val="14"/>
                <w:szCs w:val="14"/>
                <w:color w:val="auto"/>
                <w:w w:val="89"/>
              </w:rPr>
              <w:t>October 2023</w:t>
            </w:r>
          </w:p>
        </w:tc>
        <w:tc>
          <w:tcPr>
            <w:tcW w:w="960" w:type="dxa"/>
            <w:vAlign w:val="bottom"/>
          </w:tcPr>
          <w:p>
            <w:pPr>
              <w:jc w:val="center"/>
              <w:spacing w:after="0" w:line="140" w:lineRule="exact"/>
              <w:rPr>
                <w:sz w:val="20"/>
                <w:szCs w:val="20"/>
                <w:color w:val="auto"/>
              </w:rPr>
            </w:pPr>
            <w:r>
              <w:rPr>
                <w:rFonts w:ascii="Arial" w:cs="Arial" w:eastAsia="Arial" w:hAnsi="Arial"/>
                <w:sz w:val="14"/>
                <w:szCs w:val="14"/>
                <w:color w:val="auto"/>
                <w:w w:val="89"/>
              </w:rPr>
              <w:t>October 2023</w:t>
            </w:r>
          </w:p>
        </w:tc>
        <w:tc>
          <w:tcPr>
            <w:tcW w:w="5820" w:type="dxa"/>
            <w:vAlign w:val="bottom"/>
          </w:tcPr>
          <w:p>
            <w:pPr>
              <w:ind w:left="80"/>
              <w:spacing w:after="0" w:line="140" w:lineRule="exact"/>
              <w:rPr>
                <w:sz w:val="20"/>
                <w:szCs w:val="20"/>
                <w:color w:val="auto"/>
              </w:rPr>
            </w:pPr>
            <w:r>
              <w:rPr>
                <w:rFonts w:ascii="Arial" w:cs="Arial" w:eastAsia="Arial" w:hAnsi="Arial"/>
                <w:sz w:val="14"/>
                <w:szCs w:val="14"/>
                <w:color w:val="auto"/>
              </w:rPr>
              <w:t>Based ROE of 10.098% with 100 basis point (+/-) earnings band. Revenue increase of</w:t>
            </w:r>
          </w:p>
        </w:tc>
        <w:tc>
          <w:tcPr>
            <w:tcW w:w="0" w:type="dxa"/>
            <w:vAlign w:val="bottom"/>
          </w:tcPr>
          <w:p>
            <w:pPr>
              <w:spacing w:after="0"/>
              <w:rPr>
                <w:sz w:val="1"/>
                <w:szCs w:val="1"/>
                <w:color w:val="auto"/>
              </w:rPr>
            </w:pPr>
          </w:p>
        </w:tc>
      </w:tr>
      <w:tr>
        <w:trPr>
          <w:trHeight w:val="146"/>
        </w:trPr>
        <w:tc>
          <w:tcPr>
            <w:tcW w:w="1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80" w:type="dxa"/>
            <w:vAlign w:val="bottom"/>
          </w:tcPr>
          <w:p>
            <w:pPr>
              <w:jc w:val="center"/>
              <w:spacing w:after="0" w:line="147" w:lineRule="exact"/>
              <w:rPr>
                <w:sz w:val="20"/>
                <w:szCs w:val="20"/>
                <w:color w:val="auto"/>
              </w:rPr>
            </w:pPr>
            <w:r>
              <w:rPr>
                <w:rFonts w:ascii="Arial" w:cs="Arial" w:eastAsia="Arial" w:hAnsi="Arial"/>
                <w:sz w:val="14"/>
                <w:szCs w:val="14"/>
                <w:color w:val="auto"/>
                <w:w w:val="89"/>
              </w:rPr>
              <w:t>2023</w:t>
            </w: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20" w:type="dxa"/>
            <w:vAlign w:val="bottom"/>
          </w:tcPr>
          <w:p>
            <w:pPr>
              <w:ind w:left="80"/>
              <w:spacing w:after="0" w:line="147" w:lineRule="exact"/>
              <w:rPr>
                <w:sz w:val="20"/>
                <w:szCs w:val="20"/>
                <w:color w:val="auto"/>
              </w:rPr>
            </w:pPr>
            <w:r>
              <w:rPr>
                <w:rFonts w:ascii="Arial" w:cs="Arial" w:eastAsia="Arial" w:hAnsi="Arial"/>
                <w:sz w:val="14"/>
                <w:szCs w:val="14"/>
                <w:color w:val="auto"/>
                <w:w w:val="93"/>
              </w:rPr>
              <w:t>approximately $8 million based on 2022 test year adjusted earned ROE of 5.66%. Interim increase</w:t>
            </w:r>
          </w:p>
        </w:tc>
        <w:tc>
          <w:tcPr>
            <w:tcW w:w="0" w:type="dxa"/>
            <w:vAlign w:val="bottom"/>
          </w:tcPr>
          <w:p>
            <w:pPr>
              <w:spacing w:after="0"/>
              <w:rPr>
                <w:sz w:val="1"/>
                <w:szCs w:val="1"/>
                <w:color w:val="auto"/>
              </w:rPr>
            </w:pPr>
          </w:p>
        </w:tc>
      </w:tr>
    </w:tbl>
    <w:p>
      <w:pPr>
        <w:ind w:left="5500"/>
        <w:spacing w:after="0" w:line="218" w:lineRule="auto"/>
        <w:rPr>
          <w:sz w:val="20"/>
          <w:szCs w:val="20"/>
          <w:color w:val="auto"/>
        </w:rPr>
      </w:pPr>
      <w:r>
        <w:rPr>
          <w:rFonts w:ascii="Arial" w:cs="Arial" w:eastAsia="Arial" w:hAnsi="Arial"/>
          <w:sz w:val="14"/>
          <w:szCs w:val="14"/>
          <w:color w:val="auto"/>
        </w:rPr>
        <w:t>of approximately $1 million implemented May 31, 2023. Settled increase of approximately $7</w:t>
      </w:r>
    </w:p>
    <w:p>
      <w:pPr>
        <w:ind w:left="5500" w:right="100"/>
        <w:spacing w:after="0" w:line="243" w:lineRule="auto"/>
        <w:rPr>
          <w:sz w:val="20"/>
          <w:szCs w:val="20"/>
          <w:color w:val="auto"/>
        </w:rPr>
      </w:pPr>
      <w:r>
        <w:rPr>
          <w:rFonts w:ascii="Arial" w:cs="Arial" w:eastAsia="Arial" w:hAnsi="Arial"/>
          <w:sz w:val="13"/>
          <w:szCs w:val="13"/>
          <w:color w:val="auto"/>
        </w:rPr>
        <w:t>million approved and implemented October 3, 2023. Order authorized recovery of regulatory assets due to COVID-19 in the amount of $0.3 million over the 2024 calendar year.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CenterPoint Energy and CERC - Louisiana (LPSC)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7134225" cy="135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p>
      <w:pPr>
        <w:spacing w:after="0" w:line="4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0" w:type="dxa"/>
            <w:vAlign w:val="bottom"/>
          </w:tcPr>
          <w:p>
            <w:pPr>
              <w:spacing w:after="0"/>
              <w:rPr>
                <w:sz w:val="20"/>
                <w:szCs w:val="20"/>
                <w:color w:val="auto"/>
              </w:rPr>
            </w:pPr>
            <w:r>
              <w:rPr>
                <w:rFonts w:ascii="Arial" w:cs="Arial" w:eastAsia="Arial" w:hAnsi="Arial"/>
                <w:sz w:val="14"/>
                <w:szCs w:val="14"/>
                <w:color w:val="auto"/>
              </w:rPr>
              <w:t>RSP</w:t>
            </w:r>
            <w:r>
              <w:rPr>
                <w:rFonts w:ascii="Arial" w:cs="Arial" w:eastAsia="Arial" w:hAnsi="Arial"/>
                <w:sz w:val="9"/>
                <w:szCs w:val="9"/>
                <w:color w:val="auto"/>
              </w:rPr>
              <w:t>(1)</w:t>
            </w:r>
          </w:p>
        </w:tc>
        <w:tc>
          <w:tcPr>
            <w:tcW w:w="920" w:type="dxa"/>
            <w:vAlign w:val="bottom"/>
          </w:tcPr>
          <w:p>
            <w:pPr>
              <w:jc w:val="right"/>
              <w:ind w:right="289"/>
              <w:spacing w:after="0"/>
              <w:rPr>
                <w:sz w:val="20"/>
                <w:szCs w:val="20"/>
                <w:color w:val="auto"/>
              </w:rPr>
            </w:pPr>
            <w:r>
              <w:rPr>
                <w:rFonts w:ascii="Arial" w:cs="Arial" w:eastAsia="Arial" w:hAnsi="Arial"/>
                <w:sz w:val="14"/>
                <w:szCs w:val="14"/>
                <w:color w:val="auto"/>
              </w:rPr>
              <w:t>6</w:t>
            </w:r>
          </w:p>
        </w:tc>
        <w:tc>
          <w:tcPr>
            <w:tcW w:w="1260" w:type="dxa"/>
            <w:vAlign w:val="bottom"/>
          </w:tcPr>
          <w:p>
            <w:pPr>
              <w:jc w:val="center"/>
              <w:spacing w:after="0"/>
              <w:rPr>
                <w:sz w:val="20"/>
                <w:szCs w:val="20"/>
                <w:color w:val="auto"/>
              </w:rPr>
            </w:pPr>
            <w:r>
              <w:rPr>
                <w:rFonts w:ascii="Arial" w:cs="Arial" w:eastAsia="Arial" w:hAnsi="Arial"/>
                <w:sz w:val="14"/>
                <w:szCs w:val="14"/>
                <w:color w:val="auto"/>
                <w:w w:val="87"/>
              </w:rPr>
              <w:t>September</w:t>
            </w:r>
          </w:p>
        </w:tc>
        <w:tc>
          <w:tcPr>
            <w:tcW w:w="860" w:type="dxa"/>
            <w:vAlign w:val="bottom"/>
          </w:tcPr>
          <w:p>
            <w:pPr>
              <w:ind w:left="300"/>
              <w:spacing w:after="0"/>
              <w:rPr>
                <w:sz w:val="20"/>
                <w:szCs w:val="20"/>
                <w:color w:val="auto"/>
              </w:rPr>
            </w:pPr>
            <w:r>
              <w:rPr>
                <w:rFonts w:ascii="Arial" w:cs="Arial" w:eastAsia="Arial" w:hAnsi="Arial"/>
                <w:sz w:val="14"/>
                <w:szCs w:val="14"/>
                <w:color w:val="auto"/>
              </w:rPr>
              <w:t>May</w:t>
            </w:r>
          </w:p>
        </w:tc>
        <w:tc>
          <w:tcPr>
            <w:tcW w:w="900" w:type="dxa"/>
            <w:vAlign w:val="bottom"/>
          </w:tcPr>
          <w:p>
            <w:pPr>
              <w:ind w:left="300"/>
              <w:spacing w:after="0"/>
              <w:rPr>
                <w:sz w:val="20"/>
                <w:szCs w:val="20"/>
                <w:color w:val="auto"/>
              </w:rPr>
            </w:pPr>
            <w:r>
              <w:rPr>
                <w:rFonts w:ascii="Arial" w:cs="Arial" w:eastAsia="Arial" w:hAnsi="Arial"/>
                <w:sz w:val="14"/>
                <w:szCs w:val="14"/>
                <w:color w:val="auto"/>
                <w:w w:val="91"/>
              </w:rPr>
              <w:t>April 2023</w:t>
            </w:r>
          </w:p>
        </w:tc>
      </w:tr>
      <w:tr>
        <w:trPr>
          <w:trHeight w:val="180"/>
        </w:trPr>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tcPr>
          <w:p>
            <w:pPr>
              <w:jc w:val="right"/>
              <w:ind w:right="409"/>
              <w:spacing w:after="0"/>
              <w:rPr>
                <w:sz w:val="20"/>
                <w:szCs w:val="20"/>
                <w:color w:val="auto"/>
              </w:rPr>
            </w:pPr>
            <w:r>
              <w:rPr>
                <w:rFonts w:ascii="Arial" w:cs="Arial" w:eastAsia="Arial" w:hAnsi="Arial"/>
                <w:sz w:val="14"/>
                <w:szCs w:val="14"/>
                <w:color w:val="auto"/>
              </w:rPr>
              <w:t>2022</w:t>
            </w:r>
          </w:p>
        </w:tc>
        <w:tc>
          <w:tcPr>
            <w:tcW w:w="860" w:type="dxa"/>
            <w:vAlign w:val="bottom"/>
          </w:tcPr>
          <w:p>
            <w:pPr>
              <w:ind w:left="300"/>
              <w:spacing w:after="0"/>
              <w:rPr>
                <w:sz w:val="20"/>
                <w:szCs w:val="20"/>
                <w:color w:val="auto"/>
              </w:rPr>
            </w:pPr>
            <w:r>
              <w:rPr>
                <w:rFonts w:ascii="Arial" w:cs="Arial" w:eastAsia="Arial" w:hAnsi="Arial"/>
                <w:sz w:val="14"/>
                <w:szCs w:val="14"/>
                <w:color w:val="auto"/>
              </w:rPr>
              <w:t>2023</w:t>
            </w:r>
          </w:p>
        </w:tc>
        <w:tc>
          <w:tcPr>
            <w:tcW w:w="90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740" w:type="dxa"/>
            <w:vAlign w:val="bottom"/>
          </w:tcPr>
          <w:p>
            <w:pPr>
              <w:spacing w:after="0"/>
              <w:rPr>
                <w:sz w:val="20"/>
                <w:szCs w:val="20"/>
                <w:color w:val="auto"/>
              </w:rPr>
            </w:pPr>
            <w:r>
              <w:rPr>
                <w:rFonts w:ascii="Arial" w:cs="Arial" w:eastAsia="Arial" w:hAnsi="Arial"/>
                <w:sz w:val="14"/>
                <w:szCs w:val="14"/>
                <w:color w:val="auto"/>
              </w:rPr>
              <w:t>RSP</w:t>
            </w:r>
          </w:p>
        </w:tc>
        <w:tc>
          <w:tcPr>
            <w:tcW w:w="980" w:type="dxa"/>
            <w:vAlign w:val="bottom"/>
          </w:tcPr>
          <w:p>
            <w:pPr>
              <w:jc w:val="right"/>
              <w:ind w:right="269"/>
              <w:spacing w:after="0"/>
              <w:rPr>
                <w:sz w:val="20"/>
                <w:szCs w:val="20"/>
                <w:color w:val="auto"/>
              </w:rPr>
            </w:pPr>
            <w:r>
              <w:rPr>
                <w:rFonts w:ascii="Arial" w:cs="Arial" w:eastAsia="Arial" w:hAnsi="Arial"/>
                <w:sz w:val="14"/>
                <w:szCs w:val="14"/>
                <w:color w:val="auto"/>
              </w:rPr>
              <w:t>10</w:t>
            </w:r>
          </w:p>
        </w:tc>
        <w:tc>
          <w:tcPr>
            <w:tcW w:w="1240" w:type="dxa"/>
            <w:vAlign w:val="bottom"/>
          </w:tcPr>
          <w:p>
            <w:pPr>
              <w:jc w:val="center"/>
              <w:spacing w:after="0"/>
              <w:rPr>
                <w:sz w:val="20"/>
                <w:szCs w:val="20"/>
                <w:color w:val="auto"/>
              </w:rPr>
            </w:pPr>
            <w:r>
              <w:rPr>
                <w:rFonts w:ascii="Arial" w:cs="Arial" w:eastAsia="Arial" w:hAnsi="Arial"/>
                <w:sz w:val="14"/>
                <w:szCs w:val="14"/>
                <w:color w:val="auto"/>
                <w:w w:val="87"/>
              </w:rPr>
              <w:t>September</w:t>
            </w:r>
          </w:p>
        </w:tc>
        <w:tc>
          <w:tcPr>
            <w:tcW w:w="960" w:type="dxa"/>
            <w:vAlign w:val="bottom"/>
          </w:tcPr>
          <w:p>
            <w:pPr>
              <w:ind w:left="300"/>
              <w:spacing w:after="0"/>
              <w:rPr>
                <w:sz w:val="20"/>
                <w:szCs w:val="20"/>
                <w:color w:val="auto"/>
              </w:rPr>
            </w:pPr>
            <w:r>
              <w:rPr>
                <w:rFonts w:ascii="Arial" w:cs="Arial" w:eastAsia="Arial" w:hAnsi="Arial"/>
                <w:sz w:val="14"/>
                <w:szCs w:val="14"/>
                <w:color w:val="auto"/>
              </w:rPr>
              <w:t>TBD</w:t>
            </w:r>
          </w:p>
        </w:tc>
        <w:tc>
          <w:tcPr>
            <w:tcW w:w="640" w:type="dxa"/>
            <w:vAlign w:val="bottom"/>
          </w:tcPr>
          <w:p>
            <w:pPr>
              <w:ind w:left="360"/>
              <w:spacing w:after="0"/>
              <w:rPr>
                <w:sz w:val="20"/>
                <w:szCs w:val="20"/>
                <w:color w:val="auto"/>
              </w:rPr>
            </w:pPr>
            <w:r>
              <w:rPr>
                <w:rFonts w:ascii="Arial" w:cs="Arial" w:eastAsia="Arial" w:hAnsi="Arial"/>
                <w:sz w:val="14"/>
                <w:szCs w:val="14"/>
                <w:color w:val="auto"/>
                <w:w w:val="92"/>
              </w:rPr>
              <w:t>TBD</w:t>
            </w:r>
          </w:p>
        </w:tc>
      </w:tr>
      <w:tr>
        <w:trPr>
          <w:trHeight w:val="180"/>
        </w:trPr>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40" w:type="dxa"/>
            <w:vAlign w:val="bottom"/>
          </w:tcPr>
          <w:p>
            <w:pPr>
              <w:jc w:val="right"/>
              <w:ind w:right="409"/>
              <w:spacing w:after="0"/>
              <w:rPr>
                <w:sz w:val="20"/>
                <w:szCs w:val="20"/>
                <w:color w:val="auto"/>
              </w:rPr>
            </w:pPr>
            <w:r>
              <w:rPr>
                <w:rFonts w:ascii="Arial" w:cs="Arial" w:eastAsia="Arial" w:hAnsi="Arial"/>
                <w:sz w:val="14"/>
                <w:szCs w:val="14"/>
                <w:color w:val="auto"/>
              </w:rPr>
              <w:t>2023</w:t>
            </w: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right="120"/>
        <w:spacing w:after="0" w:line="287" w:lineRule="auto"/>
        <w:rPr>
          <w:sz w:val="20"/>
          <w:szCs w:val="20"/>
          <w:color w:val="auto"/>
        </w:rPr>
      </w:pPr>
      <w:r>
        <w:rPr>
          <w:rFonts w:ascii="Arial" w:cs="Arial" w:eastAsia="Arial" w:hAnsi="Arial"/>
          <w:sz w:val="12"/>
          <w:szCs w:val="12"/>
          <w:color w:val="auto"/>
        </w:rPr>
        <w:t>Based on ROE of 9.95% with 50 basis point (+/-) earnings band. The North Louisiana increase, net of TCJA effects considered outside of the earnings band, is $3 million based on a test year ended</w:t>
      </w:r>
    </w:p>
    <w:p>
      <w:pPr>
        <w:spacing w:after="0" w:line="1" w:lineRule="exact"/>
        <w:rPr>
          <w:sz w:val="20"/>
          <w:szCs w:val="20"/>
          <w:color w:val="auto"/>
        </w:rPr>
      </w:pPr>
    </w:p>
    <w:p>
      <w:pPr>
        <w:ind w:right="340"/>
        <w:spacing w:after="0" w:line="265" w:lineRule="auto"/>
        <w:rPr>
          <w:sz w:val="20"/>
          <w:szCs w:val="20"/>
          <w:color w:val="auto"/>
        </w:rPr>
      </w:pPr>
      <w:r>
        <w:rPr>
          <w:rFonts w:ascii="Arial" w:cs="Arial" w:eastAsia="Arial" w:hAnsi="Arial"/>
          <w:sz w:val="12"/>
          <w:szCs w:val="12"/>
          <w:color w:val="auto"/>
        </w:rPr>
        <w:t>June 2022 and adjusted ROE of 7.05%. The South Louisiana increase, net of TCJA effects considered outside of the earnings band, is $5 million based on a test year ended June 2022 and</w:t>
      </w:r>
    </w:p>
    <w:p>
      <w:pPr>
        <w:spacing w:after="0" w:line="1" w:lineRule="exact"/>
        <w:rPr>
          <w:sz w:val="20"/>
          <w:szCs w:val="20"/>
          <w:color w:val="auto"/>
        </w:rPr>
      </w:pPr>
    </w:p>
    <w:p>
      <w:pPr>
        <w:ind w:right="80"/>
        <w:spacing w:after="0" w:line="261" w:lineRule="auto"/>
        <w:rPr>
          <w:sz w:val="20"/>
          <w:szCs w:val="20"/>
          <w:color w:val="auto"/>
        </w:rPr>
      </w:pPr>
      <w:r>
        <w:rPr>
          <w:rFonts w:ascii="Arial" w:cs="Arial" w:eastAsia="Arial" w:hAnsi="Arial"/>
          <w:sz w:val="13"/>
          <w:szCs w:val="13"/>
          <w:color w:val="auto"/>
        </w:rPr>
        <w:t>adjusted ROE of 4.19%. The TCJA refund impact to North Louisiana and South Louisiana was $1 million and $1 million, respectively. North Louisiana and South Louisiana also seek to recover regulatory assets due to COVID-19 bad debt expenses in the amounts of $0.7 million and $0.3 million, respectively. Interim rates implemented on December 28, 2022, subject to refund. On April 5, 2023 the LPSC issued an order approving a joint settlement for $2.7 million in North Louisiana and $4.6 million in South Louisiana in addition to the full impacts of TCJA and COVID-19 recoveries. Implementation occurred in May 2023 upon approval of compliance tariff.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-3488055</wp:posOffset>
            </wp:positionH>
            <wp:positionV relativeFrom="paragraph">
              <wp:posOffset>7620</wp:posOffset>
            </wp:positionV>
            <wp:extent cx="7134225" cy="7429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4225" cy="742950"/>
                    </a:xfrm>
                    <a:prstGeom prst="rect">
                      <a:avLst/>
                    </a:prstGeom>
                    <a:noFill/>
                  </pic:spPr>
                </pic:pic>
              </a:graphicData>
            </a:graphic>
          </wp:anchor>
        </w:drawing>
      </w:r>
    </w:p>
    <w:p>
      <w:pPr>
        <w:ind w:right="120"/>
        <w:spacing w:after="0" w:line="265" w:lineRule="auto"/>
        <w:rPr>
          <w:sz w:val="20"/>
          <w:szCs w:val="20"/>
          <w:color w:val="auto"/>
        </w:rPr>
      </w:pPr>
      <w:r>
        <w:rPr>
          <w:rFonts w:ascii="Arial" w:cs="Arial" w:eastAsia="Arial" w:hAnsi="Arial"/>
          <w:sz w:val="13"/>
          <w:szCs w:val="13"/>
          <w:color w:val="auto"/>
        </w:rPr>
        <w:t>Based on ROE of 9.95% with 50 basis point (+/-) earnings band. The North Louisiana increase, net of TCJA effects considered outside of the earnings band and completion of COVID-19 asset</w:t>
      </w:r>
    </w:p>
    <w:p>
      <w:pPr>
        <w:spacing w:after="0" w:line="1" w:lineRule="exact"/>
        <w:rPr>
          <w:sz w:val="20"/>
          <w:szCs w:val="20"/>
          <w:color w:val="auto"/>
        </w:rPr>
      </w:pPr>
    </w:p>
    <w:p>
      <w:pPr>
        <w:jc w:val="both"/>
        <w:ind w:right="60"/>
        <w:spacing w:after="0" w:line="265" w:lineRule="auto"/>
        <w:rPr>
          <w:sz w:val="20"/>
          <w:szCs w:val="20"/>
          <w:color w:val="auto"/>
        </w:rPr>
      </w:pPr>
      <w:r>
        <w:rPr>
          <w:rFonts w:ascii="Arial" w:cs="Arial" w:eastAsia="Arial" w:hAnsi="Arial"/>
          <w:sz w:val="12"/>
          <w:szCs w:val="12"/>
          <w:color w:val="auto"/>
        </w:rPr>
        <w:t>recovery, is $5 million based on a test year ended June 2023 and adjusted ROE of 5.08%. The South Louisiana increase, net of TCJA effects considered outside of the earnings band and completion of</w:t>
      </w:r>
    </w:p>
    <w:p>
      <w:pPr>
        <w:spacing w:after="0" w:line="1" w:lineRule="exact"/>
        <w:rPr>
          <w:sz w:val="20"/>
          <w:szCs w:val="20"/>
          <w:color w:val="auto"/>
        </w:rPr>
      </w:pPr>
    </w:p>
    <w:p>
      <w:pPr>
        <w:jc w:val="both"/>
        <w:ind w:right="60"/>
        <w:spacing w:after="0" w:line="303" w:lineRule="auto"/>
        <w:rPr>
          <w:sz w:val="20"/>
          <w:szCs w:val="20"/>
          <w:color w:val="auto"/>
        </w:rPr>
      </w:pPr>
      <w:r>
        <w:rPr>
          <w:rFonts w:ascii="Arial" w:cs="Arial" w:eastAsia="Arial" w:hAnsi="Arial"/>
          <w:sz w:val="12"/>
          <w:szCs w:val="12"/>
          <w:color w:val="auto"/>
        </w:rPr>
        <w:t>COVID-19 asset recovery, is $5 million based on a test year ended June 2023 and adjusted ROE of 5.47%. The TCJA refund impact to North Louisiana and South Louisiana was $0.6 million and $0.4 million, respectively. Interim rates may be implemented on December 28, 2023, subject to refund.</w:t>
      </w:r>
    </w:p>
    <w:p>
      <w:pPr>
        <w:spacing w:after="0" w:line="200" w:lineRule="exact"/>
        <w:rPr>
          <w:sz w:val="20"/>
          <w:szCs w:val="20"/>
          <w:color w:val="auto"/>
        </w:rPr>
      </w:pPr>
    </w:p>
    <w:p>
      <w:pPr>
        <w:sectPr>
          <w:pgSz w:w="11900" w:h="16838" w:orient="portrait"/>
          <w:cols w:equalWidth="0" w:num="2">
            <w:col w:w="5240" w:space="260"/>
            <w:col w:w="5740"/>
          </w:cols>
          <w:pgMar w:left="320" w:top="127" w:right="339" w:bottom="1440" w:gutter="0" w:footer="0" w:header="0"/>
          <w:type w:val="continuous"/>
        </w:sect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1120" w:type="dxa"/>
            <w:vAlign w:val="bottom"/>
          </w:tcPr>
          <w:p>
            <w:pPr>
              <w:jc w:val="center"/>
              <w:ind w:left="51"/>
              <w:spacing w:after="0"/>
              <w:rPr>
                <w:sz w:val="20"/>
                <w:szCs w:val="20"/>
                <w:color w:val="auto"/>
              </w:rPr>
            </w:pPr>
            <w:r>
              <w:rPr>
                <w:rFonts w:ascii="Arial" w:cs="Arial" w:eastAsia="Arial" w:hAnsi="Arial"/>
                <w:sz w:val="14"/>
                <w:szCs w:val="14"/>
                <w:b w:val="1"/>
                <w:bCs w:val="1"/>
                <w:color w:val="auto"/>
                <w:w w:val="92"/>
              </w:rPr>
              <w:t>Annual</w:t>
            </w: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220" w:type="dxa"/>
            <w:vAlign w:val="bottom"/>
          </w:tcPr>
          <w:p>
            <w:pPr>
              <w:spacing w:after="0"/>
              <w:rPr>
                <w:sz w:val="11"/>
                <w:szCs w:val="11"/>
                <w:color w:val="auto"/>
              </w:rPr>
            </w:pPr>
          </w:p>
        </w:tc>
        <w:tc>
          <w:tcPr>
            <w:tcW w:w="1120" w:type="dxa"/>
            <w:vAlign w:val="bottom"/>
          </w:tcPr>
          <w:p>
            <w:pPr>
              <w:jc w:val="center"/>
              <w:ind w:left="51"/>
              <w:spacing w:after="0" w:line="137" w:lineRule="exact"/>
              <w:rPr>
                <w:sz w:val="20"/>
                <w:szCs w:val="20"/>
                <w:color w:val="auto"/>
              </w:rPr>
            </w:pPr>
            <w:r>
              <w:rPr>
                <w:rFonts w:ascii="Arial" w:cs="Arial" w:eastAsia="Arial" w:hAnsi="Arial"/>
                <w:sz w:val="14"/>
                <w:szCs w:val="14"/>
                <w:b w:val="1"/>
                <w:bCs w:val="1"/>
                <w:color w:val="auto"/>
                <w:w w:val="91"/>
              </w:rPr>
              <w:t>Increase</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Filing</w:t>
            </w:r>
          </w:p>
        </w:tc>
        <w:tc>
          <w:tcPr>
            <w:tcW w:w="1060" w:type="dxa"/>
            <w:vAlign w:val="bottom"/>
          </w:tcPr>
          <w:p>
            <w:pPr>
              <w:spacing w:after="0"/>
              <w:rPr>
                <w:sz w:val="11"/>
                <w:szCs w:val="11"/>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Approval</w:t>
            </w:r>
          </w:p>
        </w:tc>
        <w:tc>
          <w:tcPr>
            <w:tcW w:w="5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220" w:type="dxa"/>
            <w:vAlign w:val="bottom"/>
            <w:vMerge w:val="restart"/>
          </w:tcPr>
          <w:p>
            <w:pPr>
              <w:jc w:val="center"/>
              <w:ind w:left="9"/>
              <w:spacing w:after="0"/>
              <w:rPr>
                <w:sz w:val="20"/>
                <w:szCs w:val="20"/>
                <w:color w:val="auto"/>
              </w:rPr>
            </w:pPr>
            <w:r>
              <w:rPr>
                <w:rFonts w:ascii="Arial" w:cs="Arial" w:eastAsia="Arial" w:hAnsi="Arial"/>
                <w:sz w:val="14"/>
                <w:szCs w:val="14"/>
                <w:b w:val="1"/>
                <w:bCs w:val="1"/>
                <w:color w:val="auto"/>
                <w:w w:val="91"/>
              </w:rPr>
              <w:t>Mechanism</w:t>
            </w:r>
          </w:p>
        </w:tc>
        <w:tc>
          <w:tcPr>
            <w:tcW w:w="1120" w:type="dxa"/>
            <w:vAlign w:val="bottom"/>
          </w:tcPr>
          <w:p>
            <w:pPr>
              <w:jc w:val="center"/>
              <w:ind w:left="51"/>
              <w:spacing w:after="0" w:line="143" w:lineRule="exact"/>
              <w:rPr>
                <w:sz w:val="20"/>
                <w:szCs w:val="20"/>
                <w:color w:val="auto"/>
              </w:rPr>
            </w:pPr>
            <w:r>
              <w:rPr>
                <w:rFonts w:ascii="Arial" w:cs="Arial" w:eastAsia="Arial" w:hAnsi="Arial"/>
                <w:sz w:val="14"/>
                <w:szCs w:val="14"/>
                <w:b w:val="1"/>
                <w:bCs w:val="1"/>
                <w:color w:val="auto"/>
                <w:w w:val="91"/>
              </w:rPr>
              <w:t xml:space="preserve">(Decrease) </w:t>
            </w:r>
            <w:r>
              <w:rPr>
                <w:rFonts w:ascii="Arial" w:cs="Arial" w:eastAsia="Arial" w:hAnsi="Arial"/>
                <w:sz w:val="10"/>
                <w:szCs w:val="10"/>
                <w:b w:val="1"/>
                <w:bCs w:val="1"/>
                <w:color w:val="auto"/>
                <w:w w:val="91"/>
              </w:rPr>
              <w:t>(1)</w:t>
            </w:r>
          </w:p>
        </w:tc>
        <w:tc>
          <w:tcPr>
            <w:tcW w:w="1060" w:type="dxa"/>
            <w:vAlign w:val="bottom"/>
            <w:vMerge w:val="continue"/>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Effective Date</w:t>
            </w:r>
          </w:p>
        </w:tc>
        <w:tc>
          <w:tcPr>
            <w:tcW w:w="940" w:type="dxa"/>
            <w:vAlign w:val="bottom"/>
            <w:vMerge w:val="continue"/>
          </w:tcPr>
          <w:p>
            <w:pPr>
              <w:spacing w:after="0"/>
              <w:rPr>
                <w:sz w:val="12"/>
                <w:szCs w:val="12"/>
                <w:color w:val="auto"/>
              </w:rPr>
            </w:pPr>
          </w:p>
        </w:tc>
        <w:tc>
          <w:tcPr>
            <w:tcW w:w="5840" w:type="dxa"/>
            <w:vAlign w:val="bottom"/>
            <w:vMerge w:val="restart"/>
          </w:tcPr>
          <w:p>
            <w:pPr>
              <w:ind w:left="2260"/>
              <w:spacing w:after="0"/>
              <w:rPr>
                <w:sz w:val="20"/>
                <w:szCs w:val="20"/>
                <w:color w:val="auto"/>
              </w:rPr>
            </w:pPr>
            <w:r>
              <w:rPr>
                <w:rFonts w:ascii="Arial" w:cs="Arial" w:eastAsia="Arial" w:hAnsi="Arial"/>
                <w:sz w:val="14"/>
                <w:szCs w:val="14"/>
                <w:b w:val="1"/>
                <w:bCs w:val="1"/>
                <w:color w:val="auto"/>
              </w:rPr>
              <w:t>Additional Information</w:t>
            </w:r>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1120" w:type="dxa"/>
            <w:vAlign w:val="bottom"/>
          </w:tcPr>
          <w:p>
            <w:pPr>
              <w:jc w:val="center"/>
              <w:ind w:left="51"/>
              <w:spacing w:after="0"/>
              <w:rPr>
                <w:sz w:val="20"/>
                <w:szCs w:val="20"/>
                <w:color w:val="auto"/>
              </w:rPr>
            </w:pPr>
            <w:r>
              <w:rPr>
                <w:rFonts w:ascii="Arial" w:cs="Arial" w:eastAsia="Arial" w:hAnsi="Arial"/>
                <w:sz w:val="11"/>
                <w:szCs w:val="11"/>
                <w:b w:val="1"/>
                <w:bCs w:val="1"/>
                <w:color w:val="auto"/>
                <w:w w:val="90"/>
              </w:rPr>
              <w:t>(in millions)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1060" w:type="dxa"/>
            <w:vAlign w:val="bottom"/>
            <w:vMerge w:val="continue"/>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5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40" w:type="dxa"/>
            <w:vAlign w:val="bottom"/>
            <w:gridSpan w:val="3"/>
          </w:tcPr>
          <w:p>
            <w:pPr>
              <w:jc w:val="center"/>
              <w:ind w:right="3329"/>
              <w:spacing w:after="0"/>
              <w:rPr>
                <w:sz w:val="20"/>
                <w:szCs w:val="20"/>
                <w:color w:val="auto"/>
              </w:rPr>
            </w:pPr>
            <w:r>
              <w:rPr>
                <w:rFonts w:ascii="Arial" w:cs="Arial" w:eastAsia="Arial" w:hAnsi="Arial"/>
                <w:sz w:val="14"/>
                <w:szCs w:val="14"/>
                <w:b w:val="1"/>
                <w:bCs w:val="1"/>
                <w:color w:val="auto"/>
                <w:w w:val="94"/>
              </w:rPr>
              <w:t>CenterPoint Energy - Indiana South - Gas (IURC)</w:t>
            </w:r>
          </w:p>
        </w:tc>
        <w:tc>
          <w:tcPr>
            <w:tcW w:w="0" w:type="dxa"/>
            <w:vAlign w:val="bottom"/>
          </w:tcPr>
          <w:p>
            <w:pPr>
              <w:spacing w:after="0"/>
              <w:rPr>
                <w:sz w:val="1"/>
                <w:szCs w:val="1"/>
                <w:color w:val="auto"/>
              </w:rPr>
            </w:pPr>
          </w:p>
        </w:tc>
      </w:tr>
      <w:tr>
        <w:trPr>
          <w:trHeight w:val="24"/>
        </w:trPr>
        <w:tc>
          <w:tcPr>
            <w:tcW w:w="1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220" w:type="dxa"/>
            <w:vAlign w:val="bottom"/>
            <w:shd w:val="clear" w:color="auto" w:fill="CCEEFF"/>
          </w:tcPr>
          <w:p>
            <w:pPr>
              <w:jc w:val="center"/>
              <w:spacing w:after="0" w:line="127" w:lineRule="exact"/>
              <w:rPr>
                <w:sz w:val="20"/>
                <w:szCs w:val="20"/>
                <w:color w:val="auto"/>
              </w:rPr>
            </w:pPr>
            <w:r>
              <w:rPr>
                <w:rFonts w:ascii="Arial" w:cs="Arial" w:eastAsia="Arial" w:hAnsi="Arial"/>
                <w:sz w:val="14"/>
                <w:szCs w:val="14"/>
                <w:color w:val="auto"/>
                <w:w w:val="97"/>
              </w:rPr>
              <w:t>CSIA</w:t>
            </w:r>
          </w:p>
        </w:tc>
        <w:tc>
          <w:tcPr>
            <w:tcW w:w="1120" w:type="dxa"/>
            <w:vAlign w:val="bottom"/>
            <w:shd w:val="clear" w:color="auto" w:fill="CCEEFF"/>
          </w:tcPr>
          <w:p>
            <w:pPr>
              <w:jc w:val="center"/>
              <w:ind w:left="51"/>
              <w:spacing w:after="0" w:line="127" w:lineRule="exact"/>
              <w:rPr>
                <w:sz w:val="20"/>
                <w:szCs w:val="20"/>
                <w:color w:val="auto"/>
              </w:rPr>
            </w:pPr>
            <w:r>
              <w:rPr>
                <w:rFonts w:ascii="Arial" w:cs="Arial" w:eastAsia="Arial" w:hAnsi="Arial"/>
                <w:sz w:val="14"/>
                <w:szCs w:val="14"/>
                <w:color w:val="auto"/>
              </w:rPr>
              <w:t>3</w:t>
            </w:r>
          </w:p>
        </w:tc>
        <w:tc>
          <w:tcPr>
            <w:tcW w:w="1060" w:type="dxa"/>
            <w:vAlign w:val="bottom"/>
            <w:shd w:val="clear" w:color="auto" w:fill="CCEEFF"/>
          </w:tcPr>
          <w:p>
            <w:pPr>
              <w:jc w:val="center"/>
              <w:spacing w:after="0" w:line="127" w:lineRule="exact"/>
              <w:rPr>
                <w:sz w:val="20"/>
                <w:szCs w:val="20"/>
                <w:color w:val="auto"/>
              </w:rPr>
            </w:pPr>
            <w:r>
              <w:rPr>
                <w:rFonts w:ascii="Arial" w:cs="Arial" w:eastAsia="Arial" w:hAnsi="Arial"/>
                <w:sz w:val="14"/>
                <w:szCs w:val="14"/>
                <w:color w:val="auto"/>
              </w:rPr>
              <w:t>April</w:t>
            </w:r>
          </w:p>
        </w:tc>
        <w:tc>
          <w:tcPr>
            <w:tcW w:w="1060" w:type="dxa"/>
            <w:vAlign w:val="bottom"/>
            <w:shd w:val="clear" w:color="auto" w:fill="CCEEFF"/>
          </w:tcPr>
          <w:p>
            <w:pPr>
              <w:jc w:val="center"/>
              <w:spacing w:after="0" w:line="127" w:lineRule="exact"/>
              <w:rPr>
                <w:sz w:val="20"/>
                <w:szCs w:val="20"/>
                <w:color w:val="auto"/>
              </w:rPr>
            </w:pPr>
            <w:r>
              <w:rPr>
                <w:rFonts w:ascii="Arial" w:cs="Arial" w:eastAsia="Arial" w:hAnsi="Arial"/>
                <w:sz w:val="14"/>
                <w:szCs w:val="14"/>
                <w:color w:val="auto"/>
                <w:w w:val="96"/>
              </w:rPr>
              <w:t>July</w:t>
            </w:r>
          </w:p>
        </w:tc>
        <w:tc>
          <w:tcPr>
            <w:tcW w:w="940" w:type="dxa"/>
            <w:vAlign w:val="bottom"/>
            <w:shd w:val="clear" w:color="auto" w:fill="CCEEFF"/>
          </w:tcPr>
          <w:p>
            <w:pPr>
              <w:jc w:val="center"/>
              <w:spacing w:after="0" w:line="127" w:lineRule="exact"/>
              <w:rPr>
                <w:sz w:val="20"/>
                <w:szCs w:val="20"/>
                <w:color w:val="auto"/>
              </w:rPr>
            </w:pPr>
            <w:r>
              <w:rPr>
                <w:rFonts w:ascii="Arial" w:cs="Arial" w:eastAsia="Arial" w:hAnsi="Arial"/>
                <w:sz w:val="14"/>
                <w:szCs w:val="14"/>
                <w:color w:val="auto"/>
                <w:w w:val="96"/>
              </w:rPr>
              <w:t>July</w:t>
            </w:r>
          </w:p>
        </w:tc>
        <w:tc>
          <w:tcPr>
            <w:tcW w:w="5840" w:type="dxa"/>
            <w:vAlign w:val="bottom"/>
            <w:shd w:val="clear" w:color="auto" w:fill="CCEEFF"/>
          </w:tcPr>
          <w:p>
            <w:pPr>
              <w:ind w:left="100"/>
              <w:spacing w:after="0" w:line="127" w:lineRule="exact"/>
              <w:rPr>
                <w:sz w:val="20"/>
                <w:szCs w:val="20"/>
                <w:color w:val="auto"/>
              </w:rPr>
            </w:pPr>
            <w:r>
              <w:rPr>
                <w:rFonts w:ascii="Arial" w:cs="Arial" w:eastAsia="Arial" w:hAnsi="Arial"/>
                <w:sz w:val="14"/>
                <w:szCs w:val="14"/>
                <w:color w:val="auto"/>
                <w:w w:val="95"/>
              </w:rPr>
              <w:t>Requested an increase of $33 million to rate base, which reflects approximately $3 million annual</w:t>
            </w:r>
          </w:p>
        </w:tc>
        <w:tc>
          <w:tcPr>
            <w:tcW w:w="0" w:type="dxa"/>
            <w:vAlign w:val="bottom"/>
          </w:tcPr>
          <w:p>
            <w:pPr>
              <w:spacing w:after="0"/>
              <w:rPr>
                <w:sz w:val="1"/>
                <w:szCs w:val="1"/>
                <w:color w:val="auto"/>
              </w:rPr>
            </w:pPr>
          </w:p>
        </w:tc>
      </w:tr>
      <w:tr>
        <w:trPr>
          <w:trHeight w:val="141"/>
        </w:trPr>
        <w:tc>
          <w:tcPr>
            <w:tcW w:w="1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6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89"/>
              </w:rPr>
              <w:t>2023</w:t>
            </w:r>
          </w:p>
        </w:tc>
        <w:tc>
          <w:tcPr>
            <w:tcW w:w="106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89"/>
              </w:rPr>
              <w:t>2023</w:t>
            </w:r>
          </w:p>
        </w:tc>
        <w:tc>
          <w:tcPr>
            <w:tcW w:w="94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89"/>
              </w:rPr>
              <w:t>2023</w:t>
            </w:r>
          </w:p>
        </w:tc>
        <w:tc>
          <w:tcPr>
            <w:tcW w:w="5840" w:type="dxa"/>
            <w:vAlign w:val="bottom"/>
            <w:shd w:val="clear" w:color="auto" w:fill="CCEEFF"/>
          </w:tcPr>
          <w:p>
            <w:pPr>
              <w:ind w:left="100"/>
              <w:spacing w:after="0" w:line="141" w:lineRule="exact"/>
              <w:rPr>
                <w:sz w:val="20"/>
                <w:szCs w:val="20"/>
                <w:color w:val="auto"/>
              </w:rPr>
            </w:pPr>
            <w:r>
              <w:rPr>
                <w:rFonts w:ascii="Arial" w:cs="Arial" w:eastAsia="Arial" w:hAnsi="Arial"/>
                <w:sz w:val="14"/>
                <w:szCs w:val="14"/>
                <w:color w:val="auto"/>
                <w:w w:val="91"/>
              </w:rPr>
              <w:t>increase in current revenues. 80% of revenue requirement is included in requested rate increase and</w:t>
            </w:r>
          </w:p>
        </w:tc>
        <w:tc>
          <w:tcPr>
            <w:tcW w:w="0" w:type="dxa"/>
            <w:vAlign w:val="bottom"/>
          </w:tcPr>
          <w:p>
            <w:pPr>
              <w:spacing w:after="0"/>
              <w:rPr>
                <w:sz w:val="1"/>
                <w:szCs w:val="1"/>
                <w:color w:val="auto"/>
              </w:rPr>
            </w:pPr>
          </w:p>
        </w:tc>
      </w:tr>
      <w:tr>
        <w:trPr>
          <w:trHeight w:val="146"/>
        </w:trPr>
        <w:tc>
          <w:tcPr>
            <w:tcW w:w="1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840" w:type="dxa"/>
            <w:vAlign w:val="bottom"/>
            <w:shd w:val="clear" w:color="auto" w:fill="CCEEFF"/>
          </w:tcPr>
          <w:p>
            <w:pPr>
              <w:ind w:left="100"/>
              <w:spacing w:after="0" w:line="147" w:lineRule="exact"/>
              <w:rPr>
                <w:sz w:val="20"/>
                <w:szCs w:val="20"/>
                <w:color w:val="auto"/>
              </w:rPr>
            </w:pPr>
            <w:r>
              <w:rPr>
                <w:rFonts w:ascii="Arial" w:cs="Arial" w:eastAsia="Arial" w:hAnsi="Arial"/>
                <w:sz w:val="14"/>
                <w:szCs w:val="14"/>
                <w:color w:val="auto"/>
                <w:w w:val="95"/>
              </w:rPr>
              <w:t>20% is deferred until the next rate case. The mechanism also includes a change in (over)/under-</w:t>
            </w:r>
          </w:p>
        </w:tc>
        <w:tc>
          <w:tcPr>
            <w:tcW w:w="0" w:type="dxa"/>
            <w:vAlign w:val="bottom"/>
          </w:tcPr>
          <w:p>
            <w:pPr>
              <w:spacing w:after="0"/>
              <w:rPr>
                <w:sz w:val="1"/>
                <w:szCs w:val="1"/>
                <w:color w:val="auto"/>
              </w:rPr>
            </w:pPr>
          </w:p>
        </w:tc>
      </w:tr>
      <w:tr>
        <w:trPr>
          <w:trHeight w:val="138"/>
        </w:trPr>
        <w:tc>
          <w:tcPr>
            <w:tcW w:w="1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840" w:type="dxa"/>
            <w:vAlign w:val="bottom"/>
            <w:shd w:val="clear" w:color="auto" w:fill="CCEEFF"/>
          </w:tcPr>
          <w:p>
            <w:pPr>
              <w:ind w:left="100"/>
              <w:spacing w:after="0" w:line="139" w:lineRule="exact"/>
              <w:rPr>
                <w:sz w:val="20"/>
                <w:szCs w:val="20"/>
                <w:color w:val="auto"/>
              </w:rPr>
            </w:pPr>
            <w:r>
              <w:rPr>
                <w:rFonts w:ascii="Arial" w:cs="Arial" w:eastAsia="Arial" w:hAnsi="Arial"/>
                <w:sz w:val="14"/>
                <w:szCs w:val="14"/>
                <w:color w:val="auto"/>
                <w:w w:val="98"/>
              </w:rPr>
              <w:t>recovery variance of $1 million annually. Also included are unrecovered deferred Operations &amp;</w:t>
            </w:r>
          </w:p>
        </w:tc>
        <w:tc>
          <w:tcPr>
            <w:tcW w:w="0" w:type="dxa"/>
            <w:vAlign w:val="bottom"/>
          </w:tcPr>
          <w:p>
            <w:pPr>
              <w:spacing w:after="0"/>
              <w:rPr>
                <w:sz w:val="1"/>
                <w:szCs w:val="1"/>
                <w:color w:val="auto"/>
              </w:rPr>
            </w:pPr>
          </w:p>
        </w:tc>
      </w:tr>
      <w:tr>
        <w:trPr>
          <w:trHeight w:val="141"/>
        </w:trPr>
        <w:tc>
          <w:tcPr>
            <w:tcW w:w="1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840" w:type="dxa"/>
            <w:vAlign w:val="bottom"/>
            <w:shd w:val="clear" w:color="auto" w:fill="CCEEFF"/>
          </w:tcPr>
          <w:p>
            <w:pPr>
              <w:ind w:left="100"/>
              <w:spacing w:after="0" w:line="141" w:lineRule="exact"/>
              <w:rPr>
                <w:sz w:val="20"/>
                <w:szCs w:val="20"/>
                <w:color w:val="auto"/>
              </w:rPr>
            </w:pPr>
            <w:r>
              <w:rPr>
                <w:rFonts w:ascii="Arial" w:cs="Arial" w:eastAsia="Arial" w:hAnsi="Arial"/>
                <w:sz w:val="14"/>
                <w:szCs w:val="14"/>
                <w:color w:val="auto"/>
                <w:w w:val="94"/>
              </w:rPr>
              <w:t>Management expenses of $9 million. OUCC filed on June 2, 2023, recommending approval of the</w:t>
            </w:r>
          </w:p>
        </w:tc>
        <w:tc>
          <w:tcPr>
            <w:tcW w:w="0" w:type="dxa"/>
            <w:vAlign w:val="bottom"/>
          </w:tcPr>
          <w:p>
            <w:pPr>
              <w:spacing w:after="0"/>
              <w:rPr>
                <w:sz w:val="1"/>
                <w:szCs w:val="1"/>
                <w:color w:val="auto"/>
              </w:rPr>
            </w:pPr>
          </w:p>
        </w:tc>
      </w:tr>
      <w:tr>
        <w:trPr>
          <w:trHeight w:val="146"/>
        </w:trPr>
        <w:tc>
          <w:tcPr>
            <w:tcW w:w="1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840" w:type="dxa"/>
            <w:vAlign w:val="bottom"/>
            <w:shd w:val="clear" w:color="auto" w:fill="CCEEFF"/>
          </w:tcPr>
          <w:p>
            <w:pPr>
              <w:ind w:left="100"/>
              <w:spacing w:after="0" w:line="147" w:lineRule="exact"/>
              <w:rPr>
                <w:sz w:val="20"/>
                <w:szCs w:val="20"/>
                <w:color w:val="auto"/>
              </w:rPr>
            </w:pPr>
            <w:r>
              <w:rPr>
                <w:rFonts w:ascii="Arial" w:cs="Arial" w:eastAsia="Arial" w:hAnsi="Arial"/>
                <w:sz w:val="14"/>
                <w:szCs w:val="14"/>
                <w:color w:val="auto"/>
                <w:w w:val="92"/>
              </w:rPr>
              <w:t>proposed CSIA rates and updated plan as filed, with non-cost recommendations. Rebuttal testimony</w:t>
            </w:r>
          </w:p>
        </w:tc>
        <w:tc>
          <w:tcPr>
            <w:tcW w:w="0" w:type="dxa"/>
            <w:vAlign w:val="bottom"/>
          </w:tcPr>
          <w:p>
            <w:pPr>
              <w:spacing w:after="0"/>
              <w:rPr>
                <w:sz w:val="1"/>
                <w:szCs w:val="1"/>
                <w:color w:val="auto"/>
              </w:rPr>
            </w:pPr>
          </w:p>
        </w:tc>
      </w:tr>
      <w:tr>
        <w:trPr>
          <w:trHeight w:val="138"/>
        </w:trPr>
        <w:tc>
          <w:tcPr>
            <w:tcW w:w="1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840" w:type="dxa"/>
            <w:vAlign w:val="bottom"/>
            <w:shd w:val="clear" w:color="auto" w:fill="CCEEFF"/>
          </w:tcPr>
          <w:p>
            <w:pPr>
              <w:ind w:left="100"/>
              <w:spacing w:after="0" w:line="139" w:lineRule="exact"/>
              <w:rPr>
                <w:sz w:val="20"/>
                <w:szCs w:val="20"/>
                <w:color w:val="auto"/>
              </w:rPr>
            </w:pPr>
            <w:r>
              <w:rPr>
                <w:rFonts w:ascii="Arial" w:cs="Arial" w:eastAsia="Arial" w:hAnsi="Arial"/>
                <w:sz w:val="14"/>
                <w:szCs w:val="14"/>
                <w:color w:val="auto"/>
                <w:w w:val="95"/>
              </w:rPr>
              <w:t>filed June 16, 2023. A hearing was held June 28, 2023. The IURC issued an Order approving the</w:t>
            </w:r>
          </w:p>
        </w:tc>
        <w:tc>
          <w:tcPr>
            <w:tcW w:w="0" w:type="dxa"/>
            <w:vAlign w:val="bottom"/>
          </w:tcPr>
          <w:p>
            <w:pPr>
              <w:spacing w:after="0"/>
              <w:rPr>
                <w:sz w:val="1"/>
                <w:szCs w:val="1"/>
                <w:color w:val="auto"/>
              </w:rPr>
            </w:pPr>
          </w:p>
        </w:tc>
      </w:tr>
      <w:tr>
        <w:trPr>
          <w:trHeight w:val="199"/>
        </w:trPr>
        <w:tc>
          <w:tcPr>
            <w:tcW w:w="1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CSIA on July 26, 2023.</w:t>
            </w:r>
          </w:p>
        </w:tc>
        <w:tc>
          <w:tcPr>
            <w:tcW w:w="0" w:type="dxa"/>
            <w:vAlign w:val="bottom"/>
          </w:tcPr>
          <w:p>
            <w:pPr>
              <w:spacing w:after="0"/>
              <w:rPr>
                <w:sz w:val="1"/>
                <w:szCs w:val="1"/>
                <w:color w:val="auto"/>
              </w:rPr>
            </w:pPr>
          </w:p>
        </w:tc>
      </w:tr>
      <w:tr>
        <w:trPr>
          <w:trHeight w:val="133"/>
        </w:trPr>
        <w:tc>
          <w:tcPr>
            <w:tcW w:w="1220" w:type="dxa"/>
            <w:vAlign w:val="bottom"/>
          </w:tcPr>
          <w:p>
            <w:pPr>
              <w:jc w:val="center"/>
              <w:spacing w:after="0" w:line="133" w:lineRule="exact"/>
              <w:rPr>
                <w:sz w:val="20"/>
                <w:szCs w:val="20"/>
                <w:color w:val="auto"/>
              </w:rPr>
            </w:pPr>
            <w:r>
              <w:rPr>
                <w:rFonts w:ascii="Arial" w:cs="Arial" w:eastAsia="Arial" w:hAnsi="Arial"/>
                <w:sz w:val="14"/>
                <w:szCs w:val="14"/>
                <w:color w:val="auto"/>
                <w:w w:val="97"/>
              </w:rPr>
              <w:t>CSIA</w:t>
            </w:r>
          </w:p>
        </w:tc>
        <w:tc>
          <w:tcPr>
            <w:tcW w:w="1120" w:type="dxa"/>
            <w:vAlign w:val="bottom"/>
          </w:tcPr>
          <w:p>
            <w:pPr>
              <w:jc w:val="center"/>
              <w:ind w:left="51"/>
              <w:spacing w:after="0" w:line="133" w:lineRule="exact"/>
              <w:rPr>
                <w:sz w:val="20"/>
                <w:szCs w:val="20"/>
                <w:color w:val="auto"/>
              </w:rPr>
            </w:pPr>
            <w:r>
              <w:rPr>
                <w:rFonts w:ascii="Arial" w:cs="Arial" w:eastAsia="Arial" w:hAnsi="Arial"/>
                <w:sz w:val="14"/>
                <w:szCs w:val="14"/>
                <w:color w:val="auto"/>
              </w:rPr>
              <w:t>3</w:t>
            </w:r>
          </w:p>
        </w:tc>
        <w:tc>
          <w:tcPr>
            <w:tcW w:w="1060" w:type="dxa"/>
            <w:vAlign w:val="bottom"/>
          </w:tcPr>
          <w:p>
            <w:pPr>
              <w:jc w:val="center"/>
              <w:spacing w:after="0" w:line="133" w:lineRule="exact"/>
              <w:rPr>
                <w:sz w:val="20"/>
                <w:szCs w:val="20"/>
                <w:color w:val="auto"/>
              </w:rPr>
            </w:pPr>
            <w:r>
              <w:rPr>
                <w:rFonts w:ascii="Arial" w:cs="Arial" w:eastAsia="Arial" w:hAnsi="Arial"/>
                <w:sz w:val="14"/>
                <w:szCs w:val="14"/>
                <w:color w:val="auto"/>
                <w:w w:val="91"/>
              </w:rPr>
              <w:t>October 2023</w:t>
            </w:r>
          </w:p>
        </w:tc>
        <w:tc>
          <w:tcPr>
            <w:tcW w:w="1060" w:type="dxa"/>
            <w:vAlign w:val="bottom"/>
          </w:tcPr>
          <w:p>
            <w:pPr>
              <w:jc w:val="center"/>
              <w:spacing w:after="0" w:line="133" w:lineRule="exact"/>
              <w:rPr>
                <w:sz w:val="20"/>
                <w:szCs w:val="20"/>
                <w:color w:val="auto"/>
              </w:rPr>
            </w:pPr>
            <w:r>
              <w:rPr>
                <w:rFonts w:ascii="Arial" w:cs="Arial" w:eastAsia="Arial" w:hAnsi="Arial"/>
                <w:sz w:val="14"/>
                <w:szCs w:val="14"/>
                <w:color w:val="auto"/>
                <w:w w:val="99"/>
              </w:rPr>
              <w:t>TBD</w:t>
            </w:r>
          </w:p>
        </w:tc>
        <w:tc>
          <w:tcPr>
            <w:tcW w:w="940" w:type="dxa"/>
            <w:vAlign w:val="bottom"/>
          </w:tcPr>
          <w:p>
            <w:pPr>
              <w:jc w:val="center"/>
              <w:spacing w:after="0" w:line="133" w:lineRule="exact"/>
              <w:rPr>
                <w:sz w:val="20"/>
                <w:szCs w:val="20"/>
                <w:color w:val="auto"/>
              </w:rPr>
            </w:pPr>
            <w:r>
              <w:rPr>
                <w:rFonts w:ascii="Arial" w:cs="Arial" w:eastAsia="Arial" w:hAnsi="Arial"/>
                <w:sz w:val="14"/>
                <w:szCs w:val="14"/>
                <w:color w:val="auto"/>
                <w:w w:val="99"/>
              </w:rPr>
              <w:t>TBD</w:t>
            </w:r>
          </w:p>
        </w:tc>
        <w:tc>
          <w:tcPr>
            <w:tcW w:w="5840" w:type="dxa"/>
            <w:vAlign w:val="bottom"/>
          </w:tcPr>
          <w:p>
            <w:pPr>
              <w:ind w:left="100"/>
              <w:spacing w:after="0" w:line="133" w:lineRule="exact"/>
              <w:rPr>
                <w:sz w:val="20"/>
                <w:szCs w:val="20"/>
                <w:color w:val="auto"/>
              </w:rPr>
            </w:pPr>
            <w:r>
              <w:rPr>
                <w:rFonts w:ascii="Arial" w:cs="Arial" w:eastAsia="Arial" w:hAnsi="Arial"/>
                <w:sz w:val="14"/>
                <w:szCs w:val="14"/>
                <w:color w:val="auto"/>
                <w:w w:val="95"/>
              </w:rPr>
              <w:t>Requested an increase of $31 million to rate base, which reflects approximately $3 million annual</w:t>
            </w:r>
          </w:p>
        </w:tc>
        <w:tc>
          <w:tcPr>
            <w:tcW w:w="0" w:type="dxa"/>
            <w:vAlign w:val="bottom"/>
          </w:tcPr>
          <w:p>
            <w:pPr>
              <w:spacing w:after="0"/>
              <w:rPr>
                <w:sz w:val="1"/>
                <w:szCs w:val="1"/>
                <w:color w:val="auto"/>
              </w:rPr>
            </w:pPr>
          </w:p>
        </w:tc>
      </w:tr>
      <w:tr>
        <w:trPr>
          <w:trHeight w:val="141"/>
        </w:trPr>
        <w:tc>
          <w:tcPr>
            <w:tcW w:w="1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40" w:type="dxa"/>
            <w:vAlign w:val="bottom"/>
          </w:tcPr>
          <w:p>
            <w:pPr>
              <w:ind w:left="100"/>
              <w:spacing w:after="0" w:line="141" w:lineRule="exact"/>
              <w:rPr>
                <w:sz w:val="20"/>
                <w:szCs w:val="20"/>
                <w:color w:val="auto"/>
              </w:rPr>
            </w:pPr>
            <w:r>
              <w:rPr>
                <w:rFonts w:ascii="Arial" w:cs="Arial" w:eastAsia="Arial" w:hAnsi="Arial"/>
                <w:sz w:val="14"/>
                <w:szCs w:val="14"/>
                <w:color w:val="auto"/>
                <w:w w:val="91"/>
              </w:rPr>
              <w:t>increase in current revenues. 80% of revenue requirement is included in requested rate increase and</w:t>
            </w: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40" w:type="dxa"/>
            <w:vAlign w:val="bottom"/>
          </w:tcPr>
          <w:p>
            <w:pPr>
              <w:ind w:left="100"/>
              <w:spacing w:after="0" w:line="147" w:lineRule="exact"/>
              <w:rPr>
                <w:sz w:val="20"/>
                <w:szCs w:val="20"/>
                <w:color w:val="auto"/>
              </w:rPr>
            </w:pPr>
            <w:r>
              <w:rPr>
                <w:rFonts w:ascii="Arial" w:cs="Arial" w:eastAsia="Arial" w:hAnsi="Arial"/>
                <w:sz w:val="14"/>
                <w:szCs w:val="14"/>
                <w:color w:val="auto"/>
                <w:w w:val="95"/>
              </w:rPr>
              <w:t>20% is deferred until the next rate case. The mechanism also includes a change in (over)/under-</w:t>
            </w:r>
          </w:p>
        </w:tc>
        <w:tc>
          <w:tcPr>
            <w:tcW w:w="0" w:type="dxa"/>
            <w:vAlign w:val="bottom"/>
          </w:tcPr>
          <w:p>
            <w:pPr>
              <w:spacing w:after="0"/>
              <w:rPr>
                <w:sz w:val="1"/>
                <w:szCs w:val="1"/>
                <w:color w:val="auto"/>
              </w:rPr>
            </w:pPr>
          </w:p>
        </w:tc>
      </w:tr>
      <w:tr>
        <w:trPr>
          <w:trHeight w:val="138"/>
        </w:trPr>
        <w:tc>
          <w:tcPr>
            <w:tcW w:w="1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40" w:type="dxa"/>
            <w:vAlign w:val="bottom"/>
          </w:tcPr>
          <w:p>
            <w:pPr>
              <w:ind w:left="100"/>
              <w:spacing w:after="0" w:line="139" w:lineRule="exact"/>
              <w:rPr>
                <w:sz w:val="20"/>
                <w:szCs w:val="20"/>
                <w:color w:val="auto"/>
              </w:rPr>
            </w:pPr>
            <w:r>
              <w:rPr>
                <w:rFonts w:ascii="Arial" w:cs="Arial" w:eastAsia="Arial" w:hAnsi="Arial"/>
                <w:sz w:val="14"/>
                <w:szCs w:val="14"/>
                <w:color w:val="auto"/>
                <w:w w:val="95"/>
              </w:rPr>
              <w:t>recovery variance of $1 million annually. OUCC files on December 8, 2023. Rebuttal testimony is</w:t>
            </w:r>
          </w:p>
        </w:tc>
        <w:tc>
          <w:tcPr>
            <w:tcW w:w="0" w:type="dxa"/>
            <w:vAlign w:val="bottom"/>
          </w:tcPr>
          <w:p>
            <w:pPr>
              <w:spacing w:after="0"/>
              <w:rPr>
                <w:sz w:val="1"/>
                <w:szCs w:val="1"/>
                <w:color w:val="auto"/>
              </w:rPr>
            </w:pPr>
          </w:p>
        </w:tc>
      </w:tr>
      <w:tr>
        <w:trPr>
          <w:trHeight w:val="190"/>
        </w:trPr>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40" w:type="dxa"/>
            <w:vAlign w:val="bottom"/>
          </w:tcPr>
          <w:p>
            <w:pPr>
              <w:ind w:left="100"/>
              <w:spacing w:after="0"/>
              <w:rPr>
                <w:sz w:val="20"/>
                <w:szCs w:val="20"/>
                <w:color w:val="auto"/>
              </w:rPr>
            </w:pPr>
            <w:r>
              <w:rPr>
                <w:rFonts w:ascii="Arial" w:cs="Arial" w:eastAsia="Arial" w:hAnsi="Arial"/>
                <w:sz w:val="14"/>
                <w:szCs w:val="14"/>
                <w:color w:val="auto"/>
              </w:rPr>
              <w:t>due December 15, 2023. A hearing is scheduled for January 3, 2024.</w:t>
            </w:r>
          </w:p>
        </w:tc>
        <w:tc>
          <w:tcPr>
            <w:tcW w:w="0" w:type="dxa"/>
            <w:vAlign w:val="bottom"/>
          </w:tcPr>
          <w:p>
            <w:pPr>
              <w:spacing w:after="0"/>
              <w:rPr>
                <w:sz w:val="1"/>
                <w:szCs w:val="1"/>
                <w:color w:val="auto"/>
              </w:rPr>
            </w:pPr>
          </w:p>
        </w:tc>
      </w:tr>
      <w:tr>
        <w:trPr>
          <w:trHeight w:val="202"/>
        </w:trPr>
        <w:tc>
          <w:tcPr>
            <w:tcW w:w="1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7840" w:type="dxa"/>
            <w:vAlign w:val="bottom"/>
            <w:tcBorders>
              <w:bottom w:val="single" w:sz="8" w:color="auto"/>
            </w:tcBorders>
            <w:gridSpan w:val="3"/>
            <w:shd w:val="clear" w:color="auto" w:fill="CCEEFF"/>
          </w:tcPr>
          <w:p>
            <w:pPr>
              <w:jc w:val="center"/>
              <w:ind w:right="3329"/>
              <w:spacing w:after="0"/>
              <w:rPr>
                <w:sz w:val="20"/>
                <w:szCs w:val="20"/>
                <w:color w:val="auto"/>
              </w:rPr>
            </w:pPr>
            <w:r>
              <w:rPr>
                <w:rFonts w:ascii="Arial" w:cs="Arial" w:eastAsia="Arial" w:hAnsi="Arial"/>
                <w:sz w:val="14"/>
                <w:szCs w:val="14"/>
                <w:b w:val="1"/>
                <w:bCs w:val="1"/>
                <w:color w:val="auto"/>
                <w:w w:val="95"/>
              </w:rPr>
              <w:t>CenterPoint Energy and CERC - Indiana North - Gas (IURC)</w:t>
            </w:r>
          </w:p>
        </w:tc>
        <w:tc>
          <w:tcPr>
            <w:tcW w:w="0" w:type="dxa"/>
            <w:vAlign w:val="bottom"/>
          </w:tcPr>
          <w:p>
            <w:pPr>
              <w:spacing w:after="0"/>
              <w:rPr>
                <w:sz w:val="1"/>
                <w:szCs w:val="1"/>
                <w:color w:val="auto"/>
              </w:rPr>
            </w:pPr>
          </w:p>
        </w:tc>
      </w:tr>
      <w:tr>
        <w:trPr>
          <w:trHeight w:val="133"/>
        </w:trPr>
        <w:tc>
          <w:tcPr>
            <w:tcW w:w="1220" w:type="dxa"/>
            <w:vAlign w:val="bottom"/>
          </w:tcPr>
          <w:p>
            <w:pPr>
              <w:jc w:val="center"/>
              <w:spacing w:after="0" w:line="133" w:lineRule="exact"/>
              <w:rPr>
                <w:sz w:val="20"/>
                <w:szCs w:val="20"/>
                <w:color w:val="auto"/>
              </w:rPr>
            </w:pPr>
            <w:r>
              <w:rPr>
                <w:rFonts w:ascii="Arial" w:cs="Arial" w:eastAsia="Arial" w:hAnsi="Arial"/>
                <w:sz w:val="14"/>
                <w:szCs w:val="14"/>
                <w:color w:val="auto"/>
                <w:w w:val="97"/>
              </w:rPr>
              <w:t>CSIA</w:t>
            </w:r>
          </w:p>
        </w:tc>
        <w:tc>
          <w:tcPr>
            <w:tcW w:w="1120" w:type="dxa"/>
            <w:vAlign w:val="bottom"/>
          </w:tcPr>
          <w:p>
            <w:pPr>
              <w:jc w:val="center"/>
              <w:ind w:left="51"/>
              <w:spacing w:after="0" w:line="133" w:lineRule="exact"/>
              <w:rPr>
                <w:sz w:val="20"/>
                <w:szCs w:val="20"/>
                <w:color w:val="auto"/>
              </w:rPr>
            </w:pPr>
            <w:r>
              <w:rPr>
                <w:rFonts w:ascii="Arial" w:cs="Arial" w:eastAsia="Arial" w:hAnsi="Arial"/>
                <w:sz w:val="14"/>
                <w:szCs w:val="14"/>
                <w:color w:val="auto"/>
              </w:rPr>
              <w:t>9</w:t>
            </w:r>
          </w:p>
        </w:tc>
        <w:tc>
          <w:tcPr>
            <w:tcW w:w="1060" w:type="dxa"/>
            <w:vAlign w:val="bottom"/>
          </w:tcPr>
          <w:p>
            <w:pPr>
              <w:jc w:val="center"/>
              <w:spacing w:after="0" w:line="133" w:lineRule="exact"/>
              <w:rPr>
                <w:sz w:val="20"/>
                <w:szCs w:val="20"/>
                <w:color w:val="auto"/>
              </w:rPr>
            </w:pPr>
            <w:r>
              <w:rPr>
                <w:rFonts w:ascii="Arial" w:cs="Arial" w:eastAsia="Arial" w:hAnsi="Arial"/>
                <w:sz w:val="14"/>
                <w:szCs w:val="14"/>
                <w:color w:val="auto"/>
              </w:rPr>
              <w:t>April</w:t>
            </w:r>
          </w:p>
        </w:tc>
        <w:tc>
          <w:tcPr>
            <w:tcW w:w="1060" w:type="dxa"/>
            <w:vAlign w:val="bottom"/>
          </w:tcPr>
          <w:p>
            <w:pPr>
              <w:jc w:val="center"/>
              <w:spacing w:after="0" w:line="133" w:lineRule="exact"/>
              <w:rPr>
                <w:sz w:val="20"/>
                <w:szCs w:val="20"/>
                <w:color w:val="auto"/>
              </w:rPr>
            </w:pPr>
            <w:r>
              <w:rPr>
                <w:rFonts w:ascii="Arial" w:cs="Arial" w:eastAsia="Arial" w:hAnsi="Arial"/>
                <w:sz w:val="14"/>
                <w:szCs w:val="14"/>
                <w:color w:val="auto"/>
                <w:w w:val="96"/>
              </w:rPr>
              <w:t>July</w:t>
            </w:r>
          </w:p>
        </w:tc>
        <w:tc>
          <w:tcPr>
            <w:tcW w:w="940" w:type="dxa"/>
            <w:vAlign w:val="bottom"/>
          </w:tcPr>
          <w:p>
            <w:pPr>
              <w:jc w:val="center"/>
              <w:spacing w:after="0" w:line="133" w:lineRule="exact"/>
              <w:rPr>
                <w:sz w:val="20"/>
                <w:szCs w:val="20"/>
                <w:color w:val="auto"/>
              </w:rPr>
            </w:pPr>
            <w:r>
              <w:rPr>
                <w:rFonts w:ascii="Arial" w:cs="Arial" w:eastAsia="Arial" w:hAnsi="Arial"/>
                <w:sz w:val="14"/>
                <w:szCs w:val="14"/>
                <w:color w:val="auto"/>
                <w:w w:val="96"/>
              </w:rPr>
              <w:t>July</w:t>
            </w:r>
          </w:p>
        </w:tc>
        <w:tc>
          <w:tcPr>
            <w:tcW w:w="5840" w:type="dxa"/>
            <w:vAlign w:val="bottom"/>
          </w:tcPr>
          <w:p>
            <w:pPr>
              <w:ind w:left="100"/>
              <w:spacing w:after="0" w:line="133" w:lineRule="exact"/>
              <w:rPr>
                <w:sz w:val="20"/>
                <w:szCs w:val="20"/>
                <w:color w:val="auto"/>
              </w:rPr>
            </w:pPr>
            <w:r>
              <w:rPr>
                <w:rFonts w:ascii="Arial" w:cs="Arial" w:eastAsia="Arial" w:hAnsi="Arial"/>
                <w:sz w:val="14"/>
                <w:szCs w:val="14"/>
                <w:color w:val="auto"/>
                <w:w w:val="95"/>
              </w:rPr>
              <w:t>Requested an increase of $95 million to rate base, which reflects approximately $9 million annual</w:t>
            </w:r>
          </w:p>
        </w:tc>
        <w:tc>
          <w:tcPr>
            <w:tcW w:w="0" w:type="dxa"/>
            <w:vAlign w:val="bottom"/>
          </w:tcPr>
          <w:p>
            <w:pPr>
              <w:spacing w:after="0"/>
              <w:rPr>
                <w:sz w:val="1"/>
                <w:szCs w:val="1"/>
                <w:color w:val="auto"/>
              </w:rPr>
            </w:pPr>
          </w:p>
        </w:tc>
      </w:tr>
      <w:tr>
        <w:trPr>
          <w:trHeight w:val="141"/>
        </w:trPr>
        <w:tc>
          <w:tcPr>
            <w:tcW w:w="1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Arial" w:cs="Arial" w:eastAsia="Arial" w:hAnsi="Arial"/>
                <w:sz w:val="14"/>
                <w:szCs w:val="14"/>
                <w:color w:val="auto"/>
                <w:w w:val="89"/>
              </w:rPr>
              <w:t>2023</w:t>
            </w:r>
          </w:p>
        </w:tc>
        <w:tc>
          <w:tcPr>
            <w:tcW w:w="1060" w:type="dxa"/>
            <w:vAlign w:val="bottom"/>
          </w:tcPr>
          <w:p>
            <w:pPr>
              <w:jc w:val="center"/>
              <w:spacing w:after="0" w:line="141" w:lineRule="exact"/>
              <w:rPr>
                <w:sz w:val="20"/>
                <w:szCs w:val="20"/>
                <w:color w:val="auto"/>
              </w:rPr>
            </w:pPr>
            <w:r>
              <w:rPr>
                <w:rFonts w:ascii="Arial" w:cs="Arial" w:eastAsia="Arial" w:hAnsi="Arial"/>
                <w:sz w:val="14"/>
                <w:szCs w:val="14"/>
                <w:color w:val="auto"/>
                <w:w w:val="89"/>
              </w:rPr>
              <w:t>2023</w:t>
            </w:r>
          </w:p>
        </w:tc>
        <w:tc>
          <w:tcPr>
            <w:tcW w:w="940" w:type="dxa"/>
            <w:vAlign w:val="bottom"/>
          </w:tcPr>
          <w:p>
            <w:pPr>
              <w:jc w:val="center"/>
              <w:spacing w:after="0" w:line="141" w:lineRule="exact"/>
              <w:rPr>
                <w:sz w:val="20"/>
                <w:szCs w:val="20"/>
                <w:color w:val="auto"/>
              </w:rPr>
            </w:pPr>
            <w:r>
              <w:rPr>
                <w:rFonts w:ascii="Arial" w:cs="Arial" w:eastAsia="Arial" w:hAnsi="Arial"/>
                <w:sz w:val="14"/>
                <w:szCs w:val="14"/>
                <w:color w:val="auto"/>
                <w:w w:val="89"/>
              </w:rPr>
              <w:t>2023</w:t>
            </w:r>
          </w:p>
        </w:tc>
        <w:tc>
          <w:tcPr>
            <w:tcW w:w="5840" w:type="dxa"/>
            <w:vAlign w:val="bottom"/>
          </w:tcPr>
          <w:p>
            <w:pPr>
              <w:ind w:left="100"/>
              <w:spacing w:after="0" w:line="141" w:lineRule="exact"/>
              <w:rPr>
                <w:sz w:val="20"/>
                <w:szCs w:val="20"/>
                <w:color w:val="auto"/>
              </w:rPr>
            </w:pPr>
            <w:r>
              <w:rPr>
                <w:rFonts w:ascii="Arial" w:cs="Arial" w:eastAsia="Arial" w:hAnsi="Arial"/>
                <w:sz w:val="14"/>
                <w:szCs w:val="14"/>
                <w:color w:val="auto"/>
                <w:w w:val="91"/>
              </w:rPr>
              <w:t>increase in current revenues. 80% of revenue requirement is included in requested rate increase and</w:t>
            </w: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40" w:type="dxa"/>
            <w:vAlign w:val="bottom"/>
          </w:tcPr>
          <w:p>
            <w:pPr>
              <w:ind w:left="100"/>
              <w:spacing w:after="0" w:line="147" w:lineRule="exact"/>
              <w:rPr>
                <w:sz w:val="20"/>
                <w:szCs w:val="20"/>
                <w:color w:val="auto"/>
              </w:rPr>
            </w:pPr>
            <w:r>
              <w:rPr>
                <w:rFonts w:ascii="Arial" w:cs="Arial" w:eastAsia="Arial" w:hAnsi="Arial"/>
                <w:sz w:val="14"/>
                <w:szCs w:val="14"/>
                <w:color w:val="auto"/>
                <w:w w:val="95"/>
              </w:rPr>
              <w:t>20% is deferred until the next rate case. The mechanism also includes a change in (over)/under-</w:t>
            </w:r>
          </w:p>
        </w:tc>
        <w:tc>
          <w:tcPr>
            <w:tcW w:w="0" w:type="dxa"/>
            <w:vAlign w:val="bottom"/>
          </w:tcPr>
          <w:p>
            <w:pPr>
              <w:spacing w:after="0"/>
              <w:rPr>
                <w:sz w:val="1"/>
                <w:szCs w:val="1"/>
                <w:color w:val="auto"/>
              </w:rPr>
            </w:pPr>
          </w:p>
        </w:tc>
      </w:tr>
      <w:tr>
        <w:trPr>
          <w:trHeight w:val="138"/>
        </w:trPr>
        <w:tc>
          <w:tcPr>
            <w:tcW w:w="1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40" w:type="dxa"/>
            <w:vAlign w:val="bottom"/>
          </w:tcPr>
          <w:p>
            <w:pPr>
              <w:ind w:left="100"/>
              <w:spacing w:after="0" w:line="139" w:lineRule="exact"/>
              <w:rPr>
                <w:sz w:val="20"/>
                <w:szCs w:val="20"/>
                <w:color w:val="auto"/>
              </w:rPr>
            </w:pPr>
            <w:r>
              <w:rPr>
                <w:rFonts w:ascii="Arial" w:cs="Arial" w:eastAsia="Arial" w:hAnsi="Arial"/>
                <w:sz w:val="14"/>
                <w:szCs w:val="14"/>
                <w:color w:val="auto"/>
                <w:w w:val="98"/>
              </w:rPr>
              <w:t>recovery variance of $5 million annually. Also included are unrecovered deferred operations &amp;</w:t>
            </w:r>
          </w:p>
        </w:tc>
        <w:tc>
          <w:tcPr>
            <w:tcW w:w="0" w:type="dxa"/>
            <w:vAlign w:val="bottom"/>
          </w:tcPr>
          <w:p>
            <w:pPr>
              <w:spacing w:after="0"/>
              <w:rPr>
                <w:sz w:val="1"/>
                <w:szCs w:val="1"/>
                <w:color w:val="auto"/>
              </w:rPr>
            </w:pPr>
          </w:p>
        </w:tc>
      </w:tr>
      <w:tr>
        <w:trPr>
          <w:trHeight w:val="141"/>
        </w:trPr>
        <w:tc>
          <w:tcPr>
            <w:tcW w:w="1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40" w:type="dxa"/>
            <w:vAlign w:val="bottom"/>
          </w:tcPr>
          <w:p>
            <w:pPr>
              <w:ind w:left="100"/>
              <w:spacing w:after="0" w:line="141" w:lineRule="exact"/>
              <w:rPr>
                <w:sz w:val="20"/>
                <w:szCs w:val="20"/>
                <w:color w:val="auto"/>
              </w:rPr>
            </w:pPr>
            <w:r>
              <w:rPr>
                <w:rFonts w:ascii="Arial" w:cs="Arial" w:eastAsia="Arial" w:hAnsi="Arial"/>
                <w:sz w:val="14"/>
                <w:szCs w:val="14"/>
                <w:color w:val="auto"/>
                <w:w w:val="93"/>
              </w:rPr>
              <w:t>management expenses of $20 million. OUCC filed on June 2, 2023, recommending approval of the</w:t>
            </w: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40" w:type="dxa"/>
            <w:vAlign w:val="bottom"/>
          </w:tcPr>
          <w:p>
            <w:pPr>
              <w:ind w:left="100"/>
              <w:spacing w:after="0" w:line="147" w:lineRule="exact"/>
              <w:rPr>
                <w:sz w:val="20"/>
                <w:szCs w:val="20"/>
                <w:color w:val="auto"/>
              </w:rPr>
            </w:pPr>
            <w:r>
              <w:rPr>
                <w:rFonts w:ascii="Arial" w:cs="Arial" w:eastAsia="Arial" w:hAnsi="Arial"/>
                <w:sz w:val="14"/>
                <w:szCs w:val="14"/>
                <w:color w:val="auto"/>
                <w:w w:val="92"/>
              </w:rPr>
              <w:t>proposed CSIA rates and updated plan as filed, with non-cost recommendations. Rebuttal testimony</w:t>
            </w:r>
          </w:p>
        </w:tc>
        <w:tc>
          <w:tcPr>
            <w:tcW w:w="0" w:type="dxa"/>
            <w:vAlign w:val="bottom"/>
          </w:tcPr>
          <w:p>
            <w:pPr>
              <w:spacing w:after="0"/>
              <w:rPr>
                <w:sz w:val="1"/>
                <w:szCs w:val="1"/>
                <w:color w:val="auto"/>
              </w:rPr>
            </w:pPr>
          </w:p>
        </w:tc>
      </w:tr>
      <w:tr>
        <w:trPr>
          <w:trHeight w:val="138"/>
        </w:trPr>
        <w:tc>
          <w:tcPr>
            <w:tcW w:w="1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40" w:type="dxa"/>
            <w:vAlign w:val="bottom"/>
          </w:tcPr>
          <w:p>
            <w:pPr>
              <w:ind w:left="100"/>
              <w:spacing w:after="0" w:line="139" w:lineRule="exact"/>
              <w:rPr>
                <w:sz w:val="20"/>
                <w:szCs w:val="20"/>
                <w:color w:val="auto"/>
              </w:rPr>
            </w:pPr>
            <w:r>
              <w:rPr>
                <w:rFonts w:ascii="Arial" w:cs="Arial" w:eastAsia="Arial" w:hAnsi="Arial"/>
                <w:sz w:val="14"/>
                <w:szCs w:val="14"/>
                <w:color w:val="auto"/>
                <w:w w:val="91"/>
              </w:rPr>
              <w:t>was filed on June 16, 2023. A hearing was held June 28, 2023. The IURC issued an Order approving</w:t>
            </w:r>
          </w:p>
        </w:tc>
        <w:tc>
          <w:tcPr>
            <w:tcW w:w="0" w:type="dxa"/>
            <w:vAlign w:val="bottom"/>
          </w:tcPr>
          <w:p>
            <w:pPr>
              <w:spacing w:after="0"/>
              <w:rPr>
                <w:sz w:val="1"/>
                <w:szCs w:val="1"/>
                <w:color w:val="auto"/>
              </w:rPr>
            </w:pPr>
          </w:p>
        </w:tc>
      </w:tr>
      <w:tr>
        <w:trPr>
          <w:trHeight w:val="190"/>
        </w:trPr>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40" w:type="dxa"/>
            <w:vAlign w:val="bottom"/>
          </w:tcPr>
          <w:p>
            <w:pPr>
              <w:ind w:left="100"/>
              <w:spacing w:after="0"/>
              <w:rPr>
                <w:sz w:val="20"/>
                <w:szCs w:val="20"/>
                <w:color w:val="auto"/>
              </w:rPr>
            </w:pPr>
            <w:r>
              <w:rPr>
                <w:rFonts w:ascii="Arial" w:cs="Arial" w:eastAsia="Arial" w:hAnsi="Arial"/>
                <w:sz w:val="14"/>
                <w:szCs w:val="14"/>
                <w:color w:val="auto"/>
              </w:rPr>
              <w:t>the CSIA on July 26, 2023.</w:t>
            </w:r>
          </w:p>
        </w:tc>
        <w:tc>
          <w:tcPr>
            <w:tcW w:w="0" w:type="dxa"/>
            <w:vAlign w:val="bottom"/>
          </w:tcPr>
          <w:p>
            <w:pPr>
              <w:spacing w:after="0"/>
              <w:rPr>
                <w:sz w:val="1"/>
                <w:szCs w:val="1"/>
                <w:color w:val="auto"/>
              </w:rPr>
            </w:pPr>
          </w:p>
        </w:tc>
      </w:tr>
      <w:tr>
        <w:trPr>
          <w:trHeight w:val="143"/>
        </w:trPr>
        <w:tc>
          <w:tcPr>
            <w:tcW w:w="122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7"/>
              </w:rPr>
              <w:t>CSIA</w:t>
            </w:r>
          </w:p>
        </w:tc>
        <w:tc>
          <w:tcPr>
            <w:tcW w:w="1120" w:type="dxa"/>
            <w:vAlign w:val="bottom"/>
            <w:shd w:val="clear" w:color="auto" w:fill="CCEEFF"/>
          </w:tcPr>
          <w:p>
            <w:pPr>
              <w:jc w:val="center"/>
              <w:ind w:left="51"/>
              <w:spacing w:after="0" w:line="143" w:lineRule="exact"/>
              <w:rPr>
                <w:sz w:val="20"/>
                <w:szCs w:val="20"/>
                <w:color w:val="auto"/>
              </w:rPr>
            </w:pPr>
            <w:r>
              <w:rPr>
                <w:rFonts w:ascii="Arial" w:cs="Arial" w:eastAsia="Arial" w:hAnsi="Arial"/>
                <w:sz w:val="14"/>
                <w:szCs w:val="14"/>
                <w:color w:val="auto"/>
              </w:rPr>
              <w:t>9</w:t>
            </w:r>
          </w:p>
        </w:tc>
        <w:tc>
          <w:tcPr>
            <w:tcW w:w="10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1"/>
              </w:rPr>
              <w:t>October 2023</w:t>
            </w:r>
          </w:p>
        </w:tc>
        <w:tc>
          <w:tcPr>
            <w:tcW w:w="10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9"/>
              </w:rPr>
              <w:t>TBD</w:t>
            </w:r>
          </w:p>
        </w:tc>
        <w:tc>
          <w:tcPr>
            <w:tcW w:w="9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9"/>
              </w:rPr>
              <w:t>TBD</w:t>
            </w:r>
          </w:p>
        </w:tc>
        <w:tc>
          <w:tcPr>
            <w:tcW w:w="5840" w:type="dxa"/>
            <w:vAlign w:val="bottom"/>
            <w:shd w:val="clear" w:color="auto" w:fill="CCEEFF"/>
          </w:tcPr>
          <w:p>
            <w:pPr>
              <w:ind w:left="100"/>
              <w:spacing w:after="0" w:line="143" w:lineRule="exact"/>
              <w:rPr>
                <w:sz w:val="20"/>
                <w:szCs w:val="20"/>
                <w:color w:val="auto"/>
              </w:rPr>
            </w:pPr>
            <w:r>
              <w:rPr>
                <w:rFonts w:ascii="Arial" w:cs="Arial" w:eastAsia="Arial" w:hAnsi="Arial"/>
                <w:sz w:val="14"/>
                <w:szCs w:val="14"/>
                <w:color w:val="auto"/>
                <w:w w:val="95"/>
              </w:rPr>
              <w:t>Requested an increase of $98 million to rate base, which reflects approximately $9 million annual</w:t>
            </w:r>
          </w:p>
        </w:tc>
        <w:tc>
          <w:tcPr>
            <w:tcW w:w="0" w:type="dxa"/>
            <w:vAlign w:val="bottom"/>
          </w:tcPr>
          <w:p>
            <w:pPr>
              <w:spacing w:after="0"/>
              <w:rPr>
                <w:sz w:val="1"/>
                <w:szCs w:val="1"/>
                <w:color w:val="auto"/>
              </w:rPr>
            </w:pPr>
          </w:p>
        </w:tc>
      </w:tr>
      <w:tr>
        <w:trPr>
          <w:trHeight w:val="141"/>
        </w:trPr>
        <w:tc>
          <w:tcPr>
            <w:tcW w:w="1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840" w:type="dxa"/>
            <w:vAlign w:val="bottom"/>
            <w:shd w:val="clear" w:color="auto" w:fill="CCEEFF"/>
          </w:tcPr>
          <w:p>
            <w:pPr>
              <w:ind w:left="100"/>
              <w:spacing w:after="0" w:line="141" w:lineRule="exact"/>
              <w:rPr>
                <w:sz w:val="20"/>
                <w:szCs w:val="20"/>
                <w:color w:val="auto"/>
              </w:rPr>
            </w:pPr>
            <w:r>
              <w:rPr>
                <w:rFonts w:ascii="Arial" w:cs="Arial" w:eastAsia="Arial" w:hAnsi="Arial"/>
                <w:sz w:val="14"/>
                <w:szCs w:val="14"/>
                <w:color w:val="auto"/>
                <w:w w:val="91"/>
              </w:rPr>
              <w:t>increase in current revenues. 80% of revenue requirement is included in requested rate increase and</w:t>
            </w:r>
          </w:p>
        </w:tc>
        <w:tc>
          <w:tcPr>
            <w:tcW w:w="0" w:type="dxa"/>
            <w:vAlign w:val="bottom"/>
          </w:tcPr>
          <w:p>
            <w:pPr>
              <w:spacing w:after="0"/>
              <w:rPr>
                <w:sz w:val="1"/>
                <w:szCs w:val="1"/>
                <w:color w:val="auto"/>
              </w:rPr>
            </w:pPr>
          </w:p>
        </w:tc>
      </w:tr>
      <w:tr>
        <w:trPr>
          <w:trHeight w:val="146"/>
        </w:trPr>
        <w:tc>
          <w:tcPr>
            <w:tcW w:w="1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840" w:type="dxa"/>
            <w:vAlign w:val="bottom"/>
            <w:shd w:val="clear" w:color="auto" w:fill="CCEEFF"/>
          </w:tcPr>
          <w:p>
            <w:pPr>
              <w:ind w:left="100"/>
              <w:spacing w:after="0" w:line="147" w:lineRule="exact"/>
              <w:rPr>
                <w:sz w:val="20"/>
                <w:szCs w:val="20"/>
                <w:color w:val="auto"/>
              </w:rPr>
            </w:pPr>
            <w:r>
              <w:rPr>
                <w:rFonts w:ascii="Arial" w:cs="Arial" w:eastAsia="Arial" w:hAnsi="Arial"/>
                <w:sz w:val="14"/>
                <w:szCs w:val="14"/>
                <w:color w:val="auto"/>
                <w:w w:val="95"/>
              </w:rPr>
              <w:t>20% is deferred until the next rate case. The mechanism also includes a change in (over)/under-</w:t>
            </w:r>
          </w:p>
        </w:tc>
        <w:tc>
          <w:tcPr>
            <w:tcW w:w="0" w:type="dxa"/>
            <w:vAlign w:val="bottom"/>
          </w:tcPr>
          <w:p>
            <w:pPr>
              <w:spacing w:after="0"/>
              <w:rPr>
                <w:sz w:val="1"/>
                <w:szCs w:val="1"/>
                <w:color w:val="auto"/>
              </w:rPr>
            </w:pPr>
          </w:p>
        </w:tc>
      </w:tr>
      <w:tr>
        <w:trPr>
          <w:trHeight w:val="138"/>
        </w:trPr>
        <w:tc>
          <w:tcPr>
            <w:tcW w:w="1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840" w:type="dxa"/>
            <w:vAlign w:val="bottom"/>
            <w:shd w:val="clear" w:color="auto" w:fill="CCEEFF"/>
          </w:tcPr>
          <w:p>
            <w:pPr>
              <w:ind w:left="100"/>
              <w:spacing w:after="0" w:line="139" w:lineRule="exact"/>
              <w:rPr>
                <w:sz w:val="20"/>
                <w:szCs w:val="20"/>
                <w:color w:val="auto"/>
              </w:rPr>
            </w:pPr>
            <w:r>
              <w:rPr>
                <w:rFonts w:ascii="Arial" w:cs="Arial" w:eastAsia="Arial" w:hAnsi="Arial"/>
                <w:sz w:val="14"/>
                <w:szCs w:val="14"/>
                <w:color w:val="auto"/>
                <w:w w:val="95"/>
              </w:rPr>
              <w:t>recovery variance of $1 million annually. OUCC files on December 8, 2023. Rebuttal testimony is</w:t>
            </w:r>
          </w:p>
        </w:tc>
        <w:tc>
          <w:tcPr>
            <w:tcW w:w="0" w:type="dxa"/>
            <w:vAlign w:val="bottom"/>
          </w:tcPr>
          <w:p>
            <w:pPr>
              <w:spacing w:after="0"/>
              <w:rPr>
                <w:sz w:val="1"/>
                <w:szCs w:val="1"/>
                <w:color w:val="auto"/>
              </w:rPr>
            </w:pPr>
          </w:p>
        </w:tc>
      </w:tr>
      <w:tr>
        <w:trPr>
          <w:trHeight w:val="199"/>
        </w:trPr>
        <w:tc>
          <w:tcPr>
            <w:tcW w:w="1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due December 15, 2023. A hearing is scheduled for January 3, 2024.</w:t>
            </w:r>
          </w:p>
        </w:tc>
        <w:tc>
          <w:tcPr>
            <w:tcW w:w="0" w:type="dxa"/>
            <w:vAlign w:val="bottom"/>
          </w:tcPr>
          <w:p>
            <w:pPr>
              <w:spacing w:after="0"/>
              <w:rPr>
                <w:sz w:val="1"/>
                <w:szCs w:val="1"/>
                <w:color w:val="auto"/>
              </w:rPr>
            </w:pPr>
          </w:p>
        </w:tc>
      </w:tr>
      <w:tr>
        <w:trPr>
          <w:trHeight w:val="193"/>
        </w:trPr>
        <w:tc>
          <w:tcPr>
            <w:tcW w:w="1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7840" w:type="dxa"/>
            <w:vAlign w:val="bottom"/>
            <w:tcBorders>
              <w:bottom w:val="single" w:sz="8" w:color="auto"/>
            </w:tcBorders>
            <w:gridSpan w:val="3"/>
          </w:tcPr>
          <w:p>
            <w:pPr>
              <w:jc w:val="center"/>
              <w:ind w:right="3309"/>
              <w:spacing w:after="0"/>
              <w:rPr>
                <w:sz w:val="20"/>
                <w:szCs w:val="20"/>
                <w:color w:val="auto"/>
              </w:rPr>
            </w:pPr>
            <w:r>
              <w:rPr>
                <w:rFonts w:ascii="Arial" w:cs="Arial" w:eastAsia="Arial" w:hAnsi="Arial"/>
                <w:sz w:val="14"/>
                <w:szCs w:val="14"/>
                <w:b w:val="1"/>
                <w:bCs w:val="1"/>
                <w:color w:val="auto"/>
                <w:w w:val="94"/>
              </w:rPr>
              <w:t>CenterPoint Energy and CERC - Ohio (PUCO)</w:t>
            </w:r>
          </w:p>
        </w:tc>
        <w:tc>
          <w:tcPr>
            <w:tcW w:w="0" w:type="dxa"/>
            <w:vAlign w:val="bottom"/>
          </w:tcPr>
          <w:p>
            <w:pPr>
              <w:spacing w:after="0"/>
              <w:rPr>
                <w:sz w:val="1"/>
                <w:szCs w:val="1"/>
                <w:color w:val="auto"/>
              </w:rPr>
            </w:pPr>
          </w:p>
        </w:tc>
      </w:tr>
      <w:tr>
        <w:trPr>
          <w:trHeight w:val="140"/>
        </w:trPr>
        <w:tc>
          <w:tcPr>
            <w:tcW w:w="1220" w:type="dxa"/>
            <w:vAlign w:val="bottom"/>
            <w:shd w:val="clear" w:color="auto" w:fill="CCEEFF"/>
          </w:tcPr>
          <w:p>
            <w:pPr>
              <w:jc w:val="center"/>
              <w:ind w:left="9"/>
              <w:spacing w:after="0" w:line="140" w:lineRule="exact"/>
              <w:rPr>
                <w:sz w:val="20"/>
                <w:szCs w:val="20"/>
                <w:color w:val="auto"/>
              </w:rPr>
            </w:pPr>
            <w:r>
              <w:rPr>
                <w:rFonts w:ascii="Arial" w:cs="Arial" w:eastAsia="Arial" w:hAnsi="Arial"/>
                <w:sz w:val="14"/>
                <w:szCs w:val="14"/>
                <w:color w:val="auto"/>
                <w:w w:val="92"/>
              </w:rPr>
              <w:t xml:space="preserve">DRR </w:t>
            </w:r>
            <w:r>
              <w:rPr>
                <w:rFonts w:ascii="Arial" w:cs="Arial" w:eastAsia="Arial" w:hAnsi="Arial"/>
                <w:sz w:val="9"/>
                <w:szCs w:val="9"/>
                <w:color w:val="auto"/>
                <w:w w:val="92"/>
              </w:rPr>
              <w:t>(1)</w:t>
            </w:r>
          </w:p>
        </w:tc>
        <w:tc>
          <w:tcPr>
            <w:tcW w:w="1120" w:type="dxa"/>
            <w:vAlign w:val="bottom"/>
            <w:shd w:val="clear" w:color="auto" w:fill="CCEEFF"/>
          </w:tcPr>
          <w:p>
            <w:pPr>
              <w:jc w:val="center"/>
              <w:ind w:left="51"/>
              <w:spacing w:after="0" w:line="140" w:lineRule="exact"/>
              <w:rPr>
                <w:sz w:val="20"/>
                <w:szCs w:val="20"/>
                <w:color w:val="auto"/>
              </w:rPr>
            </w:pPr>
            <w:r>
              <w:rPr>
                <w:rFonts w:ascii="Arial" w:cs="Arial" w:eastAsia="Arial" w:hAnsi="Arial"/>
                <w:sz w:val="14"/>
                <w:szCs w:val="14"/>
                <w:color w:val="auto"/>
              </w:rPr>
              <w:t>6</w:t>
            </w:r>
          </w:p>
        </w:tc>
        <w:tc>
          <w:tcPr>
            <w:tcW w:w="1060" w:type="dxa"/>
            <w:vAlign w:val="bottom"/>
            <w:shd w:val="clear" w:color="auto" w:fill="CCEEFF"/>
          </w:tcPr>
          <w:p>
            <w:pPr>
              <w:jc w:val="center"/>
              <w:spacing w:after="0" w:line="140" w:lineRule="exact"/>
              <w:rPr>
                <w:sz w:val="20"/>
                <w:szCs w:val="20"/>
                <w:color w:val="auto"/>
              </w:rPr>
            </w:pPr>
            <w:r>
              <w:rPr>
                <w:rFonts w:ascii="Arial" w:cs="Arial" w:eastAsia="Arial" w:hAnsi="Arial"/>
                <w:sz w:val="14"/>
                <w:szCs w:val="14"/>
                <w:color w:val="auto"/>
                <w:w w:val="98"/>
              </w:rPr>
              <w:t>May</w:t>
            </w:r>
          </w:p>
        </w:tc>
        <w:tc>
          <w:tcPr>
            <w:tcW w:w="1060" w:type="dxa"/>
            <w:vAlign w:val="bottom"/>
            <w:shd w:val="clear" w:color="auto" w:fill="CCEEFF"/>
          </w:tcPr>
          <w:p>
            <w:pPr>
              <w:jc w:val="center"/>
              <w:spacing w:after="0" w:line="140" w:lineRule="exact"/>
              <w:rPr>
                <w:sz w:val="20"/>
                <w:szCs w:val="20"/>
                <w:color w:val="auto"/>
              </w:rPr>
            </w:pPr>
            <w:r>
              <w:rPr>
                <w:rFonts w:ascii="Arial" w:cs="Arial" w:eastAsia="Arial" w:hAnsi="Arial"/>
                <w:sz w:val="14"/>
                <w:szCs w:val="14"/>
                <w:color w:val="auto"/>
                <w:w w:val="87"/>
              </w:rPr>
              <w:t>September</w:t>
            </w:r>
          </w:p>
        </w:tc>
        <w:tc>
          <w:tcPr>
            <w:tcW w:w="940" w:type="dxa"/>
            <w:vAlign w:val="bottom"/>
            <w:shd w:val="clear" w:color="auto" w:fill="CCEEFF"/>
          </w:tcPr>
          <w:p>
            <w:pPr>
              <w:jc w:val="center"/>
              <w:spacing w:after="0" w:line="140" w:lineRule="exact"/>
              <w:rPr>
                <w:sz w:val="20"/>
                <w:szCs w:val="20"/>
                <w:color w:val="auto"/>
              </w:rPr>
            </w:pPr>
            <w:r>
              <w:rPr>
                <w:rFonts w:ascii="Arial" w:cs="Arial" w:eastAsia="Arial" w:hAnsi="Arial"/>
                <w:sz w:val="14"/>
                <w:szCs w:val="14"/>
                <w:color w:val="auto"/>
                <w:w w:val="91"/>
              </w:rPr>
              <w:t>August 2023</w:t>
            </w:r>
          </w:p>
        </w:tc>
        <w:tc>
          <w:tcPr>
            <w:tcW w:w="584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w w:val="92"/>
              </w:rPr>
              <w:t>Requested an increase of $46 million to rate base for investments made in 2022, which reflects a $6</w:t>
            </w:r>
          </w:p>
        </w:tc>
        <w:tc>
          <w:tcPr>
            <w:tcW w:w="0" w:type="dxa"/>
            <w:vAlign w:val="bottom"/>
          </w:tcPr>
          <w:p>
            <w:pPr>
              <w:spacing w:after="0"/>
              <w:rPr>
                <w:sz w:val="1"/>
                <w:szCs w:val="1"/>
                <w:color w:val="auto"/>
              </w:rPr>
            </w:pPr>
          </w:p>
        </w:tc>
      </w:tr>
      <w:tr>
        <w:trPr>
          <w:trHeight w:val="134"/>
        </w:trPr>
        <w:tc>
          <w:tcPr>
            <w:tcW w:w="1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89"/>
              </w:rPr>
              <w:t>2023</w:t>
            </w:r>
          </w:p>
        </w:tc>
        <w:tc>
          <w:tcPr>
            <w:tcW w:w="10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89"/>
              </w:rPr>
              <w:t>2023</w:t>
            </w:r>
          </w:p>
        </w:tc>
        <w:tc>
          <w:tcPr>
            <w:tcW w:w="940" w:type="dxa"/>
            <w:vAlign w:val="bottom"/>
            <w:shd w:val="clear" w:color="auto" w:fill="CCEEFF"/>
          </w:tcPr>
          <w:p>
            <w:pPr>
              <w:spacing w:after="0"/>
              <w:rPr>
                <w:sz w:val="11"/>
                <w:szCs w:val="11"/>
                <w:color w:val="auto"/>
              </w:rPr>
            </w:pPr>
          </w:p>
        </w:tc>
        <w:tc>
          <w:tcPr>
            <w:tcW w:w="584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w w:val="96"/>
              </w:rPr>
              <w:t>million annual increase in current revenues. A change in (over)/under-recovery variance of $0.3</w:t>
            </w:r>
          </w:p>
        </w:tc>
        <w:tc>
          <w:tcPr>
            <w:tcW w:w="0" w:type="dxa"/>
            <w:vAlign w:val="bottom"/>
          </w:tcPr>
          <w:p>
            <w:pPr>
              <w:spacing w:after="0"/>
              <w:rPr>
                <w:sz w:val="1"/>
                <w:szCs w:val="1"/>
                <w:color w:val="auto"/>
              </w:rPr>
            </w:pPr>
          </w:p>
        </w:tc>
      </w:tr>
      <w:tr>
        <w:trPr>
          <w:trHeight w:val="146"/>
        </w:trPr>
        <w:tc>
          <w:tcPr>
            <w:tcW w:w="1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840" w:type="dxa"/>
            <w:vAlign w:val="bottom"/>
            <w:shd w:val="clear" w:color="auto" w:fill="CCEEFF"/>
          </w:tcPr>
          <w:p>
            <w:pPr>
              <w:ind w:left="100"/>
              <w:spacing w:after="0" w:line="147" w:lineRule="exact"/>
              <w:rPr>
                <w:sz w:val="20"/>
                <w:szCs w:val="20"/>
                <w:color w:val="auto"/>
              </w:rPr>
            </w:pPr>
            <w:r>
              <w:rPr>
                <w:rFonts w:ascii="Arial" w:cs="Arial" w:eastAsia="Arial" w:hAnsi="Arial"/>
                <w:sz w:val="14"/>
                <w:szCs w:val="14"/>
                <w:color w:val="auto"/>
                <w:w w:val="96"/>
              </w:rPr>
              <w:t>million annually is also included in rates. PUCO staff review and recommendation filed June 29,</w:t>
            </w:r>
          </w:p>
        </w:tc>
        <w:tc>
          <w:tcPr>
            <w:tcW w:w="0" w:type="dxa"/>
            <w:vAlign w:val="bottom"/>
          </w:tcPr>
          <w:p>
            <w:pPr>
              <w:spacing w:after="0"/>
              <w:rPr>
                <w:sz w:val="1"/>
                <w:szCs w:val="1"/>
                <w:color w:val="auto"/>
              </w:rPr>
            </w:pPr>
          </w:p>
        </w:tc>
      </w:tr>
      <w:tr>
        <w:trPr>
          <w:trHeight w:val="138"/>
        </w:trPr>
        <w:tc>
          <w:tcPr>
            <w:tcW w:w="1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840" w:type="dxa"/>
            <w:vAlign w:val="bottom"/>
            <w:shd w:val="clear" w:color="auto" w:fill="CCEEFF"/>
          </w:tcPr>
          <w:p>
            <w:pPr>
              <w:ind w:left="100"/>
              <w:spacing w:after="0" w:line="139" w:lineRule="exact"/>
              <w:rPr>
                <w:sz w:val="20"/>
                <w:szCs w:val="20"/>
                <w:color w:val="auto"/>
              </w:rPr>
            </w:pPr>
            <w:r>
              <w:rPr>
                <w:rFonts w:ascii="Arial" w:cs="Arial" w:eastAsia="Arial" w:hAnsi="Arial"/>
                <w:sz w:val="14"/>
                <w:szCs w:val="14"/>
                <w:color w:val="auto"/>
                <w:w w:val="94"/>
              </w:rPr>
              <w:t>2023, recommending approval as proposed. VEDO statement of issues resolved in case filed July</w:t>
            </w:r>
          </w:p>
        </w:tc>
        <w:tc>
          <w:tcPr>
            <w:tcW w:w="0" w:type="dxa"/>
            <w:vAlign w:val="bottom"/>
          </w:tcPr>
          <w:p>
            <w:pPr>
              <w:spacing w:after="0"/>
              <w:rPr>
                <w:sz w:val="1"/>
                <w:szCs w:val="1"/>
                <w:color w:val="auto"/>
              </w:rPr>
            </w:pPr>
          </w:p>
        </w:tc>
      </w:tr>
      <w:tr>
        <w:trPr>
          <w:trHeight w:val="141"/>
        </w:trPr>
        <w:tc>
          <w:tcPr>
            <w:tcW w:w="1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840" w:type="dxa"/>
            <w:vAlign w:val="bottom"/>
            <w:shd w:val="clear" w:color="auto" w:fill="CCEEFF"/>
          </w:tcPr>
          <w:p>
            <w:pPr>
              <w:ind w:left="100"/>
              <w:spacing w:after="0" w:line="141" w:lineRule="exact"/>
              <w:rPr>
                <w:sz w:val="20"/>
                <w:szCs w:val="20"/>
                <w:color w:val="auto"/>
              </w:rPr>
            </w:pPr>
            <w:r>
              <w:rPr>
                <w:rFonts w:ascii="Arial" w:cs="Arial" w:eastAsia="Arial" w:hAnsi="Arial"/>
                <w:sz w:val="14"/>
                <w:szCs w:val="14"/>
                <w:color w:val="auto"/>
                <w:w w:val="94"/>
              </w:rPr>
              <w:t>14, 2023. PUCO issued a Finding &amp; Order approving the DRR August 23, 2023, and revised rates</w:t>
            </w:r>
          </w:p>
        </w:tc>
        <w:tc>
          <w:tcPr>
            <w:tcW w:w="0" w:type="dxa"/>
            <w:vAlign w:val="bottom"/>
          </w:tcPr>
          <w:p>
            <w:pPr>
              <w:spacing w:after="0"/>
              <w:rPr>
                <w:sz w:val="1"/>
                <w:szCs w:val="1"/>
                <w:color w:val="auto"/>
              </w:rPr>
            </w:pPr>
          </w:p>
        </w:tc>
      </w:tr>
      <w:tr>
        <w:trPr>
          <w:trHeight w:val="185"/>
        </w:trPr>
        <w:tc>
          <w:tcPr>
            <w:tcW w:w="1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5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effective September 1, 2023.</w:t>
            </w:r>
          </w:p>
        </w:tc>
        <w:tc>
          <w:tcPr>
            <w:tcW w:w="0" w:type="dxa"/>
            <w:vAlign w:val="bottom"/>
          </w:tcPr>
          <w:p>
            <w:pPr>
              <w:spacing w:after="0"/>
              <w:rPr>
                <w:sz w:val="1"/>
                <w:szCs w:val="1"/>
                <w:color w:val="auto"/>
              </w:rPr>
            </w:pPr>
          </w:p>
        </w:tc>
      </w:tr>
      <w:tr>
        <w:trPr>
          <w:trHeight w:val="193"/>
        </w:trPr>
        <w:tc>
          <w:tcPr>
            <w:tcW w:w="1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7840" w:type="dxa"/>
            <w:vAlign w:val="bottom"/>
            <w:tcBorders>
              <w:bottom w:val="single" w:sz="8" w:color="auto"/>
            </w:tcBorders>
            <w:gridSpan w:val="3"/>
          </w:tcPr>
          <w:p>
            <w:pPr>
              <w:jc w:val="center"/>
              <w:ind w:right="3329"/>
              <w:spacing w:after="0"/>
              <w:rPr>
                <w:sz w:val="20"/>
                <w:szCs w:val="20"/>
                <w:color w:val="auto"/>
              </w:rPr>
            </w:pPr>
            <w:r>
              <w:rPr>
                <w:rFonts w:ascii="Arial" w:cs="Arial" w:eastAsia="Arial" w:hAnsi="Arial"/>
                <w:sz w:val="14"/>
                <w:szCs w:val="14"/>
                <w:b w:val="1"/>
                <w:bCs w:val="1"/>
                <w:color w:val="auto"/>
                <w:w w:val="95"/>
              </w:rPr>
              <w:t>CenterPoint Energy - Indiana Electric (IURC)</w:t>
            </w:r>
          </w:p>
        </w:tc>
        <w:tc>
          <w:tcPr>
            <w:tcW w:w="0" w:type="dxa"/>
            <w:vAlign w:val="bottom"/>
          </w:tcPr>
          <w:p>
            <w:pPr>
              <w:spacing w:after="0"/>
              <w:rPr>
                <w:sz w:val="1"/>
                <w:szCs w:val="1"/>
                <w:color w:val="auto"/>
              </w:rPr>
            </w:pPr>
          </w:p>
        </w:tc>
      </w:tr>
      <w:tr>
        <w:trPr>
          <w:trHeight w:val="146"/>
        </w:trPr>
        <w:tc>
          <w:tcPr>
            <w:tcW w:w="122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w w:val="95"/>
              </w:rPr>
              <w:t>TDSIC</w:t>
            </w:r>
          </w:p>
        </w:tc>
        <w:tc>
          <w:tcPr>
            <w:tcW w:w="1120" w:type="dxa"/>
            <w:vAlign w:val="bottom"/>
            <w:shd w:val="clear" w:color="auto" w:fill="CCEEFF"/>
          </w:tcPr>
          <w:p>
            <w:pPr>
              <w:jc w:val="center"/>
              <w:ind w:left="51"/>
              <w:spacing w:after="0" w:line="147" w:lineRule="exact"/>
              <w:rPr>
                <w:sz w:val="20"/>
                <w:szCs w:val="20"/>
                <w:color w:val="auto"/>
              </w:rPr>
            </w:pPr>
            <w:r>
              <w:rPr>
                <w:rFonts w:ascii="Arial" w:cs="Arial" w:eastAsia="Arial" w:hAnsi="Arial"/>
                <w:sz w:val="14"/>
                <w:szCs w:val="14"/>
                <w:color w:val="auto"/>
              </w:rPr>
              <w:t>2</w:t>
            </w:r>
          </w:p>
        </w:tc>
        <w:tc>
          <w:tcPr>
            <w:tcW w:w="106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w w:val="90"/>
              </w:rPr>
              <w:t>February 2023</w:t>
            </w:r>
          </w:p>
        </w:tc>
        <w:tc>
          <w:tcPr>
            <w:tcW w:w="106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w w:val="85"/>
              </w:rPr>
              <w:t>June</w:t>
            </w:r>
          </w:p>
        </w:tc>
        <w:tc>
          <w:tcPr>
            <w:tcW w:w="94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w w:val="98"/>
              </w:rPr>
              <w:t>May</w:t>
            </w:r>
          </w:p>
        </w:tc>
        <w:tc>
          <w:tcPr>
            <w:tcW w:w="5840" w:type="dxa"/>
            <w:vAlign w:val="bottom"/>
            <w:shd w:val="clear" w:color="auto" w:fill="CCEEFF"/>
          </w:tcPr>
          <w:p>
            <w:pPr>
              <w:ind w:left="100"/>
              <w:spacing w:after="0" w:line="147" w:lineRule="exact"/>
              <w:rPr>
                <w:sz w:val="20"/>
                <w:szCs w:val="20"/>
                <w:color w:val="auto"/>
              </w:rPr>
            </w:pPr>
            <w:r>
              <w:rPr>
                <w:rFonts w:ascii="Arial" w:cs="Arial" w:eastAsia="Arial" w:hAnsi="Arial"/>
                <w:sz w:val="14"/>
                <w:szCs w:val="14"/>
                <w:color w:val="auto"/>
                <w:w w:val="96"/>
              </w:rPr>
              <w:t>Requested an increase of $31 million to rate base, which reflects a $5 million annual increase in</w:t>
            </w:r>
          </w:p>
        </w:tc>
        <w:tc>
          <w:tcPr>
            <w:tcW w:w="0" w:type="dxa"/>
            <w:vAlign w:val="bottom"/>
          </w:tcPr>
          <w:p>
            <w:pPr>
              <w:spacing w:after="0"/>
              <w:rPr>
                <w:sz w:val="1"/>
                <w:szCs w:val="1"/>
                <w:color w:val="auto"/>
              </w:rPr>
            </w:pPr>
          </w:p>
        </w:tc>
      </w:tr>
      <w:tr>
        <w:trPr>
          <w:trHeight w:val="181"/>
        </w:trPr>
        <w:tc>
          <w:tcPr>
            <w:tcW w:w="1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2023</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2023</w:t>
            </w:r>
          </w:p>
        </w:tc>
        <w:tc>
          <w:tcPr>
            <w:tcW w:w="584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1"/>
              </w:rPr>
              <w:t>current revenues. 80% of the revenue requirement is included in requested rate increase and 20% is</w:t>
            </w:r>
          </w:p>
        </w:tc>
        <w:tc>
          <w:tcPr>
            <w:tcW w:w="0" w:type="dxa"/>
            <w:vAlign w:val="bottom"/>
          </w:tcPr>
          <w:p>
            <w:pPr>
              <w:spacing w:after="0"/>
              <w:rPr>
                <w:sz w:val="1"/>
                <w:szCs w:val="1"/>
                <w:color w:val="auto"/>
              </w:rPr>
            </w:pPr>
          </w:p>
        </w:tc>
      </w:tr>
      <w:tr>
        <w:trPr>
          <w:trHeight w:val="160"/>
        </w:trPr>
        <w:tc>
          <w:tcPr>
            <w:tcW w:w="1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84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w w:val="98"/>
              </w:rPr>
              <w:t>deferred until next rate case. The mechanism also includes a change in (over)/under-recovery</w:t>
            </w:r>
          </w:p>
        </w:tc>
        <w:tc>
          <w:tcPr>
            <w:tcW w:w="0" w:type="dxa"/>
            <w:vAlign w:val="bottom"/>
          </w:tcPr>
          <w:p>
            <w:pPr>
              <w:spacing w:after="0"/>
              <w:rPr>
                <w:sz w:val="1"/>
                <w:szCs w:val="1"/>
                <w:color w:val="auto"/>
              </w:rPr>
            </w:pPr>
          </w:p>
        </w:tc>
      </w:tr>
      <w:tr>
        <w:trPr>
          <w:trHeight w:val="173"/>
        </w:trPr>
        <w:tc>
          <w:tcPr>
            <w:tcW w:w="1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variance and a tax reform credit for a total of ($1 million). OUCC filed on April 3, 2023,</w:t>
            </w:r>
          </w:p>
        </w:tc>
        <w:tc>
          <w:tcPr>
            <w:tcW w:w="0" w:type="dxa"/>
            <w:vAlign w:val="bottom"/>
          </w:tcPr>
          <w:p>
            <w:pPr>
              <w:spacing w:after="0"/>
              <w:rPr>
                <w:sz w:val="1"/>
                <w:szCs w:val="1"/>
                <w:color w:val="auto"/>
              </w:rPr>
            </w:pPr>
          </w:p>
        </w:tc>
      </w:tr>
      <w:tr>
        <w:trPr>
          <w:trHeight w:val="160"/>
        </w:trPr>
        <w:tc>
          <w:tcPr>
            <w:tcW w:w="1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84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w w:val="92"/>
              </w:rPr>
              <w:t>recommending approval of the proposed TDSIC rates and updated plan as filed. A hearing was held</w:t>
            </w:r>
          </w:p>
        </w:tc>
        <w:tc>
          <w:tcPr>
            <w:tcW w:w="0" w:type="dxa"/>
            <w:vAlign w:val="bottom"/>
          </w:tcPr>
          <w:p>
            <w:pPr>
              <w:spacing w:after="0"/>
              <w:rPr>
                <w:sz w:val="1"/>
                <w:szCs w:val="1"/>
                <w:color w:val="auto"/>
              </w:rPr>
            </w:pPr>
          </w:p>
        </w:tc>
      </w:tr>
      <w:tr>
        <w:trPr>
          <w:trHeight w:val="160"/>
        </w:trPr>
        <w:tc>
          <w:tcPr>
            <w:tcW w:w="1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84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w w:val="99"/>
              </w:rPr>
              <w:t>on May 3, 2023. On May 30, 2023, the IURC issued an order approving the TDSIC rates and</w:t>
            </w:r>
          </w:p>
        </w:tc>
        <w:tc>
          <w:tcPr>
            <w:tcW w:w="0" w:type="dxa"/>
            <w:vAlign w:val="bottom"/>
          </w:tcPr>
          <w:p>
            <w:pPr>
              <w:spacing w:after="0"/>
              <w:rPr>
                <w:sz w:val="1"/>
                <w:szCs w:val="1"/>
                <w:color w:val="auto"/>
              </w:rPr>
            </w:pPr>
          </w:p>
        </w:tc>
      </w:tr>
      <w:tr>
        <w:trPr>
          <w:trHeight w:val="198"/>
        </w:trPr>
        <w:tc>
          <w:tcPr>
            <w:tcW w:w="1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5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updated plan as filed with rates effective June 1, 2023.</w:t>
            </w:r>
          </w:p>
        </w:tc>
        <w:tc>
          <w:tcPr>
            <w:tcW w:w="0" w:type="dxa"/>
            <w:vAlign w:val="bottom"/>
          </w:tcPr>
          <w:p>
            <w:pPr>
              <w:spacing w:after="0"/>
              <w:rPr>
                <w:sz w:val="1"/>
                <w:szCs w:val="1"/>
                <w:color w:val="auto"/>
              </w:rPr>
            </w:pPr>
          </w:p>
        </w:tc>
      </w:tr>
      <w:tr>
        <w:trPr>
          <w:trHeight w:val="146"/>
        </w:trPr>
        <w:tc>
          <w:tcPr>
            <w:tcW w:w="1220" w:type="dxa"/>
            <w:vAlign w:val="bottom"/>
          </w:tcPr>
          <w:p>
            <w:pPr>
              <w:jc w:val="center"/>
              <w:ind w:left="9"/>
              <w:spacing w:after="0" w:line="147" w:lineRule="exact"/>
              <w:rPr>
                <w:sz w:val="20"/>
                <w:szCs w:val="20"/>
                <w:color w:val="auto"/>
              </w:rPr>
            </w:pPr>
            <w:r>
              <w:rPr>
                <w:rFonts w:ascii="Arial" w:cs="Arial" w:eastAsia="Arial" w:hAnsi="Arial"/>
                <w:sz w:val="14"/>
                <w:szCs w:val="14"/>
                <w:color w:val="auto"/>
                <w:w w:val="97"/>
              </w:rPr>
              <w:t>CECA</w:t>
            </w:r>
          </w:p>
        </w:tc>
        <w:tc>
          <w:tcPr>
            <w:tcW w:w="1120" w:type="dxa"/>
            <w:vAlign w:val="bottom"/>
          </w:tcPr>
          <w:p>
            <w:pPr>
              <w:jc w:val="center"/>
              <w:ind w:left="71"/>
              <w:spacing w:after="0" w:line="147" w:lineRule="exact"/>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line="147" w:lineRule="exact"/>
              <w:rPr>
                <w:sz w:val="20"/>
                <w:szCs w:val="20"/>
                <w:color w:val="auto"/>
              </w:rPr>
            </w:pPr>
            <w:r>
              <w:rPr>
                <w:rFonts w:ascii="Arial" w:cs="Arial" w:eastAsia="Arial" w:hAnsi="Arial"/>
                <w:sz w:val="14"/>
                <w:szCs w:val="14"/>
                <w:color w:val="auto"/>
                <w:w w:val="90"/>
              </w:rPr>
              <w:t>February 2023</w:t>
            </w:r>
          </w:p>
        </w:tc>
        <w:tc>
          <w:tcPr>
            <w:tcW w:w="1060" w:type="dxa"/>
            <w:vAlign w:val="bottom"/>
          </w:tcPr>
          <w:p>
            <w:pPr>
              <w:jc w:val="center"/>
              <w:spacing w:after="0" w:line="147" w:lineRule="exact"/>
              <w:rPr>
                <w:sz w:val="20"/>
                <w:szCs w:val="20"/>
                <w:color w:val="auto"/>
              </w:rPr>
            </w:pPr>
            <w:r>
              <w:rPr>
                <w:rFonts w:ascii="Arial" w:cs="Arial" w:eastAsia="Arial" w:hAnsi="Arial"/>
                <w:sz w:val="14"/>
                <w:szCs w:val="14"/>
                <w:color w:val="auto"/>
                <w:w w:val="85"/>
              </w:rPr>
              <w:t>June</w:t>
            </w:r>
          </w:p>
        </w:tc>
        <w:tc>
          <w:tcPr>
            <w:tcW w:w="940" w:type="dxa"/>
            <w:vAlign w:val="bottom"/>
          </w:tcPr>
          <w:p>
            <w:pPr>
              <w:jc w:val="center"/>
              <w:spacing w:after="0" w:line="147" w:lineRule="exact"/>
              <w:rPr>
                <w:sz w:val="20"/>
                <w:szCs w:val="20"/>
                <w:color w:val="auto"/>
              </w:rPr>
            </w:pPr>
            <w:r>
              <w:rPr>
                <w:rFonts w:ascii="Arial" w:cs="Arial" w:eastAsia="Arial" w:hAnsi="Arial"/>
                <w:sz w:val="14"/>
                <w:szCs w:val="14"/>
                <w:color w:val="auto"/>
                <w:w w:val="98"/>
              </w:rPr>
              <w:t>May</w:t>
            </w:r>
          </w:p>
        </w:tc>
        <w:tc>
          <w:tcPr>
            <w:tcW w:w="5840" w:type="dxa"/>
            <w:vAlign w:val="bottom"/>
          </w:tcPr>
          <w:p>
            <w:pPr>
              <w:ind w:left="100"/>
              <w:spacing w:after="0" w:line="147" w:lineRule="exact"/>
              <w:rPr>
                <w:sz w:val="20"/>
                <w:szCs w:val="20"/>
                <w:color w:val="auto"/>
              </w:rPr>
            </w:pPr>
            <w:r>
              <w:rPr>
                <w:rFonts w:ascii="Arial" w:cs="Arial" w:eastAsia="Arial" w:hAnsi="Arial"/>
                <w:sz w:val="14"/>
                <w:szCs w:val="14"/>
                <w:color w:val="auto"/>
                <w:w w:val="92"/>
              </w:rPr>
              <w:t>Requested an increase of less than $1 million to rate base, which reflects an annual increase of less</w:t>
            </w:r>
          </w:p>
        </w:tc>
        <w:tc>
          <w:tcPr>
            <w:tcW w:w="0" w:type="dxa"/>
            <w:vAlign w:val="bottom"/>
          </w:tcPr>
          <w:p>
            <w:pPr>
              <w:spacing w:after="0"/>
              <w:rPr>
                <w:sz w:val="1"/>
                <w:szCs w:val="1"/>
                <w:color w:val="auto"/>
              </w:rPr>
            </w:pPr>
          </w:p>
        </w:tc>
      </w:tr>
      <w:tr>
        <w:trPr>
          <w:trHeight w:val="181"/>
        </w:trPr>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2023</w:t>
            </w:r>
          </w:p>
        </w:tc>
        <w:tc>
          <w:tcPr>
            <w:tcW w:w="940" w:type="dxa"/>
            <w:vAlign w:val="bottom"/>
          </w:tcPr>
          <w:p>
            <w:pPr>
              <w:jc w:val="center"/>
              <w:spacing w:after="0"/>
              <w:rPr>
                <w:sz w:val="20"/>
                <w:szCs w:val="20"/>
                <w:color w:val="auto"/>
              </w:rPr>
            </w:pPr>
            <w:r>
              <w:rPr>
                <w:rFonts w:ascii="Arial" w:cs="Arial" w:eastAsia="Arial" w:hAnsi="Arial"/>
                <w:sz w:val="14"/>
                <w:szCs w:val="14"/>
                <w:color w:val="auto"/>
                <w:w w:val="89"/>
              </w:rPr>
              <w:t>2023</w:t>
            </w:r>
          </w:p>
        </w:tc>
        <w:tc>
          <w:tcPr>
            <w:tcW w:w="5840" w:type="dxa"/>
            <w:vAlign w:val="bottom"/>
          </w:tcPr>
          <w:p>
            <w:pPr>
              <w:ind w:left="100"/>
              <w:spacing w:after="0"/>
              <w:rPr>
                <w:sz w:val="20"/>
                <w:szCs w:val="20"/>
                <w:color w:val="auto"/>
              </w:rPr>
            </w:pPr>
            <w:r>
              <w:rPr>
                <w:rFonts w:ascii="Arial" w:cs="Arial" w:eastAsia="Arial" w:hAnsi="Arial"/>
                <w:sz w:val="14"/>
                <w:szCs w:val="14"/>
                <w:color w:val="auto"/>
                <w:w w:val="92"/>
              </w:rPr>
              <w:t>than $1 million in current revenues. The mechanism also includes a change in (over)/under-recovery</w:t>
            </w:r>
          </w:p>
        </w:tc>
        <w:tc>
          <w:tcPr>
            <w:tcW w:w="0" w:type="dxa"/>
            <w:vAlign w:val="bottom"/>
          </w:tcPr>
          <w:p>
            <w:pPr>
              <w:spacing w:after="0"/>
              <w:rPr>
                <w:sz w:val="1"/>
                <w:szCs w:val="1"/>
                <w:color w:val="auto"/>
              </w:rPr>
            </w:pPr>
          </w:p>
        </w:tc>
      </w:tr>
      <w:tr>
        <w:trPr>
          <w:trHeight w:val="160"/>
        </w:trPr>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840" w:type="dxa"/>
            <w:vAlign w:val="bottom"/>
          </w:tcPr>
          <w:p>
            <w:pPr>
              <w:ind w:left="100"/>
              <w:spacing w:after="0" w:line="159" w:lineRule="exact"/>
              <w:rPr>
                <w:sz w:val="20"/>
                <w:szCs w:val="20"/>
                <w:color w:val="auto"/>
              </w:rPr>
            </w:pPr>
            <w:r>
              <w:rPr>
                <w:rFonts w:ascii="Arial" w:cs="Arial" w:eastAsia="Arial" w:hAnsi="Arial"/>
                <w:sz w:val="14"/>
                <w:szCs w:val="14"/>
                <w:color w:val="auto"/>
                <w:w w:val="95"/>
              </w:rPr>
              <w:t>variance of less than ($1 million). OUCC filed on March 31, 2023, recommending approval of the</w:t>
            </w: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40" w:type="dxa"/>
            <w:vAlign w:val="bottom"/>
          </w:tcPr>
          <w:p>
            <w:pPr>
              <w:ind w:left="100"/>
              <w:spacing w:after="0"/>
              <w:rPr>
                <w:sz w:val="20"/>
                <w:szCs w:val="20"/>
                <w:color w:val="auto"/>
              </w:rPr>
            </w:pPr>
            <w:r>
              <w:rPr>
                <w:rFonts w:ascii="Arial" w:cs="Arial" w:eastAsia="Arial" w:hAnsi="Arial"/>
                <w:sz w:val="14"/>
                <w:szCs w:val="14"/>
                <w:color w:val="auto"/>
                <w:w w:val="96"/>
              </w:rPr>
              <w:t>proposed CECA cost recovery with a reduction of approximately $0.3 million. Rebuttal testimony</w:t>
            </w:r>
          </w:p>
        </w:tc>
        <w:tc>
          <w:tcPr>
            <w:tcW w:w="0" w:type="dxa"/>
            <w:vAlign w:val="bottom"/>
          </w:tcPr>
          <w:p>
            <w:pPr>
              <w:spacing w:after="0"/>
              <w:rPr>
                <w:sz w:val="1"/>
                <w:szCs w:val="1"/>
                <w:color w:val="auto"/>
              </w:rPr>
            </w:pPr>
          </w:p>
        </w:tc>
      </w:tr>
      <w:tr>
        <w:trPr>
          <w:trHeight w:val="160"/>
        </w:trPr>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840" w:type="dxa"/>
            <w:vAlign w:val="bottom"/>
          </w:tcPr>
          <w:p>
            <w:pPr>
              <w:ind w:left="100"/>
              <w:spacing w:after="0" w:line="159" w:lineRule="exact"/>
              <w:rPr>
                <w:sz w:val="20"/>
                <w:szCs w:val="20"/>
                <w:color w:val="auto"/>
              </w:rPr>
            </w:pPr>
            <w:r>
              <w:rPr>
                <w:rFonts w:ascii="Arial" w:cs="Arial" w:eastAsia="Arial" w:hAnsi="Arial"/>
                <w:sz w:val="14"/>
                <w:szCs w:val="14"/>
                <w:color w:val="auto"/>
                <w:w w:val="93"/>
              </w:rPr>
              <w:t>was filed on April 6, 2023. A hearing was held on May 3, 2023. On May 30, 2023, the IURC issued</w:t>
            </w:r>
          </w:p>
        </w:tc>
        <w:tc>
          <w:tcPr>
            <w:tcW w:w="0" w:type="dxa"/>
            <w:vAlign w:val="bottom"/>
          </w:tcPr>
          <w:p>
            <w:pPr>
              <w:spacing w:after="0"/>
              <w:rPr>
                <w:sz w:val="1"/>
                <w:szCs w:val="1"/>
                <w:color w:val="auto"/>
              </w:rPr>
            </w:pPr>
          </w:p>
        </w:tc>
      </w:tr>
      <w:tr>
        <w:trPr>
          <w:trHeight w:val="160"/>
        </w:trPr>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840" w:type="dxa"/>
            <w:vAlign w:val="bottom"/>
          </w:tcPr>
          <w:p>
            <w:pPr>
              <w:ind w:left="100"/>
              <w:spacing w:after="0" w:line="159" w:lineRule="exact"/>
              <w:rPr>
                <w:sz w:val="20"/>
                <w:szCs w:val="20"/>
                <w:color w:val="auto"/>
              </w:rPr>
            </w:pPr>
            <w:r>
              <w:rPr>
                <w:rFonts w:ascii="Arial" w:cs="Arial" w:eastAsia="Arial" w:hAnsi="Arial"/>
                <w:sz w:val="14"/>
                <w:szCs w:val="14"/>
                <w:color w:val="auto"/>
                <w:w w:val="97"/>
              </w:rPr>
              <w:t>an order approving the CECA rates with a cost recovery reduction of approximately $0.3 million</w:t>
            </w:r>
          </w:p>
        </w:tc>
        <w:tc>
          <w:tcPr>
            <w:tcW w:w="0" w:type="dxa"/>
            <w:vAlign w:val="bottom"/>
          </w:tcPr>
          <w:p>
            <w:pPr>
              <w:spacing w:after="0"/>
              <w:rPr>
                <w:sz w:val="1"/>
                <w:szCs w:val="1"/>
                <w:color w:val="auto"/>
              </w:rPr>
            </w:pPr>
          </w:p>
        </w:tc>
      </w:tr>
      <w:tr>
        <w:trPr>
          <w:trHeight w:val="180"/>
        </w:trPr>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40" w:type="dxa"/>
            <w:vAlign w:val="bottom"/>
          </w:tcPr>
          <w:p>
            <w:pPr>
              <w:ind w:left="100"/>
              <w:spacing w:after="0"/>
              <w:rPr>
                <w:sz w:val="20"/>
                <w:szCs w:val="20"/>
                <w:color w:val="auto"/>
              </w:rPr>
            </w:pPr>
            <w:r>
              <w:rPr>
                <w:rFonts w:ascii="Arial" w:cs="Arial" w:eastAsia="Arial" w:hAnsi="Arial"/>
                <w:sz w:val="14"/>
                <w:szCs w:val="14"/>
                <w:color w:val="auto"/>
              </w:rPr>
              <w:t>with rates effective June 6, 2023.</w:t>
            </w:r>
          </w:p>
        </w:tc>
        <w:tc>
          <w:tcPr>
            <w:tcW w:w="0" w:type="dxa"/>
            <w:vAlign w:val="bottom"/>
          </w:tcPr>
          <w:p>
            <w:pPr>
              <w:spacing w:after="0"/>
              <w:rPr>
                <w:sz w:val="1"/>
                <w:szCs w:val="1"/>
                <w:color w:val="auto"/>
              </w:rPr>
            </w:pPr>
          </w:p>
        </w:tc>
      </w:tr>
      <w:tr>
        <w:trPr>
          <w:trHeight w:val="38"/>
        </w:trPr>
        <w:tc>
          <w:tcPr>
            <w:tcW w:w="1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40" w:type="dxa"/>
            <w:vAlign w:val="bottom"/>
          </w:tcPr>
          <w:p>
            <w:pPr>
              <w:spacing w:after="0"/>
              <w:rPr>
                <w:sz w:val="3"/>
                <w:szCs w:val="3"/>
                <w:color w:val="auto"/>
              </w:rPr>
            </w:pPr>
          </w:p>
        </w:tc>
        <w:tc>
          <w:tcPr>
            <w:tcW w:w="5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6"/>
        </w:trPr>
        <w:tc>
          <w:tcPr>
            <w:tcW w:w="122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w w:val="97"/>
              </w:rPr>
              <w:t xml:space="preserve">ECA </w:t>
            </w:r>
            <w:r>
              <w:rPr>
                <w:rFonts w:ascii="Arial" w:cs="Arial" w:eastAsia="Arial" w:hAnsi="Arial"/>
                <w:sz w:val="10"/>
                <w:szCs w:val="10"/>
                <w:color w:val="auto"/>
                <w:w w:val="97"/>
              </w:rPr>
              <w:t>(1)</w:t>
            </w:r>
          </w:p>
        </w:tc>
        <w:tc>
          <w:tcPr>
            <w:tcW w:w="1120" w:type="dxa"/>
            <w:vAlign w:val="bottom"/>
            <w:shd w:val="clear" w:color="auto" w:fill="CCEEFF"/>
          </w:tcPr>
          <w:p>
            <w:pPr>
              <w:jc w:val="center"/>
              <w:ind w:left="51"/>
              <w:spacing w:after="0" w:line="147" w:lineRule="exact"/>
              <w:rPr>
                <w:sz w:val="20"/>
                <w:szCs w:val="20"/>
                <w:color w:val="auto"/>
              </w:rPr>
            </w:pPr>
            <w:r>
              <w:rPr>
                <w:rFonts w:ascii="Arial" w:cs="Arial" w:eastAsia="Arial" w:hAnsi="Arial"/>
                <w:sz w:val="14"/>
                <w:szCs w:val="14"/>
                <w:color w:val="auto"/>
              </w:rPr>
              <w:t>1</w:t>
            </w:r>
          </w:p>
        </w:tc>
        <w:tc>
          <w:tcPr>
            <w:tcW w:w="106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w w:val="98"/>
              </w:rPr>
              <w:t>May</w:t>
            </w:r>
          </w:p>
        </w:tc>
        <w:tc>
          <w:tcPr>
            <w:tcW w:w="106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w w:val="99"/>
              </w:rPr>
              <w:t>TBD</w:t>
            </w:r>
          </w:p>
        </w:tc>
        <w:tc>
          <w:tcPr>
            <w:tcW w:w="94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w w:val="99"/>
              </w:rPr>
              <w:t>TBD</w:t>
            </w:r>
          </w:p>
        </w:tc>
        <w:tc>
          <w:tcPr>
            <w:tcW w:w="5840" w:type="dxa"/>
            <w:vAlign w:val="bottom"/>
            <w:shd w:val="clear" w:color="auto" w:fill="CCEEFF"/>
          </w:tcPr>
          <w:p>
            <w:pPr>
              <w:ind w:left="100"/>
              <w:spacing w:after="0" w:line="147" w:lineRule="exact"/>
              <w:rPr>
                <w:sz w:val="20"/>
                <w:szCs w:val="20"/>
                <w:color w:val="auto"/>
              </w:rPr>
            </w:pPr>
            <w:r>
              <w:rPr>
                <w:rFonts w:ascii="Arial" w:cs="Arial" w:eastAsia="Arial" w:hAnsi="Arial"/>
                <w:sz w:val="14"/>
                <w:szCs w:val="14"/>
                <w:color w:val="auto"/>
                <w:w w:val="96"/>
              </w:rPr>
              <w:t>Requested an increase of $51 million to rate base, which reflects a $1 million annual increase in</w:t>
            </w:r>
          </w:p>
        </w:tc>
        <w:tc>
          <w:tcPr>
            <w:tcW w:w="0" w:type="dxa"/>
            <w:vAlign w:val="bottom"/>
          </w:tcPr>
          <w:p>
            <w:pPr>
              <w:spacing w:after="0"/>
              <w:rPr>
                <w:sz w:val="1"/>
                <w:szCs w:val="1"/>
                <w:color w:val="auto"/>
              </w:rPr>
            </w:pPr>
          </w:p>
        </w:tc>
      </w:tr>
      <w:tr>
        <w:trPr>
          <w:trHeight w:val="181"/>
        </w:trPr>
        <w:tc>
          <w:tcPr>
            <w:tcW w:w="1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2023</w:t>
            </w:r>
          </w:p>
        </w:tc>
        <w:tc>
          <w:tcPr>
            <w:tcW w:w="10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4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1"/>
              </w:rPr>
              <w:t>current revenues. 80% of the revenue requirement is included in requested rate increase and 20% is</w:t>
            </w:r>
          </w:p>
        </w:tc>
        <w:tc>
          <w:tcPr>
            <w:tcW w:w="0" w:type="dxa"/>
            <w:vAlign w:val="bottom"/>
          </w:tcPr>
          <w:p>
            <w:pPr>
              <w:spacing w:after="0"/>
              <w:rPr>
                <w:sz w:val="1"/>
                <w:szCs w:val="1"/>
                <w:color w:val="auto"/>
              </w:rPr>
            </w:pPr>
          </w:p>
        </w:tc>
      </w:tr>
      <w:tr>
        <w:trPr>
          <w:trHeight w:val="160"/>
        </w:trPr>
        <w:tc>
          <w:tcPr>
            <w:tcW w:w="1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84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w w:val="98"/>
              </w:rPr>
              <w:t>deferred until next rate case. The mechanism also includes a change in (over)/under-recovery</w:t>
            </w:r>
          </w:p>
        </w:tc>
        <w:tc>
          <w:tcPr>
            <w:tcW w:w="0" w:type="dxa"/>
            <w:vAlign w:val="bottom"/>
          </w:tcPr>
          <w:p>
            <w:pPr>
              <w:spacing w:after="0"/>
              <w:rPr>
                <w:sz w:val="1"/>
                <w:szCs w:val="1"/>
                <w:color w:val="auto"/>
              </w:rPr>
            </w:pPr>
          </w:p>
        </w:tc>
      </w:tr>
      <w:tr>
        <w:trPr>
          <w:trHeight w:val="173"/>
        </w:trPr>
        <w:tc>
          <w:tcPr>
            <w:tcW w:w="1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4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4"/>
              </w:rPr>
              <w:t>variance of less than $1 million. OUCC filed on July 7, 2023, recommending disallowance of up to</w:t>
            </w:r>
          </w:p>
        </w:tc>
        <w:tc>
          <w:tcPr>
            <w:tcW w:w="0" w:type="dxa"/>
            <w:vAlign w:val="bottom"/>
          </w:tcPr>
          <w:p>
            <w:pPr>
              <w:spacing w:after="0"/>
              <w:rPr>
                <w:sz w:val="1"/>
                <w:szCs w:val="1"/>
                <w:color w:val="auto"/>
              </w:rPr>
            </w:pPr>
          </w:p>
        </w:tc>
      </w:tr>
      <w:tr>
        <w:trPr>
          <w:trHeight w:val="160"/>
        </w:trPr>
        <w:tc>
          <w:tcPr>
            <w:tcW w:w="1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84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w w:val="99"/>
              </w:rPr>
              <w:t>$5.35 million in costs. Indiana Electric filed a rebuttal on July 14, 2023. Indiana Electric filed a</w:t>
            </w:r>
          </w:p>
        </w:tc>
        <w:tc>
          <w:tcPr>
            <w:tcW w:w="0" w:type="dxa"/>
            <w:vAlign w:val="bottom"/>
          </w:tcPr>
          <w:p>
            <w:pPr>
              <w:spacing w:after="0"/>
              <w:rPr>
                <w:sz w:val="1"/>
                <w:szCs w:val="1"/>
                <w:color w:val="auto"/>
              </w:rPr>
            </w:pPr>
          </w:p>
        </w:tc>
      </w:tr>
      <w:tr>
        <w:trPr>
          <w:trHeight w:val="160"/>
        </w:trPr>
        <w:tc>
          <w:tcPr>
            <w:tcW w:w="1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84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w w:val="92"/>
              </w:rPr>
              <w:t>Petition on August 16, 2023, to reopen record and file supplemental testimony. Indiana Electric filed</w:t>
            </w:r>
          </w:p>
        </w:tc>
        <w:tc>
          <w:tcPr>
            <w:tcW w:w="0" w:type="dxa"/>
            <w:vAlign w:val="bottom"/>
          </w:tcPr>
          <w:p>
            <w:pPr>
              <w:spacing w:after="0"/>
              <w:rPr>
                <w:sz w:val="1"/>
                <w:szCs w:val="1"/>
                <w:color w:val="auto"/>
              </w:rPr>
            </w:pPr>
          </w:p>
        </w:tc>
      </w:tr>
      <w:tr>
        <w:trPr>
          <w:trHeight w:val="173"/>
        </w:trPr>
        <w:tc>
          <w:tcPr>
            <w:tcW w:w="1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4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2"/>
              </w:rPr>
              <w:t>supplemental testimony on August 31, 2023. OUCC filed supplemental testimony on September 21,</w:t>
            </w:r>
          </w:p>
        </w:tc>
        <w:tc>
          <w:tcPr>
            <w:tcW w:w="0" w:type="dxa"/>
            <w:vAlign w:val="bottom"/>
          </w:tcPr>
          <w:p>
            <w:pPr>
              <w:spacing w:after="0"/>
              <w:rPr>
                <w:sz w:val="1"/>
                <w:szCs w:val="1"/>
                <w:color w:val="auto"/>
              </w:rPr>
            </w:pPr>
          </w:p>
        </w:tc>
      </w:tr>
      <w:tr>
        <w:trPr>
          <w:trHeight w:val="160"/>
        </w:trPr>
        <w:tc>
          <w:tcPr>
            <w:tcW w:w="1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84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w w:val="95"/>
              </w:rPr>
              <w:t>2023. Indiana Electric filed rebuttal supplemental testimony on September 28, 2023. A hearing is</w:t>
            </w:r>
          </w:p>
        </w:tc>
        <w:tc>
          <w:tcPr>
            <w:tcW w:w="0" w:type="dxa"/>
            <w:vAlign w:val="bottom"/>
          </w:tcPr>
          <w:p>
            <w:pPr>
              <w:spacing w:after="0"/>
              <w:rPr>
                <w:sz w:val="1"/>
                <w:szCs w:val="1"/>
                <w:color w:val="auto"/>
              </w:rPr>
            </w:pPr>
          </w:p>
        </w:tc>
      </w:tr>
      <w:tr>
        <w:trPr>
          <w:trHeight w:val="180"/>
        </w:trPr>
        <w:tc>
          <w:tcPr>
            <w:tcW w:w="1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scheduled for October 24, 2023.</w:t>
            </w:r>
          </w:p>
        </w:tc>
        <w:tc>
          <w:tcPr>
            <w:tcW w:w="0" w:type="dxa"/>
            <w:vAlign w:val="bottom"/>
          </w:tcPr>
          <w:p>
            <w:pPr>
              <w:spacing w:after="0"/>
              <w:rPr>
                <w:sz w:val="1"/>
                <w:szCs w:val="1"/>
                <w:color w:val="auto"/>
              </w:rPr>
            </w:pPr>
          </w:p>
        </w:tc>
      </w:tr>
      <w:tr>
        <w:trPr>
          <w:trHeight w:val="24"/>
        </w:trPr>
        <w:tc>
          <w:tcPr>
            <w:tcW w:w="1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Annual</w:t>
            </w: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920" w:type="dxa"/>
            <w:vAlign w:val="bottom"/>
          </w:tcPr>
          <w:p>
            <w:pPr>
              <w:spacing w:after="0"/>
              <w:rPr>
                <w:sz w:val="11"/>
                <w:szCs w:val="11"/>
                <w:color w:val="auto"/>
              </w:rPr>
            </w:pPr>
          </w:p>
        </w:tc>
        <w:tc>
          <w:tcPr>
            <w:tcW w:w="124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91"/>
              </w:rPr>
              <w:t>Increase</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Filing</w:t>
            </w:r>
          </w:p>
        </w:tc>
        <w:tc>
          <w:tcPr>
            <w:tcW w:w="1220" w:type="dxa"/>
            <w:vAlign w:val="bottom"/>
          </w:tcPr>
          <w:p>
            <w:pPr>
              <w:spacing w:after="0"/>
              <w:rPr>
                <w:sz w:val="11"/>
                <w:szCs w:val="11"/>
                <w:color w:val="auto"/>
              </w:rPr>
            </w:pPr>
          </w:p>
        </w:tc>
        <w:tc>
          <w:tcPr>
            <w:tcW w:w="1940" w:type="dxa"/>
            <w:vAlign w:val="bottom"/>
            <w:vMerge w:val="restart"/>
          </w:tcPr>
          <w:p>
            <w:pPr>
              <w:jc w:val="center"/>
              <w:ind w:right="989"/>
              <w:spacing w:after="0"/>
              <w:rPr>
                <w:sz w:val="20"/>
                <w:szCs w:val="20"/>
                <w:color w:val="auto"/>
              </w:rPr>
            </w:pPr>
            <w:r>
              <w:rPr>
                <w:rFonts w:ascii="Arial" w:cs="Arial" w:eastAsia="Arial" w:hAnsi="Arial"/>
                <w:sz w:val="14"/>
                <w:szCs w:val="14"/>
                <w:b w:val="1"/>
                <w:bCs w:val="1"/>
                <w:color w:val="auto"/>
                <w:w w:val="92"/>
              </w:rPr>
              <w:t>Approval</w:t>
            </w:r>
          </w:p>
        </w:tc>
        <w:tc>
          <w:tcPr>
            <w:tcW w:w="2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rPr>
              <w:t>Mechanism</w:t>
            </w:r>
          </w:p>
        </w:tc>
        <w:tc>
          <w:tcPr>
            <w:tcW w:w="12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 xml:space="preserve">(Decrease) </w:t>
            </w:r>
            <w:r>
              <w:rPr>
                <w:rFonts w:ascii="Arial" w:cs="Arial" w:eastAsia="Arial" w:hAnsi="Arial"/>
                <w:sz w:val="10"/>
                <w:szCs w:val="10"/>
                <w:b w:val="1"/>
                <w:bCs w:val="1"/>
                <w:color w:val="auto"/>
                <w:w w:val="91"/>
              </w:rPr>
              <w:t>(1)</w:t>
            </w:r>
          </w:p>
        </w:tc>
        <w:tc>
          <w:tcPr>
            <w:tcW w:w="820" w:type="dxa"/>
            <w:vAlign w:val="bottom"/>
            <w:vMerge w:val="continue"/>
          </w:tcPr>
          <w:p>
            <w:pPr>
              <w:spacing w:after="0"/>
              <w:rPr>
                <w:sz w:val="12"/>
                <w:szCs w:val="12"/>
                <w:color w:val="auto"/>
              </w:rPr>
            </w:pPr>
          </w:p>
        </w:tc>
        <w:tc>
          <w:tcPr>
            <w:tcW w:w="12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Effective Date</w:t>
            </w:r>
          </w:p>
        </w:tc>
        <w:tc>
          <w:tcPr>
            <w:tcW w:w="1940" w:type="dxa"/>
            <w:vAlign w:val="bottom"/>
            <w:vMerge w:val="continue"/>
          </w:tcPr>
          <w:p>
            <w:pPr>
              <w:spacing w:after="0"/>
              <w:rPr>
                <w:sz w:val="12"/>
                <w:szCs w:val="12"/>
                <w:color w:val="auto"/>
              </w:rPr>
            </w:pPr>
          </w:p>
        </w:tc>
        <w:tc>
          <w:tcPr>
            <w:tcW w:w="2640" w:type="dxa"/>
            <w:vAlign w:val="bottom"/>
            <w:vMerge w:val="restart"/>
          </w:tcPr>
          <w:p>
            <w:pPr>
              <w:ind w:left="1220"/>
              <w:spacing w:after="0"/>
              <w:rPr>
                <w:sz w:val="20"/>
                <w:szCs w:val="20"/>
                <w:color w:val="auto"/>
              </w:rPr>
            </w:pPr>
            <w:r>
              <w:rPr>
                <w:rFonts w:ascii="Arial" w:cs="Arial" w:eastAsia="Arial" w:hAnsi="Arial"/>
                <w:sz w:val="14"/>
                <w:szCs w:val="14"/>
                <w:b w:val="1"/>
                <w:bCs w:val="1"/>
                <w:color w:val="auto"/>
                <w:w w:val="93"/>
              </w:rPr>
              <w:t>Additional Information</w:t>
            </w:r>
          </w:p>
        </w:tc>
        <w:tc>
          <w:tcPr>
            <w:tcW w:w="0" w:type="dxa"/>
            <w:vAlign w:val="bottom"/>
          </w:tcPr>
          <w:p>
            <w:pPr>
              <w:spacing w:after="0"/>
              <w:rPr>
                <w:sz w:val="1"/>
                <w:szCs w:val="1"/>
                <w:color w:val="auto"/>
              </w:rPr>
            </w:pPr>
          </w:p>
        </w:tc>
      </w:tr>
      <w:tr>
        <w:trPr>
          <w:trHeight w:val="180"/>
        </w:trPr>
        <w:tc>
          <w:tcPr>
            <w:tcW w:w="920" w:type="dxa"/>
            <w:vAlign w:val="bottom"/>
            <w:vMerge w:val="continue"/>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w w:val="90"/>
              </w:rPr>
              <w:t>(in millions)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1220" w:type="dxa"/>
            <w:vAlign w:val="bottom"/>
            <w:vMerge w:val="continue"/>
          </w:tcPr>
          <w:p>
            <w:pPr>
              <w:spacing w:after="0"/>
              <w:rPr>
                <w:sz w:val="15"/>
                <w:szCs w:val="15"/>
                <w:color w:val="auto"/>
              </w:rPr>
            </w:pPr>
          </w:p>
        </w:tc>
        <w:tc>
          <w:tcPr>
            <w:tcW w:w="1940" w:type="dxa"/>
            <w:vAlign w:val="bottom"/>
          </w:tcPr>
          <w:p>
            <w:pPr>
              <w:jc w:val="center"/>
              <w:ind w:right="989"/>
              <w:spacing w:after="0"/>
              <w:rPr>
                <w:sz w:val="20"/>
                <w:szCs w:val="20"/>
                <w:color w:val="auto"/>
              </w:rPr>
            </w:pPr>
            <w:r>
              <w:rPr>
                <w:rFonts w:ascii="Arial" w:cs="Arial" w:eastAsia="Arial" w:hAnsi="Arial"/>
                <w:sz w:val="14"/>
                <w:szCs w:val="14"/>
                <w:b w:val="1"/>
                <w:bCs w:val="1"/>
                <w:color w:val="auto"/>
                <w:w w:val="92"/>
              </w:rPr>
              <w:t>Date</w:t>
            </w:r>
          </w:p>
        </w:tc>
        <w:tc>
          <w:tcPr>
            <w:tcW w:w="2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7" w:right="339" w:bottom="1440" w:gutter="0" w:footer="0" w:header="0"/>
        </w:sectPr>
      </w:pPr>
    </w:p>
    <w:tbl>
      <w:tblPr>
        <w:tblLayout w:type="fixed"/>
        <w:tblInd w:w="380" w:type="dxa"/>
        <w:tblCellMar>
          <w:top w:w="0" w:type="dxa"/>
          <w:left w:w="0" w:type="dxa"/>
          <w:bottom w:w="0" w:type="dxa"/>
          <w:right w:w="0" w:type="dxa"/>
        </w:tblCellMar>
      </w:tblPr>
      <w:tr>
        <w:trPr>
          <w:trHeight w:val="140"/>
        </w:trPr>
        <w:tc>
          <w:tcPr>
            <w:tcW w:w="960" w:type="dxa"/>
            <w:vAlign w:val="bottom"/>
          </w:tcPr>
          <w:p>
            <w:pPr>
              <w:spacing w:after="0" w:line="140" w:lineRule="exact"/>
              <w:rPr>
                <w:sz w:val="20"/>
                <w:szCs w:val="20"/>
                <w:color w:val="auto"/>
              </w:rPr>
            </w:pPr>
            <w:r>
              <w:rPr>
                <w:rFonts w:ascii="Arial" w:cs="Arial" w:eastAsia="Arial" w:hAnsi="Arial"/>
                <w:sz w:val="14"/>
                <w:szCs w:val="14"/>
                <w:color w:val="auto"/>
              </w:rPr>
              <w:t xml:space="preserve">DSMA </w:t>
            </w:r>
            <w:r>
              <w:rPr>
                <w:rFonts w:ascii="Arial" w:cs="Arial" w:eastAsia="Arial" w:hAnsi="Arial"/>
                <w:sz w:val="9"/>
                <w:szCs w:val="9"/>
                <w:color w:val="auto"/>
              </w:rPr>
              <w:t>(1)</w:t>
            </w:r>
          </w:p>
        </w:tc>
        <w:tc>
          <w:tcPr>
            <w:tcW w:w="980" w:type="dxa"/>
            <w:vAlign w:val="bottom"/>
          </w:tcPr>
          <w:p>
            <w:pPr>
              <w:jc w:val="right"/>
              <w:ind w:right="329"/>
              <w:spacing w:after="0" w:line="140" w:lineRule="exact"/>
              <w:rPr>
                <w:sz w:val="20"/>
                <w:szCs w:val="20"/>
                <w:color w:val="auto"/>
              </w:rPr>
            </w:pPr>
            <w:r>
              <w:rPr>
                <w:rFonts w:ascii="Arial" w:cs="Arial" w:eastAsia="Arial" w:hAnsi="Arial"/>
                <w:sz w:val="14"/>
                <w:szCs w:val="14"/>
                <w:color w:val="auto"/>
              </w:rPr>
              <w:t>16</w:t>
            </w:r>
          </w:p>
        </w:tc>
        <w:tc>
          <w:tcPr>
            <w:tcW w:w="1080" w:type="dxa"/>
            <w:vAlign w:val="bottom"/>
          </w:tcPr>
          <w:p>
            <w:pPr>
              <w:ind w:left="420"/>
              <w:spacing w:after="0" w:line="140" w:lineRule="exact"/>
              <w:rPr>
                <w:sz w:val="20"/>
                <w:szCs w:val="20"/>
                <w:color w:val="auto"/>
              </w:rPr>
            </w:pPr>
            <w:r>
              <w:rPr>
                <w:rFonts w:ascii="Arial" w:cs="Arial" w:eastAsia="Arial" w:hAnsi="Arial"/>
                <w:sz w:val="14"/>
                <w:szCs w:val="14"/>
                <w:color w:val="auto"/>
              </w:rPr>
              <w:t>July</w:t>
            </w:r>
          </w:p>
        </w:tc>
        <w:tc>
          <w:tcPr>
            <w:tcW w:w="1040" w:type="dxa"/>
            <w:vAlign w:val="bottom"/>
          </w:tcPr>
          <w:p>
            <w:pPr>
              <w:ind w:left="380"/>
              <w:spacing w:after="0" w:line="140" w:lineRule="exact"/>
              <w:rPr>
                <w:sz w:val="20"/>
                <w:szCs w:val="20"/>
                <w:color w:val="auto"/>
              </w:rPr>
            </w:pPr>
            <w:r>
              <w:rPr>
                <w:rFonts w:ascii="Arial" w:cs="Arial" w:eastAsia="Arial" w:hAnsi="Arial"/>
                <w:sz w:val="14"/>
                <w:szCs w:val="14"/>
                <w:color w:val="auto"/>
              </w:rPr>
              <w:t>TBD</w:t>
            </w:r>
          </w:p>
        </w:tc>
        <w:tc>
          <w:tcPr>
            <w:tcW w:w="640" w:type="dxa"/>
            <w:vAlign w:val="bottom"/>
          </w:tcPr>
          <w:p>
            <w:pPr>
              <w:ind w:left="360"/>
              <w:spacing w:after="0" w:line="140" w:lineRule="exact"/>
              <w:rPr>
                <w:sz w:val="20"/>
                <w:szCs w:val="20"/>
                <w:color w:val="auto"/>
              </w:rPr>
            </w:pPr>
            <w:r>
              <w:rPr>
                <w:rFonts w:ascii="Arial" w:cs="Arial" w:eastAsia="Arial" w:hAnsi="Arial"/>
                <w:sz w:val="14"/>
                <w:szCs w:val="14"/>
                <w:color w:val="auto"/>
                <w:w w:val="92"/>
              </w:rPr>
              <w:t>TBD</w:t>
            </w:r>
          </w:p>
        </w:tc>
      </w:tr>
      <w:tr>
        <w:trPr>
          <w:trHeight w:val="180"/>
        </w:trPr>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ind w:left="420"/>
              <w:spacing w:after="0"/>
              <w:rPr>
                <w:sz w:val="20"/>
                <w:szCs w:val="20"/>
                <w:color w:val="auto"/>
              </w:rPr>
            </w:pPr>
            <w:r>
              <w:rPr>
                <w:rFonts w:ascii="Arial" w:cs="Arial" w:eastAsia="Arial" w:hAnsi="Arial"/>
                <w:sz w:val="14"/>
                <w:szCs w:val="14"/>
                <w:color w:val="auto"/>
              </w:rPr>
              <w:t>2023</w:t>
            </w: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60"/>
        <w:spacing w:after="0"/>
        <w:tabs>
          <w:tab w:leader="none" w:pos="1780" w:val="left"/>
          <w:tab w:leader="none" w:pos="2480" w:val="left"/>
          <w:tab w:leader="none" w:pos="3760" w:val="left"/>
          <w:tab w:leader="none" w:pos="4780" w:val="left"/>
        </w:tabs>
        <w:rPr>
          <w:sz w:val="20"/>
          <w:szCs w:val="20"/>
          <w:color w:val="auto"/>
        </w:rPr>
      </w:pPr>
      <w:r>
        <w:rPr>
          <w:rFonts w:ascii="Arial" w:cs="Arial" w:eastAsia="Arial" w:hAnsi="Arial"/>
          <w:sz w:val="14"/>
          <w:szCs w:val="14"/>
          <w:color w:val="auto"/>
        </w:rPr>
        <w:t xml:space="preserve">TDSIC </w:t>
      </w:r>
      <w:r>
        <w:rPr>
          <w:rFonts w:ascii="Arial" w:cs="Arial" w:eastAsia="Arial" w:hAnsi="Arial"/>
          <w:sz w:val="10"/>
          <w:szCs w:val="10"/>
          <w:color w:val="auto"/>
        </w:rPr>
        <w:t>(1)</w:t>
      </w:r>
      <w:r>
        <w:rPr>
          <w:sz w:val="20"/>
          <w:szCs w:val="20"/>
          <w:color w:val="auto"/>
        </w:rPr>
        <w:tab/>
      </w:r>
      <w:r>
        <w:rPr>
          <w:rFonts w:ascii="Arial" w:cs="Arial" w:eastAsia="Arial" w:hAnsi="Arial"/>
          <w:sz w:val="14"/>
          <w:szCs w:val="14"/>
          <w:color w:val="auto"/>
        </w:rPr>
        <w:t>3</w:t>
      </w:r>
      <w:r>
        <w:rPr>
          <w:sz w:val="20"/>
          <w:szCs w:val="20"/>
          <w:color w:val="auto"/>
        </w:rPr>
        <w:tab/>
      </w:r>
      <w:r>
        <w:rPr>
          <w:rFonts w:ascii="Arial" w:cs="Arial" w:eastAsia="Arial" w:hAnsi="Arial"/>
          <w:sz w:val="14"/>
          <w:szCs w:val="14"/>
          <w:color w:val="auto"/>
        </w:rPr>
        <w:t>August 2023</w:t>
      </w:r>
      <w:r>
        <w:rPr>
          <w:sz w:val="20"/>
          <w:szCs w:val="20"/>
          <w:color w:val="auto"/>
        </w:rPr>
        <w:tab/>
      </w:r>
      <w:r>
        <w:rPr>
          <w:rFonts w:ascii="Arial" w:cs="Arial" w:eastAsia="Arial" w:hAnsi="Arial"/>
          <w:sz w:val="14"/>
          <w:szCs w:val="14"/>
          <w:color w:val="auto"/>
        </w:rPr>
        <w:t>TBD</w:t>
      </w:r>
      <w:r>
        <w:rPr>
          <w:sz w:val="20"/>
          <w:szCs w:val="20"/>
          <w:color w:val="auto"/>
        </w:rPr>
        <w:tab/>
      </w:r>
      <w:r>
        <w:rPr>
          <w:rFonts w:ascii="Arial" w:cs="Arial" w:eastAsia="Arial" w:hAnsi="Arial"/>
          <w:sz w:val="14"/>
          <w:szCs w:val="14"/>
          <w:color w:val="auto"/>
        </w:rPr>
        <w:t>TBD</w:t>
      </w:r>
    </w:p>
    <w:p>
      <w:pPr>
        <w:spacing w:after="0" w:line="20" w:lineRule="exact"/>
        <w:rPr>
          <w:sz w:val="20"/>
          <w:szCs w:val="20"/>
          <w:color w:val="auto"/>
        </w:rPr>
      </w:pPr>
      <w:r>
        <w:rPr>
          <w:sz w:val="20"/>
          <w:szCs w:val="20"/>
          <w:color w:val="auto"/>
        </w:rPr>
        <w:br w:type="column"/>
      </w:r>
    </w:p>
    <w:p>
      <w:pPr>
        <w:ind w:right="140"/>
        <w:spacing w:after="0" w:line="267" w:lineRule="auto"/>
        <w:rPr>
          <w:sz w:val="20"/>
          <w:szCs w:val="20"/>
          <w:color w:val="auto"/>
        </w:rPr>
      </w:pPr>
      <w:r>
        <w:rPr>
          <w:rFonts w:ascii="Arial" w:cs="Arial" w:eastAsia="Arial" w:hAnsi="Arial"/>
          <w:sz w:val="13"/>
          <w:szCs w:val="13"/>
          <w:color w:val="auto"/>
        </w:rPr>
        <w:t>The requested $45 million is comprised primarily of the following: 2024 program costs of $11 million and $26 million of lost revenue, $3 million related to the over-recovery of 2022 program costs and $11 million under-recovery related to a prior period variance adjustment; the requested $45 million is an increase of $16 million compared to the prior DSMA. A settlement between Indiana Electric and the OUCC was reached concerning the $11 million under-recovery which resolves all issues related to the DSMA for January through December 2024 including the $11 million under-recovery. The settlement provides that the IURC should approve the DSMA and that Indiana Electric will arrange for educational training on demand side management offerings. A settlement hearing is scheduled for October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-3488055</wp:posOffset>
            </wp:positionH>
            <wp:positionV relativeFrom="paragraph">
              <wp:posOffset>6985</wp:posOffset>
            </wp:positionV>
            <wp:extent cx="7134225" cy="548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4225" cy="548640"/>
                    </a:xfrm>
                    <a:prstGeom prst="rect">
                      <a:avLst/>
                    </a:prstGeom>
                    <a:noFill/>
                  </pic:spPr>
                </pic:pic>
              </a:graphicData>
            </a:graphic>
          </wp:anchor>
        </w:drawing>
      </w:r>
    </w:p>
    <w:p>
      <w:pPr>
        <w:ind w:right="60"/>
        <w:spacing w:after="0" w:line="301" w:lineRule="auto"/>
        <w:rPr>
          <w:sz w:val="20"/>
          <w:szCs w:val="20"/>
          <w:color w:val="auto"/>
        </w:rPr>
      </w:pPr>
      <w:r>
        <w:rPr>
          <w:rFonts w:ascii="Arial" w:cs="Arial" w:eastAsia="Arial" w:hAnsi="Arial"/>
          <w:sz w:val="12"/>
          <w:szCs w:val="12"/>
          <w:color w:val="auto"/>
        </w:rPr>
        <w:t>Requested an increase of $27 million to rate base, which reflects a $3 million annual increase in current revenues. 80% of the revenue requirement is included in requested rate increase and 20% is deferred until next rate case. The mechanism also includes a change in (over)/under-recovery variance and a tax reform credit for a total of ($0.2 million). OUCC filed on October 2, 2023 recommending approval of the proposed TDSIC rates. A hearing is scheduled for October 31, 2023.</w:t>
      </w:r>
    </w:p>
    <w:p>
      <w:pPr>
        <w:spacing w:after="0" w:line="58" w:lineRule="exact"/>
        <w:rPr>
          <w:sz w:val="20"/>
          <w:szCs w:val="20"/>
          <w:color w:val="auto"/>
        </w:rPr>
      </w:pPr>
    </w:p>
    <w:p>
      <w:pPr>
        <w:sectPr>
          <w:pgSz w:w="11900" w:h="16838" w:orient="portrait"/>
          <w:cols w:equalWidth="0" w:num="2">
            <w:col w:w="5080" w:space="420"/>
            <w:col w:w="5740"/>
          </w:cols>
          <w:pgMar w:left="320" w:top="127" w:right="339" w:bottom="1440" w:gutter="0" w:footer="0" w:header="0"/>
          <w:type w:val="continuous"/>
        </w:sectPr>
      </w:pPr>
    </w:p>
    <w:p>
      <w:pPr>
        <w:ind w:left="640" w:hanging="315"/>
        <w:spacing w:after="0" w:line="266" w:lineRule="auto"/>
        <w:tabs>
          <w:tab w:leader="none" w:pos="634"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proposed increases (decreases) when effective date and/or approval date is not yet determined. Approved rates could differ materially from proposed rates.</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Inflation Reduction Act (IRA)</w:t>
      </w:r>
    </w:p>
    <w:p>
      <w:pPr>
        <w:spacing w:after="0" w:line="245"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On August 16, 2022, the IRA was signed into law. The new law extends or creates tax-related energy incentives for solar, wind and alternative clean energy sources, implements, subject to certain exceptions, a 1% tax on share repurchases after December 31, 2022, and implements a 15% corporate alternative minimum tax based on the AFSI of those corporations with an average AFSI of $1 billion over the most recent three-year period (i.e., the CAMT). The IRA did not have a material impact on the Registrants’ 2022 financial results and no material impact is expected for 2023 financial results. The Registrants may be currently subject to the CAMT, pending future guidance relating to comments requested in response to Notice 2023-64. If the Registrants are subject to the CAMT for 2023, the calculation of regular tax will exceed minimum tax for 2023; therefore, no minimum tax is expected to be paid</w:t>
      </w:r>
      <w:r>
        <w:rPr>
          <w:rFonts w:ascii="Arial" w:cs="Arial" w:eastAsia="Arial" w:hAnsi="Arial"/>
          <w:sz w:val="19"/>
          <w:szCs w:val="19"/>
          <w:color w:val="auto"/>
        </w:rPr>
        <w:t>.</w:t>
      </w:r>
      <w:r>
        <w:rPr>
          <w:rFonts w:ascii="Arial" w:cs="Arial" w:eastAsia="Arial" w:hAnsi="Arial"/>
          <w:sz w:val="18"/>
          <w:szCs w:val="18"/>
          <w:color w:val="auto"/>
        </w:rPr>
        <w:t xml:space="preserve"> Further guidance on the tax provisions of the IRA is expected and the Registrants continue to evaluate the IRA provisions for the effect on their future financial results.</w:t>
      </w:r>
    </w:p>
    <w:p>
      <w:pPr>
        <w:spacing w:after="0" w:line="22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Greenhouse Gas Regulation and Compliance (CenterPoint Energy)</w:t>
      </w:r>
    </w:p>
    <w:p>
      <w:pPr>
        <w:spacing w:after="0" w:line="245" w:lineRule="exact"/>
        <w:rPr>
          <w:sz w:val="20"/>
          <w:szCs w:val="20"/>
          <w:color w:val="auto"/>
        </w:rPr>
      </w:pPr>
    </w:p>
    <w:p>
      <w:pPr>
        <w:jc w:val="both"/>
        <w:ind w:firstLine="319"/>
        <w:spacing w:after="0" w:line="264" w:lineRule="auto"/>
        <w:rPr>
          <w:sz w:val="20"/>
          <w:szCs w:val="20"/>
          <w:color w:val="auto"/>
        </w:rPr>
      </w:pPr>
      <w:r>
        <w:rPr>
          <w:rFonts w:ascii="Arial" w:cs="Arial" w:eastAsia="Arial" w:hAnsi="Arial"/>
          <w:sz w:val="17"/>
          <w:szCs w:val="17"/>
          <w:color w:val="auto"/>
        </w:rPr>
        <w:t>On August 3, 2015, the EPA released its CPP rule, which required a 32% reduction in carbon emissions from 2005 levels. The final rule was published in the Federal Register on October 23, 2015, and that action was immediately followed by litigation ultimately resulting in the U.S. Supreme Court staying implementation of the rule. On July 8, 2019, the EPA published the ACE rule, which (i) repealed the CPP rule; (ii) replaced the CPP rule with a program that requires states to implement a program of energy efficiency improvement targets for individual coal-fired electric generating units; and (iii) amended the implementing regulations for Section 111(d) of the Clean Air Act. On January 19, 2021, the majority of the ACE rule — including the CPP repeal, CPP replacement, and the timing-related portions of the Section 111(d) implementing rule — was struck down by the U.S. Court of Appeals for the D.C. Circuit and on October 29, 2021, the U.S. Supreme Court agreed to consider four petitions filed by various coal interests and a coalition of 19 states. On June 30, 2022, the U.S. Supreme Court ruled that the EPA exceeded its authority in promulgating the CPP. On May 11, 2023, the EPA announced proposed emission limits and guidelines for carbon dioxide from fossil fuel-fired power plants under Section 111 of the Clean Air Act which, if finalized, apply new GHG performance standards for those existing coal-fired units expected to continue operation beyond December 31, 2029. We are currently reviewing the proposal for applicability to existing and new gas-fired generating units, but would note that CenterPoint Energy does not currently have plans to operate any of its coal-fired units beyond December 2029.</w:t>
      </w:r>
    </w:p>
    <w:p>
      <w:pPr>
        <w:spacing w:after="0" w:line="212"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7"/>
          <w:szCs w:val="17"/>
          <w:color w:val="auto"/>
        </w:rPr>
        <w:t>The Biden administration recommitted the United States to the Paris Agreement, which can be expected to drive a renewed regulatory push to require further GHG emission reductions from the energy sector and proceeded to lead negotiations at the global climate conference in Glasgow, Scotland. On April 22, 2021, President Biden announced new goals of 50% reduction of economy-wide GHG emissions, and 100% carbon-free electricity by 2035, which formed the basis of the U.S. commitments announced in Glasgow. In September 2021, CenterPoint Energy announced its net zero emissions goals for both Scope 1 emissions and certain Scope 2 emissions by 2035 as well as a goal to reduce certain Scope 3 emissions by 20% to 30% by 2035. Because Texas is an unregulated market, CenterPoint Energy’s Scope 2 estimates do not take into account Texas electric transmission and distribution assets in the line loss calculation and, in addition, exclude emissions related to purchased power in Indiana between 2024 and 2026 as estimated. CenterPoint Energy’s Scope 3 emissions estimates are based on the total natural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gas supply delivered to residential and commercial customers as reported in the U.S. Energy Information Administration (EIA) Form EIA-176 reports and do not take into account the emissions of transport customers and emissions related to upstream extraction. These emission goals are expected to be used to position CenterPoint Energy to comply with anticipated future regulatory requirements from the current and future administrations to further reduce GHG emissions. CenterPoint Energy’s and CERC’s revenues, operating costs and capital requirements could be adversely affected as a result of any regulatory action that would require installation of new control technologies or a modification of their operations or would have the effect of reducing the consumption of natural gas. The IRA established the Methane Emissions Reduction Program, which imposes a charge on methane emissions from certain natural gas transmission facilities, and the EPA has proposed new regulations targeting reductions in methane emissions, which if implemented will increase costs related to production, transmission and storage of natural gas. Houston Electric, in contrast to some electric utilities including Indiana Electric, does not generate electricity, other than TEEEF, and thus is not directly exposed to the risk of high capital costs and regulatory uncertainties that face electric utilities that burn fossil fuels to generate electricity. CenterPoint Energy’s net zero emissions goals are aligned with Indiana Electric’s generation transition plan and are expected to position Indiana Electric to comply with anticipated future regulatory requirements related to GHG emissions reductions. Nevertheless, Houston Electric’s and Indiana Electric’s revenues could be adversely affected to the extent any resulting regulatory action has the effect of reducing consumption of electricity by ultimate consumers within their respective service territories. Likewise, incentives to conserve energy or to use energy sources other than natural gas could result in a decrease in demand for the Registrants’ services. For example, Minnesota has enacted the Natural Gas Innovation Act that seeks to provide customers with access to renewable energy resources and innovative technologies, with the goal of reducing GHG emissions. Further, certain local government bodies have introduced or are considering requirements and/or incentives to reduce energy consumption by certain specified dates. For example, Minneapolis has adopted carbon emission reduction goals in an effort to decrease reliance on fossil gas. Additionally, cities in Minnesota within CenterPoint Energy’s Natural Gas operational footprint are considering initiatives to eliminate natural gas use in buildings and focus on electrification. Also, Minnesota cities may consider seeking legislative authority for the ability to enact voluntary enhanced energy standards for all development projects. These initiatives could have a significant impact on CenterPoint Energy and its operations, and this impact could increase if other cities and jurisdictions in its service area enact similar initiatives. Further, our third party suppliers, vendors and partners may also be impacted by climate change laws and regulations, which could impact CenterPoint Energy’s business by, among other things, causing permitting and construction delays, project cancellations or increased project costs passed on to CenterPoint Energy. Conversely, regulatory actions that effectively promote the consumption of natural gas because of its lower emissions characteristics would be expected to benefit CenterPoint Energy and CERC and their natural gas-related businesses. At this time, however, we cannot quantify the magnitude of the impacts from possible new regulatory actions related to GHG emissions, either positive or negative, on the Registrants’ businesses.</w:t>
      </w:r>
    </w:p>
    <w:p>
      <w:pPr>
        <w:spacing w:after="0" w:line="210"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Compliance costs and other effects associated with climate change, reductions in GHG emissions and obtaining renewable energy sources remain uncertain. Although the amount of compliance costs remains uncertain, any new regulation or legislation relating to climate change will likely result in an increase in compliance costs. While the requirements of a federal or state rule remain uncertain, CenterPoint Energy will continue to monitor regulatory activity regarding GHG emission standards that may affect its business. Currently, CenterPoint Energy does not purchase carbon credits. In connection with its net zero emissions goals, CenterPoint Energy is expected to purchase carbon credits in the future; however, CenterPoint Energy does not currently expect the number of credits, or cost for those credits, to be material.</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Climate Change Trends and Uncertainties</w:t>
      </w:r>
    </w:p>
    <w:p>
      <w:pPr>
        <w:spacing w:after="0" w:line="245" w:lineRule="exact"/>
        <w:rPr>
          <w:sz w:val="20"/>
          <w:szCs w:val="20"/>
          <w:color w:val="auto"/>
        </w:rPr>
      </w:pPr>
    </w:p>
    <w:p>
      <w:pPr>
        <w:jc w:val="both"/>
        <w:ind w:firstLine="319"/>
        <w:spacing w:after="0" w:line="282" w:lineRule="auto"/>
        <w:rPr>
          <w:sz w:val="20"/>
          <w:szCs w:val="20"/>
          <w:color w:val="auto"/>
        </w:rPr>
      </w:pPr>
      <w:r>
        <w:rPr>
          <w:rFonts w:ascii="Arial" w:cs="Arial" w:eastAsia="Arial" w:hAnsi="Arial"/>
          <w:sz w:val="16"/>
          <w:szCs w:val="16"/>
          <w:color w:val="auto"/>
        </w:rPr>
        <w:t>As a result of increased awareness regarding climate change, coupled with adverse economic conditions, availability of alternative energy sources, including private solar, microturbines, fuel cells, energy-efficient buildings and energy storage devices, and new regulations restricting emissions, including potential regulations of methane emissions, some consumers and companies may use less energy, meet their own energy needs through alternative energy sources or avoid expansions of their facilities, including natural gas facilities, resulting in less demand for the Registrants’ services. As these technologies become a more cost-competitive option over time, whether through cost effectiveness or government incentives and subsidies, certain customers may choose to meet their own energy needs and subsequently decrease usage of the Registrants’ systems and services, which may result in, among other things, Indiana Electric’s generating facilities becoming less competitive and economical. Further, evolving investor sentiment related to the use of fossil fuels and initiatives to restrict continued production of fossil fuels have had significant impacts on CenterPoint Energy’s electric generation and natural gas businesses. For example, because Indiana Electric’s current generating facilities substantially rely on coal for their operations, certain financial institutions choose not to participate in CenterPoint Energy’s financing arrangements. Conversely, demand for the Registrants’ services may increase as a result of customer changes in response to climate change. For example, as the utilization of electric vehicles increases, demand for electricity may increase, resulting in increased usage of CenterPoint Energy’s systems and services. Any negative opinions with respect to CenterPoint Energy’s environmental practices or its ability to meet the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challenges posed by climate change formed by regulators, customers, investors, legislators or other stakeholders could harm its reputation.</w:t>
      </w:r>
    </w:p>
    <w:p>
      <w:pPr>
        <w:spacing w:after="0" w:line="245" w:lineRule="exact"/>
        <w:rPr>
          <w:sz w:val="20"/>
          <w:szCs w:val="20"/>
          <w:color w:val="auto"/>
        </w:rPr>
      </w:pPr>
    </w:p>
    <w:p>
      <w:pPr>
        <w:jc w:val="both"/>
        <w:ind w:firstLine="319"/>
        <w:spacing w:after="0" w:line="282" w:lineRule="auto"/>
        <w:rPr>
          <w:sz w:val="20"/>
          <w:szCs w:val="20"/>
          <w:color w:val="auto"/>
        </w:rPr>
      </w:pPr>
      <w:r>
        <w:rPr>
          <w:rFonts w:ascii="Arial" w:cs="Arial" w:eastAsia="Arial" w:hAnsi="Arial"/>
          <w:sz w:val="16"/>
          <w:szCs w:val="16"/>
          <w:color w:val="auto"/>
        </w:rPr>
        <w:t>To address these developments, CenterPoint Energy announced its net zero emissions goals for both Scope 1 emissions and certain Scope 2 emissions by 2035. Indiana Electric’s 2019/2020 IRP identified a preferred portfolio that retires 730 MW of coal-fired generation facilities and replaces these resources with a mix of generating resources composed primarily of renewables, including solar, wind, and solar with storage, supported by dispatchable natural gas combustion turbines including a pipeline to serve such natural gas generation. Indiana Electric continues to execute on its 2019/2020 IRP and has received initial approvals for 756 MWs of the 700-1,000 MWs identified within Indiana Electric’s 2019/2020 IRP. Additionally, as reflected in its 10-year capital plan announced in September 2021, CenterPoint Energy anticipates spending over $3 billion in clean energy investments and enablement, which may be used to support, among other things, renewable energy generation and electric vehicle expansion. CenterPoint Energy believes its planned investments in renewable energy generation and corresponding planned reduction in its GHG emissions as part of its net zero emissions goals support global efforts to reduce the impacts of climate change. Indiana Electric has conducted a new IRP, which was submitted to the IURC in May 2023, to identify an appropriate generation resource portfolio to satisfy the needs of its customers and comply with environmental regulations. The proposed preferred portfolio is the second evolution to the generation transition plan to move away from coal-fired generation to a more sustainable portfolio of resources. Indiana Electric plans to convert its last remaining coal unit to natural gas by 2027 and to add a significant amount of additional renewable resources through 2033.</w:t>
      </w:r>
    </w:p>
    <w:p>
      <w:pPr>
        <w:spacing w:after="0" w:line="198" w:lineRule="exact"/>
        <w:rPr>
          <w:sz w:val="20"/>
          <w:szCs w:val="20"/>
          <w:color w:val="auto"/>
        </w:rPr>
      </w:pPr>
    </w:p>
    <w:p>
      <w:pPr>
        <w:jc w:val="both"/>
        <w:ind w:firstLine="319"/>
        <w:spacing w:after="0" w:line="280" w:lineRule="auto"/>
        <w:rPr>
          <w:sz w:val="20"/>
          <w:szCs w:val="20"/>
          <w:color w:val="auto"/>
        </w:rPr>
      </w:pPr>
      <w:r>
        <w:rPr>
          <w:rFonts w:ascii="Arial" w:cs="Arial" w:eastAsia="Arial" w:hAnsi="Arial"/>
          <w:sz w:val="16"/>
          <w:szCs w:val="16"/>
          <w:color w:val="auto"/>
        </w:rPr>
        <w:t>To the extent climate changes result in warmer temperatures in the Registrants’ service territories, financial results from the Registrants’ businesses could be adversely impacted. For example, CenterPoint Energy’s and CERC’s Natural Gas could be adversely affected through lower natural gas sales. On the other hand, warmer temperatures in CenterPoint Energy’s and Houston Electric’s electric service territory may increase revenues from transmission and distribution and generation through increased demand for electricity used for cooling. Another possible result of climate change is more frequent and more severe weather events, such as hurricanes, tornadoes and flooding, including such storms as the February 2021 Winter Storm Event. Since many of the Registrants’ facilities are located along or near the Texas gulf coast, increased or more severe hurricanes or tornadoes could increase costs to repair damaged facilities and restore service to customers. CenterPoint Energy’s current 10-year capital plan includes capital expenditures to maintain reliability and safety and increase resiliency of its systems as climate change may result in more frequent significant weather events. Houston Electric does not own or operate any electric generation facilities other than, since September 2021, its operation of TEEEF. Houston Electric transmits and distributes to customers of REPs electric power that the REPs obtain from power generation facilities owned by third parties. To the extent adverse weather conditions affect the Registrants’ suppliers, results from their energy delivery businesses may suffer. For example, in Texas, the February 2021 Winter Storm Event caused an electricity generation shortage that was severely disruptive to Houston Electric’s service territory and the wholesale generation market and also caused a reduction in available natural gas capacity. When the Registrants cannot deliver electricity or natural gas to customers, or customers cannot receive services, the Registrants’ financial results can be impacted by lost revenues, and they generally must seek approval from regulators to recover restoration costs. To the extent the Registrants are unable to recover those costs, or if higher rates resulting from recovery of such costs result in reduced demand for services, the Registrants’ future financial results may be adversely impacted. Further, as the intensity and frequency of significant weather events continues, it may impact our ability to secure cost-efficient insurance.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45"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6"/>
          <w:szCs w:val="16"/>
          <w:color w:val="auto"/>
        </w:rPr>
        <w:t>The Registrants may draw on their respective revolving credit facilities from time to time to provide funds used for general corporate and limited liability company purposes, including to backstop CenterPoint Energy’s and CERC’s commercial paper programs. The facilities may also be utilized to obtain letters of credit. For further details related to the Registrants’ revolving credit facilities, see Note 11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Based on the consolidated debt to capitalization covenant in the Registrants’ revolving credit facilities, the Registrants would have been permitted to utilize the full capacity of such revolving credit facilities, which aggregated approximately $4.0 billion as of September 30, 2023. As of October 18, 2023, the Registrants had the following revolving credit facilities and utilization of such facilities: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0" w:type="dxa"/>
            <w:vAlign w:val="bottom"/>
            <w:gridSpan w:val="6"/>
          </w:tcPr>
          <w:p>
            <w:pPr>
              <w:jc w:val="center"/>
              <w:ind w:left="178"/>
              <w:spacing w:after="0"/>
              <w:rPr>
                <w:sz w:val="20"/>
                <w:szCs w:val="20"/>
                <w:color w:val="auto"/>
              </w:rPr>
            </w:pPr>
            <w:r>
              <w:rPr>
                <w:rFonts w:ascii="Arial" w:cs="Arial" w:eastAsia="Arial" w:hAnsi="Arial"/>
                <w:sz w:val="14"/>
                <w:szCs w:val="14"/>
                <w:b w:val="1"/>
                <w:bCs w:val="1"/>
                <w:color w:val="auto"/>
                <w:w w:val="91"/>
              </w:rPr>
              <w:t>Amount Utilized as of October 18, 2023</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vMerge w:val="restart"/>
          </w:tcPr>
          <w:p>
            <w:pPr>
              <w:jc w:val="center"/>
              <w:ind w:right="120"/>
              <w:spacing w:after="0" w:line="157" w:lineRule="exact"/>
              <w:rPr>
                <w:sz w:val="20"/>
                <w:szCs w:val="20"/>
                <w:color w:val="auto"/>
              </w:rPr>
            </w:pPr>
            <w:r>
              <w:rPr>
                <w:rFonts w:ascii="Arial" w:cs="Arial" w:eastAsia="Arial" w:hAnsi="Arial"/>
                <w:sz w:val="14"/>
                <w:szCs w:val="14"/>
                <w:b w:val="1"/>
                <w:bCs w:val="1"/>
                <w:color w:val="auto"/>
                <w:w w:val="90"/>
              </w:rPr>
              <w:t>Weighted Average</w:t>
            </w: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740" w:type="dxa"/>
            <w:vAlign w:val="bottom"/>
            <w:gridSpan w:val="2"/>
            <w:vMerge w:val="restart"/>
          </w:tcPr>
          <w:p>
            <w:pPr>
              <w:ind w:left="1000"/>
              <w:spacing w:after="0"/>
              <w:rPr>
                <w:sz w:val="20"/>
                <w:szCs w:val="20"/>
                <w:color w:val="auto"/>
              </w:rPr>
            </w:pPr>
            <w:r>
              <w:rPr>
                <w:rFonts w:ascii="Arial" w:cs="Arial" w:eastAsia="Arial" w:hAnsi="Arial"/>
                <w:sz w:val="14"/>
                <w:szCs w:val="14"/>
                <w:b w:val="1"/>
                <w:bCs w:val="1"/>
                <w:color w:val="auto"/>
              </w:rPr>
              <w:t>Registrant</w:t>
            </w:r>
          </w:p>
        </w:tc>
        <w:tc>
          <w:tcPr>
            <w:tcW w:w="140" w:type="dxa"/>
            <w:vAlign w:val="bottom"/>
          </w:tcPr>
          <w:p>
            <w:pPr>
              <w:spacing w:after="0"/>
              <w:rPr>
                <w:sz w:val="9"/>
                <w:szCs w:val="9"/>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Size of Facility</w:t>
            </w:r>
          </w:p>
        </w:tc>
        <w:tc>
          <w:tcPr>
            <w:tcW w:w="260" w:type="dxa"/>
            <w:vAlign w:val="bottom"/>
          </w:tcPr>
          <w:p>
            <w:pPr>
              <w:spacing w:after="0"/>
              <w:rPr>
                <w:sz w:val="9"/>
                <w:szCs w:val="9"/>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Loans</w:t>
            </w:r>
          </w:p>
        </w:tc>
        <w:tc>
          <w:tcPr>
            <w:tcW w:w="13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Letters of Credit</w:t>
            </w: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Commercial Paper</w:t>
            </w:r>
          </w:p>
        </w:tc>
        <w:tc>
          <w:tcPr>
            <w:tcW w:w="1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2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Termination Date</w:t>
            </w:r>
          </w:p>
        </w:tc>
        <w:tc>
          <w:tcPr>
            <w:tcW w:w="0" w:type="dxa"/>
            <w:vAlign w:val="bottom"/>
          </w:tcPr>
          <w:p>
            <w:pPr>
              <w:spacing w:after="0"/>
              <w:rPr>
                <w:sz w:val="1"/>
                <w:szCs w:val="1"/>
                <w:color w:val="auto"/>
              </w:rPr>
            </w:pPr>
          </w:p>
        </w:tc>
      </w:tr>
      <w:tr>
        <w:trPr>
          <w:trHeight w:val="193"/>
        </w:trPr>
        <w:tc>
          <w:tcPr>
            <w:tcW w:w="2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Interest Rate</w:t>
            </w:r>
          </w:p>
        </w:tc>
        <w:tc>
          <w:tcPr>
            <w:tcW w:w="2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CenterPoint Energy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5.50%</w:t>
            </w:r>
          </w:p>
        </w:tc>
        <w:tc>
          <w:tcPr>
            <w:tcW w:w="100" w:type="dxa"/>
            <w:vAlign w:val="bottom"/>
            <w:shd w:val="clear" w:color="auto" w:fill="CCEEFF"/>
          </w:tcPr>
          <w:p>
            <w:pPr>
              <w:spacing w:after="0"/>
              <w:rPr>
                <w:sz w:val="20"/>
                <w:szCs w:val="20"/>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6, 2027</w:t>
            </w:r>
          </w:p>
        </w:tc>
        <w:tc>
          <w:tcPr>
            <w:tcW w:w="0" w:type="dxa"/>
            <w:vAlign w:val="bottom"/>
          </w:tcPr>
          <w:p>
            <w:pPr>
              <w:spacing w:after="0"/>
              <w:rPr>
                <w:sz w:val="1"/>
                <w:szCs w:val="1"/>
                <w:color w:val="auto"/>
              </w:rPr>
            </w:pPr>
          </w:p>
        </w:tc>
      </w:tr>
      <w:tr>
        <w:trPr>
          <w:trHeight w:val="225"/>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10"/>
                <w:szCs w:val="10"/>
                <w:color w:val="auto"/>
              </w:rPr>
              <w:t>(1)</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w:t>
            </w:r>
          </w:p>
        </w:tc>
        <w:tc>
          <w:tcPr>
            <w:tcW w:w="2020" w:type="dxa"/>
            <w:vAlign w:val="bottom"/>
          </w:tcPr>
          <w:p>
            <w:pPr>
              <w:jc w:val="center"/>
              <w:spacing w:after="0"/>
              <w:rPr>
                <w:sz w:val="20"/>
                <w:szCs w:val="20"/>
                <w:color w:val="auto"/>
              </w:rPr>
            </w:pPr>
            <w:r>
              <w:rPr>
                <w:rFonts w:ascii="Arial" w:cs="Arial" w:eastAsia="Arial" w:hAnsi="Arial"/>
                <w:sz w:val="18"/>
                <w:szCs w:val="18"/>
                <w:color w:val="auto"/>
                <w:w w:val="87"/>
              </w:rPr>
              <w:t>December 6, 2027</w:t>
            </w:r>
          </w:p>
        </w:tc>
        <w:tc>
          <w:tcPr>
            <w:tcW w:w="0" w:type="dxa"/>
            <w:vAlign w:val="bottom"/>
          </w:tcPr>
          <w:p>
            <w:pPr>
              <w:spacing w:after="0"/>
              <w:rPr>
                <w:sz w:val="1"/>
                <w:szCs w:val="1"/>
                <w:color w:val="auto"/>
              </w:rPr>
            </w:pPr>
          </w:p>
        </w:tc>
      </w:tr>
      <w:tr>
        <w:trPr>
          <w:trHeight w:val="227"/>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Houston Electric</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6, 2027</w:t>
            </w:r>
          </w:p>
        </w:tc>
        <w:tc>
          <w:tcPr>
            <w:tcW w:w="0" w:type="dxa"/>
            <w:vAlign w:val="bottom"/>
          </w:tcPr>
          <w:p>
            <w:pPr>
              <w:spacing w:after="0"/>
              <w:rPr>
                <w:sz w:val="1"/>
                <w:szCs w:val="1"/>
                <w:color w:val="auto"/>
              </w:rPr>
            </w:pPr>
          </w:p>
        </w:tc>
      </w:tr>
      <w:tr>
        <w:trPr>
          <w:trHeight w:val="225"/>
        </w:trPr>
        <w:tc>
          <w:tcPr>
            <w:tcW w:w="2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CERC</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30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auto"/>
                <w:w w:val="90"/>
              </w:rPr>
              <w:t>5.43%</w:t>
            </w:r>
          </w:p>
        </w:tc>
        <w:tc>
          <w:tcPr>
            <w:tcW w:w="10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December 6, 2027</w:t>
            </w:r>
          </w:p>
        </w:tc>
        <w:tc>
          <w:tcPr>
            <w:tcW w:w="0" w:type="dxa"/>
            <w:vAlign w:val="bottom"/>
          </w:tcPr>
          <w:p>
            <w:pPr>
              <w:spacing w:after="0"/>
              <w:rPr>
                <w:sz w:val="1"/>
                <w:szCs w:val="1"/>
                <w:color w:val="auto"/>
              </w:rPr>
            </w:pPr>
          </w:p>
        </w:tc>
      </w:tr>
      <w:tr>
        <w:trPr>
          <w:trHeight w:val="240"/>
        </w:trPr>
        <w:tc>
          <w:tcPr>
            <w:tcW w:w="2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This credit facility was issued by SIGECO.</w:t>
      </w:r>
    </w:p>
    <w:p>
      <w:pPr>
        <w:spacing w:after="0" w:line="245" w:lineRule="exact"/>
        <w:rPr>
          <w:sz w:val="20"/>
          <w:szCs w:val="20"/>
          <w:color w:val="auto"/>
        </w:rPr>
      </w:pPr>
    </w:p>
    <w:p>
      <w:pPr>
        <w:jc w:val="both"/>
        <w:ind w:firstLine="319"/>
        <w:spacing w:after="0" w:line="286" w:lineRule="auto"/>
        <w:rPr>
          <w:sz w:val="20"/>
          <w:szCs w:val="20"/>
          <w:color w:val="auto"/>
        </w:rPr>
      </w:pPr>
      <w:r>
        <w:rPr>
          <w:rFonts w:ascii="Arial" w:cs="Arial" w:eastAsia="Arial" w:hAnsi="Arial"/>
          <w:sz w:val="16"/>
          <w:szCs w:val="16"/>
          <w:color w:val="auto"/>
        </w:rPr>
        <w:t>Borrowings under each of the revolving credit facilities are subject to customary terms and conditions. However, there is no requirement that the borrower makes representations prior to borrowing as to the absence of material adverse changes or litigation that could be expected to have a material adverse effect. Borrowings under each of the revolving credit facilities are subject to acceleration upon the occurrence of events of default that we consider customary. The revolving credit facilities also provide for customary fees, including commitment fees, administrative agent fees, fees in respect of letters of credit and other fees. In each of the revolving credit facilities, the spread to SOFR and the commitment fees fluctuate based on the borrower’s credit rating. Each of the Registrant’s credit facilities provide for a mechanism to replace SOFR with possible alternative benchmarks upon certain benchmark replacement events. The borrowers are currently in compliance with the various business and financial covenants in the four revolving credit facilities.</w:t>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Debt Transactions</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detailed information about the Registrants’ debt transactions to date in 2023, see Note 11 to the Interim Condensed Financial Statements.</w:t>
      </w:r>
    </w:p>
    <w:p>
      <w:pPr>
        <w:spacing w:after="0" w:line="25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Securities Registered with the SEC</w:t>
      </w:r>
    </w:p>
    <w:p>
      <w:pPr>
        <w:spacing w:after="0" w:line="245"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On May 17, 2023, the Registrants filed a joint shelf registration statement with the SEC registering indeterminate principal amounts of Houston Electric’s general mortgage bonds, CERC Corp.’s senior debt securities and CenterPoint Energy’s senior debt securities and junior subordinated debt securities and an indeterminate number of shares of Common Stock, shares of preferred stock, depositary shares, as well as stock purchase contracts and equity units. The joint shelf registration statement will expire on May 17, 2026. For information related to the Registrants’ debt issuances in 2023, see Note 11 to the Interim Condensed Financial Statements.</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Temporary Investments</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October 18, 2023, the Registrants had no temporary investments.</w:t>
      </w:r>
    </w:p>
    <w:p>
      <w:pPr>
        <w:spacing w:after="0" w:line="24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Money Pool</w:t>
      </w:r>
    </w:p>
    <w:p>
      <w:pPr>
        <w:spacing w:after="0" w:line="245"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The Registrants participate in a money pool through which they and certain of their subsidiaries can borrow or invest on a short-term basis. Funding needs are aggregated and external borrowing or investing is based on the net cash position. The net funding requirements of the CenterPoint Energy money pool are expected to be met with borrowings under CenterPoint Energy’s revolving credit facility or the sale of CenterPoint Energy’s commercial paper. The net funding requirements of the CERC money pool are expected to be met with borrowings under CERC’s revolving credit facility or the sale of CERC’s commercial paper. The money pool may not provide sufficient funds to meet the Registrants’ cash needs.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summarizes CenterPoint Energy money pool activity by Registrant as of October 18, 2023:</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 Interest</w:t>
            </w:r>
          </w:p>
        </w:tc>
        <w:tc>
          <w:tcPr>
            <w:tcW w:w="160" w:type="dxa"/>
            <w:vAlign w:val="bottom"/>
          </w:tcPr>
          <w:p>
            <w:pPr>
              <w:spacing w:after="0"/>
              <w:rPr>
                <w:sz w:val="14"/>
                <w:szCs w:val="14"/>
                <w:color w:val="auto"/>
              </w:rPr>
            </w:pPr>
          </w:p>
        </w:tc>
        <w:tc>
          <w:tcPr>
            <w:tcW w:w="1300" w:type="dxa"/>
            <w:vAlign w:val="bottom"/>
            <w:vMerge w:val="restart"/>
          </w:tcPr>
          <w:p>
            <w:pPr>
              <w:jc w:val="right"/>
              <w:ind w:right="143"/>
              <w:spacing w:after="0"/>
              <w:rPr>
                <w:sz w:val="20"/>
                <w:szCs w:val="20"/>
                <w:color w:val="auto"/>
              </w:rPr>
            </w:pPr>
            <w:r>
              <w:rPr>
                <w:rFonts w:ascii="Arial" w:cs="Arial" w:eastAsia="Arial" w:hAnsi="Arial"/>
                <w:sz w:val="14"/>
                <w:szCs w:val="14"/>
                <w:b w:val="1"/>
                <w:bCs w:val="1"/>
                <w:color w:val="auto"/>
                <w:w w:val="95"/>
              </w:rPr>
              <w:t>Houston Electric</w:t>
            </w:r>
          </w:p>
        </w:tc>
        <w:tc>
          <w:tcPr>
            <w:tcW w:w="500" w:type="dxa"/>
            <w:vAlign w:val="bottom"/>
          </w:tcPr>
          <w:p>
            <w:pPr>
              <w:spacing w:after="0"/>
              <w:rPr>
                <w:sz w:val="14"/>
                <w:szCs w:val="14"/>
                <w:color w:val="auto"/>
              </w:rPr>
            </w:pPr>
          </w:p>
        </w:tc>
        <w:tc>
          <w:tcPr>
            <w:tcW w:w="10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3"/>
        </w:trPr>
        <w:tc>
          <w:tcPr>
            <w:tcW w:w="6500" w:type="dxa"/>
            <w:vAlign w:val="bottom"/>
          </w:tcPr>
          <w:p>
            <w:pPr>
              <w:spacing w:after="0"/>
              <w:rPr>
                <w:sz w:val="16"/>
                <w:szCs w:val="16"/>
                <w:color w:val="auto"/>
              </w:rPr>
            </w:pPr>
          </w:p>
        </w:tc>
        <w:tc>
          <w:tcPr>
            <w:tcW w:w="1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Rate</w:t>
            </w:r>
          </w:p>
        </w:tc>
        <w:tc>
          <w:tcPr>
            <w:tcW w:w="16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500" w:type="dxa"/>
            <w:vAlign w:val="bottom"/>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pool investments</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5.56%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339</w:t>
            </w:r>
          </w:p>
        </w:tc>
        <w:tc>
          <w:tcPr>
            <w:tcW w:w="5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Impact on Liquidity of a Downgrade in Credit Ratings</w:t>
      </w:r>
    </w:p>
    <w:p>
      <w:pPr>
        <w:spacing w:after="0" w:line="245" w:lineRule="exact"/>
        <w:rPr>
          <w:sz w:val="20"/>
          <w:szCs w:val="20"/>
          <w:color w:val="auto"/>
        </w:rPr>
      </w:pPr>
    </w:p>
    <w:p>
      <w:pPr>
        <w:jc w:val="both"/>
        <w:ind w:right="20" w:firstLine="319"/>
        <w:spacing w:after="0" w:line="266" w:lineRule="auto"/>
        <w:rPr>
          <w:sz w:val="20"/>
          <w:szCs w:val="20"/>
          <w:color w:val="auto"/>
        </w:rPr>
      </w:pPr>
      <w:r>
        <w:rPr>
          <w:rFonts w:ascii="Arial" w:cs="Arial" w:eastAsia="Arial" w:hAnsi="Arial"/>
          <w:sz w:val="18"/>
          <w:szCs w:val="18"/>
          <w:color w:val="auto"/>
        </w:rPr>
        <w:t>The interest rate on borrowings under the credit facilities is based on each respective borrower’s credit ratings. As of October 18, 2023, Moody’s, S&amp;P and Fitch had assigned the following credit ratings to the borrowers: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40" w:type="dxa"/>
            <w:vAlign w:val="bottom"/>
            <w:gridSpan w:val="4"/>
          </w:tcPr>
          <w:p>
            <w:pPr>
              <w:ind w:left="40"/>
              <w:spacing w:after="0"/>
              <w:rPr>
                <w:sz w:val="20"/>
                <w:szCs w:val="20"/>
                <w:color w:val="auto"/>
              </w:rPr>
            </w:pPr>
            <w:r>
              <w:rPr>
                <w:rFonts w:ascii="Arial" w:cs="Arial" w:eastAsia="Arial" w:hAnsi="Arial"/>
                <w:sz w:val="14"/>
                <w:szCs w:val="14"/>
                <w:b w:val="1"/>
                <w:bCs w:val="1"/>
                <w:color w:val="auto"/>
              </w:rPr>
              <w:t>Moody’s</w:t>
            </w:r>
          </w:p>
        </w:tc>
        <w:tc>
          <w:tcPr>
            <w:tcW w:w="800" w:type="dxa"/>
            <w:vAlign w:val="bottom"/>
          </w:tcPr>
          <w:p>
            <w:pPr>
              <w:spacing w:after="0"/>
              <w:rPr>
                <w:sz w:val="16"/>
                <w:szCs w:val="16"/>
                <w:color w:val="auto"/>
              </w:rPr>
            </w:pPr>
          </w:p>
        </w:tc>
        <w:tc>
          <w:tcPr>
            <w:tcW w:w="1340" w:type="dxa"/>
            <w:vAlign w:val="bottom"/>
            <w:gridSpan w:val="4"/>
          </w:tcPr>
          <w:p>
            <w:pPr>
              <w:ind w:left="80"/>
              <w:spacing w:after="0"/>
              <w:rPr>
                <w:sz w:val="20"/>
                <w:szCs w:val="20"/>
                <w:color w:val="auto"/>
              </w:rPr>
            </w:pPr>
            <w:r>
              <w:rPr>
                <w:rFonts w:ascii="Arial" w:cs="Arial" w:eastAsia="Arial" w:hAnsi="Arial"/>
                <w:sz w:val="14"/>
                <w:szCs w:val="14"/>
                <w:b w:val="1"/>
                <w:bCs w:val="1"/>
                <w:color w:val="auto"/>
              </w:rPr>
              <w:t>S&amp;P</w:t>
            </w:r>
          </w:p>
        </w:tc>
        <w:tc>
          <w:tcPr>
            <w:tcW w:w="780" w:type="dxa"/>
            <w:vAlign w:val="bottom"/>
          </w:tcPr>
          <w:p>
            <w:pPr>
              <w:spacing w:after="0"/>
              <w:rPr>
                <w:sz w:val="16"/>
                <w:szCs w:val="16"/>
                <w:color w:val="auto"/>
              </w:rPr>
            </w:pP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Fitch</w:t>
            </w:r>
          </w:p>
        </w:tc>
        <w:tc>
          <w:tcPr>
            <w:tcW w:w="0" w:type="dxa"/>
            <w:vAlign w:val="bottom"/>
          </w:tcPr>
          <w:p>
            <w:pPr>
              <w:spacing w:after="0"/>
              <w:rPr>
                <w:sz w:val="1"/>
                <w:szCs w:val="1"/>
                <w:color w:val="auto"/>
              </w:rPr>
            </w:pPr>
          </w:p>
        </w:tc>
      </w:tr>
      <w:tr>
        <w:trPr>
          <w:trHeight w:val="24"/>
        </w:trPr>
        <w:tc>
          <w:tcPr>
            <w:tcW w:w="1820" w:type="dxa"/>
            <w:vAlign w:val="bottom"/>
            <w:vMerge w:val="restart"/>
          </w:tcPr>
          <w:p>
            <w:pPr>
              <w:ind w:left="640"/>
              <w:spacing w:after="0"/>
              <w:rPr>
                <w:sz w:val="20"/>
                <w:szCs w:val="20"/>
                <w:color w:val="auto"/>
              </w:rPr>
            </w:pPr>
            <w:r>
              <w:rPr>
                <w:rFonts w:ascii="Arial" w:cs="Arial" w:eastAsia="Arial" w:hAnsi="Arial"/>
                <w:sz w:val="12"/>
                <w:szCs w:val="12"/>
                <w:b w:val="1"/>
                <w:bCs w:val="1"/>
                <w:color w:val="auto"/>
              </w:rPr>
              <w:t>Registrant</w:t>
            </w:r>
          </w:p>
        </w:tc>
        <w:tc>
          <w:tcPr>
            <w:tcW w:w="100" w:type="dxa"/>
            <w:vAlign w:val="bottom"/>
            <w:vMerge w:val="restart"/>
          </w:tcPr>
          <w:p>
            <w:pPr>
              <w:spacing w:after="0"/>
              <w:rPr>
                <w:sz w:val="2"/>
                <w:szCs w:val="2"/>
                <w:color w:val="auto"/>
              </w:rPr>
            </w:pPr>
          </w:p>
        </w:tc>
        <w:tc>
          <w:tcPr>
            <w:tcW w:w="2800" w:type="dxa"/>
            <w:vAlign w:val="bottom"/>
            <w:vMerge w:val="restart"/>
          </w:tcPr>
          <w:p>
            <w:pPr>
              <w:ind w:left="820"/>
              <w:spacing w:after="0"/>
              <w:rPr>
                <w:sz w:val="20"/>
                <w:szCs w:val="20"/>
                <w:color w:val="auto"/>
              </w:rPr>
            </w:pPr>
            <w:r>
              <w:rPr>
                <w:rFonts w:ascii="Arial" w:cs="Arial" w:eastAsia="Arial" w:hAnsi="Arial"/>
                <w:sz w:val="12"/>
                <w:szCs w:val="12"/>
                <w:b w:val="1"/>
                <w:bCs w:val="1"/>
                <w:color w:val="auto"/>
              </w:rPr>
              <w:t>Borrower/Instrument</w:t>
            </w:r>
          </w:p>
        </w:tc>
        <w:tc>
          <w:tcPr>
            <w:tcW w:w="100" w:type="dxa"/>
            <w:vAlign w:val="bottom"/>
            <w:vMerge w:val="restart"/>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8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28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720" w:type="dxa"/>
            <w:vAlign w:val="bottom"/>
            <w:tcBorders>
              <w:top w:val="single" w:sz="8" w:color="auto"/>
              <w:bottom w:val="single" w:sz="8" w:color="auto"/>
            </w:tcBorders>
          </w:tcPr>
          <w:p>
            <w:pPr>
              <w:jc w:val="center"/>
              <w:ind w:left="155"/>
              <w:spacing w:after="0"/>
              <w:rPr>
                <w:sz w:val="20"/>
                <w:szCs w:val="20"/>
                <w:color w:val="auto"/>
              </w:rPr>
            </w:pPr>
            <w:r>
              <w:rPr>
                <w:rFonts w:ascii="Arial" w:cs="Arial" w:eastAsia="Arial" w:hAnsi="Arial"/>
                <w:sz w:val="12"/>
                <w:szCs w:val="12"/>
                <w:b w:val="1"/>
                <w:bCs w:val="1"/>
                <w:color w:val="auto"/>
                <w:w w:val="96"/>
              </w:rPr>
              <w:t>Rating</w:t>
            </w:r>
          </w:p>
        </w:tc>
        <w:tc>
          <w:tcPr>
            <w:tcW w:w="2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Outlook (1)</w:t>
            </w:r>
          </w:p>
        </w:tc>
        <w:tc>
          <w:tcPr>
            <w:tcW w:w="120" w:type="dxa"/>
            <w:vAlign w:val="bottom"/>
            <w:tcBorders>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jc w:val="center"/>
              <w:ind w:left="75"/>
              <w:spacing w:after="0"/>
              <w:rPr>
                <w:sz w:val="20"/>
                <w:szCs w:val="20"/>
                <w:color w:val="auto"/>
              </w:rPr>
            </w:pPr>
            <w:r>
              <w:rPr>
                <w:rFonts w:ascii="Arial" w:cs="Arial" w:eastAsia="Arial" w:hAnsi="Arial"/>
                <w:sz w:val="12"/>
                <w:szCs w:val="12"/>
                <w:b w:val="1"/>
                <w:bCs w:val="1"/>
                <w:color w:val="auto"/>
                <w:w w:val="96"/>
              </w:rPr>
              <w:t>Rating</w:t>
            </w:r>
          </w:p>
        </w:tc>
        <w:tc>
          <w:tcPr>
            <w:tcW w:w="1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Outlook (2)</w:t>
            </w:r>
          </w:p>
        </w:tc>
        <w:tc>
          <w:tcPr>
            <w:tcW w:w="10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center"/>
              <w:ind w:left="135"/>
              <w:spacing w:after="0"/>
              <w:rPr>
                <w:sz w:val="20"/>
                <w:szCs w:val="20"/>
                <w:color w:val="auto"/>
              </w:rPr>
            </w:pPr>
            <w:r>
              <w:rPr>
                <w:rFonts w:ascii="Arial" w:cs="Arial" w:eastAsia="Arial" w:hAnsi="Arial"/>
                <w:sz w:val="12"/>
                <w:szCs w:val="12"/>
                <w:b w:val="1"/>
                <w:bCs w:val="1"/>
                <w:color w:val="auto"/>
                <w:w w:val="96"/>
              </w:rPr>
              <w:t>Rating</w:t>
            </w:r>
          </w:p>
        </w:tc>
        <w:tc>
          <w:tcPr>
            <w:tcW w:w="2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Outlook (3)</w:t>
            </w:r>
          </w:p>
        </w:tc>
        <w:tc>
          <w:tcPr>
            <w:tcW w:w="0" w:type="dxa"/>
            <w:vAlign w:val="bottom"/>
          </w:tcPr>
          <w:p>
            <w:pPr>
              <w:spacing w:after="0"/>
              <w:rPr>
                <w:sz w:val="1"/>
                <w:szCs w:val="1"/>
                <w:color w:val="auto"/>
              </w:rPr>
            </w:pPr>
          </w:p>
        </w:tc>
      </w:tr>
      <w:tr>
        <w:trPr>
          <w:trHeight w:val="173"/>
        </w:trPr>
        <w:tc>
          <w:tcPr>
            <w:tcW w:w="1920" w:type="dxa"/>
            <w:vAlign w:val="bottom"/>
            <w:gridSpan w:val="2"/>
            <w:shd w:val="clear" w:color="auto" w:fill="CCEEFF"/>
          </w:tcPr>
          <w:p>
            <w:pPr>
              <w:ind w:left="20"/>
              <w:spacing w:after="0" w:line="173" w:lineRule="exact"/>
              <w:rPr>
                <w:sz w:val="20"/>
                <w:szCs w:val="20"/>
                <w:color w:val="auto"/>
              </w:rPr>
            </w:pPr>
            <w:r>
              <w:rPr>
                <w:rFonts w:ascii="Arial" w:cs="Arial" w:eastAsia="Arial" w:hAnsi="Arial"/>
                <w:sz w:val="18"/>
                <w:szCs w:val="18"/>
                <w:color w:val="auto"/>
              </w:rPr>
              <w:t>CenterPoint Energy</w:t>
            </w:r>
          </w:p>
        </w:tc>
        <w:tc>
          <w:tcPr>
            <w:tcW w:w="2900" w:type="dxa"/>
            <w:vAlign w:val="bottom"/>
            <w:gridSpan w:val="2"/>
            <w:shd w:val="clear" w:color="auto" w:fill="CCEEFF"/>
          </w:tcPr>
          <w:p>
            <w:pPr>
              <w:ind w:left="20"/>
              <w:spacing w:after="0" w:line="173" w:lineRule="exact"/>
              <w:rPr>
                <w:sz w:val="20"/>
                <w:szCs w:val="20"/>
                <w:color w:val="auto"/>
              </w:rPr>
            </w:pPr>
            <w:r>
              <w:rPr>
                <w:rFonts w:ascii="Arial" w:cs="Arial" w:eastAsia="Arial" w:hAnsi="Arial"/>
                <w:sz w:val="18"/>
                <w:szCs w:val="18"/>
                <w:color w:val="auto"/>
                <w:w w:val="93"/>
              </w:rPr>
              <w:t>CenterPoint Energy Senior Unsecured</w:t>
            </w:r>
          </w:p>
        </w:tc>
        <w:tc>
          <w:tcPr>
            <w:tcW w:w="7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Debt</w:t>
            </w:r>
          </w:p>
        </w:tc>
        <w:tc>
          <w:tcPr>
            <w:tcW w:w="720" w:type="dxa"/>
            <w:vAlign w:val="bottom"/>
            <w:shd w:val="clear" w:color="auto" w:fill="CCEEFF"/>
          </w:tcPr>
          <w:p>
            <w:pPr>
              <w:jc w:val="center"/>
              <w:ind w:left="155"/>
              <w:spacing w:after="0"/>
              <w:rPr>
                <w:sz w:val="20"/>
                <w:szCs w:val="20"/>
                <w:color w:val="auto"/>
              </w:rPr>
            </w:pPr>
            <w:r>
              <w:rPr>
                <w:rFonts w:ascii="Arial" w:cs="Arial" w:eastAsia="Arial" w:hAnsi="Arial"/>
                <w:sz w:val="18"/>
                <w:szCs w:val="18"/>
                <w:color w:val="auto"/>
                <w:w w:val="85"/>
              </w:rPr>
              <w:t>Baa2</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Stable</w:t>
            </w:r>
          </w:p>
        </w:tc>
        <w:tc>
          <w:tcPr>
            <w:tcW w:w="800" w:type="dxa"/>
            <w:vAlign w:val="bottom"/>
            <w:shd w:val="clear" w:color="auto" w:fill="CCEEFF"/>
          </w:tcPr>
          <w:p>
            <w:pPr>
              <w:jc w:val="center"/>
              <w:ind w:left="75"/>
              <w:spacing w:after="0"/>
              <w:rPr>
                <w:sz w:val="20"/>
                <w:szCs w:val="20"/>
                <w:color w:val="auto"/>
              </w:rPr>
            </w:pPr>
            <w:r>
              <w:rPr>
                <w:rFonts w:ascii="Arial" w:cs="Arial" w:eastAsia="Arial" w:hAnsi="Arial"/>
                <w:sz w:val="18"/>
                <w:szCs w:val="18"/>
                <w:color w:val="auto"/>
                <w:w w:val="99"/>
              </w:rPr>
              <w:t>BBB</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Stable</w:t>
            </w:r>
          </w:p>
        </w:tc>
        <w:tc>
          <w:tcPr>
            <w:tcW w:w="780" w:type="dxa"/>
            <w:vAlign w:val="bottom"/>
            <w:shd w:val="clear" w:color="auto" w:fill="CCEEFF"/>
          </w:tcPr>
          <w:p>
            <w:pPr>
              <w:jc w:val="center"/>
              <w:ind w:left="135"/>
              <w:spacing w:after="0"/>
              <w:rPr>
                <w:sz w:val="20"/>
                <w:szCs w:val="20"/>
                <w:color w:val="auto"/>
              </w:rPr>
            </w:pPr>
            <w:r>
              <w:rPr>
                <w:rFonts w:ascii="Arial" w:cs="Arial" w:eastAsia="Arial" w:hAnsi="Arial"/>
                <w:sz w:val="18"/>
                <w:szCs w:val="18"/>
                <w:color w:val="auto"/>
                <w:w w:val="99"/>
              </w:rPr>
              <w:t>BBB</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Stable</w:t>
            </w:r>
          </w:p>
        </w:tc>
        <w:tc>
          <w:tcPr>
            <w:tcW w:w="0" w:type="dxa"/>
            <w:vAlign w:val="bottom"/>
          </w:tcPr>
          <w:p>
            <w:pPr>
              <w:spacing w:after="0"/>
              <w:rPr>
                <w:sz w:val="1"/>
                <w:szCs w:val="1"/>
                <w:color w:val="auto"/>
              </w:rPr>
            </w:pPr>
          </w:p>
        </w:tc>
      </w:tr>
      <w:tr>
        <w:trPr>
          <w:trHeight w:val="225"/>
        </w:trPr>
        <w:tc>
          <w:tcPr>
            <w:tcW w:w="1920" w:type="dxa"/>
            <w:vAlign w:val="bottom"/>
            <w:gridSpan w:val="2"/>
          </w:tcPr>
          <w:p>
            <w:pPr>
              <w:ind w:left="20"/>
              <w:spacing w:after="0"/>
              <w:rPr>
                <w:sz w:val="20"/>
                <w:szCs w:val="20"/>
                <w:color w:val="auto"/>
              </w:rPr>
            </w:pPr>
            <w:r>
              <w:rPr>
                <w:rFonts w:ascii="Arial" w:cs="Arial" w:eastAsia="Arial" w:hAnsi="Arial"/>
                <w:sz w:val="18"/>
                <w:szCs w:val="18"/>
                <w:color w:val="auto"/>
              </w:rPr>
              <w:t>CenterPoint Energy</w:t>
            </w: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Vectren Corp. Issuer Rating</w:t>
            </w:r>
          </w:p>
        </w:tc>
        <w:tc>
          <w:tcPr>
            <w:tcW w:w="720" w:type="dxa"/>
            <w:vAlign w:val="bottom"/>
          </w:tcPr>
          <w:p>
            <w:pPr>
              <w:jc w:val="center"/>
              <w:ind w:left="175"/>
              <w:spacing w:after="0"/>
              <w:rPr>
                <w:sz w:val="20"/>
                <w:szCs w:val="20"/>
                <w:color w:val="auto"/>
              </w:rPr>
            </w:pPr>
            <w:r>
              <w:rPr>
                <w:rFonts w:ascii="Arial" w:cs="Arial" w:eastAsia="Arial" w:hAnsi="Arial"/>
                <w:sz w:val="18"/>
                <w:szCs w:val="18"/>
                <w:color w:val="auto"/>
                <w:w w:val="87"/>
              </w:rPr>
              <w:t>n/a</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n/a</w:t>
            </w:r>
          </w:p>
        </w:tc>
        <w:tc>
          <w:tcPr>
            <w:tcW w:w="800" w:type="dxa"/>
            <w:vAlign w:val="bottom"/>
          </w:tcPr>
          <w:p>
            <w:pPr>
              <w:jc w:val="center"/>
              <w:ind w:left="75"/>
              <w:spacing w:after="0"/>
              <w:rPr>
                <w:sz w:val="20"/>
                <w:szCs w:val="20"/>
                <w:color w:val="auto"/>
              </w:rPr>
            </w:pPr>
            <w:r>
              <w:rPr>
                <w:rFonts w:ascii="Arial" w:cs="Arial" w:eastAsia="Arial" w:hAnsi="Arial"/>
                <w:sz w:val="18"/>
                <w:szCs w:val="18"/>
                <w:color w:val="auto"/>
                <w:w w:val="94"/>
              </w:rPr>
              <w:t>BBB+</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Stable</w:t>
            </w:r>
          </w:p>
        </w:tc>
        <w:tc>
          <w:tcPr>
            <w:tcW w:w="780" w:type="dxa"/>
            <w:vAlign w:val="bottom"/>
          </w:tcPr>
          <w:p>
            <w:pPr>
              <w:jc w:val="center"/>
              <w:ind w:left="115"/>
              <w:spacing w:after="0"/>
              <w:rPr>
                <w:sz w:val="20"/>
                <w:szCs w:val="20"/>
                <w:color w:val="auto"/>
              </w:rPr>
            </w:pPr>
            <w:r>
              <w:rPr>
                <w:rFonts w:ascii="Arial" w:cs="Arial" w:eastAsia="Arial" w:hAnsi="Arial"/>
                <w:sz w:val="18"/>
                <w:szCs w:val="18"/>
                <w:color w:val="auto"/>
                <w:w w:val="87"/>
              </w:rPr>
              <w:t>n/a</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27"/>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CenterPoint Energy</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SIGECO Senior Secured Debt</w:t>
            </w:r>
          </w:p>
        </w:tc>
        <w:tc>
          <w:tcPr>
            <w:tcW w:w="72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99"/>
              </w:rPr>
              <w:t>A1</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Stable</w:t>
            </w:r>
          </w:p>
        </w:tc>
        <w:tc>
          <w:tcPr>
            <w:tcW w:w="800" w:type="dxa"/>
            <w:vAlign w:val="bottom"/>
            <w:shd w:val="clear" w:color="auto" w:fill="CCEEFF"/>
          </w:tcPr>
          <w:p>
            <w:pPr>
              <w:jc w:val="center"/>
              <w:ind w:left="75"/>
              <w:spacing w:after="0"/>
              <w:rPr>
                <w:sz w:val="20"/>
                <w:szCs w:val="20"/>
                <w:color w:val="auto"/>
              </w:rPr>
            </w:pPr>
            <w:r>
              <w:rPr>
                <w:rFonts w:ascii="Arial" w:cs="Arial" w:eastAsia="Arial" w:hAnsi="Arial"/>
                <w:sz w:val="18"/>
                <w:szCs w:val="18"/>
                <w:color w:val="auto"/>
                <w:w w:val="99"/>
              </w:rPr>
              <w:t>A</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Stable</w:t>
            </w:r>
          </w:p>
        </w:tc>
        <w:tc>
          <w:tcPr>
            <w:tcW w:w="780" w:type="dxa"/>
            <w:vAlign w:val="bottom"/>
            <w:shd w:val="clear" w:color="auto" w:fill="CCEEFF"/>
          </w:tcPr>
          <w:p>
            <w:pPr>
              <w:jc w:val="center"/>
              <w:ind w:left="115"/>
              <w:spacing w:after="0"/>
              <w:rPr>
                <w:sz w:val="20"/>
                <w:szCs w:val="20"/>
                <w:color w:val="auto"/>
              </w:rPr>
            </w:pPr>
            <w:r>
              <w:rPr>
                <w:rFonts w:ascii="Arial" w:cs="Arial" w:eastAsia="Arial" w:hAnsi="Arial"/>
                <w:sz w:val="18"/>
                <w:szCs w:val="18"/>
                <w:color w:val="auto"/>
                <w:w w:val="87"/>
              </w:rPr>
              <w:t>n/a</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25"/>
        </w:trPr>
        <w:tc>
          <w:tcPr>
            <w:tcW w:w="1920" w:type="dxa"/>
            <w:vAlign w:val="bottom"/>
            <w:gridSpan w:val="2"/>
          </w:tcPr>
          <w:p>
            <w:pPr>
              <w:ind w:left="20"/>
              <w:spacing w:after="0"/>
              <w:rPr>
                <w:sz w:val="20"/>
                <w:szCs w:val="20"/>
                <w:color w:val="auto"/>
              </w:rPr>
            </w:pPr>
            <w:r>
              <w:rPr>
                <w:rFonts w:ascii="Arial" w:cs="Arial" w:eastAsia="Arial" w:hAnsi="Arial"/>
                <w:sz w:val="18"/>
                <w:szCs w:val="18"/>
                <w:color w:val="auto"/>
              </w:rPr>
              <w:t>Houston Electric</w:t>
            </w:r>
          </w:p>
        </w:tc>
        <w:tc>
          <w:tcPr>
            <w:tcW w:w="2900" w:type="dxa"/>
            <w:vAlign w:val="bottom"/>
            <w:gridSpan w:val="2"/>
          </w:tcPr>
          <w:p>
            <w:pPr>
              <w:ind w:left="20"/>
              <w:spacing w:after="0"/>
              <w:rPr>
                <w:sz w:val="20"/>
                <w:szCs w:val="20"/>
                <w:color w:val="auto"/>
              </w:rPr>
            </w:pPr>
            <w:r>
              <w:rPr>
                <w:rFonts w:ascii="Arial" w:cs="Arial" w:eastAsia="Arial" w:hAnsi="Arial"/>
                <w:sz w:val="18"/>
                <w:szCs w:val="18"/>
                <w:color w:val="auto"/>
                <w:w w:val="94"/>
              </w:rPr>
              <w:t>Houston Electric Senior Secured Debt</w:t>
            </w:r>
          </w:p>
        </w:tc>
        <w:tc>
          <w:tcPr>
            <w:tcW w:w="720" w:type="dxa"/>
            <w:vAlign w:val="bottom"/>
          </w:tcPr>
          <w:p>
            <w:pPr>
              <w:jc w:val="center"/>
              <w:ind w:left="175"/>
              <w:spacing w:after="0"/>
              <w:rPr>
                <w:sz w:val="20"/>
                <w:szCs w:val="20"/>
                <w:color w:val="auto"/>
              </w:rPr>
            </w:pPr>
            <w:r>
              <w:rPr>
                <w:rFonts w:ascii="Arial" w:cs="Arial" w:eastAsia="Arial" w:hAnsi="Arial"/>
                <w:sz w:val="18"/>
                <w:szCs w:val="18"/>
                <w:color w:val="auto"/>
                <w:w w:val="99"/>
              </w:rPr>
              <w:t>A2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Stable</w:t>
            </w:r>
          </w:p>
        </w:tc>
        <w:tc>
          <w:tcPr>
            <w:tcW w:w="800" w:type="dxa"/>
            <w:vAlign w:val="bottom"/>
          </w:tcPr>
          <w:p>
            <w:pPr>
              <w:jc w:val="center"/>
              <w:ind w:left="75"/>
              <w:spacing w:after="0"/>
              <w:rPr>
                <w:sz w:val="20"/>
                <w:szCs w:val="20"/>
                <w:color w:val="auto"/>
              </w:rPr>
            </w:pPr>
            <w:r>
              <w:rPr>
                <w:rFonts w:ascii="Arial" w:cs="Arial" w:eastAsia="Arial" w:hAnsi="Arial"/>
                <w:sz w:val="18"/>
                <w:szCs w:val="18"/>
                <w:color w:val="auto"/>
                <w:w w:val="99"/>
              </w:rPr>
              <w:t>A</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Stable</w:t>
            </w:r>
          </w:p>
        </w:tc>
        <w:tc>
          <w:tcPr>
            <w:tcW w:w="780" w:type="dxa"/>
            <w:vAlign w:val="bottom"/>
          </w:tcPr>
          <w:p>
            <w:pPr>
              <w:jc w:val="center"/>
              <w:ind w:left="115"/>
              <w:spacing w:after="0"/>
              <w:rPr>
                <w:sz w:val="20"/>
                <w:szCs w:val="20"/>
                <w:color w:val="auto"/>
              </w:rPr>
            </w:pPr>
            <w:r>
              <w:rPr>
                <w:rFonts w:ascii="Arial" w:cs="Arial" w:eastAsia="Arial" w:hAnsi="Arial"/>
                <w:sz w:val="18"/>
                <w:szCs w:val="18"/>
                <w:color w:val="auto"/>
              </w:rPr>
              <w:t>A</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6"/>
              </w:rPr>
              <w:t>Stable</w:t>
            </w:r>
          </w:p>
        </w:tc>
        <w:tc>
          <w:tcPr>
            <w:tcW w:w="0" w:type="dxa"/>
            <w:vAlign w:val="bottom"/>
          </w:tcPr>
          <w:p>
            <w:pPr>
              <w:spacing w:after="0"/>
              <w:rPr>
                <w:sz w:val="1"/>
                <w:szCs w:val="1"/>
                <w:color w:val="auto"/>
              </w:rPr>
            </w:pPr>
          </w:p>
        </w:tc>
      </w:tr>
      <w:tr>
        <w:trPr>
          <w:trHeight w:val="227"/>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CERC</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CERC Corp. Senior Unsecured Debt</w:t>
            </w:r>
          </w:p>
        </w:tc>
        <w:tc>
          <w:tcPr>
            <w:tcW w:w="72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99"/>
              </w:rPr>
              <w:t>A3</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Stable</w:t>
            </w:r>
          </w:p>
        </w:tc>
        <w:tc>
          <w:tcPr>
            <w:tcW w:w="800" w:type="dxa"/>
            <w:vAlign w:val="bottom"/>
            <w:shd w:val="clear" w:color="auto" w:fill="CCEEFF"/>
          </w:tcPr>
          <w:p>
            <w:pPr>
              <w:jc w:val="center"/>
              <w:ind w:left="75"/>
              <w:spacing w:after="0"/>
              <w:rPr>
                <w:sz w:val="20"/>
                <w:szCs w:val="20"/>
                <w:color w:val="auto"/>
              </w:rPr>
            </w:pPr>
            <w:r>
              <w:rPr>
                <w:rFonts w:ascii="Arial" w:cs="Arial" w:eastAsia="Arial" w:hAnsi="Arial"/>
                <w:sz w:val="18"/>
                <w:szCs w:val="18"/>
                <w:color w:val="auto"/>
                <w:w w:val="94"/>
              </w:rPr>
              <w:t>BBB+</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Stable</w:t>
            </w:r>
          </w:p>
        </w:tc>
        <w:tc>
          <w:tcPr>
            <w:tcW w:w="780" w:type="dxa"/>
            <w:vAlign w:val="bottom"/>
            <w:shd w:val="clear" w:color="auto" w:fill="CCEEFF"/>
          </w:tcPr>
          <w:p>
            <w:pPr>
              <w:jc w:val="center"/>
              <w:ind w:left="115"/>
              <w:spacing w:after="0"/>
              <w:rPr>
                <w:sz w:val="20"/>
                <w:szCs w:val="20"/>
                <w:color w:val="auto"/>
              </w:rPr>
            </w:pPr>
            <w:r>
              <w:rPr>
                <w:rFonts w:ascii="Arial" w:cs="Arial" w:eastAsia="Arial" w:hAnsi="Arial"/>
                <w:sz w:val="18"/>
                <w:szCs w:val="18"/>
                <w:color w:val="auto"/>
                <w:w w:val="99"/>
              </w:rPr>
              <w:t>A-</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Stable</w:t>
            </w:r>
          </w:p>
        </w:tc>
        <w:tc>
          <w:tcPr>
            <w:tcW w:w="0" w:type="dxa"/>
            <w:vAlign w:val="bottom"/>
          </w:tcPr>
          <w:p>
            <w:pPr>
              <w:spacing w:after="0"/>
              <w:rPr>
                <w:sz w:val="1"/>
                <w:szCs w:val="1"/>
                <w:color w:val="auto"/>
              </w:rPr>
            </w:pPr>
          </w:p>
        </w:tc>
      </w:tr>
      <w:tr>
        <w:trPr>
          <w:trHeight w:val="225"/>
        </w:trPr>
        <w:tc>
          <w:tcPr>
            <w:tcW w:w="1920" w:type="dxa"/>
            <w:vAlign w:val="bottom"/>
            <w:gridSpan w:val="2"/>
          </w:tcPr>
          <w:p>
            <w:pPr>
              <w:ind w:left="20"/>
              <w:spacing w:after="0"/>
              <w:rPr>
                <w:sz w:val="20"/>
                <w:szCs w:val="20"/>
                <w:color w:val="auto"/>
              </w:rPr>
            </w:pPr>
            <w:r>
              <w:rPr>
                <w:rFonts w:ascii="Arial" w:cs="Arial" w:eastAsia="Arial" w:hAnsi="Arial"/>
                <w:sz w:val="18"/>
                <w:szCs w:val="18"/>
                <w:color w:val="auto"/>
              </w:rPr>
              <w:t>CERC</w:t>
            </w:r>
          </w:p>
        </w:tc>
        <w:tc>
          <w:tcPr>
            <w:tcW w:w="2900" w:type="dxa"/>
            <w:vAlign w:val="bottom"/>
            <w:gridSpan w:val="2"/>
          </w:tcPr>
          <w:p>
            <w:pPr>
              <w:ind w:left="20"/>
              <w:spacing w:after="0"/>
              <w:rPr>
                <w:sz w:val="20"/>
                <w:szCs w:val="20"/>
                <w:color w:val="auto"/>
              </w:rPr>
            </w:pPr>
            <w:r>
              <w:rPr>
                <w:rFonts w:ascii="Arial" w:cs="Arial" w:eastAsia="Arial" w:hAnsi="Arial"/>
                <w:sz w:val="18"/>
                <w:szCs w:val="18"/>
                <w:color w:val="auto"/>
                <w:w w:val="98"/>
              </w:rPr>
              <w:t>Indiana Gas Senior Unsecured Debt</w:t>
            </w:r>
          </w:p>
        </w:tc>
        <w:tc>
          <w:tcPr>
            <w:tcW w:w="720" w:type="dxa"/>
            <w:vAlign w:val="bottom"/>
          </w:tcPr>
          <w:p>
            <w:pPr>
              <w:jc w:val="center"/>
              <w:ind w:left="175"/>
              <w:spacing w:after="0"/>
              <w:rPr>
                <w:sz w:val="20"/>
                <w:szCs w:val="20"/>
                <w:color w:val="auto"/>
              </w:rPr>
            </w:pPr>
            <w:r>
              <w:rPr>
                <w:rFonts w:ascii="Arial" w:cs="Arial" w:eastAsia="Arial" w:hAnsi="Arial"/>
                <w:sz w:val="18"/>
                <w:szCs w:val="18"/>
                <w:color w:val="auto"/>
                <w:w w:val="87"/>
              </w:rPr>
              <w:t>n/a</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n/a</w:t>
            </w:r>
          </w:p>
        </w:tc>
        <w:tc>
          <w:tcPr>
            <w:tcW w:w="800" w:type="dxa"/>
            <w:vAlign w:val="bottom"/>
          </w:tcPr>
          <w:p>
            <w:pPr>
              <w:jc w:val="center"/>
              <w:ind w:left="75"/>
              <w:spacing w:after="0"/>
              <w:rPr>
                <w:sz w:val="20"/>
                <w:szCs w:val="20"/>
                <w:color w:val="auto"/>
              </w:rPr>
            </w:pPr>
            <w:r>
              <w:rPr>
                <w:rFonts w:ascii="Arial" w:cs="Arial" w:eastAsia="Arial" w:hAnsi="Arial"/>
                <w:sz w:val="18"/>
                <w:szCs w:val="18"/>
                <w:color w:val="auto"/>
                <w:w w:val="94"/>
              </w:rPr>
              <w:t>BBB+</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Stable</w:t>
            </w:r>
          </w:p>
        </w:tc>
        <w:tc>
          <w:tcPr>
            <w:tcW w:w="780" w:type="dxa"/>
            <w:vAlign w:val="bottom"/>
          </w:tcPr>
          <w:p>
            <w:pPr>
              <w:jc w:val="center"/>
              <w:ind w:left="115"/>
              <w:spacing w:after="0"/>
              <w:rPr>
                <w:sz w:val="20"/>
                <w:szCs w:val="20"/>
                <w:color w:val="auto"/>
              </w:rPr>
            </w:pPr>
            <w:r>
              <w:rPr>
                <w:rFonts w:ascii="Arial" w:cs="Arial" w:eastAsia="Arial" w:hAnsi="Arial"/>
                <w:sz w:val="18"/>
                <w:szCs w:val="18"/>
                <w:color w:val="auto"/>
                <w:w w:val="87"/>
              </w:rPr>
              <w:t>n/a</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bl>
    <w:p>
      <w:pPr>
        <w:spacing w:after="0" w:line="321" w:lineRule="exact"/>
        <w:rPr>
          <w:sz w:val="20"/>
          <w:szCs w:val="20"/>
          <w:color w:val="auto"/>
        </w:rPr>
      </w:pPr>
    </w:p>
    <w:p>
      <w:pPr>
        <w:ind w:left="640" w:hanging="315"/>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Moody’s rating outlook is an opinion regarding the likely direction of an issuer’s rating over the medium term.</w:t>
      </w:r>
    </w:p>
    <w:p>
      <w:pPr>
        <w:spacing w:after="0" w:line="16" w:lineRule="exact"/>
        <w:rPr>
          <w:rFonts w:ascii="Arial" w:cs="Arial" w:eastAsia="Arial" w:hAnsi="Arial"/>
          <w:sz w:val="18"/>
          <w:szCs w:val="18"/>
          <w:color w:val="auto"/>
        </w:rPr>
      </w:pPr>
    </w:p>
    <w:p>
      <w:pPr>
        <w:ind w:left="640" w:hanging="315"/>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S&amp;P outlook assesses the potential direction of a long-term credit rating over the intermediate to longer term.</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Fitch rating outlook indicates the direction a rating is likely to move over a one- to two-year period.</w:t>
      </w:r>
    </w:p>
    <w:p>
      <w:pPr>
        <w:spacing w:after="0" w:line="234"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The Registrants cannot assure that the ratings set forth above will remain in effect for any given period of time or that one or more of these ratings will not be lowered or withdrawn entirely by a rating agency. The Registrants note that these credit ratings are included for informational purposes and are not recommendations to buy, sell or hold the Registrants’ securities and may be revised or withdrawn at any time by the rating agency. Each rating should be evaluated independently of any other rating. Any future reduction or withdrawal of one or more of the Registrants’ credit ratings could have a material adverse impact on the Registrants’ ability to obtain short- and long-term financing, the cost of such financings and the execution of the Registrants’ commercial strategies.</w:t>
      </w:r>
    </w:p>
    <w:p>
      <w:pPr>
        <w:spacing w:after="0" w:line="222"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A decline in credit ratings could increase borrowing costs under the Registrants’ revolving credit facilities. If the Registrants’ credit ratings had been downgraded one notch by S&amp;P and Moody’s from the ratings that existed as of September 30, 2023, the impact on the borrowing costs under the three revolving credit facilities would have been insignificant. A decline in credit ratings would also increase the interest rate on long-term debt to be issued in the capital markets and could negatively impact the Registrants’ ability to complete capital market transactions and to access the commercial paper market. Additionally, a decline in credit ratings could increase cash collateral requirements and reduce earnings of CenterPoint Energy’s and CERC’s Natural Gas reportable segments.</w:t>
      </w:r>
    </w:p>
    <w:p>
      <w:pPr>
        <w:spacing w:after="0" w:line="222"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Pipeline tariffs and contracts typically provide that if the credit ratings of a shipper or the shipper’s guarantor drop below a threshold level, which is generally investment grade ratings from both Moody’s and S&amp;P, cash or other collateral may be demanded from the shipper in an amount equal to the sum of three months’ charges for pipeline services plus the unrecouped cost of any lateral built for such shipper. If the credit ratings of CERC Corp. decline below the applicable threshold levels, CERC might need to provide cash or other collateral of up to $253 million as of September 30, 2023. The amount of collateral will depend on seasonal variations in transportation levels.</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ZENS and Securities Related to ZENS (CenterPoint Energy)</w:t>
      </w:r>
    </w:p>
    <w:p>
      <w:pPr>
        <w:spacing w:after="0" w:line="245"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If CenterPoint Energy’s creditworthiness were to drop such that ZENS holders thought its liquidity was adversely affected or the market for the ZENS were to become illiquid, some ZENS holders might decide to exchange their ZENS for cash. Funds for the payment of cash upon exchange could be obtained from the sale of the shares of ZENS-Related Securities that CenterPoint Energy owns or from other sources. CenterPoint Energy owns shares of ZENS-Related Securities equal to approximately 100% of the reference shares used to calculate its obligation to the holders of the ZENS. ZENS exchanges result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 cash outflow because tax deferrals related to the ZENS and shares of ZENS-Related Securities would typically cease when ZENS are exchanged or otherwise retired and shares of ZENS-Related Securities are sold. The ultimate tax liability related to the ZENS and ZENS-Related Securities continues to increase by the amount of the tax benefit realized each year, and there could be a significant cash outflow when the taxes are paid as a result of the retirement or exchange of the ZENS. If all ZENS had been exchanged for cash on September 30, 2023, deferred taxes of approximately $705 million would have been payable in 2023. If all the ZENS-Related Securities had been sold on September 30, 2023, capital gains taxes of approximately $87 million would have been payable in 2023 based on 2023 tax rates in effect. For additional information about ZENS, see Note 10 to the Interim Condensed Financial Statements.</w:t>
      </w:r>
    </w:p>
    <w:p>
      <w:pPr>
        <w:spacing w:after="0" w:line="1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Cross Defaults</w:t>
      </w:r>
    </w:p>
    <w:p>
      <w:pPr>
        <w:spacing w:after="0" w:line="245" w:lineRule="exact"/>
        <w:rPr>
          <w:sz w:val="20"/>
          <w:szCs w:val="20"/>
          <w:color w:val="auto"/>
        </w:rPr>
      </w:pPr>
    </w:p>
    <w:p>
      <w:pPr>
        <w:jc w:val="both"/>
        <w:ind w:firstLine="319"/>
        <w:spacing w:after="0" w:line="286" w:lineRule="auto"/>
        <w:rPr>
          <w:sz w:val="20"/>
          <w:szCs w:val="20"/>
          <w:color w:val="auto"/>
        </w:rPr>
      </w:pPr>
      <w:r>
        <w:rPr>
          <w:rFonts w:ascii="Arial" w:cs="Arial" w:eastAsia="Arial" w:hAnsi="Arial"/>
          <w:sz w:val="16"/>
          <w:szCs w:val="16"/>
          <w:color w:val="auto"/>
        </w:rPr>
        <w:t>Under each of CenterPoint Energy’s, Houston Electric’s and CERC’s respective revolving credit facilities and CERC’s term loan agreement, a payment default on, or a non-payment default, event or condition that permits acceleration of, any indebtedness for borrowed money and certain other specified types of obligations (including guarantees) exceeding $125 million by the borrower or any of their respective significant subsidiaries will cause a default under such borrower’s respective credit facility or term loan agreement. Under SIGECO’s revolving credit facility, a payment default on, or a non-payment default, event or condition that permits acceleration of, any indebtedness for borrowed money and certain other specific types of obligations (including guarantees) exceeding $75 million by SIGECO or any of its significant subsidiaries will cause a default under SIGECO’s credit facility. A default by CenterPoint Energy would not trigger a default under its subsidiaries’ debt instruments or revolving credit facilities.</w:t>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Possible Acquisitions, Divestitures and Joint Ventures</w:t>
      </w:r>
    </w:p>
    <w:p>
      <w:pPr>
        <w:spacing w:after="0" w:line="24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7"/>
          <w:szCs w:val="17"/>
          <w:color w:val="auto"/>
        </w:rPr>
        <w:t>From time to time, the Registrants consider the acquisition or the disposition of assets or businesses or possible joint ventures, strategic initiatives or other joint ownership arrangements with respect to assets or businesses. Any determination to take action in this regard will be based on market conditions and opportunities existing at the time, and accordingly, the timing, size or success of any efforts and the associated potential capital commitments are unpredictable. The Registrants may seek to fund all or part of any such efforts with proceeds from debt and/or equity issuances. Debt or equity financing may not, however, be available to the Registrants at that time due to a variety of events, including, among others, maintenance of our credit ratings, industry conditions, general economic conditions, market conditions and market perceptions. The Registrants may continue to explore asset sales as a means to efficiently finance a portion of its increased capital expenditures in the future, subject to the considerations listed above. For further information, see Note 3 to the Interim Condensed Financial Statements.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Hedging of Interest Expense for Future Debt Issuances</w:t>
      </w:r>
    </w:p>
    <w:p>
      <w:pPr>
        <w:spacing w:after="0" w:line="245" w:lineRule="exact"/>
        <w:rPr>
          <w:sz w:val="20"/>
          <w:szCs w:val="20"/>
          <w:color w:val="auto"/>
        </w:rPr>
      </w:pPr>
    </w:p>
    <w:p>
      <w:pPr>
        <w:jc w:val="both"/>
        <w:ind w:firstLine="319"/>
        <w:spacing w:after="0" w:line="296" w:lineRule="auto"/>
        <w:rPr>
          <w:sz w:val="20"/>
          <w:szCs w:val="20"/>
          <w:color w:val="auto"/>
        </w:rPr>
      </w:pPr>
      <w:r>
        <w:rPr>
          <w:rFonts w:ascii="Arial" w:cs="Arial" w:eastAsia="Arial" w:hAnsi="Arial"/>
          <w:sz w:val="17"/>
          <w:szCs w:val="17"/>
          <w:color w:val="auto"/>
        </w:rPr>
        <w:t>From time to time, the Registrants may enter into interest rate agreements to hedge, in part, volatility in the U.S. treasury rates by reducing variability in cash flows related to interest payments. For further information, see Note 7(a) to the Interim Condensed Financial Statements.</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Collection of Receivables from REPs (CenterPoint Energy and Houston Electric)</w:t>
      </w:r>
    </w:p>
    <w:p>
      <w:pPr>
        <w:spacing w:after="0" w:line="245" w:lineRule="exact"/>
        <w:rPr>
          <w:sz w:val="20"/>
          <w:szCs w:val="20"/>
          <w:color w:val="auto"/>
        </w:rPr>
      </w:pPr>
    </w:p>
    <w:p>
      <w:pPr>
        <w:jc w:val="both"/>
        <w:ind w:firstLine="319"/>
        <w:spacing w:after="0" w:line="281" w:lineRule="auto"/>
        <w:rPr>
          <w:sz w:val="20"/>
          <w:szCs w:val="20"/>
          <w:color w:val="auto"/>
        </w:rPr>
      </w:pPr>
      <w:r>
        <w:rPr>
          <w:rFonts w:ascii="Arial" w:cs="Arial" w:eastAsia="Arial" w:hAnsi="Arial"/>
          <w:sz w:val="16"/>
          <w:szCs w:val="16"/>
          <w:color w:val="auto"/>
        </w:rPr>
        <w:t>Houston Electric’s receivables from the distribution of electricity are collected from REPs that supply the electricity Houston Electric distributes to their customers. Before conducting business, a REP must register with the PUCT and must meet certain financial qualifications. Nevertheless, adverse economic conditions, weather events such as the February 2021 Winter Storm Event, structural problems in the market served by ERCOT or financial difficulties of one or more REPs could impair the ability of these REPs to pay for Houston Electric’s services or could cause them to delay such payments. Houston Electric depends on these REPs to remit payments on a timely basis, and any delay or default in payment by REPs could adversely affect Houston Electric’s cash flows. In the event of a REP default, Houston Electric’s tariff provides a number of remedies, including the option for Houston Electric to request that the PUCT suspend or revoke the certification of the REP. Applicable regulatory provisions require that customers be shifted to another REP or a provider of last resort if a REP cannot make timely payments. However, Houston Electric remains at risk for payments related to services provided prior to the shift to the replacement REP or the provider of last resort. If a REP were unable to meet its obligations, it could consider, among various options, restructuring under the bankruptcy laws, in which event such REP might seek to avoid honoring its obligations and claims might be made against Houston Electric involving payments it had received from such REP. If a REP were to file for bankruptcy, Houston Electric may not be successful in recovering accrued receivables owed by such REP that are unpaid as of the date the REP filed for bankruptcy. However, PUCT regulations authorize utilities, such as Houston Electric, to defer bad debts resulting from defaults by REPs for recovery in future rate cases, subject to a review of reasonableness and necessity.</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Factors that Could Affect Cash Requirements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to the above factors, the Registrants’ liquidity and capital resources could also be negatively affected by:</w:t>
      </w:r>
    </w:p>
    <w:p>
      <w:pPr>
        <w:spacing w:after="0" w:line="17" w:lineRule="exact"/>
        <w:rPr>
          <w:sz w:val="20"/>
          <w:szCs w:val="20"/>
          <w:color w:val="auto"/>
        </w:rPr>
      </w:pPr>
    </w:p>
    <w:p>
      <w:pPr>
        <w:ind w:left="640" w:hanging="315"/>
        <w:spacing w:after="0" w:line="261" w:lineRule="auto"/>
        <w:tabs>
          <w:tab w:leader="none" w:pos="635" w:val="left"/>
        </w:tabs>
        <w:numPr>
          <w:ilvl w:val="0"/>
          <w:numId w:val="56"/>
        </w:numPr>
        <w:rPr>
          <w:rFonts w:ascii="Arial" w:cs="Arial" w:eastAsia="Arial" w:hAnsi="Arial"/>
          <w:sz w:val="17"/>
          <w:szCs w:val="17"/>
          <w:color w:val="auto"/>
        </w:rPr>
      </w:pPr>
      <w:r>
        <w:rPr>
          <w:rFonts w:ascii="Arial" w:cs="Arial" w:eastAsia="Arial" w:hAnsi="Arial"/>
          <w:sz w:val="17"/>
          <w:szCs w:val="17"/>
          <w:color w:val="auto"/>
        </w:rPr>
        <w:t>cash collateral requirements that could exist in connection with certain contracts, including weather hedging arrangements, and natural gas purchases, natural gas price and natural gas storage activities of CenterPoint Energy’s and CERC’s Natural Gas reportable segment;</w:t>
      </w:r>
    </w:p>
    <w:p>
      <w:pPr>
        <w:ind w:left="640" w:right="20" w:hanging="315"/>
        <w:spacing w:after="0" w:line="246" w:lineRule="auto"/>
        <w:tabs>
          <w:tab w:leader="none" w:pos="6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acceleration of payment dates on certain gas supply contracts, under certain circumstances, as a result of increased natural gas prices, and concentration of natural gas suppliers (CenterPoint Energy and CERC);</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increased costs related to the acquisition of natural gas (CenterPoint Energy and CERC);</w:t>
      </w:r>
    </w:p>
    <w:p>
      <w:pPr>
        <w:spacing w:after="0" w:line="5" w:lineRule="exact"/>
        <w:rPr>
          <w:rFonts w:ascii="Arial" w:cs="Arial" w:eastAsia="Arial" w:hAnsi="Arial"/>
          <w:sz w:val="18"/>
          <w:szCs w:val="18"/>
          <w:color w:val="auto"/>
        </w:rPr>
      </w:pPr>
    </w:p>
    <w:p>
      <w:pPr>
        <w:ind w:left="640" w:right="20" w:hanging="315"/>
        <w:spacing w:after="0" w:line="246" w:lineRule="auto"/>
        <w:tabs>
          <w:tab w:leader="none" w:pos="6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increases in interest expense in connection with debt refinancings and borrowings under credit facilities or term loans or the use of alternative sources of financings on capital and other financial markets;</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various legislative or regulatory actions;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incremental collateral, if any, that may be required due to regulation of derivatives (CenterPoint Energy);</w:t>
      </w:r>
    </w:p>
    <w:p>
      <w:pPr>
        <w:spacing w:after="0" w:line="5"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ability of REPs, including REP affiliates of NRG and Vistra Energy Corp., to satisfy their obligations to CenterPoint Energy and Houston Electric;</w:t>
      </w:r>
    </w:p>
    <w:p>
      <w:pPr>
        <w:spacing w:after="0" w:line="1"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slower customer payments and increased write-offs of receivables due to higher natural gas prices, changing economic conditions, public health threats or severe weather events (CenterPoint Energy and CERC);</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satisfaction of any obligations pursuant to guarantees;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outcome of litigation, including litigation related to the February 2021 Winter Storm Event;</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contributions to pension and postretirement benefit plans;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disruptions in the banking industry, including bank failures and uncertainty regarding bank stability;</w:t>
      </w:r>
    </w:p>
    <w:p>
      <w:pPr>
        <w:spacing w:after="0" w:line="5"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restoration costs and revenue losses resulting from future natural disasters such as hurricanes and the timing of recovery of such restoration costs; and</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various other risks identified in “Risk Factors” in </w:t>
      </w:r>
      <w:hyperlink r:id="rId128">
        <w:r>
          <w:rPr>
            <w:rFonts w:ascii="Arial" w:cs="Arial" w:eastAsia="Arial" w:hAnsi="Arial"/>
            <w:sz w:val="18"/>
            <w:szCs w:val="18"/>
            <w:u w:val="single" w:color="auto"/>
            <w:color w:val="0000FF"/>
          </w:rPr>
          <w:t>Item 1A of Part I of the Registrants’ combined 2022 Form 10-K</w:t>
        </w:r>
      </w:hyperlink>
      <w:r>
        <w:rPr>
          <w:rFonts w:ascii="Arial" w:cs="Arial" w:eastAsia="Arial" w:hAnsi="Arial"/>
          <w:sz w:val="18"/>
          <w:szCs w:val="18"/>
          <w:color w:val="auto"/>
        </w:rPr>
        <w:t>.</w:t>
      </w:r>
    </w:p>
    <w:p>
      <w:pPr>
        <w:spacing w:after="0" w:line="23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Certain Contractual Limits on Our Ability to Issue Securities and Borrow Money</w:t>
      </w:r>
    </w:p>
    <w:p>
      <w:pPr>
        <w:spacing w:after="0" w:line="245" w:lineRule="exact"/>
        <w:rPr>
          <w:sz w:val="20"/>
          <w:szCs w:val="20"/>
          <w:color w:val="auto"/>
        </w:rPr>
      </w:pPr>
    </w:p>
    <w:p>
      <w:pPr>
        <w:jc w:val="both"/>
        <w:ind w:firstLine="319"/>
        <w:spacing w:after="0" w:line="261" w:lineRule="auto"/>
        <w:rPr>
          <w:sz w:val="20"/>
          <w:szCs w:val="20"/>
          <w:color w:val="auto"/>
        </w:rPr>
      </w:pPr>
      <w:r>
        <w:rPr>
          <w:rFonts w:ascii="Arial" w:cs="Arial" w:eastAsia="Arial" w:hAnsi="Arial"/>
          <w:sz w:val="17"/>
          <w:szCs w:val="17"/>
          <w:color w:val="auto"/>
        </w:rPr>
        <w:t>Certain provisions in certain note purchase agreements relating to debt issued by CERC have the effect of restricting the amount of secured debt issued by CERC and debt issued by subsidiaries of CERC Corp. Additionally, Houston Electric and SIGECO are limited in the amount of mortgage bonds they can issue by the General Mortgage and SIGECO’s mortgage indenture, respectively. For information about the total debt to capitalization financial covenants in the Registrants’ and SIGECO’s revolving credit facilities, see Note 11 to the Interim Condensed Financial Statements.</w:t>
      </w:r>
    </w:p>
    <w:p>
      <w:pPr>
        <w:spacing w:after="0" w:line="19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CRITICAL ACCOUNTING POLICIES</w:t>
      </w:r>
    </w:p>
    <w:p>
      <w:pPr>
        <w:spacing w:after="0" w:line="251" w:lineRule="exact"/>
        <w:rPr>
          <w:sz w:val="20"/>
          <w:szCs w:val="20"/>
          <w:color w:val="auto"/>
        </w:rPr>
      </w:pPr>
    </w:p>
    <w:p>
      <w:pPr>
        <w:jc w:val="both"/>
        <w:ind w:firstLine="319"/>
        <w:spacing w:after="0" w:line="283" w:lineRule="auto"/>
        <w:rPr>
          <w:sz w:val="20"/>
          <w:szCs w:val="20"/>
          <w:color w:val="auto"/>
        </w:rPr>
      </w:pPr>
      <w:r>
        <w:rPr>
          <w:rFonts w:ascii="Arial" w:cs="Arial" w:eastAsia="Arial" w:hAnsi="Arial"/>
          <w:sz w:val="16"/>
          <w:szCs w:val="16"/>
          <w:color w:val="auto"/>
        </w:rPr>
        <w:t>A critical accounting policy is one that is both important to the presentation of the Registrants’ financial condition and results of operations and requires management to make difficult, subjective or complex accounting estimates. An accounting estimate is an approximation made by management of a financial statement element, item or account in the financial statements. Accounting estimates in the Registrants’ historical consolidated financial statements measure the effects of past business transactions or events, or the present status of an asset or liability. Additionally, different estimates that the Registrants could have used or changes in an accounting estimate that are reasonably likely to occur could have a material impact on the presentation of their financial condition, results of operations or cash flows. The circumstances that make these judgments difficult, subjective and/or complex have to do with the need to make estimates about the effect of matters that are inherently uncertain. Estimates and assumptions about future events and their effects cannot be predicted with certainty. The Registrants base their estimates on historical experience and on various other assumptions that they believe to be reasonable under the circumstances, the results of which form the basis for making judgments. These estimates may change as new events occur, as more experience is acquired, as additional information is obtained and as the Registrants’ operating environment changes.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 Including Identifiable Intangibles and Goodwill</w:t>
      </w:r>
    </w:p>
    <w:p>
      <w:pPr>
        <w:spacing w:after="0" w:line="251"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The Registrants review the carrying value of long-lived assets, including identifiable intangibles and goodwill, whenever events or changes in circumstances indicate that such carrying values may not be recoverable, and at least annually, goodwill is tested for impairment as required by accounting guidance for goodwill and other intangible assets. Unforeseen events, changes in market conditions, and probable regulatory disallowances, where applicable, could have a material effect on the value of long-lived assets, including intangibles and goodwill, future cash flows, interest rate, and regulatory matters, and could result in an impairment charge.</w:t>
      </w:r>
    </w:p>
    <w:p>
      <w:pPr>
        <w:spacing w:after="0" w:line="221"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CenterPoint Energy and CERC completed their 2023 annual goodwill impairment test during the third quarter of 2023 and determined, based on an income approach or a weighted combination of income and market approaches, that no goodwill impairment charge was required for any reporting unit. The fair values of each reporting unit significantly exceeded the carrying value of the reporting unit as of the last annual test.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From time to time, the Registrants consider the acquisition or the disposition of assets or businesses, and market information obtained through these exploratory activities is considered during the preparation of the financial statements to determine if an interim impairment test is required. The Registrants did not identify triggering events in connection with their preparation of the financial statements for the three and nine months ended September 30, 2023. See discussion below for goodwill attributable to disposed businesses, including assets held for sale.</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Divestitures, including assets held for sale</w:t>
      </w:r>
    </w:p>
    <w:p>
      <w:pPr>
        <w:spacing w:after="0" w:line="245"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Generally, a long-lived asset to be sold is classified as held for sale in the period in which management, with approval from the Board of Directors, as applicable, commits to a plan to sell, and a sale is expected to be completed within one year. The Registrants record assets and liabilities held for sale, or the disposal group, at the lower of their carrying value or their estimated fair value less cost to sell. If a disposal group reflects a component of a reporting unit and meets the definition of a business, the goodwill within that reporting unit is allocated to the disposal group based on the relative fair value of the components representing a business that will be retained and disposed. Goodwill is not allocated to a portion of a reporting unit that does not meet the definition of a business.</w:t>
      </w:r>
    </w:p>
    <w:p>
      <w:pPr>
        <w:spacing w:after="0" w:line="222"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As described further in Note 3 to the Interim Condensed Financial Statements, certain assets and liabilities of Energy Systems Group representing a business were disposed of on June 30, 2023. As a result of the held for sale criteria being met during the same period as the completion of the sale, goodwill attributable to Energy Systems Group of $134 million was reflected in the pre-tax loss on sale of $12 million based on the actual sale proceeds received at closing on June 30, 2023.</w:t>
      </w:r>
    </w:p>
    <w:p>
      <w:pPr>
        <w:spacing w:after="0" w:line="218"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6"/>
          <w:szCs w:val="16"/>
          <w:color w:val="auto"/>
        </w:rPr>
        <w:t>Fair value is the amount at which an asset, liability or business could be bought or sold in a current transaction between willing parties and may be estimated using a number of techniques, including quoted market prices, present value techniques based on estimates of cash flows, or multiples of earnings or revenue performance measures. The fair value could be different if different estimates and assumptions in these valuation techniques were applied.</w:t>
      </w:r>
    </w:p>
    <w:p>
      <w:pPr>
        <w:spacing w:after="0" w:line="18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Fair value measurements require significant judgment and often unobservable inputs, including (i) projected timing and amount of future cash flows, which factor in planned growth initiatives, (ii) the regulatory environment, as applicable, and (iii) discount rates reflecting risk inherent in the future market prices. Changes in these assumptions could have a significant impact on the resulting fair value.</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further information, see Note 3 to the Interim Condensed Financial Statements.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Securitization of Generation Retirements</w:t>
      </w:r>
    </w:p>
    <w:p>
      <w:pPr>
        <w:spacing w:after="0" w:line="251"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Accounting guidance for rate regulated long-lived asset abandonment requires that the carrying value of an operating asset or an asset under construction is removed from property, plant and equipment when it becomes probable that the asset will be abandoned. The Registrants recognize either a loss on abandonment or regulatory asset when they concluded it is probable the cost will be recovered in future rates. The portion of property, plant and equipment that will remain used and useful until abandonment and recovered through depreciation expense in rates will continue to be classified as property, plant and equipment until the asset is abandoned. The Registrants evaluate if an adjustment to the estimated life of the asset and, accordingly, the rate of depreciation, is required to recover the asset while it is still providing service. Determining probability of abandonment or probability of recovery requires significant judgment on the part of management and includes, but is not limited to, consideration of testimony presented in regulatory hearings, proposed regulatory decisions, final regulatory orders and the strength or status of applications for rehearing or state court appeals.</w:t>
      </w:r>
    </w:p>
    <w:p>
      <w:pPr>
        <w:spacing w:after="0" w:line="200"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In connection with the securitization financing of qualified costs in the second quarter of 2023 associated with the retirement of SIGECO’s A.B. Brown coal generation facilities, CenterPoint Energy evaluated the VIE consisting of the SIGECO Securitization Subsidiary, a wholly-owned, bankruptcy-remote, special purpose entity, for possible consolidation, including review of qualitative factors such as the power to direct the activities of the VIE and the obligation to absorb losses of the VIE. CenterPoint Energy has the power to direct the significant activities of the VIE and is most closely associated with the VIE as compared to other interests held by the holders of the SIGECO Securitization Bonds. CenterPoint Energy is, therefore, considered the primary beneficiary and consolidated the VIE.</w:t>
      </w:r>
    </w:p>
    <w:p>
      <w:pPr>
        <w:spacing w:after="0" w:line="222"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For purposes of reporting cash flows, the Registrants consider cash equivalents to be short-term, highly-liquid investments with maturities of three months or less from the date of purchase. Cash and cash equivalents held by the SIGECO Securitization Subsidiary solely to support servicing the SIGECO Securitization Bonds as of September 30, 2023 are reflected on CenterPoint Energy’s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In connection with the issuance of the SIGECO Securitization Bonds, CenterPoint Energy was required to establish a restricted cash account to collateralize the SIGECO Securitization Bonds that were issued in the financing transaction. The restricted cash account is not available for withdrawal until the maturity of the SIGECO Securitization Bonds and is not included in cash and cash equivalents.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further information, see Notes 1 and 6 to the Interim Condensed Financial Statements.</w:t>
      </w:r>
    </w:p>
    <w:p>
      <w:pPr>
        <w:spacing w:after="0" w:line="232"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Other than the interim goodwill impairment review and securitization transaction discussed above, there have been no significant changes in our critical accounting policies during the nine months ended September 30, 2023, as compared to the critical accounting policies disclosed in Management’s Discussion and Analysis of Financial Condition and Results of Operations included in the Registrants’ combined 2022 Form 10-K.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1"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i w:val="1"/>
          <w:iCs w:val="1"/>
          <w:color w:val="auto"/>
        </w:rPr>
        <w:t>Houston Electric and CERC meet the conditions specified in General Instruction H(1)(a) and (b) to Form 10-Q and are therefore permitted to use the reduced disclosure format for wholly-owned subsidiaries of reporting companies. Accordingly, Houston Electric and CERC have omitted from this report the information called for by Item 3 (Quantitative and Qualitative Disclosures About Market Risk) of Part I of the Form 10-Q.</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(CenterPoint Energy)</w:t>
      </w:r>
    </w:p>
    <w:p>
      <w:pPr>
        <w:spacing w:after="0" w:line="251"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As of September 30, 2023, CenterPoint Energy had outstanding long-term debt, lease obligations and obligations under its ZENS that subject it to the risk of loss associated with movements in market interest rates.</w:t>
      </w:r>
    </w:p>
    <w:p>
      <w:pPr>
        <w:spacing w:after="0" w:line="206"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CenterPoint Energy’s floating rate obligations aggregated $1.8 billion and $4.5 billion as of September 30, 2023 and December 31, 2022, respectively. If the floating interest rates were to increase by 100 basis points from September 30, 2023 rates, CenterPoint Energy’s combined interest expense would increase by approximately $18 million annually. In September 2023, SIGECO closed on the remarketing of two series of tax-exempt debt of approximately $38 million. For further information, see Note 11 to the Interim Condensed Financial Statements.</w:t>
      </w:r>
    </w:p>
    <w:p>
      <w:pPr>
        <w:spacing w:after="0" w:line="191"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7"/>
          <w:szCs w:val="17"/>
          <w:color w:val="auto"/>
        </w:rPr>
        <w:t>As of September 30, 2023 and December 31, 2022, CenterPoint Energy had outstanding fixed-rate debt (excluding indexed debt securities) aggregating $16.6 billion and $12.5 billion, respectively, in principal amount and having a fair value of $14.6 billion and $11.1 billion, respectively. Because these instruments are fixed-rate, they do not expose CenterPoint Energy to the risk of loss in earnings due to changes in market interest rates. However, the fair value of these instruments would increase by approximately $670 million if interest rates were to decline by 10% from levels at September 30, 2023. In general, such an increase in fair value would impact earnings and cash flows only if CenterPoint Energy were to reacquire all or a portion of these instruments in the open market prior to their maturity. On an unconsolidated basis, CenterPoint Energy has no fixed-rate senior notes maturing in 2023; however, CERC has $57 million of fixed-rate senior notes maturing in 2023 that it expects to refinance at current rates.</w:t>
      </w:r>
    </w:p>
    <w:p>
      <w:pPr>
        <w:spacing w:after="0" w:line="223"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The ZENS obligation is bifurcated into a debt component and a derivative component. The debt component of $5 million as of September 30, 2023 was a fixed-rate obligation and, therefore, did not expose CenterPoint Energy to the risk of loss in earnings due to changes in market interest rates. However, the fair value of the debt component would increase by approximately $1 million if interest rates were to decline by 10% from levels at September 30, 2023. Changes in the fair value of the derivative component, a $630 million recorded liability at September 30, 2023, are recorded in CenterPoint Energy’s Condensed Statements of Consolidated Income and, therefore, it is exposed to changes in the fair value of the derivative component as a result of changes in the underlying risk-free interest rate. If the risk-free interest rate were to increase by 10% from September 30, 2023 levels, the fair value of the derivative component liability would decrease by $1 million, which would be recorded as an unrealized gain in CenterPoint Energy’s Condensed Statements of Consolidated Income.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Market Value Risk (CenterPoint Energy)</w:t>
      </w:r>
    </w:p>
    <w:p>
      <w:pPr>
        <w:spacing w:after="0" w:line="251"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CenterPoint Energy is exposed to equity market value risk through its ownership of 10.2 million shares of AT&amp;T Common, 0.9 million shares of Charter Common and 2.5 million shares of WBD Common, which CenterPoint Energy holds to facilitate its ability to meet its obligations under the ZENS. See Note 10 to the Interim Condensed Financial Statements for a discussion of CenterPoint Energy’s ZENS obligation. Changes in the fair value of the ZENS-Related Securities held by CenterPoint Energy are expected to substantially offset changes in the fair value of the derivative component of the ZENS. A decrease of 10% from the September 30, 2023 aggregate market value of these shares would result in a net loss of less than $1 million, which would be recorded as a loss in CenterPoint Energy’s Condensed Statements of Consolidated Income.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 From Non-Trading Activities (CenterPoint Energy and CERC)</w:t>
      </w:r>
    </w:p>
    <w:p>
      <w:pPr>
        <w:spacing w:after="0" w:line="251"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CenterPoint Energy’s and CERC’s regulated operations in Indiana have limited exposure to commodity price risk for transactions involving purchases and sales of natural gas, coal and purchased power for the benefit of retail customers due to current state regulations, which, subject to compliance with those regulations, allow for recovery of the cost of such purchases through natural gas and fuel cost adjustment mechanisms. CenterPoint Energy’s and CERC’s utility natural gas operations in Indiana have regulatory authority to lock in pricing for up to 50% of annual natural gas purchases using arrangements with an original term of up to 10 years. This authority has been utilized to secure fixed price natural gas using both physical purchases and financial derivatives. As of September 30, 2023, the recorded fair value of non-trading energy derivative assets was $1 million and $1 million, respectively, for CenterPoint Energy’s and CERC’s utility natural gas operations in Indiana.</w:t>
      </w:r>
    </w:p>
    <w:p>
      <w:pPr>
        <w:spacing w:after="0" w:line="206"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Although CenterPoint Energy’s and CERC’s regulated operations are exposed to limited commodity price risk, natural gas and coal prices have other effects on working capital requirements, interest costs, and some level of price-sensitivity in volumes sold or delivered. Constructive regulatory orders, such as those authorizing lost margin recovery, other innovative rate designs and recovery of unaccounted for natural gas and other natural gas-related expenses, also mitigate the effect natural gas costs may have on CenterPoint Energy’s financial condition. In 2008, the PUCO approved an exit of the merchant function in CenterPoint Energy’s and CERC’s Ohio natural gas service territory, allowing Ohio customers to purchase substantially all natural gas directly from retail marketers rather than from CenterPoint Energy or CERC.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1"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In accordance with Exchange Act Rules 13a-15 and 15d-15, the Registrants carried out separate evaluations, under the supervision and with the participation of each company’s management, including the principal executive officer and principal financial officer, of the effectiveness of the disclosure controls and procedures as of the end of the period covered by this report. Based on those evaluations, the principal executive officer and principal financial officer, in each case, concluded that the disclosure controls and procedures were effective as of September 30, 2023 to provide assurance that information required to be disclosed in the reports filed or submitted under the Exchange Act is recorded, processed, summarized and reported within the time periods specified in the SEC’s rules and forms and such information is accumulated and communicated to management, including the principal executive officer and principal financial officer, as appropriate to allow timely decisions regarding disclosure.</w:t>
      </w:r>
    </w:p>
    <w:p>
      <w:pPr>
        <w:spacing w:after="0" w:line="206" w:lineRule="exact"/>
        <w:rPr>
          <w:sz w:val="20"/>
          <w:szCs w:val="20"/>
          <w:color w:val="auto"/>
        </w:rPr>
      </w:pPr>
    </w:p>
    <w:p>
      <w:pPr>
        <w:jc w:val="both"/>
        <w:ind w:firstLine="319"/>
        <w:spacing w:after="0" w:line="296" w:lineRule="auto"/>
        <w:rPr>
          <w:sz w:val="20"/>
          <w:szCs w:val="20"/>
          <w:color w:val="auto"/>
        </w:rPr>
      </w:pPr>
      <w:r>
        <w:rPr>
          <w:rFonts w:ascii="Arial" w:cs="Arial" w:eastAsia="Arial" w:hAnsi="Arial"/>
          <w:sz w:val="17"/>
          <w:szCs w:val="17"/>
          <w:color w:val="auto"/>
        </w:rPr>
        <w:t>There has been no change in the Registrants’ internal controls over financial reporting that occurred during the three months ended September 30, 2023 that has materially affected, or is reasonably likely to materially affect, the Registrants’ internal controls over financial reporting.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1" w:lineRule="exact"/>
        <w:rPr>
          <w:sz w:val="20"/>
          <w:szCs w:val="20"/>
          <w:color w:val="auto"/>
        </w:rPr>
      </w:pPr>
    </w:p>
    <w:p>
      <w:pPr>
        <w:jc w:val="both"/>
        <w:ind w:firstLine="319"/>
        <w:spacing w:after="0" w:line="267" w:lineRule="auto"/>
        <w:rPr>
          <w:rFonts w:ascii="Arial" w:cs="Arial" w:eastAsia="Arial" w:hAnsi="Arial"/>
          <w:sz w:val="17"/>
          <w:szCs w:val="17"/>
          <w:color w:val="auto"/>
        </w:rPr>
      </w:pPr>
      <w:r>
        <w:rPr>
          <w:rFonts w:ascii="Arial" w:cs="Arial" w:eastAsia="Arial" w:hAnsi="Arial"/>
          <w:sz w:val="17"/>
          <w:szCs w:val="17"/>
          <w:color w:val="auto"/>
        </w:rPr>
        <w:t>For a description of certain legal and regulatory proceedings, including environmental legal proceedings that involve a governmental authority as a party and that the Registrants reasonably believe would result in $1,000,000 or more of monetary sanctions, exclusive of interest and costs, under federal, state and local laws that have been enacted or adopted regulating the discharge of materials into the environment or primarily for the purpose of protecting the environment, affecting the Registrants, please read Note 13(c) to the Interim Condensed Financial Statements and “Management’s Discussion and Analysis of Financial Condition and Results of Operations — Liquidity and Capital Resources — Future Sources and Uses of Cash” and “— Regulatory Matters,” each of which is incorporated herein by reference. See also “</w:t>
      </w:r>
      <w:hyperlink r:id="rId132">
        <w:r>
          <w:rPr>
            <w:rFonts w:ascii="Arial" w:cs="Arial" w:eastAsia="Arial" w:hAnsi="Arial"/>
            <w:sz w:val="17"/>
            <w:szCs w:val="17"/>
            <w:u w:val="single" w:color="auto"/>
            <w:color w:val="0000FF"/>
          </w:rPr>
          <w:t>Business — Regulation” and “— Environmental Matters</w:t>
        </w:r>
      </w:hyperlink>
      <w:r>
        <w:rPr>
          <w:rFonts w:ascii="Arial" w:cs="Arial" w:eastAsia="Arial" w:hAnsi="Arial"/>
          <w:sz w:val="17"/>
          <w:szCs w:val="17"/>
          <w:color w:val="auto"/>
        </w:rPr>
        <w:t>” in Item 1 and “</w:t>
      </w:r>
      <w:hyperlink r:id="rId133">
        <w:r>
          <w:rPr>
            <w:rFonts w:ascii="Arial" w:cs="Arial" w:eastAsia="Arial" w:hAnsi="Arial"/>
            <w:sz w:val="17"/>
            <w:szCs w:val="17"/>
            <w:u w:val="single" w:color="auto"/>
            <w:color w:val="0000FF"/>
          </w:rPr>
          <w:t>Legal Proceedings</w:t>
        </w:r>
      </w:hyperlink>
      <w:r>
        <w:rPr>
          <w:rFonts w:ascii="Arial" w:cs="Arial" w:eastAsia="Arial" w:hAnsi="Arial"/>
          <w:sz w:val="17"/>
          <w:szCs w:val="17"/>
          <w:color w:val="auto"/>
        </w:rPr>
        <w:t>” in Item 3 of the Registrants’ combined 2022 Form 10-K.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have been no material changes from the risk factors disclosed in the Registrants’ combined 2022 Form 10-K.</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Rule 10b5-1 Trading Arrangements</w:t>
      </w:r>
    </w:p>
    <w:p>
      <w:pPr>
        <w:spacing w:after="0" w:line="245" w:lineRule="exact"/>
        <w:rPr>
          <w:sz w:val="20"/>
          <w:szCs w:val="20"/>
          <w:color w:val="auto"/>
        </w:rPr>
      </w:pPr>
    </w:p>
    <w:p>
      <w:pPr>
        <w:jc w:val="both"/>
        <w:ind w:right="20" w:firstLine="319"/>
        <w:spacing w:after="0" w:line="296" w:lineRule="auto"/>
        <w:rPr>
          <w:sz w:val="20"/>
          <w:szCs w:val="20"/>
          <w:color w:val="auto"/>
        </w:rPr>
      </w:pPr>
      <w:r>
        <w:rPr>
          <w:rFonts w:ascii="Arial" w:cs="Arial" w:eastAsia="Arial" w:hAnsi="Arial"/>
          <w:sz w:val="17"/>
          <w:szCs w:val="17"/>
          <w:color w:val="auto"/>
        </w:rPr>
        <w:t>During the three months ended September 30, 2023, no director or officer of CenterPoint Energy, Houston Electric or CERC adopted or terminated a “Rule 10b5-1 trading arrangement” or “non-Rule 10b5-1 trading arrangement,” as each term is defined in Item 408 of Regulation 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IBEW 66 Negotiations</w:t>
      </w:r>
    </w:p>
    <w:p>
      <w:pPr>
        <w:spacing w:after="0" w:line="245"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The collective bargaining agreement with IBEW 66 related to Houston Electric employees would have expired in May 2023, but Houston Electric and IBEW 66 agreed to renew the agreement on a monthly basis while active negotiations continued on a new collective bargaining agreement. On October 18, 2023, IBEW 66 members voted to ratify the new collective bargaining agreement with Houston Electric. The new collective bargaining agreement will expire in May 2026.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1"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Exhibits filed herewith are designated by a cross ( †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the Registrants, any other persons, any state of affairs or other matters.</w:t>
      </w:r>
    </w:p>
    <w:p>
      <w:pPr>
        <w:spacing w:after="0" w:line="194"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Pursuant to Item 601(b)(4)(iii)(A) of Regulation S-K, the Registrants have not filed as exhibits to this combined Form 10-Q certain long-term debt instruments, including indentures, under which the total amount of securities authorized does not exceed 10% of the total assets of the Registrants and its subsidiaries on a consolidated basis. The Registrants hereby agree to furnish a copy of any such instrument to the SEC upon request.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Report or Registration</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SEC File or</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CenterPoint</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0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60" w:type="dxa"/>
            <w:vAlign w:val="bottom"/>
            <w:gridSpan w:val="21"/>
            <w:vMerge w:val="restart"/>
          </w:tcPr>
          <w:p>
            <w:pPr>
              <w:ind w:left="320"/>
              <w:spacing w:after="0"/>
              <w:rPr>
                <w:sz w:val="20"/>
                <w:szCs w:val="20"/>
                <w:color w:val="auto"/>
              </w:rPr>
            </w:pPr>
            <w:r>
              <w:rPr>
                <w:rFonts w:ascii="Arial" w:cs="Arial" w:eastAsia="Arial" w:hAnsi="Arial"/>
                <w:sz w:val="14"/>
                <w:szCs w:val="14"/>
                <w:b w:val="1"/>
                <w:bCs w:val="1"/>
                <w:color w:val="auto"/>
              </w:rPr>
              <w:t>Description</w:t>
            </w:r>
          </w:p>
        </w:tc>
        <w:tc>
          <w:tcPr>
            <w:tcW w:w="1740" w:type="dxa"/>
            <w:vAlign w:val="bottom"/>
            <w:gridSpan w:val="2"/>
            <w:vMerge w:val="continue"/>
          </w:tcPr>
          <w:p>
            <w:pPr>
              <w:spacing w:after="0"/>
              <w:rPr>
                <w:sz w:val="12"/>
                <w:szCs w:val="12"/>
                <w:color w:val="auto"/>
              </w:rPr>
            </w:pPr>
          </w:p>
        </w:tc>
        <w:tc>
          <w:tcPr>
            <w:tcW w:w="120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0"/>
              </w:rPr>
              <w:t>Registration</w:t>
            </w:r>
          </w:p>
        </w:tc>
        <w:tc>
          <w:tcPr>
            <w:tcW w:w="104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3"/>
        </w:trPr>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21"/>
            <w:vMerge w:val="continue"/>
          </w:tcPr>
          <w:p>
            <w:pPr>
              <w:spacing w:after="0"/>
              <w:rPr>
                <w:sz w:val="16"/>
                <w:szCs w:val="16"/>
                <w:color w:val="auto"/>
              </w:rPr>
            </w:pPr>
          </w:p>
        </w:tc>
        <w:tc>
          <w:tcPr>
            <w:tcW w:w="1740" w:type="dxa"/>
            <w:vAlign w:val="bottom"/>
            <w:gridSpan w:val="2"/>
          </w:tcPr>
          <w:p>
            <w:pPr>
              <w:ind w:left="520"/>
              <w:spacing w:after="0"/>
              <w:rPr>
                <w:sz w:val="20"/>
                <w:szCs w:val="20"/>
                <w:color w:val="auto"/>
              </w:rPr>
            </w:pPr>
            <w:r>
              <w:rPr>
                <w:rFonts w:ascii="Arial" w:cs="Arial" w:eastAsia="Arial" w:hAnsi="Arial"/>
                <w:sz w:val="14"/>
                <w:szCs w:val="14"/>
                <w:b w:val="1"/>
                <w:bCs w:val="1"/>
                <w:color w:val="auto"/>
              </w:rPr>
              <w:t>Statement</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Reference</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Energy</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Electric</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9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color w:val="auto"/>
                <w:w w:val="96"/>
              </w:rPr>
              <w:t>2.1*</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740" w:type="dxa"/>
            <w:vAlign w:val="bottom"/>
            <w:tcBorders>
              <w:top w:val="single" w:sz="8" w:color="auto"/>
            </w:tcBorders>
            <w:gridSpan w:val="23"/>
          </w:tcPr>
          <w:p>
            <w:pPr>
              <w:spacing w:after="0" w:line="133" w:lineRule="exact"/>
              <w:rPr>
                <w:rFonts w:ascii="Arial" w:cs="Arial" w:eastAsia="Arial" w:hAnsi="Arial"/>
                <w:sz w:val="14"/>
                <w:szCs w:val="14"/>
                <w:color w:val="0000FF"/>
              </w:rPr>
            </w:pPr>
            <w:hyperlink r:id="rId135">
              <w:r>
                <w:rPr>
                  <w:rFonts w:ascii="Arial" w:cs="Arial" w:eastAsia="Arial" w:hAnsi="Arial"/>
                  <w:sz w:val="14"/>
                  <w:szCs w:val="14"/>
                  <w:color w:val="0000FF"/>
                </w:rPr>
                <w:t>Agreement and Plan of Merger, dated as of</w:t>
              </w:r>
            </w:hyperlink>
          </w:p>
        </w:tc>
        <w:tc>
          <w:tcPr>
            <w:tcW w:w="100" w:type="dxa"/>
            <w:vAlign w:val="bottom"/>
          </w:tcPr>
          <w:p>
            <w:pPr>
              <w:spacing w:after="0"/>
              <w:rPr>
                <w:sz w:val="12"/>
                <w:szCs w:val="12"/>
                <w:color w:val="auto"/>
              </w:rPr>
            </w:pPr>
          </w:p>
        </w:tc>
        <w:tc>
          <w:tcPr>
            <w:tcW w:w="1640" w:type="dxa"/>
            <w:vAlign w:val="bottom"/>
            <w:tcBorders>
              <w:top w:val="single" w:sz="8" w:color="auto"/>
            </w:tcBorders>
          </w:tcPr>
          <w:p>
            <w:pPr>
              <w:ind w:left="20"/>
              <w:spacing w:after="0" w:line="133" w:lineRule="exact"/>
              <w:rPr>
                <w:sz w:val="20"/>
                <w:szCs w:val="20"/>
                <w:color w:val="auto"/>
              </w:rPr>
            </w:pPr>
            <w:r>
              <w:rPr>
                <w:rFonts w:ascii="Arial" w:cs="Arial" w:eastAsia="Arial" w:hAnsi="Arial"/>
                <w:sz w:val="14"/>
                <w:szCs w:val="14"/>
                <w:color w:val="auto"/>
                <w:w w:val="94"/>
              </w:rPr>
              <w:t>CenterPoint Energy’s Form</w:t>
            </w:r>
          </w:p>
        </w:tc>
        <w:tc>
          <w:tcPr>
            <w:tcW w:w="100" w:type="dxa"/>
            <w:vAlign w:val="bottom"/>
          </w:tcPr>
          <w:p>
            <w:pPr>
              <w:spacing w:after="0"/>
              <w:rPr>
                <w:sz w:val="12"/>
                <w:szCs w:val="12"/>
                <w:color w:val="auto"/>
              </w:rPr>
            </w:pPr>
          </w:p>
        </w:tc>
        <w:tc>
          <w:tcPr>
            <w:tcW w:w="11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12"/>
                <w:szCs w:val="12"/>
                <w:color w:val="auto"/>
              </w:rPr>
            </w:pPr>
          </w:p>
        </w:tc>
        <w:tc>
          <w:tcPr>
            <w:tcW w:w="9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color w:val="auto"/>
                <w:w w:val="92"/>
              </w:rPr>
              <w:t>2.1</w:t>
            </w:r>
          </w:p>
        </w:tc>
        <w:tc>
          <w:tcPr>
            <w:tcW w:w="120" w:type="dxa"/>
            <w:vAlign w:val="bottom"/>
          </w:tcPr>
          <w:p>
            <w:pPr>
              <w:spacing w:after="0"/>
              <w:rPr>
                <w:sz w:val="12"/>
                <w:szCs w:val="12"/>
                <w:color w:val="auto"/>
              </w:rPr>
            </w:pPr>
          </w:p>
        </w:tc>
        <w:tc>
          <w:tcPr>
            <w:tcW w:w="11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tcBorders>
              <w:top w:val="single" w:sz="8" w:color="0000FF"/>
            </w:tcBorders>
            <w:gridSpan w:val="15"/>
          </w:tcPr>
          <w:p>
            <w:pPr>
              <w:spacing w:after="0" w:line="120" w:lineRule="exact"/>
              <w:rPr>
                <w:rFonts w:ascii="Arial" w:cs="Arial" w:eastAsia="Arial" w:hAnsi="Arial"/>
                <w:sz w:val="13"/>
                <w:szCs w:val="13"/>
                <w:color w:val="0000FF"/>
              </w:rPr>
            </w:pPr>
            <w:hyperlink r:id="rId135">
              <w:r>
                <w:rPr>
                  <w:rFonts w:ascii="Arial" w:cs="Arial" w:eastAsia="Arial" w:hAnsi="Arial"/>
                  <w:sz w:val="13"/>
                  <w:szCs w:val="13"/>
                  <w:color w:val="0000FF"/>
                </w:rPr>
                <w:t>April 21, 2018, by and among Vectren</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1740" w:type="dxa"/>
            <w:vAlign w:val="bottom"/>
            <w:gridSpan w:val="2"/>
          </w:tcPr>
          <w:p>
            <w:pPr>
              <w:ind w:left="20"/>
              <w:spacing w:after="0" w:line="120" w:lineRule="exact"/>
              <w:rPr>
                <w:sz w:val="20"/>
                <w:szCs w:val="20"/>
                <w:color w:val="auto"/>
              </w:rPr>
            </w:pPr>
            <w:r>
              <w:rPr>
                <w:rFonts w:ascii="Arial" w:cs="Arial" w:eastAsia="Arial" w:hAnsi="Arial"/>
                <w:sz w:val="13"/>
                <w:szCs w:val="13"/>
                <w:color w:val="auto"/>
              </w:rPr>
              <w:t>8-K dated April 21, 2018</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60" w:type="dxa"/>
            <w:vAlign w:val="bottom"/>
            <w:tcBorders>
              <w:top w:val="single" w:sz="8" w:color="0000FF"/>
            </w:tcBorders>
            <w:gridSpan w:val="8"/>
          </w:tcPr>
          <w:p>
            <w:pPr>
              <w:spacing w:after="0" w:line="127" w:lineRule="exact"/>
              <w:rPr>
                <w:rFonts w:ascii="Arial" w:cs="Arial" w:eastAsia="Arial" w:hAnsi="Arial"/>
                <w:sz w:val="14"/>
                <w:szCs w:val="14"/>
                <w:color w:val="0000FF"/>
                <w:w w:val="91"/>
              </w:rPr>
            </w:pPr>
            <w:hyperlink r:id="rId135">
              <w:r>
                <w:rPr>
                  <w:rFonts w:ascii="Arial" w:cs="Arial" w:eastAsia="Arial" w:hAnsi="Arial"/>
                  <w:sz w:val="14"/>
                  <w:szCs w:val="14"/>
                  <w:color w:val="0000FF"/>
                  <w:w w:val="91"/>
                </w:rPr>
                <w:t>Corporation, CenterPoint Energy, Inc.</w:t>
              </w:r>
            </w:hyperlink>
          </w:p>
        </w:tc>
        <w:tc>
          <w:tcPr>
            <w:tcW w:w="680" w:type="dxa"/>
            <w:vAlign w:val="bottom"/>
            <w:gridSpan w:val="16"/>
          </w:tcPr>
          <w:p>
            <w:pPr>
              <w:ind w:left="20"/>
              <w:spacing w:after="0" w:line="127" w:lineRule="exact"/>
              <w:rPr>
                <w:rFonts w:ascii="Arial" w:cs="Arial" w:eastAsia="Arial" w:hAnsi="Arial"/>
                <w:sz w:val="14"/>
                <w:szCs w:val="14"/>
                <w:color w:val="0000FF"/>
              </w:rPr>
            </w:pPr>
            <w:hyperlink r:id="rId135">
              <w:r>
                <w:rPr>
                  <w:rFonts w:ascii="Arial" w:cs="Arial" w:eastAsia="Arial" w:hAnsi="Arial"/>
                  <w:sz w:val="14"/>
                  <w:szCs w:val="14"/>
                  <w:color w:val="0000FF"/>
                </w:rPr>
                <w:t>and</w:t>
              </w:r>
            </w:hyperlink>
          </w:p>
        </w:tc>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80" w:type="dxa"/>
            <w:vAlign w:val="bottom"/>
            <w:tcBorders>
              <w:top w:val="single" w:sz="8" w:color="0000FF"/>
            </w:tcBorders>
            <w:gridSpan w:val="12"/>
          </w:tcPr>
          <w:p>
            <w:pPr>
              <w:spacing w:after="0" w:line="127" w:lineRule="exact"/>
              <w:rPr>
                <w:rFonts w:ascii="Arial" w:cs="Arial" w:eastAsia="Arial" w:hAnsi="Arial"/>
                <w:sz w:val="14"/>
                <w:szCs w:val="14"/>
                <w:color w:val="0000FF"/>
              </w:rPr>
            </w:pPr>
            <w:hyperlink r:id="rId135">
              <w:r>
                <w:rPr>
                  <w:rFonts w:ascii="Arial" w:cs="Arial" w:eastAsia="Arial" w:hAnsi="Arial"/>
                  <w:sz w:val="14"/>
                  <w:szCs w:val="14"/>
                  <w:color w:val="0000FF"/>
                </w:rPr>
                <w:t>Pacer Merger Sub, Inc.</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60" w:type="dxa"/>
            <w:vAlign w:val="bottom"/>
          </w:tcPr>
          <w:p>
            <w:pPr>
              <w:jc w:val="center"/>
              <w:spacing w:after="0"/>
              <w:rPr>
                <w:sz w:val="20"/>
                <w:szCs w:val="20"/>
                <w:color w:val="auto"/>
              </w:rPr>
            </w:pPr>
            <w:r>
              <w:rPr>
                <w:rFonts w:ascii="Arial" w:cs="Arial" w:eastAsia="Arial" w:hAnsi="Arial"/>
                <w:sz w:val="14"/>
                <w:szCs w:val="14"/>
                <w:color w:val="auto"/>
                <w:w w:val="96"/>
              </w:rPr>
              <w:t>2.2*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60" w:type="dxa"/>
            <w:vAlign w:val="bottom"/>
            <w:tcBorders>
              <w:bottom w:val="single" w:sz="8" w:color="0000FF"/>
            </w:tcBorders>
            <w:gridSpan w:val="16"/>
          </w:tcPr>
          <w:p>
            <w:pPr>
              <w:spacing w:after="0"/>
              <w:rPr>
                <w:rFonts w:ascii="Arial" w:cs="Arial" w:eastAsia="Arial" w:hAnsi="Arial"/>
                <w:sz w:val="14"/>
                <w:szCs w:val="14"/>
                <w:color w:val="0000FF"/>
                <w:w w:val="89"/>
              </w:rPr>
            </w:pPr>
            <w:hyperlink r:id="rId136">
              <w:r>
                <w:rPr>
                  <w:rFonts w:ascii="Arial" w:cs="Arial" w:eastAsia="Arial" w:hAnsi="Arial"/>
                  <w:sz w:val="14"/>
                  <w:szCs w:val="14"/>
                  <w:color w:val="0000FF"/>
                  <w:w w:val="89"/>
                </w:rPr>
                <w:t>Securities Purchase Agreement, dated as of</w:t>
              </w:r>
            </w:hyperlink>
          </w:p>
        </w:tc>
        <w:tc>
          <w:tcPr>
            <w:tcW w:w="380" w:type="dxa"/>
            <w:vAlign w:val="bottom"/>
            <w:gridSpan w:val="8"/>
          </w:tcPr>
          <w:p>
            <w:pPr>
              <w:spacing w:after="0"/>
              <w:rPr>
                <w:sz w:val="15"/>
                <w:szCs w:val="15"/>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2.1</w:t>
            </w: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40" w:type="dxa"/>
            <w:vAlign w:val="bottom"/>
            <w:gridSpan w:val="24"/>
          </w:tcPr>
          <w:p>
            <w:pPr>
              <w:spacing w:after="0" w:line="120" w:lineRule="exact"/>
              <w:rPr>
                <w:rFonts w:ascii="Arial" w:cs="Arial" w:eastAsia="Arial" w:hAnsi="Arial"/>
                <w:sz w:val="13"/>
                <w:szCs w:val="13"/>
                <w:color w:val="0000FF"/>
              </w:rPr>
            </w:pPr>
            <w:hyperlink r:id="rId136">
              <w:r>
                <w:rPr>
                  <w:rFonts w:ascii="Arial" w:cs="Arial" w:eastAsia="Arial" w:hAnsi="Arial"/>
                  <w:sz w:val="13"/>
                  <w:szCs w:val="13"/>
                  <w:color w:val="0000FF"/>
                </w:rPr>
                <w:t>February 3, 2020, by and among Vectren Utility</w:t>
              </w:r>
            </w:hyperlink>
          </w:p>
        </w:tc>
        <w:tc>
          <w:tcPr>
            <w:tcW w:w="1740" w:type="dxa"/>
            <w:vAlign w:val="bottom"/>
            <w:gridSpan w:val="2"/>
          </w:tcPr>
          <w:p>
            <w:pPr>
              <w:ind w:left="20"/>
              <w:spacing w:after="0" w:line="120" w:lineRule="exact"/>
              <w:rPr>
                <w:sz w:val="20"/>
                <w:szCs w:val="20"/>
                <w:color w:val="auto"/>
              </w:rPr>
            </w:pPr>
            <w:r>
              <w:rPr>
                <w:rFonts w:ascii="Arial" w:cs="Arial" w:eastAsia="Arial" w:hAnsi="Arial"/>
                <w:sz w:val="13"/>
                <w:szCs w:val="13"/>
                <w:color w:val="auto"/>
              </w:rPr>
              <w:t>8-K dated February 3, 2020</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20" w:type="dxa"/>
            <w:vAlign w:val="bottom"/>
            <w:tcBorders>
              <w:top w:val="single" w:sz="8" w:color="0000FF"/>
            </w:tcBorders>
            <w:gridSpan w:val="22"/>
          </w:tcPr>
          <w:p>
            <w:pPr>
              <w:spacing w:after="0" w:line="127" w:lineRule="exact"/>
              <w:rPr>
                <w:rFonts w:ascii="Arial" w:cs="Arial" w:eastAsia="Arial" w:hAnsi="Arial"/>
                <w:sz w:val="14"/>
                <w:szCs w:val="14"/>
                <w:color w:val="0000FF"/>
                <w:w w:val="93"/>
              </w:rPr>
            </w:pPr>
            <w:hyperlink r:id="rId136">
              <w:r>
                <w:rPr>
                  <w:rFonts w:ascii="Arial" w:cs="Arial" w:eastAsia="Arial" w:hAnsi="Arial"/>
                  <w:sz w:val="14"/>
                  <w:szCs w:val="14"/>
                  <w:color w:val="0000FF"/>
                  <w:w w:val="93"/>
                </w:rPr>
                <w:t>Services, Inc., PowerTeam Services, LLC and,</w:t>
              </w:r>
            </w:hyperlink>
          </w:p>
        </w:tc>
        <w:tc>
          <w:tcPr>
            <w:tcW w:w="120" w:type="dxa"/>
            <w:vAlign w:val="bottom"/>
            <w:gridSpan w:val="2"/>
          </w:tcPr>
          <w:p>
            <w:pPr>
              <w:spacing w:after="0"/>
              <w:rPr>
                <w:sz w:val="10"/>
                <w:szCs w:val="10"/>
                <w:color w:val="auto"/>
              </w:rPr>
            </w:pPr>
          </w:p>
        </w:tc>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40" w:type="dxa"/>
            <w:vAlign w:val="bottom"/>
            <w:tcBorders>
              <w:top w:val="single" w:sz="8" w:color="0000FF"/>
            </w:tcBorders>
            <w:gridSpan w:val="20"/>
          </w:tcPr>
          <w:p>
            <w:pPr>
              <w:spacing w:after="0" w:line="127" w:lineRule="exact"/>
              <w:rPr>
                <w:rFonts w:ascii="Arial" w:cs="Arial" w:eastAsia="Arial" w:hAnsi="Arial"/>
                <w:sz w:val="14"/>
                <w:szCs w:val="14"/>
                <w:color w:val="0000FF"/>
              </w:rPr>
            </w:pPr>
            <w:hyperlink r:id="rId136">
              <w:r>
                <w:rPr>
                  <w:rFonts w:ascii="Arial" w:cs="Arial" w:eastAsia="Arial" w:hAnsi="Arial"/>
                  <w:sz w:val="14"/>
                  <w:szCs w:val="14"/>
                  <w:color w:val="0000FF"/>
                </w:rPr>
                <w:t>solely for purposes of Section 10.17 of the</w:t>
              </w:r>
            </w:hyperlink>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0" w:type="dxa"/>
            <w:vAlign w:val="bottom"/>
            <w:tcBorders>
              <w:top w:val="single" w:sz="8" w:color="0000FF"/>
            </w:tcBorders>
            <w:gridSpan w:val="13"/>
          </w:tcPr>
          <w:p>
            <w:pPr>
              <w:spacing w:after="0" w:line="113" w:lineRule="exact"/>
              <w:rPr>
                <w:rFonts w:ascii="Arial" w:cs="Arial" w:eastAsia="Arial" w:hAnsi="Arial"/>
                <w:sz w:val="13"/>
                <w:szCs w:val="13"/>
                <w:color w:val="0000FF"/>
              </w:rPr>
            </w:pPr>
            <w:hyperlink r:id="rId136">
              <w:r>
                <w:rPr>
                  <w:rFonts w:ascii="Arial" w:cs="Arial" w:eastAsia="Arial" w:hAnsi="Arial"/>
                  <w:sz w:val="13"/>
                  <w:szCs w:val="13"/>
                  <w:color w:val="0000FF"/>
                </w:rPr>
                <w:t>Securities Purchase Agreement, Vectren</w:t>
              </w:r>
            </w:hyperlink>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top w:val="single" w:sz="8" w:color="0000FF"/>
              <w:bottom w:val="single" w:sz="8" w:color="0000FF"/>
            </w:tcBorders>
            <w:gridSpan w:val="3"/>
          </w:tcPr>
          <w:p>
            <w:pPr>
              <w:spacing w:after="0" w:line="127" w:lineRule="exact"/>
              <w:rPr>
                <w:rFonts w:ascii="Arial" w:cs="Arial" w:eastAsia="Arial" w:hAnsi="Arial"/>
                <w:sz w:val="14"/>
                <w:szCs w:val="14"/>
                <w:color w:val="0000FF"/>
                <w:w w:val="90"/>
              </w:rPr>
            </w:pPr>
            <w:hyperlink r:id="rId136">
              <w:r>
                <w:rPr>
                  <w:rFonts w:ascii="Arial" w:cs="Arial" w:eastAsia="Arial" w:hAnsi="Arial"/>
                  <w:sz w:val="14"/>
                  <w:szCs w:val="14"/>
                  <w:color w:val="0000FF"/>
                  <w:w w:val="90"/>
                </w:rPr>
                <w:t>Corporation</w:t>
              </w:r>
            </w:hyperlink>
          </w:p>
        </w:tc>
        <w:tc>
          <w:tcPr>
            <w:tcW w:w="1580" w:type="dxa"/>
            <w:vAlign w:val="bottom"/>
            <w:tcBorders>
              <w:top w:val="single" w:sz="8" w:color="0000FF"/>
            </w:tcBorders>
            <w:gridSpan w:val="6"/>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60" w:type="dxa"/>
            <w:vAlign w:val="bottom"/>
          </w:tcPr>
          <w:p>
            <w:pPr>
              <w:jc w:val="center"/>
              <w:spacing w:after="0"/>
              <w:rPr>
                <w:sz w:val="20"/>
                <w:szCs w:val="20"/>
                <w:color w:val="auto"/>
              </w:rPr>
            </w:pPr>
            <w:r>
              <w:rPr>
                <w:rFonts w:ascii="Arial" w:cs="Arial" w:eastAsia="Arial" w:hAnsi="Arial"/>
                <w:sz w:val="14"/>
                <w:szCs w:val="14"/>
                <w:color w:val="auto"/>
                <w:w w:val="96"/>
              </w:rPr>
              <w:t>2.3*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80" w:type="dxa"/>
            <w:vAlign w:val="bottom"/>
            <w:tcBorders>
              <w:bottom w:val="single" w:sz="8" w:color="0000FF"/>
            </w:tcBorders>
            <w:gridSpan w:val="10"/>
          </w:tcPr>
          <w:p>
            <w:pPr>
              <w:spacing w:after="0"/>
              <w:rPr>
                <w:rFonts w:ascii="Arial" w:cs="Arial" w:eastAsia="Arial" w:hAnsi="Arial"/>
                <w:sz w:val="14"/>
                <w:szCs w:val="14"/>
                <w:color w:val="0000FF"/>
                <w:w w:val="89"/>
              </w:rPr>
            </w:pPr>
            <w:hyperlink r:id="rId137">
              <w:r>
                <w:rPr>
                  <w:rFonts w:ascii="Arial" w:cs="Arial" w:eastAsia="Arial" w:hAnsi="Arial"/>
                  <w:sz w:val="14"/>
                  <w:szCs w:val="14"/>
                  <w:color w:val="0000FF"/>
                  <w:w w:val="89"/>
                </w:rPr>
                <w:t>Equity Purchase Agreement, dated as of</w:t>
              </w:r>
            </w:hyperlink>
          </w:p>
        </w:tc>
        <w:tc>
          <w:tcPr>
            <w:tcW w:w="560" w:type="dxa"/>
            <w:vAlign w:val="bottom"/>
            <w:gridSpan w:val="14"/>
          </w:tcPr>
          <w:p>
            <w:pPr>
              <w:spacing w:after="0"/>
              <w:rPr>
                <w:sz w:val="15"/>
                <w:szCs w:val="15"/>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2.1</w:t>
            </w: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40" w:type="dxa"/>
            <w:vAlign w:val="bottom"/>
            <w:gridSpan w:val="24"/>
          </w:tcPr>
          <w:p>
            <w:pPr>
              <w:spacing w:after="0" w:line="120" w:lineRule="exact"/>
              <w:rPr>
                <w:rFonts w:ascii="Arial" w:cs="Arial" w:eastAsia="Arial" w:hAnsi="Arial"/>
                <w:sz w:val="13"/>
                <w:szCs w:val="13"/>
                <w:color w:val="0000FF"/>
              </w:rPr>
            </w:pPr>
            <w:hyperlink r:id="rId137">
              <w:r>
                <w:rPr>
                  <w:rFonts w:ascii="Arial" w:cs="Arial" w:eastAsia="Arial" w:hAnsi="Arial"/>
                  <w:sz w:val="13"/>
                  <w:szCs w:val="13"/>
                  <w:color w:val="0000FF"/>
                </w:rPr>
                <w:t>February 24, 2020, by and between CERC</w:t>
              </w:r>
            </w:hyperlink>
          </w:p>
        </w:tc>
        <w:tc>
          <w:tcPr>
            <w:tcW w:w="1740" w:type="dxa"/>
            <w:vAlign w:val="bottom"/>
            <w:gridSpan w:val="2"/>
          </w:tcPr>
          <w:p>
            <w:pPr>
              <w:ind w:left="20"/>
              <w:spacing w:after="0" w:line="120" w:lineRule="exact"/>
              <w:rPr>
                <w:sz w:val="20"/>
                <w:szCs w:val="20"/>
                <w:color w:val="auto"/>
              </w:rPr>
            </w:pPr>
            <w:r>
              <w:rPr>
                <w:rFonts w:ascii="Arial" w:cs="Arial" w:eastAsia="Arial" w:hAnsi="Arial"/>
                <w:sz w:val="13"/>
                <w:szCs w:val="13"/>
                <w:color w:val="auto"/>
              </w:rPr>
              <w:t>8-K dated February 24,</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tcBorders>
              <w:top w:val="single" w:sz="8" w:color="0000FF"/>
            </w:tcBorders>
            <w:gridSpan w:val="14"/>
          </w:tcPr>
          <w:p>
            <w:pPr>
              <w:spacing w:after="0" w:line="127" w:lineRule="exact"/>
              <w:rPr>
                <w:rFonts w:ascii="Arial" w:cs="Arial" w:eastAsia="Arial" w:hAnsi="Arial"/>
                <w:sz w:val="14"/>
                <w:szCs w:val="14"/>
                <w:color w:val="0000FF"/>
                <w:w w:val="92"/>
              </w:rPr>
            </w:pPr>
            <w:hyperlink r:id="rId137">
              <w:r>
                <w:rPr>
                  <w:rFonts w:ascii="Arial" w:cs="Arial" w:eastAsia="Arial" w:hAnsi="Arial"/>
                  <w:sz w:val="14"/>
                  <w:szCs w:val="14"/>
                  <w:color w:val="0000FF"/>
                  <w:w w:val="92"/>
                </w:rPr>
                <w:t>Corp. and Athena Energy Services Buyer,</w:t>
              </w:r>
            </w:hyperlink>
          </w:p>
        </w:tc>
        <w:tc>
          <w:tcPr>
            <w:tcW w:w="420" w:type="dxa"/>
            <w:vAlign w:val="bottom"/>
            <w:gridSpan w:val="10"/>
          </w:tcPr>
          <w:p>
            <w:pPr>
              <w:spacing w:after="0" w:line="127" w:lineRule="exact"/>
              <w:rPr>
                <w:rFonts w:ascii="Arial" w:cs="Arial" w:eastAsia="Arial" w:hAnsi="Arial"/>
                <w:sz w:val="14"/>
                <w:szCs w:val="14"/>
                <w:color w:val="0000FF"/>
              </w:rPr>
            </w:pPr>
            <w:hyperlink r:id="rId137">
              <w:r>
                <w:rPr>
                  <w:rFonts w:ascii="Arial" w:cs="Arial" w:eastAsia="Arial" w:hAnsi="Arial"/>
                  <w:sz w:val="14"/>
                  <w:szCs w:val="14"/>
                  <w:color w:val="0000FF"/>
                </w:rPr>
                <w:t>LLC</w:t>
              </w:r>
            </w:hyperlink>
          </w:p>
        </w:tc>
        <w:tc>
          <w:tcPr>
            <w:tcW w:w="1640" w:type="dxa"/>
            <w:vAlign w:val="bottom"/>
          </w:tcPr>
          <w:p>
            <w:pPr>
              <w:ind w:left="20"/>
              <w:spacing w:after="0" w:line="127" w:lineRule="exact"/>
              <w:rPr>
                <w:sz w:val="20"/>
                <w:szCs w:val="20"/>
                <w:color w:val="auto"/>
              </w:rPr>
            </w:pPr>
            <w:r>
              <w:rPr>
                <w:rFonts w:ascii="Arial" w:cs="Arial" w:eastAsia="Arial" w:hAnsi="Arial"/>
                <w:sz w:val="14"/>
                <w:szCs w:val="14"/>
                <w:color w:val="auto"/>
              </w:rPr>
              <w:t>2020</w:t>
            </w: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60" w:type="dxa"/>
            <w:vAlign w:val="bottom"/>
          </w:tcPr>
          <w:p>
            <w:pPr>
              <w:jc w:val="center"/>
              <w:spacing w:after="0"/>
              <w:rPr>
                <w:sz w:val="20"/>
                <w:szCs w:val="20"/>
                <w:color w:val="auto"/>
              </w:rPr>
            </w:pPr>
            <w:r>
              <w:rPr>
                <w:rFonts w:ascii="Arial" w:cs="Arial" w:eastAsia="Arial" w:hAnsi="Arial"/>
                <w:sz w:val="14"/>
                <w:szCs w:val="14"/>
                <w:color w:val="auto"/>
                <w:w w:val="96"/>
              </w:rPr>
              <w:t>2.4*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60" w:type="dxa"/>
            <w:vAlign w:val="bottom"/>
            <w:tcBorders>
              <w:top w:val="single" w:sz="8" w:color="0000FF"/>
            </w:tcBorders>
            <w:gridSpan w:val="21"/>
          </w:tcPr>
          <w:p>
            <w:pPr>
              <w:spacing w:after="0"/>
              <w:rPr>
                <w:rFonts w:ascii="Arial" w:cs="Arial" w:eastAsia="Arial" w:hAnsi="Arial"/>
                <w:sz w:val="14"/>
                <w:szCs w:val="14"/>
                <w:color w:val="0000FF"/>
                <w:w w:val="95"/>
              </w:rPr>
            </w:pPr>
            <w:hyperlink r:id="rId138">
              <w:r>
                <w:rPr>
                  <w:rFonts w:ascii="Arial" w:cs="Arial" w:eastAsia="Arial" w:hAnsi="Arial"/>
                  <w:sz w:val="14"/>
                  <w:szCs w:val="14"/>
                  <w:color w:val="0000FF"/>
                  <w:w w:val="95"/>
                </w:rPr>
                <w:t>Asset Purchase Agreement, by and between</w:t>
              </w:r>
            </w:hyperlink>
          </w:p>
        </w:tc>
        <w:tc>
          <w:tcPr>
            <w:tcW w:w="180" w:type="dxa"/>
            <w:vAlign w:val="bottom"/>
            <w:gridSpan w:val="3"/>
          </w:tcPr>
          <w:p>
            <w:pPr>
              <w:spacing w:after="0"/>
              <w:rPr>
                <w:sz w:val="15"/>
                <w:szCs w:val="15"/>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2.4</w:t>
            </w: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80" w:type="dxa"/>
            <w:vAlign w:val="bottom"/>
            <w:tcBorders>
              <w:top w:val="single" w:sz="8" w:color="0000FF"/>
            </w:tcBorders>
            <w:gridSpan w:val="17"/>
          </w:tcPr>
          <w:p>
            <w:pPr>
              <w:spacing w:after="0" w:line="120" w:lineRule="exact"/>
              <w:rPr>
                <w:rFonts w:ascii="Arial" w:cs="Arial" w:eastAsia="Arial" w:hAnsi="Arial"/>
                <w:sz w:val="13"/>
                <w:szCs w:val="13"/>
                <w:color w:val="0000FF"/>
              </w:rPr>
            </w:pPr>
            <w:hyperlink r:id="rId138">
              <w:r>
                <w:rPr>
                  <w:rFonts w:ascii="Arial" w:cs="Arial" w:eastAsia="Arial" w:hAnsi="Arial"/>
                  <w:sz w:val="13"/>
                  <w:szCs w:val="13"/>
                  <w:color w:val="0000FF"/>
                </w:rPr>
                <w:t>CenterPoint Energy Resources Corp. and</w:t>
              </w:r>
            </w:hyperlink>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3"/>
          </w:tcPr>
          <w:p>
            <w:pPr>
              <w:spacing w:after="0"/>
              <w:rPr>
                <w:sz w:val="10"/>
                <w:szCs w:val="10"/>
                <w:color w:val="auto"/>
              </w:rPr>
            </w:pPr>
          </w:p>
        </w:tc>
        <w:tc>
          <w:tcPr>
            <w:tcW w:w="120" w:type="dxa"/>
            <w:vAlign w:val="bottom"/>
            <w:gridSpan w:val="2"/>
          </w:tcPr>
          <w:p>
            <w:pPr>
              <w:spacing w:after="0"/>
              <w:rPr>
                <w:sz w:val="10"/>
                <w:szCs w:val="10"/>
                <w:color w:val="auto"/>
              </w:rPr>
            </w:pPr>
          </w:p>
        </w:tc>
        <w:tc>
          <w:tcPr>
            <w:tcW w:w="1740" w:type="dxa"/>
            <w:vAlign w:val="bottom"/>
            <w:gridSpan w:val="2"/>
          </w:tcPr>
          <w:p>
            <w:pPr>
              <w:ind w:left="20"/>
              <w:spacing w:after="0" w:line="120" w:lineRule="exact"/>
              <w:rPr>
                <w:sz w:val="20"/>
                <w:szCs w:val="20"/>
                <w:color w:val="auto"/>
              </w:rPr>
            </w:pPr>
            <w:r>
              <w:rPr>
                <w:rFonts w:ascii="Arial" w:cs="Arial" w:eastAsia="Arial" w:hAnsi="Arial"/>
                <w:sz w:val="13"/>
                <w:szCs w:val="13"/>
                <w:color w:val="auto"/>
              </w:rPr>
              <w:t>10-Q for the quarter ended</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740" w:type="dxa"/>
            <w:vAlign w:val="bottom"/>
            <w:gridSpan w:val="2"/>
            <w:vMerge w:val="restart"/>
          </w:tcPr>
          <w:p>
            <w:pPr>
              <w:ind w:left="20"/>
              <w:spacing w:after="0" w:line="147" w:lineRule="exact"/>
              <w:rPr>
                <w:sz w:val="20"/>
                <w:szCs w:val="20"/>
                <w:color w:val="auto"/>
              </w:rPr>
            </w:pPr>
            <w:r>
              <w:rPr>
                <w:rFonts w:ascii="Arial" w:cs="Arial" w:eastAsia="Arial" w:hAnsi="Arial"/>
                <w:sz w:val="14"/>
                <w:szCs w:val="14"/>
                <w:color w:val="auto"/>
              </w:rPr>
              <w:t>March 31, 2021</w:t>
            </w: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40" w:type="dxa"/>
            <w:vAlign w:val="bottom"/>
            <w:gridSpan w:val="24"/>
          </w:tcPr>
          <w:p>
            <w:pPr>
              <w:spacing w:after="0" w:line="127" w:lineRule="exact"/>
              <w:rPr>
                <w:rFonts w:ascii="Arial" w:cs="Arial" w:eastAsia="Arial" w:hAnsi="Arial"/>
                <w:sz w:val="14"/>
                <w:szCs w:val="14"/>
                <w:color w:val="0000FF"/>
                <w:w w:val="97"/>
              </w:rPr>
            </w:pPr>
            <w:hyperlink r:id="rId138">
              <w:r>
                <w:rPr>
                  <w:rFonts w:ascii="Arial" w:cs="Arial" w:eastAsia="Arial" w:hAnsi="Arial"/>
                  <w:sz w:val="14"/>
                  <w:szCs w:val="14"/>
                  <w:color w:val="0000FF"/>
                  <w:w w:val="97"/>
                </w:rPr>
                <w:t>Southern Col Midco, LLC, dated as of April 29,</w:t>
              </w:r>
            </w:hyperlink>
          </w:p>
        </w:tc>
        <w:tc>
          <w:tcPr>
            <w:tcW w:w="1740" w:type="dxa"/>
            <w:vAlign w:val="bottom"/>
            <w:gridSpan w:val="2"/>
            <w:vMerge w:val="continue"/>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Borders>
              <w:top w:val="single" w:sz="8" w:color="0000FF"/>
              <w:bottom w:val="single" w:sz="8" w:color="0000FF"/>
            </w:tcBorders>
          </w:tcPr>
          <w:p>
            <w:pPr>
              <w:spacing w:after="0" w:line="127" w:lineRule="exact"/>
              <w:rPr>
                <w:rFonts w:ascii="Arial" w:cs="Arial" w:eastAsia="Arial" w:hAnsi="Arial"/>
                <w:sz w:val="14"/>
                <w:szCs w:val="14"/>
                <w:color w:val="0000FF"/>
                <w:w w:val="83"/>
              </w:rPr>
            </w:pPr>
            <w:hyperlink r:id="rId138">
              <w:r>
                <w:rPr>
                  <w:rFonts w:ascii="Arial" w:cs="Arial" w:eastAsia="Arial" w:hAnsi="Arial"/>
                  <w:sz w:val="14"/>
                  <w:szCs w:val="14"/>
                  <w:color w:val="0000FF"/>
                  <w:w w:val="83"/>
                </w:rPr>
                <w:t>2021</w:t>
              </w:r>
            </w:hyperlink>
          </w:p>
        </w:tc>
        <w:tc>
          <w:tcPr>
            <w:tcW w:w="16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7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6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40" w:type="dxa"/>
            <w:vAlign w:val="bottom"/>
            <w:gridSpan w:val="24"/>
          </w:tcPr>
          <w:p>
            <w:pPr>
              <w:spacing w:after="0"/>
              <w:rPr>
                <w:rFonts w:ascii="Arial" w:cs="Arial" w:eastAsia="Arial" w:hAnsi="Arial"/>
                <w:sz w:val="14"/>
                <w:szCs w:val="14"/>
                <w:color w:val="0000FF"/>
              </w:rPr>
            </w:pPr>
            <w:hyperlink r:id="rId139">
              <w:r>
                <w:rPr>
                  <w:rFonts w:ascii="Arial" w:cs="Arial" w:eastAsia="Arial" w:hAnsi="Arial"/>
                  <w:sz w:val="14"/>
                  <w:szCs w:val="14"/>
                  <w:color w:val="0000FF"/>
                </w:rPr>
                <w:t>Restated Articles of Incorporation of</w:t>
              </w:r>
            </w:hyperlink>
          </w:p>
        </w:tc>
        <w:tc>
          <w:tcPr>
            <w:tcW w:w="174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top w:val="single" w:sz="8" w:color="0000FF"/>
              <w:bottom w:val="single" w:sz="8" w:color="0000FF"/>
            </w:tcBorders>
            <w:gridSpan w:val="4"/>
          </w:tcPr>
          <w:p>
            <w:pPr>
              <w:spacing w:after="0" w:line="120" w:lineRule="exact"/>
              <w:rPr>
                <w:rFonts w:ascii="Arial" w:cs="Arial" w:eastAsia="Arial" w:hAnsi="Arial"/>
                <w:sz w:val="13"/>
                <w:szCs w:val="13"/>
                <w:color w:val="0000FF"/>
                <w:w w:val="96"/>
              </w:rPr>
            </w:pPr>
            <w:hyperlink r:id="rId139">
              <w:r>
                <w:rPr>
                  <w:rFonts w:ascii="Arial" w:cs="Arial" w:eastAsia="Arial" w:hAnsi="Arial"/>
                  <w:sz w:val="13"/>
                  <w:szCs w:val="13"/>
                  <w:color w:val="0000FF"/>
                  <w:w w:val="96"/>
                </w:rPr>
                <w:t>CenterPoint Energy</w:t>
              </w:r>
            </w:hyperlink>
          </w:p>
        </w:tc>
        <w:tc>
          <w:tcPr>
            <w:tcW w:w="960" w:type="dxa"/>
            <w:vAlign w:val="bottom"/>
            <w:tcBorders>
              <w:top w:val="single" w:sz="8" w:color="0000FF"/>
            </w:tcBorders>
            <w:gridSpan w:val="3"/>
          </w:tcPr>
          <w:p>
            <w:pPr>
              <w:spacing w:after="0"/>
              <w:rPr>
                <w:sz w:val="10"/>
                <w:szCs w:val="10"/>
                <w:color w:val="auto"/>
              </w:rPr>
            </w:pPr>
          </w:p>
        </w:tc>
        <w:tc>
          <w:tcPr>
            <w:tcW w:w="380" w:type="dxa"/>
            <w:vAlign w:val="bottom"/>
            <w:gridSpan w:val="9"/>
          </w:tcPr>
          <w:p>
            <w:pPr>
              <w:spacing w:after="0"/>
              <w:rPr>
                <w:sz w:val="10"/>
                <w:szCs w:val="10"/>
                <w:color w:val="auto"/>
              </w:rPr>
            </w:pPr>
          </w:p>
        </w:tc>
        <w:tc>
          <w:tcPr>
            <w:tcW w:w="10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gridSpan w:val="5"/>
          </w:tcPr>
          <w:p>
            <w:pPr>
              <w:spacing w:after="0"/>
              <w:rPr>
                <w:sz w:val="10"/>
                <w:szCs w:val="10"/>
                <w:color w:val="auto"/>
              </w:rPr>
            </w:pPr>
          </w:p>
        </w:tc>
        <w:tc>
          <w:tcPr>
            <w:tcW w:w="1740" w:type="dxa"/>
            <w:vAlign w:val="bottom"/>
            <w:gridSpan w:val="2"/>
          </w:tcPr>
          <w:p>
            <w:pPr>
              <w:ind w:left="20"/>
              <w:spacing w:after="0" w:line="120" w:lineRule="exact"/>
              <w:rPr>
                <w:sz w:val="20"/>
                <w:szCs w:val="20"/>
                <w:color w:val="auto"/>
              </w:rPr>
            </w:pPr>
            <w:r>
              <w:rPr>
                <w:rFonts w:ascii="Arial" w:cs="Arial" w:eastAsia="Arial" w:hAnsi="Arial"/>
                <w:sz w:val="13"/>
                <w:szCs w:val="13"/>
                <w:color w:val="auto"/>
              </w:rPr>
              <w:t>8-K dated July 24, 2008</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6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40" w:type="dxa"/>
            <w:vAlign w:val="bottom"/>
            <w:gridSpan w:val="24"/>
          </w:tcPr>
          <w:p>
            <w:pPr>
              <w:spacing w:after="0"/>
              <w:rPr>
                <w:rFonts w:ascii="Arial" w:cs="Arial" w:eastAsia="Arial" w:hAnsi="Arial"/>
                <w:sz w:val="14"/>
                <w:szCs w:val="14"/>
                <w:color w:val="0000FF"/>
              </w:rPr>
            </w:pPr>
            <w:hyperlink r:id="rId140">
              <w:r>
                <w:rPr>
                  <w:rFonts w:ascii="Arial" w:cs="Arial" w:eastAsia="Arial" w:hAnsi="Arial"/>
                  <w:sz w:val="14"/>
                  <w:szCs w:val="14"/>
                  <w:color w:val="0000FF"/>
                </w:rPr>
                <w:t>Restated Certificate of Formation of Houston</w:t>
              </w:r>
            </w:hyperlink>
          </w:p>
        </w:tc>
        <w:tc>
          <w:tcPr>
            <w:tcW w:w="1740" w:type="dxa"/>
            <w:vAlign w:val="bottom"/>
            <w:gridSpan w:val="2"/>
          </w:tcPr>
          <w:p>
            <w:pPr>
              <w:ind w:left="20"/>
              <w:spacing w:after="0"/>
              <w:rPr>
                <w:sz w:val="20"/>
                <w:szCs w:val="20"/>
                <w:color w:val="auto"/>
              </w:rPr>
            </w:pPr>
            <w:r>
              <w:rPr>
                <w:rFonts w:ascii="Arial" w:cs="Arial" w:eastAsia="Arial" w:hAnsi="Arial"/>
                <w:sz w:val="14"/>
                <w:szCs w:val="14"/>
                <w:color w:val="auto"/>
              </w:rPr>
              <w:t>Houston Electric’s Form</w:t>
            </w:r>
          </w:p>
        </w:tc>
        <w:tc>
          <w:tcPr>
            <w:tcW w:w="1100" w:type="dxa"/>
            <w:vAlign w:val="bottom"/>
          </w:tcPr>
          <w:p>
            <w:pPr>
              <w:jc w:val="center"/>
              <w:spacing w:after="0"/>
              <w:rPr>
                <w:sz w:val="20"/>
                <w:szCs w:val="20"/>
                <w:color w:val="auto"/>
              </w:rPr>
            </w:pPr>
            <w:r>
              <w:rPr>
                <w:rFonts w:ascii="Arial" w:cs="Arial" w:eastAsia="Arial" w:hAnsi="Arial"/>
                <w:sz w:val="14"/>
                <w:szCs w:val="14"/>
                <w:color w:val="auto"/>
                <w:w w:val="91"/>
              </w:rPr>
              <w:t>1-3187</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60" w:type="dxa"/>
            <w:vAlign w:val="bottom"/>
            <w:tcBorders>
              <w:top w:val="single" w:sz="8" w:color="0000FF"/>
            </w:tcBorders>
            <w:gridSpan w:val="18"/>
          </w:tcPr>
          <w:p>
            <w:pPr>
              <w:spacing w:after="0" w:line="120" w:lineRule="exact"/>
              <w:rPr>
                <w:rFonts w:ascii="Arial" w:cs="Arial" w:eastAsia="Arial" w:hAnsi="Arial"/>
                <w:sz w:val="13"/>
                <w:szCs w:val="13"/>
                <w:color w:val="0000FF"/>
              </w:rPr>
            </w:pPr>
            <w:hyperlink r:id="rId140">
              <w:r>
                <w:rPr>
                  <w:rFonts w:ascii="Arial" w:cs="Arial" w:eastAsia="Arial" w:hAnsi="Arial"/>
                  <w:sz w:val="13"/>
                  <w:szCs w:val="13"/>
                  <w:color w:val="0000FF"/>
                </w:rPr>
                <w:t>Electric</w:t>
              </w:r>
            </w:hyperlink>
          </w:p>
        </w:tc>
        <w:tc>
          <w:tcPr>
            <w:tcW w:w="20" w:type="dxa"/>
            <w:vAlign w:val="bottom"/>
          </w:tcPr>
          <w:p>
            <w:pPr>
              <w:spacing w:after="0"/>
              <w:rPr>
                <w:sz w:val="10"/>
                <w:szCs w:val="10"/>
                <w:color w:val="auto"/>
              </w:rPr>
            </w:pPr>
          </w:p>
        </w:tc>
        <w:tc>
          <w:tcPr>
            <w:tcW w:w="260" w:type="dxa"/>
            <w:vAlign w:val="bottom"/>
            <w:gridSpan w:val="5"/>
          </w:tcPr>
          <w:p>
            <w:pPr>
              <w:spacing w:after="0"/>
              <w:rPr>
                <w:sz w:val="10"/>
                <w:szCs w:val="10"/>
                <w:color w:val="auto"/>
              </w:rPr>
            </w:pPr>
          </w:p>
        </w:tc>
        <w:tc>
          <w:tcPr>
            <w:tcW w:w="1740" w:type="dxa"/>
            <w:vAlign w:val="bottom"/>
            <w:gridSpan w:val="2"/>
          </w:tcPr>
          <w:p>
            <w:pPr>
              <w:ind w:left="20"/>
              <w:spacing w:after="0" w:line="120" w:lineRule="exact"/>
              <w:rPr>
                <w:sz w:val="20"/>
                <w:szCs w:val="20"/>
                <w:color w:val="auto"/>
              </w:rPr>
            </w:pPr>
            <w:r>
              <w:rPr>
                <w:rFonts w:ascii="Arial" w:cs="Arial" w:eastAsia="Arial" w:hAnsi="Arial"/>
                <w:sz w:val="13"/>
                <w:szCs w:val="13"/>
                <w:color w:val="auto"/>
              </w:rPr>
              <w:t>10-Q for the quarter ended</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color w:val="auto"/>
              </w:rPr>
              <w:t>June 30, 2011</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960" w:type="dxa"/>
            <w:vAlign w:val="bottom"/>
          </w:tcPr>
          <w:p>
            <w:pPr>
              <w:jc w:val="center"/>
              <w:spacing w:after="0" w:line="152" w:lineRule="exact"/>
              <w:rPr>
                <w:sz w:val="20"/>
                <w:szCs w:val="20"/>
                <w:color w:val="auto"/>
              </w:rPr>
            </w:pPr>
            <w:r>
              <w:rPr>
                <w:rFonts w:ascii="Arial" w:cs="Arial" w:eastAsia="Arial" w:hAnsi="Arial"/>
                <w:sz w:val="14"/>
                <w:szCs w:val="14"/>
                <w:color w:val="auto"/>
                <w:w w:val="92"/>
              </w:rPr>
              <w:t>3.3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40" w:type="dxa"/>
            <w:vAlign w:val="bottom"/>
            <w:gridSpan w:val="24"/>
          </w:tcPr>
          <w:p>
            <w:pPr>
              <w:spacing w:after="0" w:line="152" w:lineRule="exact"/>
              <w:rPr>
                <w:rFonts w:ascii="Arial" w:cs="Arial" w:eastAsia="Arial" w:hAnsi="Arial"/>
                <w:sz w:val="14"/>
                <w:szCs w:val="14"/>
                <w:color w:val="0000FF"/>
              </w:rPr>
            </w:pPr>
            <w:hyperlink r:id="rId141">
              <w:r>
                <w:rPr>
                  <w:rFonts w:ascii="Arial" w:cs="Arial" w:eastAsia="Arial" w:hAnsi="Arial"/>
                  <w:sz w:val="14"/>
                  <w:szCs w:val="14"/>
                  <w:color w:val="0000FF"/>
                </w:rPr>
                <w:t>Certificate of Incorporation of RERC Corp.</w:t>
              </w:r>
            </w:hyperlink>
          </w:p>
        </w:tc>
        <w:tc>
          <w:tcPr>
            <w:tcW w:w="1740" w:type="dxa"/>
            <w:vAlign w:val="bottom"/>
            <w:gridSpan w:val="2"/>
          </w:tcPr>
          <w:p>
            <w:pPr>
              <w:ind w:left="20"/>
              <w:spacing w:after="0" w:line="152" w:lineRule="exact"/>
              <w:rPr>
                <w:sz w:val="20"/>
                <w:szCs w:val="20"/>
                <w:color w:val="auto"/>
              </w:rPr>
            </w:pPr>
            <w:r>
              <w:rPr>
                <w:rFonts w:ascii="Arial" w:cs="Arial" w:eastAsia="Arial" w:hAnsi="Arial"/>
                <w:sz w:val="14"/>
                <w:szCs w:val="14"/>
                <w:color w:val="auto"/>
              </w:rPr>
              <w:t>CERC Form 10-K for the</w:t>
            </w:r>
          </w:p>
        </w:tc>
        <w:tc>
          <w:tcPr>
            <w:tcW w:w="1100" w:type="dxa"/>
            <w:vAlign w:val="bottom"/>
          </w:tcPr>
          <w:p>
            <w:pPr>
              <w:jc w:val="center"/>
              <w:spacing w:after="0" w:line="152" w:lineRule="exact"/>
              <w:rPr>
                <w:sz w:val="20"/>
                <w:szCs w:val="20"/>
                <w:color w:val="auto"/>
              </w:rPr>
            </w:pPr>
            <w:r>
              <w:rPr>
                <w:rFonts w:ascii="Arial" w:cs="Arial" w:eastAsia="Arial" w:hAnsi="Arial"/>
                <w:sz w:val="14"/>
                <w:szCs w:val="14"/>
                <w:color w:val="auto"/>
                <w:w w:val="89"/>
              </w:rPr>
              <w:t>1-13265</w:t>
            </w:r>
          </w:p>
        </w:tc>
        <w:tc>
          <w:tcPr>
            <w:tcW w:w="100" w:type="dxa"/>
            <w:vAlign w:val="bottom"/>
          </w:tcPr>
          <w:p>
            <w:pPr>
              <w:spacing w:after="0"/>
              <w:rPr>
                <w:sz w:val="13"/>
                <w:szCs w:val="13"/>
                <w:color w:val="auto"/>
              </w:rPr>
            </w:pPr>
          </w:p>
        </w:tc>
        <w:tc>
          <w:tcPr>
            <w:tcW w:w="1040" w:type="dxa"/>
            <w:vAlign w:val="bottom"/>
            <w:gridSpan w:val="2"/>
          </w:tcPr>
          <w:p>
            <w:pPr>
              <w:jc w:val="center"/>
              <w:ind w:right="120"/>
              <w:spacing w:after="0" w:line="152" w:lineRule="exact"/>
              <w:rPr>
                <w:sz w:val="20"/>
                <w:szCs w:val="20"/>
                <w:color w:val="auto"/>
              </w:rPr>
            </w:pPr>
            <w:r>
              <w:rPr>
                <w:rFonts w:ascii="Arial" w:cs="Arial" w:eastAsia="Arial" w:hAnsi="Arial"/>
                <w:sz w:val="14"/>
                <w:szCs w:val="14"/>
                <w:color w:val="auto"/>
                <w:w w:val="95"/>
              </w:rPr>
              <w:t>3(a)(1)</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spacing w:after="0" w:line="15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14"/>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44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78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year ended December 31,</w:t>
            </w: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ind w:left="20"/>
              <w:spacing w:after="0"/>
              <w:rPr>
                <w:sz w:val="20"/>
                <w:szCs w:val="20"/>
                <w:color w:val="auto"/>
              </w:rPr>
            </w:pPr>
            <w:r>
              <w:rPr>
                <w:rFonts w:ascii="Arial" w:cs="Arial" w:eastAsia="Arial" w:hAnsi="Arial"/>
                <w:sz w:val="14"/>
                <w:szCs w:val="14"/>
                <w:color w:val="auto"/>
              </w:rPr>
              <w:t>1997</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960" w:type="dxa"/>
            <w:vAlign w:val="bottom"/>
          </w:tcPr>
          <w:p>
            <w:pPr>
              <w:jc w:val="center"/>
              <w:spacing w:after="0" w:line="157" w:lineRule="exact"/>
              <w:rPr>
                <w:sz w:val="20"/>
                <w:szCs w:val="20"/>
                <w:color w:val="auto"/>
              </w:rPr>
            </w:pPr>
            <w:r>
              <w:rPr>
                <w:rFonts w:ascii="Arial" w:cs="Arial" w:eastAsia="Arial" w:hAnsi="Arial"/>
                <w:sz w:val="14"/>
                <w:szCs w:val="14"/>
                <w:color w:val="auto"/>
                <w:w w:val="92"/>
              </w:rPr>
              <w:t>3.4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40" w:type="dxa"/>
            <w:vAlign w:val="bottom"/>
            <w:gridSpan w:val="24"/>
          </w:tcPr>
          <w:p>
            <w:pPr>
              <w:spacing w:after="0" w:line="157" w:lineRule="exact"/>
              <w:rPr>
                <w:rFonts w:ascii="Arial" w:cs="Arial" w:eastAsia="Arial" w:hAnsi="Arial"/>
                <w:sz w:val="14"/>
                <w:szCs w:val="14"/>
                <w:color w:val="0000FF"/>
              </w:rPr>
            </w:pPr>
            <w:hyperlink r:id="rId141">
              <w:r>
                <w:rPr>
                  <w:rFonts w:ascii="Arial" w:cs="Arial" w:eastAsia="Arial" w:hAnsi="Arial"/>
                  <w:sz w:val="14"/>
                  <w:szCs w:val="14"/>
                  <w:color w:val="0000FF"/>
                </w:rPr>
                <w:t>Certificate of Merger merging former NorAm</w:t>
              </w:r>
            </w:hyperlink>
          </w:p>
        </w:tc>
        <w:tc>
          <w:tcPr>
            <w:tcW w:w="17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CERC Form 10-K for the</w:t>
            </w:r>
          </w:p>
        </w:tc>
        <w:tc>
          <w:tcPr>
            <w:tcW w:w="1100" w:type="dxa"/>
            <w:vAlign w:val="bottom"/>
          </w:tcPr>
          <w:p>
            <w:pPr>
              <w:jc w:val="center"/>
              <w:spacing w:after="0" w:line="157" w:lineRule="exact"/>
              <w:rPr>
                <w:sz w:val="20"/>
                <w:szCs w:val="20"/>
                <w:color w:val="auto"/>
              </w:rPr>
            </w:pPr>
            <w:r>
              <w:rPr>
                <w:rFonts w:ascii="Arial" w:cs="Arial" w:eastAsia="Arial" w:hAnsi="Arial"/>
                <w:sz w:val="14"/>
                <w:szCs w:val="14"/>
                <w:color w:val="auto"/>
                <w:w w:val="89"/>
              </w:rPr>
              <w:t>1-13265</w:t>
            </w:r>
          </w:p>
        </w:tc>
        <w:tc>
          <w:tcPr>
            <w:tcW w:w="100" w:type="dxa"/>
            <w:vAlign w:val="bottom"/>
          </w:tcPr>
          <w:p>
            <w:pPr>
              <w:spacing w:after="0"/>
              <w:rPr>
                <w:sz w:val="14"/>
                <w:szCs w:val="14"/>
                <w:color w:val="auto"/>
              </w:rPr>
            </w:pPr>
          </w:p>
        </w:tc>
        <w:tc>
          <w:tcPr>
            <w:tcW w:w="1040" w:type="dxa"/>
            <w:vAlign w:val="bottom"/>
            <w:gridSpan w:val="2"/>
          </w:tcPr>
          <w:p>
            <w:pPr>
              <w:jc w:val="center"/>
              <w:ind w:right="120"/>
              <w:spacing w:after="0" w:line="157" w:lineRule="exact"/>
              <w:rPr>
                <w:sz w:val="20"/>
                <w:szCs w:val="20"/>
                <w:color w:val="auto"/>
              </w:rPr>
            </w:pPr>
            <w:r>
              <w:rPr>
                <w:rFonts w:ascii="Arial" w:cs="Arial" w:eastAsia="Arial" w:hAnsi="Arial"/>
                <w:sz w:val="14"/>
                <w:szCs w:val="14"/>
                <w:color w:val="auto"/>
                <w:w w:val="95"/>
              </w:rPr>
              <w:t>3(a)(2)</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line="157"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80" w:type="dxa"/>
            <w:vAlign w:val="bottom"/>
            <w:tcBorders>
              <w:top w:val="single" w:sz="8" w:color="0000FF"/>
            </w:tcBorders>
            <w:gridSpan w:val="19"/>
          </w:tcPr>
          <w:p>
            <w:pPr>
              <w:spacing w:after="0" w:line="120" w:lineRule="exact"/>
              <w:rPr>
                <w:rFonts w:ascii="Arial" w:cs="Arial" w:eastAsia="Arial" w:hAnsi="Arial"/>
                <w:sz w:val="13"/>
                <w:szCs w:val="13"/>
                <w:color w:val="0000FF"/>
              </w:rPr>
            </w:pPr>
            <w:hyperlink r:id="rId141">
              <w:r>
                <w:rPr>
                  <w:rFonts w:ascii="Arial" w:cs="Arial" w:eastAsia="Arial" w:hAnsi="Arial"/>
                  <w:sz w:val="13"/>
                  <w:szCs w:val="13"/>
                  <w:color w:val="0000FF"/>
                </w:rPr>
                <w:t>Energy Corp. with and into HI Merger, Inc.</w:t>
              </w:r>
            </w:hyperlink>
          </w:p>
        </w:tc>
        <w:tc>
          <w:tcPr>
            <w:tcW w:w="260" w:type="dxa"/>
            <w:vAlign w:val="bottom"/>
            <w:gridSpan w:val="5"/>
          </w:tcPr>
          <w:p>
            <w:pPr>
              <w:spacing w:after="0"/>
              <w:rPr>
                <w:sz w:val="10"/>
                <w:szCs w:val="10"/>
                <w:color w:val="auto"/>
              </w:rPr>
            </w:pPr>
          </w:p>
        </w:tc>
        <w:tc>
          <w:tcPr>
            <w:tcW w:w="1740" w:type="dxa"/>
            <w:vAlign w:val="bottom"/>
            <w:gridSpan w:val="2"/>
          </w:tcPr>
          <w:p>
            <w:pPr>
              <w:ind w:left="20"/>
              <w:spacing w:after="0" w:line="120" w:lineRule="exact"/>
              <w:rPr>
                <w:sz w:val="20"/>
                <w:szCs w:val="20"/>
                <w:color w:val="auto"/>
              </w:rPr>
            </w:pPr>
            <w:r>
              <w:rPr>
                <w:rFonts w:ascii="Arial" w:cs="Arial" w:eastAsia="Arial" w:hAnsi="Arial"/>
                <w:sz w:val="13"/>
                <w:szCs w:val="13"/>
                <w:color w:val="auto"/>
              </w:rPr>
              <w:t>year ended December 31,</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60" w:type="dxa"/>
            <w:vAlign w:val="bottom"/>
            <w:tcBorders>
              <w:top w:val="single" w:sz="8" w:color="0000FF"/>
            </w:tcBorders>
            <w:gridSpan w:val="16"/>
          </w:tcPr>
          <w:p>
            <w:pPr>
              <w:spacing w:after="0" w:line="127" w:lineRule="exact"/>
              <w:rPr>
                <w:rFonts w:ascii="Arial" w:cs="Arial" w:eastAsia="Arial" w:hAnsi="Arial"/>
                <w:sz w:val="14"/>
                <w:szCs w:val="14"/>
                <w:color w:val="0000FF"/>
              </w:rPr>
            </w:pPr>
            <w:hyperlink r:id="rId141">
              <w:r>
                <w:rPr>
                  <w:rFonts w:ascii="Arial" w:cs="Arial" w:eastAsia="Arial" w:hAnsi="Arial"/>
                  <w:sz w:val="14"/>
                  <w:szCs w:val="14"/>
                  <w:color w:val="0000FF"/>
                </w:rPr>
                <w:t>dated August 6, 1997</w:t>
              </w:r>
            </w:hyperlink>
          </w:p>
        </w:tc>
        <w:tc>
          <w:tcPr>
            <w:tcW w:w="380" w:type="dxa"/>
            <w:vAlign w:val="bottom"/>
            <w:gridSpan w:val="8"/>
          </w:tcPr>
          <w:p>
            <w:pPr>
              <w:spacing w:after="0"/>
              <w:rPr>
                <w:sz w:val="10"/>
                <w:szCs w:val="10"/>
                <w:color w:val="auto"/>
              </w:rPr>
            </w:pPr>
          </w:p>
        </w:tc>
        <w:tc>
          <w:tcPr>
            <w:tcW w:w="1640" w:type="dxa"/>
            <w:vAlign w:val="bottom"/>
          </w:tcPr>
          <w:p>
            <w:pPr>
              <w:ind w:left="20"/>
              <w:spacing w:after="0" w:line="127" w:lineRule="exact"/>
              <w:rPr>
                <w:sz w:val="20"/>
                <w:szCs w:val="20"/>
                <w:color w:val="auto"/>
              </w:rPr>
            </w:pPr>
            <w:r>
              <w:rPr>
                <w:rFonts w:ascii="Arial" w:cs="Arial" w:eastAsia="Arial" w:hAnsi="Arial"/>
                <w:sz w:val="14"/>
                <w:szCs w:val="14"/>
                <w:color w:val="auto"/>
              </w:rPr>
              <w:t>1997</w:t>
            </w: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Report or Registration</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SEC File or</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CenterPoint</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0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gridSpan w:val="38"/>
            <w:vMerge w:val="restart"/>
          </w:tcPr>
          <w:p>
            <w:pPr>
              <w:ind w:left="480"/>
              <w:spacing w:after="0"/>
              <w:rPr>
                <w:sz w:val="20"/>
                <w:szCs w:val="20"/>
                <w:color w:val="auto"/>
              </w:rPr>
            </w:pPr>
            <w:r>
              <w:rPr>
                <w:rFonts w:ascii="Arial" w:cs="Arial" w:eastAsia="Arial" w:hAnsi="Arial"/>
                <w:sz w:val="14"/>
                <w:szCs w:val="14"/>
                <w:b w:val="1"/>
                <w:bCs w:val="1"/>
                <w:color w:val="auto"/>
              </w:rPr>
              <w:t>Description</w:t>
            </w:r>
          </w:p>
        </w:tc>
        <w:tc>
          <w:tcPr>
            <w:tcW w:w="1680" w:type="dxa"/>
            <w:vAlign w:val="bottom"/>
            <w:gridSpan w:val="2"/>
            <w:vMerge w:val="continue"/>
          </w:tcPr>
          <w:p>
            <w:pPr>
              <w:spacing w:after="0"/>
              <w:rPr>
                <w:sz w:val="12"/>
                <w:szCs w:val="12"/>
                <w:color w:val="auto"/>
              </w:rPr>
            </w:pPr>
          </w:p>
        </w:tc>
        <w:tc>
          <w:tcPr>
            <w:tcW w:w="120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0"/>
              </w:rPr>
              <w:t>Registration</w:t>
            </w:r>
          </w:p>
        </w:tc>
        <w:tc>
          <w:tcPr>
            <w:tcW w:w="104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3"/>
        </w:trPr>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38"/>
            <w:vMerge w:val="continue"/>
          </w:tcPr>
          <w:p>
            <w:pPr>
              <w:spacing w:after="0"/>
              <w:rPr>
                <w:sz w:val="16"/>
                <w:szCs w:val="16"/>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Statement</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Reference</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Energy</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Electric</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9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color w:val="auto"/>
                <w:w w:val="92"/>
              </w:rPr>
              <w:t>3.5</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80" w:type="dxa"/>
            <w:vAlign w:val="bottom"/>
            <w:tcBorders>
              <w:top w:val="single" w:sz="8" w:color="auto"/>
            </w:tcBorders>
            <w:gridSpan w:val="40"/>
          </w:tcPr>
          <w:p>
            <w:pPr>
              <w:spacing w:after="0" w:line="133" w:lineRule="exact"/>
              <w:rPr>
                <w:rFonts w:ascii="Arial" w:cs="Arial" w:eastAsia="Arial" w:hAnsi="Arial"/>
                <w:sz w:val="14"/>
                <w:szCs w:val="14"/>
                <w:color w:val="0000FF"/>
              </w:rPr>
            </w:pPr>
            <w:hyperlink r:id="rId143">
              <w:r>
                <w:rPr>
                  <w:rFonts w:ascii="Arial" w:cs="Arial" w:eastAsia="Arial" w:hAnsi="Arial"/>
                  <w:sz w:val="14"/>
                  <w:szCs w:val="14"/>
                  <w:color w:val="0000FF"/>
                </w:rPr>
                <w:t>Certificate of Amendment changing the name</w:t>
              </w:r>
            </w:hyperlink>
          </w:p>
        </w:tc>
        <w:tc>
          <w:tcPr>
            <w:tcW w:w="20" w:type="dxa"/>
            <w:vAlign w:val="bottom"/>
          </w:tcPr>
          <w:p>
            <w:pPr>
              <w:spacing w:after="0"/>
              <w:rPr>
                <w:sz w:val="12"/>
                <w:szCs w:val="12"/>
                <w:color w:val="auto"/>
              </w:rPr>
            </w:pPr>
          </w:p>
        </w:tc>
        <w:tc>
          <w:tcPr>
            <w:tcW w:w="1580" w:type="dxa"/>
            <w:vAlign w:val="bottom"/>
            <w:tcBorders>
              <w:top w:val="single" w:sz="8" w:color="auto"/>
            </w:tcBorders>
          </w:tcPr>
          <w:p>
            <w:pPr>
              <w:spacing w:after="0" w:line="133" w:lineRule="exact"/>
              <w:rPr>
                <w:sz w:val="20"/>
                <w:szCs w:val="20"/>
                <w:color w:val="auto"/>
              </w:rPr>
            </w:pPr>
            <w:r>
              <w:rPr>
                <w:rFonts w:ascii="Arial" w:cs="Arial" w:eastAsia="Arial" w:hAnsi="Arial"/>
                <w:sz w:val="14"/>
                <w:szCs w:val="14"/>
                <w:color w:val="auto"/>
              </w:rPr>
              <w:t>CERC Form 10-K for the</w:t>
            </w:r>
          </w:p>
        </w:tc>
        <w:tc>
          <w:tcPr>
            <w:tcW w:w="100" w:type="dxa"/>
            <w:vAlign w:val="bottom"/>
          </w:tcPr>
          <w:p>
            <w:pPr>
              <w:spacing w:after="0"/>
              <w:rPr>
                <w:sz w:val="12"/>
                <w:szCs w:val="12"/>
                <w:color w:val="auto"/>
              </w:rPr>
            </w:pPr>
          </w:p>
        </w:tc>
        <w:tc>
          <w:tcPr>
            <w:tcW w:w="11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color w:val="auto"/>
                <w:w w:val="89"/>
              </w:rPr>
              <w:t>1-13265</w:t>
            </w:r>
          </w:p>
        </w:tc>
        <w:tc>
          <w:tcPr>
            <w:tcW w:w="100" w:type="dxa"/>
            <w:vAlign w:val="bottom"/>
          </w:tcPr>
          <w:p>
            <w:pPr>
              <w:spacing w:after="0"/>
              <w:rPr>
                <w:sz w:val="12"/>
                <w:szCs w:val="12"/>
                <w:color w:val="auto"/>
              </w:rPr>
            </w:pPr>
          </w:p>
        </w:tc>
        <w:tc>
          <w:tcPr>
            <w:tcW w:w="9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color w:val="auto"/>
                <w:w w:val="95"/>
              </w:rPr>
              <w:t>3(a)(3)</w:t>
            </w:r>
          </w:p>
        </w:tc>
        <w:tc>
          <w:tcPr>
            <w:tcW w:w="1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40" w:type="dxa"/>
            <w:vAlign w:val="bottom"/>
            <w:tcBorders>
              <w:top w:val="single" w:sz="8" w:color="0000FF"/>
            </w:tcBorders>
            <w:gridSpan w:val="28"/>
          </w:tcPr>
          <w:p>
            <w:pPr>
              <w:spacing w:after="0" w:line="120" w:lineRule="exact"/>
              <w:rPr>
                <w:rFonts w:ascii="Arial" w:cs="Arial" w:eastAsia="Arial" w:hAnsi="Arial"/>
                <w:sz w:val="13"/>
                <w:szCs w:val="13"/>
                <w:color w:val="0000FF"/>
              </w:rPr>
            </w:pPr>
            <w:hyperlink r:id="rId143">
              <w:r>
                <w:rPr>
                  <w:rFonts w:ascii="Arial" w:cs="Arial" w:eastAsia="Arial" w:hAnsi="Arial"/>
                  <w:sz w:val="13"/>
                  <w:szCs w:val="13"/>
                  <w:color w:val="0000FF"/>
                </w:rPr>
                <w:t>to Reliant Energy Resources Corp.</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680" w:type="dxa"/>
            <w:vAlign w:val="bottom"/>
            <w:gridSpan w:val="2"/>
          </w:tcPr>
          <w:p>
            <w:pPr>
              <w:spacing w:after="0" w:line="120" w:lineRule="exact"/>
              <w:rPr>
                <w:sz w:val="20"/>
                <w:szCs w:val="20"/>
                <w:color w:val="auto"/>
              </w:rPr>
            </w:pPr>
            <w:r>
              <w:rPr>
                <w:rFonts w:ascii="Arial" w:cs="Arial" w:eastAsia="Arial" w:hAnsi="Arial"/>
                <w:sz w:val="13"/>
                <w:szCs w:val="13"/>
                <w:color w:val="auto"/>
              </w:rPr>
              <w:t>year ended December 31,</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20"/>
                <w:szCs w:val="20"/>
                <w:color w:val="auto"/>
              </w:rPr>
            </w:pPr>
            <w:r>
              <w:rPr>
                <w:rFonts w:ascii="Arial" w:cs="Arial" w:eastAsia="Arial" w:hAnsi="Arial"/>
                <w:sz w:val="14"/>
                <w:szCs w:val="14"/>
                <w:color w:val="auto"/>
              </w:rPr>
              <w:t>1998</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960" w:type="dxa"/>
            <w:vAlign w:val="bottom"/>
          </w:tcPr>
          <w:p>
            <w:pPr>
              <w:jc w:val="center"/>
              <w:spacing w:after="0" w:line="152" w:lineRule="exact"/>
              <w:rPr>
                <w:sz w:val="20"/>
                <w:szCs w:val="20"/>
                <w:color w:val="auto"/>
              </w:rPr>
            </w:pPr>
            <w:r>
              <w:rPr>
                <w:rFonts w:ascii="Arial" w:cs="Arial" w:eastAsia="Arial" w:hAnsi="Arial"/>
                <w:sz w:val="14"/>
                <w:szCs w:val="14"/>
                <w:color w:val="auto"/>
                <w:w w:val="92"/>
              </w:rPr>
              <w:t>3.6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00" w:type="dxa"/>
            <w:vAlign w:val="bottom"/>
            <w:gridSpan w:val="41"/>
          </w:tcPr>
          <w:p>
            <w:pPr>
              <w:spacing w:after="0" w:line="152" w:lineRule="exact"/>
              <w:rPr>
                <w:rFonts w:ascii="Arial" w:cs="Arial" w:eastAsia="Arial" w:hAnsi="Arial"/>
                <w:sz w:val="14"/>
                <w:szCs w:val="14"/>
                <w:color w:val="0000FF"/>
              </w:rPr>
            </w:pPr>
            <w:hyperlink r:id="rId144">
              <w:r>
                <w:rPr>
                  <w:rFonts w:ascii="Arial" w:cs="Arial" w:eastAsia="Arial" w:hAnsi="Arial"/>
                  <w:sz w:val="14"/>
                  <w:szCs w:val="14"/>
                  <w:color w:val="0000FF"/>
                </w:rPr>
                <w:t>Certificate of Amendment changing the name</w:t>
              </w:r>
            </w:hyperlink>
          </w:p>
        </w:tc>
        <w:tc>
          <w:tcPr>
            <w:tcW w:w="1680" w:type="dxa"/>
            <w:vAlign w:val="bottom"/>
            <w:gridSpan w:val="2"/>
          </w:tcPr>
          <w:p>
            <w:pPr>
              <w:spacing w:after="0" w:line="152" w:lineRule="exact"/>
              <w:rPr>
                <w:sz w:val="20"/>
                <w:szCs w:val="20"/>
                <w:color w:val="auto"/>
              </w:rPr>
            </w:pPr>
            <w:r>
              <w:rPr>
                <w:rFonts w:ascii="Arial" w:cs="Arial" w:eastAsia="Arial" w:hAnsi="Arial"/>
                <w:sz w:val="14"/>
                <w:szCs w:val="14"/>
                <w:color w:val="auto"/>
              </w:rPr>
              <w:t>CERC Form 10-Q for the</w:t>
            </w:r>
          </w:p>
        </w:tc>
        <w:tc>
          <w:tcPr>
            <w:tcW w:w="1100" w:type="dxa"/>
            <w:vAlign w:val="bottom"/>
          </w:tcPr>
          <w:p>
            <w:pPr>
              <w:jc w:val="center"/>
              <w:spacing w:after="0" w:line="152" w:lineRule="exact"/>
              <w:rPr>
                <w:sz w:val="20"/>
                <w:szCs w:val="20"/>
                <w:color w:val="auto"/>
              </w:rPr>
            </w:pPr>
            <w:r>
              <w:rPr>
                <w:rFonts w:ascii="Arial" w:cs="Arial" w:eastAsia="Arial" w:hAnsi="Arial"/>
                <w:sz w:val="14"/>
                <w:szCs w:val="14"/>
                <w:color w:val="auto"/>
                <w:w w:val="89"/>
              </w:rPr>
              <w:t>1-13265</w:t>
            </w:r>
          </w:p>
        </w:tc>
        <w:tc>
          <w:tcPr>
            <w:tcW w:w="100" w:type="dxa"/>
            <w:vAlign w:val="bottom"/>
          </w:tcPr>
          <w:p>
            <w:pPr>
              <w:spacing w:after="0"/>
              <w:rPr>
                <w:sz w:val="13"/>
                <w:szCs w:val="13"/>
                <w:color w:val="auto"/>
              </w:rPr>
            </w:pPr>
          </w:p>
        </w:tc>
        <w:tc>
          <w:tcPr>
            <w:tcW w:w="1040" w:type="dxa"/>
            <w:vAlign w:val="bottom"/>
            <w:gridSpan w:val="2"/>
          </w:tcPr>
          <w:p>
            <w:pPr>
              <w:jc w:val="center"/>
              <w:ind w:right="120"/>
              <w:spacing w:after="0" w:line="152" w:lineRule="exact"/>
              <w:rPr>
                <w:sz w:val="20"/>
                <w:szCs w:val="20"/>
                <w:color w:val="auto"/>
              </w:rPr>
            </w:pPr>
            <w:r>
              <w:rPr>
                <w:rFonts w:ascii="Arial" w:cs="Arial" w:eastAsia="Arial" w:hAnsi="Arial"/>
                <w:sz w:val="14"/>
                <w:szCs w:val="14"/>
                <w:color w:val="auto"/>
                <w:w w:val="95"/>
              </w:rPr>
              <w:t>3(a)(4)</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spacing w:after="0" w:line="15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40" w:type="dxa"/>
            <w:vAlign w:val="bottom"/>
            <w:tcBorders>
              <w:top w:val="single" w:sz="8" w:color="0000FF"/>
            </w:tcBorders>
            <w:gridSpan w:val="28"/>
          </w:tcPr>
          <w:p>
            <w:pPr>
              <w:spacing w:after="0" w:line="120" w:lineRule="exact"/>
              <w:rPr>
                <w:rFonts w:ascii="Arial" w:cs="Arial" w:eastAsia="Arial" w:hAnsi="Arial"/>
                <w:sz w:val="13"/>
                <w:szCs w:val="13"/>
                <w:color w:val="0000FF"/>
              </w:rPr>
            </w:pPr>
            <w:hyperlink r:id="rId144">
              <w:r>
                <w:rPr>
                  <w:rFonts w:ascii="Arial" w:cs="Arial" w:eastAsia="Arial" w:hAnsi="Arial"/>
                  <w:sz w:val="13"/>
                  <w:szCs w:val="13"/>
                  <w:color w:val="0000FF"/>
                </w:rPr>
                <w:t>to CenterPoint Energy Resources Corp.</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680" w:type="dxa"/>
            <w:vAlign w:val="bottom"/>
            <w:gridSpan w:val="2"/>
          </w:tcPr>
          <w:p>
            <w:pPr>
              <w:spacing w:after="0" w:line="120" w:lineRule="exact"/>
              <w:rPr>
                <w:sz w:val="20"/>
                <w:szCs w:val="20"/>
                <w:color w:val="auto"/>
              </w:rPr>
            </w:pPr>
            <w:r>
              <w:rPr>
                <w:rFonts w:ascii="Arial" w:cs="Arial" w:eastAsia="Arial" w:hAnsi="Arial"/>
                <w:sz w:val="13"/>
                <w:szCs w:val="13"/>
                <w:color w:val="auto"/>
              </w:rPr>
              <w:t>quarter ended June 30,</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20"/>
                <w:szCs w:val="20"/>
                <w:color w:val="auto"/>
              </w:rPr>
            </w:pPr>
            <w:r>
              <w:rPr>
                <w:rFonts w:ascii="Arial" w:cs="Arial" w:eastAsia="Arial" w:hAnsi="Arial"/>
                <w:sz w:val="14"/>
                <w:szCs w:val="14"/>
                <w:color w:val="auto"/>
              </w:rPr>
              <w:t>2003</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960" w:type="dxa"/>
            <w:vAlign w:val="bottom"/>
          </w:tcPr>
          <w:p>
            <w:pPr>
              <w:jc w:val="center"/>
              <w:spacing w:after="0" w:line="152" w:lineRule="exact"/>
              <w:rPr>
                <w:sz w:val="20"/>
                <w:szCs w:val="20"/>
                <w:color w:val="auto"/>
              </w:rPr>
            </w:pPr>
            <w:r>
              <w:rPr>
                <w:rFonts w:ascii="Arial" w:cs="Arial" w:eastAsia="Arial" w:hAnsi="Arial"/>
                <w:sz w:val="14"/>
                <w:szCs w:val="14"/>
                <w:color w:val="auto"/>
                <w:w w:val="92"/>
              </w:rPr>
              <w:t>3.7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00" w:type="dxa"/>
            <w:vAlign w:val="bottom"/>
            <w:gridSpan w:val="41"/>
          </w:tcPr>
          <w:p>
            <w:pPr>
              <w:spacing w:after="0" w:line="152" w:lineRule="exact"/>
              <w:rPr>
                <w:rFonts w:ascii="Arial" w:cs="Arial" w:eastAsia="Arial" w:hAnsi="Arial"/>
                <w:sz w:val="14"/>
                <w:szCs w:val="14"/>
                <w:color w:val="0000FF"/>
              </w:rPr>
            </w:pPr>
            <w:hyperlink r:id="rId145">
              <w:r>
                <w:rPr>
                  <w:rFonts w:ascii="Arial" w:cs="Arial" w:eastAsia="Arial" w:hAnsi="Arial"/>
                  <w:sz w:val="14"/>
                  <w:szCs w:val="14"/>
                  <w:color w:val="0000FF"/>
                </w:rPr>
                <w:t>Third Amended and Restated Bylaws of</w:t>
              </w:r>
            </w:hyperlink>
          </w:p>
        </w:tc>
        <w:tc>
          <w:tcPr>
            <w:tcW w:w="1680" w:type="dxa"/>
            <w:vAlign w:val="bottom"/>
            <w:gridSpan w:val="2"/>
          </w:tcPr>
          <w:p>
            <w:pPr>
              <w:spacing w:after="0" w:line="152" w:lineRule="exact"/>
              <w:rPr>
                <w:sz w:val="20"/>
                <w:szCs w:val="20"/>
                <w:color w:val="auto"/>
              </w:rPr>
            </w:pPr>
            <w:r>
              <w:rPr>
                <w:rFonts w:ascii="Arial" w:cs="Arial" w:eastAsia="Arial" w:hAnsi="Arial"/>
                <w:sz w:val="14"/>
                <w:szCs w:val="14"/>
                <w:color w:val="auto"/>
                <w:w w:val="98"/>
              </w:rPr>
              <w:t>CenterPoint Energy’s Form</w:t>
            </w:r>
          </w:p>
        </w:tc>
        <w:tc>
          <w:tcPr>
            <w:tcW w:w="1100" w:type="dxa"/>
            <w:vAlign w:val="bottom"/>
          </w:tcPr>
          <w:p>
            <w:pPr>
              <w:jc w:val="center"/>
              <w:spacing w:after="0" w:line="152" w:lineRule="exact"/>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13"/>
                <w:szCs w:val="13"/>
                <w:color w:val="auto"/>
              </w:rPr>
            </w:pPr>
          </w:p>
        </w:tc>
        <w:tc>
          <w:tcPr>
            <w:tcW w:w="920" w:type="dxa"/>
            <w:vAlign w:val="bottom"/>
          </w:tcPr>
          <w:p>
            <w:pPr>
              <w:jc w:val="center"/>
              <w:spacing w:after="0" w:line="152" w:lineRule="exact"/>
              <w:rPr>
                <w:sz w:val="20"/>
                <w:szCs w:val="20"/>
                <w:color w:val="auto"/>
              </w:rPr>
            </w:pPr>
            <w:r>
              <w:rPr>
                <w:rFonts w:ascii="Arial" w:cs="Arial" w:eastAsia="Arial" w:hAnsi="Arial"/>
                <w:sz w:val="14"/>
                <w:szCs w:val="14"/>
                <w:color w:val="auto"/>
                <w:w w:val="92"/>
              </w:rPr>
              <w:t>3.1</w:t>
            </w:r>
          </w:p>
        </w:tc>
        <w:tc>
          <w:tcPr>
            <w:tcW w:w="120" w:type="dxa"/>
            <w:vAlign w:val="bottom"/>
          </w:tcPr>
          <w:p>
            <w:pPr>
              <w:spacing w:after="0"/>
              <w:rPr>
                <w:sz w:val="13"/>
                <w:szCs w:val="13"/>
                <w:color w:val="auto"/>
              </w:rPr>
            </w:pPr>
          </w:p>
        </w:tc>
        <w:tc>
          <w:tcPr>
            <w:tcW w:w="1200" w:type="dxa"/>
            <w:vAlign w:val="bottom"/>
            <w:gridSpan w:val="2"/>
          </w:tcPr>
          <w:p>
            <w:pPr>
              <w:jc w:val="center"/>
              <w:ind w:right="120"/>
              <w:spacing w:after="0" w:line="152" w:lineRule="exact"/>
              <w:rPr>
                <w:sz w:val="20"/>
                <w:szCs w:val="20"/>
                <w:color w:val="auto"/>
              </w:rPr>
            </w:pPr>
            <w:r>
              <w:rPr>
                <w:rFonts w:ascii="Arial" w:cs="Arial" w:eastAsia="Arial" w:hAnsi="Arial"/>
                <w:sz w:val="14"/>
                <w:szCs w:val="14"/>
                <w:color w:val="auto"/>
              </w:rPr>
              <w:t>x</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80" w:type="dxa"/>
            <w:vAlign w:val="bottom"/>
            <w:tcBorders>
              <w:top w:val="single" w:sz="8" w:color="0000FF"/>
            </w:tcBorders>
            <w:gridSpan w:val="14"/>
          </w:tcPr>
          <w:p>
            <w:pPr>
              <w:spacing w:after="0" w:line="120" w:lineRule="exact"/>
              <w:rPr>
                <w:rFonts w:ascii="Arial" w:cs="Arial" w:eastAsia="Arial" w:hAnsi="Arial"/>
                <w:sz w:val="13"/>
                <w:szCs w:val="13"/>
                <w:color w:val="0000FF"/>
              </w:rPr>
            </w:pPr>
            <w:hyperlink r:id="rId145">
              <w:r>
                <w:rPr>
                  <w:rFonts w:ascii="Arial" w:cs="Arial" w:eastAsia="Arial" w:hAnsi="Arial"/>
                  <w:sz w:val="13"/>
                  <w:szCs w:val="13"/>
                  <w:color w:val="0000FF"/>
                </w:rPr>
                <w:t>CenterPoint Energy</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680" w:type="dxa"/>
            <w:vAlign w:val="bottom"/>
            <w:gridSpan w:val="2"/>
          </w:tcPr>
          <w:p>
            <w:pPr>
              <w:spacing w:after="0" w:line="120" w:lineRule="exact"/>
              <w:rPr>
                <w:sz w:val="20"/>
                <w:szCs w:val="20"/>
                <w:color w:val="auto"/>
              </w:rPr>
            </w:pPr>
            <w:r>
              <w:rPr>
                <w:rFonts w:ascii="Arial" w:cs="Arial" w:eastAsia="Arial" w:hAnsi="Arial"/>
                <w:sz w:val="13"/>
                <w:szCs w:val="13"/>
                <w:color w:val="auto"/>
              </w:rPr>
              <w:t>8-K dated February 21,</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960" w:type="dxa"/>
            <w:vAlign w:val="bottom"/>
          </w:tcPr>
          <w:p>
            <w:pPr>
              <w:jc w:val="center"/>
              <w:spacing w:after="0" w:line="152" w:lineRule="exact"/>
              <w:rPr>
                <w:sz w:val="20"/>
                <w:szCs w:val="20"/>
                <w:color w:val="auto"/>
              </w:rPr>
            </w:pPr>
            <w:r>
              <w:rPr>
                <w:rFonts w:ascii="Arial" w:cs="Arial" w:eastAsia="Arial" w:hAnsi="Arial"/>
                <w:sz w:val="14"/>
                <w:szCs w:val="14"/>
                <w:color w:val="auto"/>
                <w:w w:val="92"/>
              </w:rPr>
              <w:t>3.8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00" w:type="dxa"/>
            <w:vAlign w:val="bottom"/>
            <w:gridSpan w:val="41"/>
          </w:tcPr>
          <w:p>
            <w:pPr>
              <w:spacing w:after="0" w:line="152" w:lineRule="exact"/>
              <w:rPr>
                <w:rFonts w:ascii="Arial" w:cs="Arial" w:eastAsia="Arial" w:hAnsi="Arial"/>
                <w:sz w:val="14"/>
                <w:szCs w:val="14"/>
                <w:color w:val="0000FF"/>
              </w:rPr>
            </w:pPr>
            <w:hyperlink r:id="rId146">
              <w:r>
                <w:rPr>
                  <w:rFonts w:ascii="Arial" w:cs="Arial" w:eastAsia="Arial" w:hAnsi="Arial"/>
                  <w:sz w:val="14"/>
                  <w:szCs w:val="14"/>
                  <w:color w:val="0000FF"/>
                </w:rPr>
                <w:t>Amended and Restated Limited Liability</w:t>
              </w:r>
            </w:hyperlink>
          </w:p>
        </w:tc>
        <w:tc>
          <w:tcPr>
            <w:tcW w:w="1680" w:type="dxa"/>
            <w:vAlign w:val="bottom"/>
            <w:gridSpan w:val="2"/>
          </w:tcPr>
          <w:p>
            <w:pPr>
              <w:spacing w:after="0" w:line="152" w:lineRule="exact"/>
              <w:rPr>
                <w:sz w:val="20"/>
                <w:szCs w:val="20"/>
                <w:color w:val="auto"/>
              </w:rPr>
            </w:pPr>
            <w:r>
              <w:rPr>
                <w:rFonts w:ascii="Arial" w:cs="Arial" w:eastAsia="Arial" w:hAnsi="Arial"/>
                <w:sz w:val="14"/>
                <w:szCs w:val="14"/>
                <w:color w:val="auto"/>
              </w:rPr>
              <w:t>Houston Electric’s Form</w:t>
            </w:r>
          </w:p>
        </w:tc>
        <w:tc>
          <w:tcPr>
            <w:tcW w:w="1100" w:type="dxa"/>
            <w:vAlign w:val="bottom"/>
          </w:tcPr>
          <w:p>
            <w:pPr>
              <w:jc w:val="center"/>
              <w:spacing w:after="0" w:line="152" w:lineRule="exact"/>
              <w:rPr>
                <w:sz w:val="20"/>
                <w:szCs w:val="20"/>
                <w:color w:val="auto"/>
              </w:rPr>
            </w:pPr>
            <w:r>
              <w:rPr>
                <w:rFonts w:ascii="Arial" w:cs="Arial" w:eastAsia="Arial" w:hAnsi="Arial"/>
                <w:sz w:val="14"/>
                <w:szCs w:val="14"/>
                <w:color w:val="auto"/>
                <w:w w:val="91"/>
              </w:rPr>
              <w:t>1-3187</w:t>
            </w:r>
          </w:p>
        </w:tc>
        <w:tc>
          <w:tcPr>
            <w:tcW w:w="100" w:type="dxa"/>
            <w:vAlign w:val="bottom"/>
          </w:tcPr>
          <w:p>
            <w:pPr>
              <w:spacing w:after="0"/>
              <w:rPr>
                <w:sz w:val="13"/>
                <w:szCs w:val="13"/>
                <w:color w:val="auto"/>
              </w:rPr>
            </w:pPr>
          </w:p>
        </w:tc>
        <w:tc>
          <w:tcPr>
            <w:tcW w:w="920" w:type="dxa"/>
            <w:vAlign w:val="bottom"/>
          </w:tcPr>
          <w:p>
            <w:pPr>
              <w:jc w:val="center"/>
              <w:spacing w:after="0" w:line="152" w:lineRule="exact"/>
              <w:rPr>
                <w:sz w:val="20"/>
                <w:szCs w:val="20"/>
                <w:color w:val="auto"/>
              </w:rPr>
            </w:pPr>
            <w:r>
              <w:rPr>
                <w:rFonts w:ascii="Arial" w:cs="Arial" w:eastAsia="Arial" w:hAnsi="Arial"/>
                <w:sz w:val="14"/>
                <w:szCs w:val="14"/>
                <w:color w:val="auto"/>
                <w:w w:val="92"/>
              </w:rPr>
              <w:t>3.2</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100"/>
              <w:spacing w:after="0" w:line="152" w:lineRule="exact"/>
              <w:rPr>
                <w:sz w:val="20"/>
                <w:szCs w:val="20"/>
                <w:color w:val="auto"/>
              </w:rPr>
            </w:pPr>
            <w:r>
              <w:rPr>
                <w:rFonts w:ascii="Arial" w:cs="Arial" w:eastAsia="Arial" w:hAnsi="Arial"/>
                <w:sz w:val="14"/>
                <w:szCs w:val="14"/>
                <w:color w:val="auto"/>
              </w:rPr>
              <w:t>x</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20" w:type="dxa"/>
            <w:vAlign w:val="bottom"/>
            <w:tcBorders>
              <w:top w:val="single" w:sz="8" w:color="0000FF"/>
              <w:bottom w:val="single" w:sz="8" w:color="0000FF"/>
            </w:tcBorders>
            <w:gridSpan w:val="16"/>
          </w:tcPr>
          <w:p>
            <w:pPr>
              <w:spacing w:after="0" w:line="120" w:lineRule="exact"/>
              <w:rPr>
                <w:rFonts w:ascii="Arial" w:cs="Arial" w:eastAsia="Arial" w:hAnsi="Arial"/>
                <w:sz w:val="13"/>
                <w:szCs w:val="13"/>
                <w:color w:val="0000FF"/>
                <w:w w:val="97"/>
              </w:rPr>
            </w:pPr>
            <w:hyperlink r:id="rId146">
              <w:r>
                <w:rPr>
                  <w:rFonts w:ascii="Arial" w:cs="Arial" w:eastAsia="Arial" w:hAnsi="Arial"/>
                  <w:sz w:val="13"/>
                  <w:szCs w:val="13"/>
                  <w:color w:val="0000FF"/>
                  <w:w w:val="97"/>
                </w:rPr>
                <w:t>Company Agreement of Houston Electric</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680" w:type="dxa"/>
            <w:vAlign w:val="bottom"/>
            <w:gridSpan w:val="2"/>
          </w:tcPr>
          <w:p>
            <w:pPr>
              <w:spacing w:after="0" w:line="120" w:lineRule="exact"/>
              <w:rPr>
                <w:sz w:val="20"/>
                <w:szCs w:val="20"/>
                <w:color w:val="auto"/>
              </w:rPr>
            </w:pPr>
            <w:r>
              <w:rPr>
                <w:rFonts w:ascii="Arial" w:cs="Arial" w:eastAsia="Arial" w:hAnsi="Arial"/>
                <w:sz w:val="13"/>
                <w:szCs w:val="13"/>
                <w:color w:val="auto"/>
              </w:rPr>
              <w:t>10-Q for the quarter ended</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80" w:type="dxa"/>
            <w:vAlign w:val="bottom"/>
            <w:gridSpan w:val="2"/>
          </w:tcPr>
          <w:p>
            <w:pPr>
              <w:spacing w:after="0"/>
              <w:rPr>
                <w:sz w:val="20"/>
                <w:szCs w:val="20"/>
                <w:color w:val="auto"/>
              </w:rPr>
            </w:pPr>
            <w:r>
              <w:rPr>
                <w:rFonts w:ascii="Arial" w:cs="Arial" w:eastAsia="Arial" w:hAnsi="Arial"/>
                <w:sz w:val="14"/>
                <w:szCs w:val="14"/>
                <w:color w:val="auto"/>
              </w:rPr>
              <w:t>June 30, 2011</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960" w:type="dxa"/>
            <w:vAlign w:val="bottom"/>
          </w:tcPr>
          <w:p>
            <w:pPr>
              <w:jc w:val="center"/>
              <w:spacing w:after="0" w:line="152" w:lineRule="exact"/>
              <w:rPr>
                <w:sz w:val="20"/>
                <w:szCs w:val="20"/>
                <w:color w:val="auto"/>
              </w:rPr>
            </w:pPr>
            <w:r>
              <w:rPr>
                <w:rFonts w:ascii="Arial" w:cs="Arial" w:eastAsia="Arial" w:hAnsi="Arial"/>
                <w:sz w:val="14"/>
                <w:szCs w:val="14"/>
                <w:color w:val="auto"/>
                <w:w w:val="92"/>
              </w:rPr>
              <w:t>3.9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00" w:type="dxa"/>
            <w:vAlign w:val="bottom"/>
            <w:gridSpan w:val="41"/>
          </w:tcPr>
          <w:p>
            <w:pPr>
              <w:spacing w:after="0" w:line="152" w:lineRule="exact"/>
              <w:rPr>
                <w:rFonts w:ascii="Arial" w:cs="Arial" w:eastAsia="Arial" w:hAnsi="Arial"/>
                <w:sz w:val="14"/>
                <w:szCs w:val="14"/>
                <w:color w:val="0000FF"/>
              </w:rPr>
            </w:pPr>
            <w:hyperlink r:id="rId141">
              <w:r>
                <w:rPr>
                  <w:rFonts w:ascii="Arial" w:cs="Arial" w:eastAsia="Arial" w:hAnsi="Arial"/>
                  <w:sz w:val="14"/>
                  <w:szCs w:val="14"/>
                  <w:color w:val="0000FF"/>
                </w:rPr>
                <w:t>Bylaws of RERC Corp.</w:t>
              </w:r>
            </w:hyperlink>
          </w:p>
        </w:tc>
        <w:tc>
          <w:tcPr>
            <w:tcW w:w="1680" w:type="dxa"/>
            <w:vAlign w:val="bottom"/>
            <w:gridSpan w:val="2"/>
          </w:tcPr>
          <w:p>
            <w:pPr>
              <w:spacing w:after="0" w:line="152" w:lineRule="exact"/>
              <w:rPr>
                <w:sz w:val="20"/>
                <w:szCs w:val="20"/>
                <w:color w:val="auto"/>
              </w:rPr>
            </w:pPr>
            <w:r>
              <w:rPr>
                <w:rFonts w:ascii="Arial" w:cs="Arial" w:eastAsia="Arial" w:hAnsi="Arial"/>
                <w:sz w:val="14"/>
                <w:szCs w:val="14"/>
                <w:color w:val="auto"/>
              </w:rPr>
              <w:t>CERC Form 10-K for the</w:t>
            </w:r>
          </w:p>
        </w:tc>
        <w:tc>
          <w:tcPr>
            <w:tcW w:w="1100" w:type="dxa"/>
            <w:vAlign w:val="bottom"/>
          </w:tcPr>
          <w:p>
            <w:pPr>
              <w:jc w:val="center"/>
              <w:spacing w:after="0" w:line="152" w:lineRule="exact"/>
              <w:rPr>
                <w:sz w:val="20"/>
                <w:szCs w:val="20"/>
                <w:color w:val="auto"/>
              </w:rPr>
            </w:pPr>
            <w:r>
              <w:rPr>
                <w:rFonts w:ascii="Arial" w:cs="Arial" w:eastAsia="Arial" w:hAnsi="Arial"/>
                <w:sz w:val="14"/>
                <w:szCs w:val="14"/>
                <w:color w:val="auto"/>
                <w:w w:val="89"/>
              </w:rPr>
              <w:t>1-13265</w:t>
            </w:r>
          </w:p>
        </w:tc>
        <w:tc>
          <w:tcPr>
            <w:tcW w:w="100" w:type="dxa"/>
            <w:vAlign w:val="bottom"/>
          </w:tcPr>
          <w:p>
            <w:pPr>
              <w:spacing w:after="0"/>
              <w:rPr>
                <w:sz w:val="13"/>
                <w:szCs w:val="13"/>
                <w:color w:val="auto"/>
              </w:rPr>
            </w:pPr>
          </w:p>
        </w:tc>
        <w:tc>
          <w:tcPr>
            <w:tcW w:w="1040" w:type="dxa"/>
            <w:vAlign w:val="bottom"/>
            <w:gridSpan w:val="2"/>
          </w:tcPr>
          <w:p>
            <w:pPr>
              <w:jc w:val="center"/>
              <w:ind w:right="120"/>
              <w:spacing w:after="0" w:line="152" w:lineRule="exact"/>
              <w:rPr>
                <w:sz w:val="20"/>
                <w:szCs w:val="20"/>
                <w:color w:val="auto"/>
              </w:rPr>
            </w:pPr>
            <w:r>
              <w:rPr>
                <w:rFonts w:ascii="Arial" w:cs="Arial" w:eastAsia="Arial" w:hAnsi="Arial"/>
                <w:sz w:val="14"/>
                <w:szCs w:val="14"/>
                <w:color w:val="auto"/>
                <w:w w:val="96"/>
              </w:rPr>
              <w:t>3(b)</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spacing w:after="0" w:line="15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14"/>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60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80" w:type="dxa"/>
            <w:vAlign w:val="bottom"/>
            <w:gridSpan w:val="2"/>
          </w:tcPr>
          <w:p>
            <w:pPr>
              <w:spacing w:after="0" w:line="114" w:lineRule="exact"/>
              <w:rPr>
                <w:sz w:val="20"/>
                <w:szCs w:val="20"/>
                <w:color w:val="auto"/>
              </w:rPr>
            </w:pPr>
            <w:r>
              <w:rPr>
                <w:rFonts w:ascii="Arial" w:cs="Arial" w:eastAsia="Arial" w:hAnsi="Arial"/>
                <w:sz w:val="13"/>
                <w:szCs w:val="13"/>
                <w:color w:val="auto"/>
              </w:rPr>
              <w:t>year ended December 31,</w:t>
            </w: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tcPr>
          <w:p>
            <w:pPr>
              <w:spacing w:after="0"/>
              <w:rPr>
                <w:sz w:val="20"/>
                <w:szCs w:val="20"/>
                <w:color w:val="auto"/>
              </w:rPr>
            </w:pPr>
            <w:r>
              <w:rPr>
                <w:rFonts w:ascii="Arial" w:cs="Arial" w:eastAsia="Arial" w:hAnsi="Arial"/>
                <w:sz w:val="14"/>
                <w:szCs w:val="14"/>
                <w:color w:val="auto"/>
              </w:rPr>
              <w:t>1997</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960" w:type="dxa"/>
            <w:vAlign w:val="bottom"/>
          </w:tcPr>
          <w:p>
            <w:pPr>
              <w:jc w:val="center"/>
              <w:spacing w:after="0" w:line="157" w:lineRule="exact"/>
              <w:rPr>
                <w:sz w:val="20"/>
                <w:szCs w:val="20"/>
                <w:color w:val="auto"/>
              </w:rPr>
            </w:pPr>
            <w:r>
              <w:rPr>
                <w:rFonts w:ascii="Arial" w:cs="Arial" w:eastAsia="Arial" w:hAnsi="Arial"/>
                <w:sz w:val="14"/>
                <w:szCs w:val="14"/>
                <w:color w:val="auto"/>
                <w:w w:val="87"/>
              </w:rPr>
              <w:t>3.10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00" w:type="dxa"/>
            <w:vAlign w:val="bottom"/>
            <w:gridSpan w:val="41"/>
          </w:tcPr>
          <w:p>
            <w:pPr>
              <w:spacing w:after="0" w:line="157" w:lineRule="exact"/>
              <w:rPr>
                <w:rFonts w:ascii="Arial" w:cs="Arial" w:eastAsia="Arial" w:hAnsi="Arial"/>
                <w:sz w:val="14"/>
                <w:szCs w:val="14"/>
                <w:color w:val="0000FF"/>
              </w:rPr>
            </w:pPr>
            <w:hyperlink r:id="rId147">
              <w:r>
                <w:rPr>
                  <w:rFonts w:ascii="Arial" w:cs="Arial" w:eastAsia="Arial" w:hAnsi="Arial"/>
                  <w:sz w:val="14"/>
                  <w:szCs w:val="14"/>
                  <w:color w:val="0000FF"/>
                </w:rPr>
                <w:t>Statement of Resolutions Deleting Shares</w:t>
              </w:r>
            </w:hyperlink>
          </w:p>
        </w:tc>
        <w:tc>
          <w:tcPr>
            <w:tcW w:w="1680" w:type="dxa"/>
            <w:vAlign w:val="bottom"/>
            <w:gridSpan w:val="2"/>
          </w:tcPr>
          <w:p>
            <w:pPr>
              <w:spacing w:after="0" w:line="157" w:lineRule="exact"/>
              <w:rPr>
                <w:sz w:val="20"/>
                <w:szCs w:val="20"/>
                <w:color w:val="auto"/>
              </w:rPr>
            </w:pPr>
            <w:r>
              <w:rPr>
                <w:rFonts w:ascii="Arial" w:cs="Arial" w:eastAsia="Arial" w:hAnsi="Arial"/>
                <w:sz w:val="14"/>
                <w:szCs w:val="14"/>
                <w:color w:val="auto"/>
                <w:w w:val="98"/>
              </w:rPr>
              <w:t>CenterPoint Energy’s Form</w:t>
            </w:r>
          </w:p>
        </w:tc>
        <w:tc>
          <w:tcPr>
            <w:tcW w:w="1100" w:type="dxa"/>
            <w:vAlign w:val="bottom"/>
          </w:tcPr>
          <w:p>
            <w:pPr>
              <w:jc w:val="center"/>
              <w:spacing w:after="0" w:line="157" w:lineRule="exact"/>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14"/>
                <w:szCs w:val="14"/>
                <w:color w:val="auto"/>
              </w:rPr>
            </w:pPr>
          </w:p>
        </w:tc>
        <w:tc>
          <w:tcPr>
            <w:tcW w:w="104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w w:val="91"/>
              </w:rPr>
              <w:t>3(c)</w:t>
            </w:r>
          </w:p>
        </w:tc>
        <w:tc>
          <w:tcPr>
            <w:tcW w:w="1200" w:type="dxa"/>
            <w:vAlign w:val="bottom"/>
            <w:gridSpan w:val="2"/>
          </w:tcPr>
          <w:p>
            <w:pPr>
              <w:jc w:val="center"/>
              <w:ind w:right="120"/>
              <w:spacing w:after="0" w:line="157" w:lineRule="exact"/>
              <w:rPr>
                <w:sz w:val="20"/>
                <w:szCs w:val="20"/>
                <w:color w:val="auto"/>
              </w:rPr>
            </w:pPr>
            <w:r>
              <w:rPr>
                <w:rFonts w:ascii="Arial" w:cs="Arial" w:eastAsia="Arial" w:hAnsi="Arial"/>
                <w:sz w:val="14"/>
                <w:szCs w:val="14"/>
                <w:color w:val="auto"/>
              </w:rPr>
              <w:t>x</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tcBorders>
              <w:top w:val="single" w:sz="8" w:color="0000FF"/>
            </w:tcBorders>
            <w:gridSpan w:val="18"/>
          </w:tcPr>
          <w:p>
            <w:pPr>
              <w:spacing w:after="0" w:line="120" w:lineRule="exact"/>
              <w:rPr>
                <w:rFonts w:ascii="Arial" w:cs="Arial" w:eastAsia="Arial" w:hAnsi="Arial"/>
                <w:sz w:val="13"/>
                <w:szCs w:val="13"/>
                <w:color w:val="0000FF"/>
              </w:rPr>
            </w:pPr>
            <w:hyperlink r:id="rId147">
              <w:r>
                <w:rPr>
                  <w:rFonts w:ascii="Arial" w:cs="Arial" w:eastAsia="Arial" w:hAnsi="Arial"/>
                  <w:sz w:val="13"/>
                  <w:szCs w:val="13"/>
                  <w:color w:val="0000FF"/>
                </w:rPr>
                <w:t>Designated Series A Preferred Stock of</w:t>
              </w:r>
            </w:hyperlink>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680" w:type="dxa"/>
            <w:vAlign w:val="bottom"/>
            <w:gridSpan w:val="2"/>
          </w:tcPr>
          <w:p>
            <w:pPr>
              <w:spacing w:after="0" w:line="120" w:lineRule="exact"/>
              <w:rPr>
                <w:sz w:val="20"/>
                <w:szCs w:val="20"/>
                <w:color w:val="auto"/>
              </w:rPr>
            </w:pPr>
            <w:r>
              <w:rPr>
                <w:rFonts w:ascii="Arial" w:cs="Arial" w:eastAsia="Arial" w:hAnsi="Arial"/>
                <w:sz w:val="13"/>
                <w:szCs w:val="13"/>
                <w:color w:val="auto"/>
              </w:rPr>
              <w:t>10-K for the year ended</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top w:val="single" w:sz="8" w:color="0000FF"/>
              <w:bottom w:val="single" w:sz="8" w:color="0000FF"/>
            </w:tcBorders>
            <w:gridSpan w:val="4"/>
          </w:tcPr>
          <w:p>
            <w:pPr>
              <w:spacing w:after="0" w:line="127" w:lineRule="exact"/>
              <w:rPr>
                <w:rFonts w:ascii="Arial" w:cs="Arial" w:eastAsia="Arial" w:hAnsi="Arial"/>
                <w:sz w:val="14"/>
                <w:szCs w:val="14"/>
                <w:color w:val="0000FF"/>
                <w:w w:val="90"/>
              </w:rPr>
            </w:pPr>
            <w:hyperlink r:id="rId147">
              <w:r>
                <w:rPr>
                  <w:rFonts w:ascii="Arial" w:cs="Arial" w:eastAsia="Arial" w:hAnsi="Arial"/>
                  <w:sz w:val="14"/>
                  <w:szCs w:val="14"/>
                  <w:color w:val="0000FF"/>
                  <w:w w:val="90"/>
                </w:rPr>
                <w:t>CenterPoint Energy</w:t>
              </w:r>
            </w:hyperlink>
          </w:p>
        </w:tc>
        <w:tc>
          <w:tcPr>
            <w:tcW w:w="1100" w:type="dxa"/>
            <w:vAlign w:val="bottom"/>
            <w:tcBorders>
              <w:top w:val="single" w:sz="8" w:color="0000FF"/>
            </w:tcBorders>
            <w:gridSpan w:val="8"/>
          </w:tcPr>
          <w:p>
            <w:pPr>
              <w:spacing w:after="0"/>
              <w:rPr>
                <w:sz w:val="10"/>
                <w:szCs w:val="10"/>
                <w:color w:val="auto"/>
              </w:rPr>
            </w:pPr>
          </w:p>
        </w:tc>
        <w:tc>
          <w:tcPr>
            <w:tcW w:w="8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680" w:type="dxa"/>
            <w:vAlign w:val="bottom"/>
            <w:gridSpan w:val="2"/>
          </w:tcPr>
          <w:p>
            <w:pPr>
              <w:spacing w:after="0" w:line="127" w:lineRule="exact"/>
              <w:rPr>
                <w:sz w:val="20"/>
                <w:szCs w:val="20"/>
                <w:color w:val="auto"/>
              </w:rPr>
            </w:pPr>
            <w:r>
              <w:rPr>
                <w:rFonts w:ascii="Arial" w:cs="Arial" w:eastAsia="Arial" w:hAnsi="Arial"/>
                <w:sz w:val="14"/>
                <w:szCs w:val="14"/>
                <w:color w:val="auto"/>
              </w:rPr>
              <w:t>December 31, 2011</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60" w:type="dxa"/>
            <w:vAlign w:val="bottom"/>
          </w:tcPr>
          <w:p>
            <w:pPr>
              <w:jc w:val="center"/>
              <w:spacing w:after="0"/>
              <w:rPr>
                <w:sz w:val="20"/>
                <w:szCs w:val="20"/>
                <w:color w:val="auto"/>
              </w:rPr>
            </w:pPr>
            <w:r>
              <w:rPr>
                <w:rFonts w:ascii="Arial" w:cs="Arial" w:eastAsia="Arial" w:hAnsi="Arial"/>
                <w:sz w:val="14"/>
                <w:szCs w:val="14"/>
                <w:color w:val="auto"/>
                <w:w w:val="87"/>
              </w:rPr>
              <w:t>3.11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00" w:type="dxa"/>
            <w:vAlign w:val="bottom"/>
            <w:gridSpan w:val="41"/>
          </w:tcPr>
          <w:p>
            <w:pPr>
              <w:spacing w:after="0"/>
              <w:rPr>
                <w:rFonts w:ascii="Arial" w:cs="Arial" w:eastAsia="Arial" w:hAnsi="Arial"/>
                <w:sz w:val="14"/>
                <w:szCs w:val="14"/>
                <w:color w:val="0000FF"/>
              </w:rPr>
            </w:pPr>
            <w:hyperlink r:id="rId148">
              <w:r>
                <w:rPr>
                  <w:rFonts w:ascii="Arial" w:cs="Arial" w:eastAsia="Arial" w:hAnsi="Arial"/>
                  <w:sz w:val="14"/>
                  <w:szCs w:val="14"/>
                  <w:color w:val="0000FF"/>
                </w:rPr>
                <w:t>Statement of Resolution Establishing Series of</w:t>
              </w:r>
            </w:hyperlink>
          </w:p>
        </w:tc>
        <w:tc>
          <w:tcPr>
            <w:tcW w:w="1680" w:type="dxa"/>
            <w:vAlign w:val="bottom"/>
            <w:gridSpan w:val="2"/>
          </w:tcPr>
          <w:p>
            <w:pPr>
              <w:spacing w:after="0"/>
              <w:rPr>
                <w:sz w:val="20"/>
                <w:szCs w:val="20"/>
                <w:color w:val="auto"/>
              </w:rPr>
            </w:pPr>
            <w:r>
              <w:rPr>
                <w:rFonts w:ascii="Arial" w:cs="Arial" w:eastAsia="Arial" w:hAnsi="Arial"/>
                <w:sz w:val="14"/>
                <w:szCs w:val="14"/>
                <w:color w:val="auto"/>
                <w:w w:val="98"/>
              </w:rPr>
              <w:t>CenterPoint Energy’s Form</w:t>
            </w: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40" w:type="dxa"/>
            <w:vAlign w:val="bottom"/>
            <w:tcBorders>
              <w:top w:val="single" w:sz="8" w:color="0000FF"/>
            </w:tcBorders>
            <w:gridSpan w:val="33"/>
          </w:tcPr>
          <w:p>
            <w:pPr>
              <w:spacing w:after="0" w:line="120" w:lineRule="exact"/>
              <w:rPr>
                <w:rFonts w:ascii="Arial" w:cs="Arial" w:eastAsia="Arial" w:hAnsi="Arial"/>
                <w:sz w:val="13"/>
                <w:szCs w:val="13"/>
                <w:color w:val="0000FF"/>
              </w:rPr>
            </w:pPr>
            <w:hyperlink r:id="rId148">
              <w:r>
                <w:rPr>
                  <w:rFonts w:ascii="Arial" w:cs="Arial" w:eastAsia="Arial" w:hAnsi="Arial"/>
                  <w:sz w:val="13"/>
                  <w:szCs w:val="13"/>
                  <w:color w:val="0000FF"/>
                </w:rPr>
                <w:t>Shares Designated Series A Fixed-to-Floating</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680" w:type="dxa"/>
            <w:vAlign w:val="bottom"/>
            <w:gridSpan w:val="2"/>
          </w:tcPr>
          <w:p>
            <w:pPr>
              <w:spacing w:after="0" w:line="120" w:lineRule="exact"/>
              <w:rPr>
                <w:sz w:val="20"/>
                <w:szCs w:val="20"/>
                <w:color w:val="auto"/>
              </w:rPr>
            </w:pPr>
            <w:r>
              <w:rPr>
                <w:rFonts w:ascii="Arial" w:cs="Arial" w:eastAsia="Arial" w:hAnsi="Arial"/>
                <w:sz w:val="13"/>
                <w:szCs w:val="13"/>
                <w:color w:val="auto"/>
              </w:rPr>
              <w:t>8-K dated August 22, 2018</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60" w:type="dxa"/>
            <w:vAlign w:val="bottom"/>
            <w:tcBorders>
              <w:top w:val="single" w:sz="8" w:color="0000FF"/>
              <w:bottom w:val="single" w:sz="8" w:color="0000FF"/>
            </w:tcBorders>
            <w:gridSpan w:val="29"/>
          </w:tcPr>
          <w:p>
            <w:pPr>
              <w:spacing w:after="0" w:line="127" w:lineRule="exact"/>
              <w:rPr>
                <w:rFonts w:ascii="Arial" w:cs="Arial" w:eastAsia="Arial" w:hAnsi="Arial"/>
                <w:sz w:val="14"/>
                <w:szCs w:val="14"/>
                <w:color w:val="0000FF"/>
                <w:w w:val="91"/>
              </w:rPr>
            </w:pPr>
            <w:hyperlink r:id="rId148">
              <w:r>
                <w:rPr>
                  <w:rFonts w:ascii="Arial" w:cs="Arial" w:eastAsia="Arial" w:hAnsi="Arial"/>
                  <w:sz w:val="14"/>
                  <w:szCs w:val="14"/>
                  <w:color w:val="0000FF"/>
                  <w:w w:val="91"/>
                </w:rPr>
                <w:t>Rate Cumulative Redeemable Preferred Stock</w:t>
              </w:r>
            </w:hyperlink>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80" w:type="dxa"/>
            <w:vAlign w:val="bottom"/>
            <w:gridSpan w:val="30"/>
          </w:tcPr>
          <w:p>
            <w:pPr>
              <w:spacing w:after="0" w:line="127" w:lineRule="exact"/>
              <w:rPr>
                <w:rFonts w:ascii="Arial" w:cs="Arial" w:eastAsia="Arial" w:hAnsi="Arial"/>
                <w:sz w:val="14"/>
                <w:szCs w:val="14"/>
                <w:color w:val="0000FF"/>
              </w:rPr>
            </w:pPr>
            <w:hyperlink r:id="rId148">
              <w:r>
                <w:rPr>
                  <w:rFonts w:ascii="Arial" w:cs="Arial" w:eastAsia="Arial" w:hAnsi="Arial"/>
                  <w:sz w:val="14"/>
                  <w:szCs w:val="14"/>
                  <w:color w:val="0000FF"/>
                </w:rPr>
                <w:t>of CenterPoint Energy</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60" w:type="dxa"/>
            <w:vAlign w:val="bottom"/>
          </w:tcPr>
          <w:p>
            <w:pPr>
              <w:jc w:val="center"/>
              <w:spacing w:after="0"/>
              <w:rPr>
                <w:sz w:val="20"/>
                <w:szCs w:val="20"/>
                <w:color w:val="auto"/>
              </w:rPr>
            </w:pPr>
            <w:r>
              <w:rPr>
                <w:rFonts w:ascii="Arial" w:cs="Arial" w:eastAsia="Arial" w:hAnsi="Arial"/>
                <w:sz w:val="14"/>
                <w:szCs w:val="14"/>
                <w:color w:val="auto"/>
                <w:w w:val="87"/>
              </w:rPr>
              <w:t>3.12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00" w:type="dxa"/>
            <w:vAlign w:val="bottom"/>
            <w:gridSpan w:val="41"/>
          </w:tcPr>
          <w:p>
            <w:pPr>
              <w:spacing w:after="0"/>
              <w:rPr>
                <w:rFonts w:ascii="Arial" w:cs="Arial" w:eastAsia="Arial" w:hAnsi="Arial"/>
                <w:sz w:val="14"/>
                <w:szCs w:val="14"/>
                <w:color w:val="0000FF"/>
              </w:rPr>
            </w:pPr>
            <w:hyperlink r:id="rId149">
              <w:r>
                <w:rPr>
                  <w:rFonts w:ascii="Arial" w:cs="Arial" w:eastAsia="Arial" w:hAnsi="Arial"/>
                  <w:sz w:val="14"/>
                  <w:szCs w:val="14"/>
                  <w:color w:val="0000FF"/>
                </w:rPr>
                <w:t>Statement of Resolution Establishing Series of</w:t>
              </w:r>
            </w:hyperlink>
          </w:p>
        </w:tc>
        <w:tc>
          <w:tcPr>
            <w:tcW w:w="1680" w:type="dxa"/>
            <w:vAlign w:val="bottom"/>
            <w:gridSpan w:val="2"/>
          </w:tcPr>
          <w:p>
            <w:pPr>
              <w:spacing w:after="0"/>
              <w:rPr>
                <w:sz w:val="20"/>
                <w:szCs w:val="20"/>
                <w:color w:val="auto"/>
              </w:rPr>
            </w:pPr>
            <w:r>
              <w:rPr>
                <w:rFonts w:ascii="Arial" w:cs="Arial" w:eastAsia="Arial" w:hAnsi="Arial"/>
                <w:sz w:val="14"/>
                <w:szCs w:val="14"/>
                <w:color w:val="auto"/>
                <w:w w:val="98"/>
              </w:rPr>
              <w:t>CenterPoint Energy’s Form</w:t>
            </w: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40" w:type="dxa"/>
            <w:vAlign w:val="bottom"/>
            <w:tcBorders>
              <w:top w:val="single" w:sz="8" w:color="0000FF"/>
            </w:tcBorders>
            <w:gridSpan w:val="33"/>
          </w:tcPr>
          <w:p>
            <w:pPr>
              <w:spacing w:after="0" w:line="120" w:lineRule="exact"/>
              <w:rPr>
                <w:rFonts w:ascii="Arial" w:cs="Arial" w:eastAsia="Arial" w:hAnsi="Arial"/>
                <w:sz w:val="13"/>
                <w:szCs w:val="13"/>
                <w:color w:val="0000FF"/>
              </w:rPr>
            </w:pPr>
            <w:hyperlink r:id="rId149">
              <w:r>
                <w:rPr>
                  <w:rFonts w:ascii="Arial" w:cs="Arial" w:eastAsia="Arial" w:hAnsi="Arial"/>
                  <w:sz w:val="13"/>
                  <w:szCs w:val="13"/>
                  <w:color w:val="0000FF"/>
                </w:rPr>
                <w:t>Shares designated 7.00% Series B Mandatory</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680" w:type="dxa"/>
            <w:vAlign w:val="bottom"/>
            <w:gridSpan w:val="2"/>
          </w:tcPr>
          <w:p>
            <w:pPr>
              <w:spacing w:after="0" w:line="120" w:lineRule="exact"/>
              <w:rPr>
                <w:sz w:val="20"/>
                <w:szCs w:val="20"/>
                <w:color w:val="auto"/>
              </w:rPr>
            </w:pPr>
            <w:r>
              <w:rPr>
                <w:rFonts w:ascii="Arial" w:cs="Arial" w:eastAsia="Arial" w:hAnsi="Arial"/>
                <w:sz w:val="13"/>
                <w:szCs w:val="13"/>
                <w:color w:val="auto"/>
              </w:rPr>
              <w:t>8-K dated September 25,</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20" w:type="dxa"/>
            <w:vAlign w:val="bottom"/>
            <w:tcBorders>
              <w:top w:val="single" w:sz="8" w:color="0000FF"/>
            </w:tcBorders>
            <w:gridSpan w:val="27"/>
          </w:tcPr>
          <w:p>
            <w:pPr>
              <w:spacing w:after="0" w:line="127" w:lineRule="exact"/>
              <w:rPr>
                <w:rFonts w:ascii="Arial" w:cs="Arial" w:eastAsia="Arial" w:hAnsi="Arial"/>
                <w:sz w:val="14"/>
                <w:szCs w:val="14"/>
                <w:color w:val="0000FF"/>
                <w:w w:val="97"/>
              </w:rPr>
            </w:pPr>
            <w:hyperlink r:id="rId149">
              <w:r>
                <w:rPr>
                  <w:rFonts w:ascii="Arial" w:cs="Arial" w:eastAsia="Arial" w:hAnsi="Arial"/>
                  <w:sz w:val="14"/>
                  <w:szCs w:val="14"/>
                  <w:color w:val="0000FF"/>
                  <w:w w:val="97"/>
                </w:rPr>
                <w:t>Convertible Preferred Stock of CenterPoint</w:t>
              </w:r>
            </w:hyperlink>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580" w:type="dxa"/>
            <w:vAlign w:val="bottom"/>
          </w:tcPr>
          <w:p>
            <w:pPr>
              <w:spacing w:after="0" w:line="127" w:lineRule="exact"/>
              <w:rPr>
                <w:sz w:val="20"/>
                <w:szCs w:val="20"/>
                <w:color w:val="auto"/>
              </w:rPr>
            </w:pPr>
            <w:r>
              <w:rPr>
                <w:rFonts w:ascii="Arial" w:cs="Arial" w:eastAsia="Arial" w:hAnsi="Arial"/>
                <w:sz w:val="14"/>
                <w:szCs w:val="14"/>
                <w:color w:val="auto"/>
              </w:rPr>
              <w:t>2018</w:t>
            </w: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tcBorders>
              <w:top w:val="single" w:sz="8" w:color="0000FF"/>
            </w:tcBorders>
            <w:gridSpan w:val="20"/>
          </w:tcPr>
          <w:p>
            <w:pPr>
              <w:spacing w:after="0" w:line="127" w:lineRule="exact"/>
              <w:rPr>
                <w:rFonts w:ascii="Arial" w:cs="Arial" w:eastAsia="Arial" w:hAnsi="Arial"/>
                <w:sz w:val="14"/>
                <w:szCs w:val="14"/>
                <w:color w:val="0000FF"/>
              </w:rPr>
            </w:pPr>
            <w:hyperlink r:id="rId149">
              <w:r>
                <w:rPr>
                  <w:rFonts w:ascii="Arial" w:cs="Arial" w:eastAsia="Arial" w:hAnsi="Arial"/>
                  <w:sz w:val="14"/>
                  <w:szCs w:val="14"/>
                  <w:color w:val="0000FF"/>
                </w:rPr>
                <w:t>Energy</w:t>
              </w:r>
            </w:hyperlink>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60" w:type="dxa"/>
            <w:vAlign w:val="bottom"/>
          </w:tcPr>
          <w:p>
            <w:pPr>
              <w:jc w:val="center"/>
              <w:spacing w:after="0"/>
              <w:rPr>
                <w:sz w:val="20"/>
                <w:szCs w:val="20"/>
                <w:color w:val="auto"/>
              </w:rPr>
            </w:pPr>
            <w:r>
              <w:rPr>
                <w:rFonts w:ascii="Arial" w:cs="Arial" w:eastAsia="Arial" w:hAnsi="Arial"/>
                <w:sz w:val="14"/>
                <w:szCs w:val="14"/>
                <w:color w:val="auto"/>
                <w:w w:val="87"/>
              </w:rPr>
              <w:t>3.13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00" w:type="dxa"/>
            <w:vAlign w:val="bottom"/>
            <w:gridSpan w:val="41"/>
          </w:tcPr>
          <w:p>
            <w:pPr>
              <w:spacing w:after="0"/>
              <w:rPr>
                <w:rFonts w:ascii="Arial" w:cs="Arial" w:eastAsia="Arial" w:hAnsi="Arial"/>
                <w:sz w:val="14"/>
                <w:szCs w:val="14"/>
                <w:color w:val="0000FF"/>
              </w:rPr>
            </w:pPr>
            <w:hyperlink r:id="rId150">
              <w:r>
                <w:rPr>
                  <w:rFonts w:ascii="Arial" w:cs="Arial" w:eastAsia="Arial" w:hAnsi="Arial"/>
                  <w:sz w:val="14"/>
                  <w:szCs w:val="14"/>
                  <w:color w:val="0000FF"/>
                </w:rPr>
                <w:t>Statement of Resolution Establishing Series of</w:t>
              </w:r>
            </w:hyperlink>
          </w:p>
        </w:tc>
        <w:tc>
          <w:tcPr>
            <w:tcW w:w="1680" w:type="dxa"/>
            <w:vAlign w:val="bottom"/>
            <w:gridSpan w:val="2"/>
          </w:tcPr>
          <w:p>
            <w:pPr>
              <w:spacing w:after="0"/>
              <w:rPr>
                <w:sz w:val="20"/>
                <w:szCs w:val="20"/>
                <w:color w:val="auto"/>
              </w:rPr>
            </w:pPr>
            <w:r>
              <w:rPr>
                <w:rFonts w:ascii="Arial" w:cs="Arial" w:eastAsia="Arial" w:hAnsi="Arial"/>
                <w:sz w:val="14"/>
                <w:szCs w:val="14"/>
                <w:color w:val="auto"/>
                <w:w w:val="98"/>
              </w:rPr>
              <w:t>CenterPoint Energy’s Form</w:t>
            </w: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40" w:type="dxa"/>
            <w:vAlign w:val="bottom"/>
            <w:tcBorders>
              <w:top w:val="single" w:sz="8" w:color="0000FF"/>
            </w:tcBorders>
            <w:gridSpan w:val="33"/>
          </w:tcPr>
          <w:p>
            <w:pPr>
              <w:spacing w:after="0" w:line="120" w:lineRule="exact"/>
              <w:rPr>
                <w:rFonts w:ascii="Arial" w:cs="Arial" w:eastAsia="Arial" w:hAnsi="Arial"/>
                <w:sz w:val="13"/>
                <w:szCs w:val="13"/>
                <w:color w:val="0000FF"/>
              </w:rPr>
            </w:pPr>
            <w:hyperlink r:id="rId150">
              <w:r>
                <w:rPr>
                  <w:rFonts w:ascii="Arial" w:cs="Arial" w:eastAsia="Arial" w:hAnsi="Arial"/>
                  <w:sz w:val="13"/>
                  <w:szCs w:val="13"/>
                  <w:color w:val="0000FF"/>
                </w:rPr>
                <w:t>Shares designated Series C Mandatory</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680" w:type="dxa"/>
            <w:vAlign w:val="bottom"/>
            <w:gridSpan w:val="2"/>
          </w:tcPr>
          <w:p>
            <w:pPr>
              <w:spacing w:after="0" w:line="120" w:lineRule="exact"/>
              <w:rPr>
                <w:sz w:val="20"/>
                <w:szCs w:val="20"/>
                <w:color w:val="auto"/>
              </w:rPr>
            </w:pPr>
            <w:r>
              <w:rPr>
                <w:rFonts w:ascii="Arial" w:cs="Arial" w:eastAsia="Arial" w:hAnsi="Arial"/>
                <w:sz w:val="13"/>
                <w:szCs w:val="13"/>
                <w:color w:val="auto"/>
              </w:rPr>
              <w:t>8-K dated May 6, 2020</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60" w:type="dxa"/>
            <w:vAlign w:val="bottom"/>
            <w:tcBorders>
              <w:bottom w:val="single" w:sz="8" w:color="0000FF"/>
            </w:tcBorders>
            <w:gridSpan w:val="21"/>
          </w:tcPr>
          <w:p>
            <w:pPr>
              <w:spacing w:after="0" w:line="127" w:lineRule="exact"/>
              <w:rPr>
                <w:rFonts w:ascii="Arial" w:cs="Arial" w:eastAsia="Arial" w:hAnsi="Arial"/>
                <w:sz w:val="14"/>
                <w:szCs w:val="14"/>
                <w:color w:val="0000FF"/>
                <w:w w:val="91"/>
              </w:rPr>
            </w:pPr>
            <w:hyperlink r:id="rId150">
              <w:r>
                <w:rPr>
                  <w:rFonts w:ascii="Arial" w:cs="Arial" w:eastAsia="Arial" w:hAnsi="Arial"/>
                  <w:sz w:val="14"/>
                  <w:szCs w:val="14"/>
                  <w:color w:val="0000FF"/>
                  <w:w w:val="91"/>
                </w:rPr>
                <w:t>Convertible Preferred Stock of CenterPoint</w:t>
              </w:r>
            </w:hyperlink>
          </w:p>
        </w:tc>
        <w:tc>
          <w:tcPr>
            <w:tcW w:w="440" w:type="dxa"/>
            <w:vAlign w:val="bottom"/>
            <w:gridSpan w:val="20"/>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00" w:type="dxa"/>
            <w:vAlign w:val="bottom"/>
            <w:gridSpan w:val="41"/>
          </w:tcPr>
          <w:p>
            <w:pPr>
              <w:spacing w:after="0" w:line="127" w:lineRule="exact"/>
              <w:rPr>
                <w:rFonts w:ascii="Arial" w:cs="Arial" w:eastAsia="Arial" w:hAnsi="Arial"/>
                <w:sz w:val="14"/>
                <w:szCs w:val="14"/>
                <w:color w:val="0000FF"/>
                <w:w w:val="98"/>
              </w:rPr>
            </w:pPr>
            <w:hyperlink r:id="rId150">
              <w:r>
                <w:rPr>
                  <w:rFonts w:ascii="Arial" w:cs="Arial" w:eastAsia="Arial" w:hAnsi="Arial"/>
                  <w:sz w:val="14"/>
                  <w:szCs w:val="14"/>
                  <w:color w:val="0000FF"/>
                  <w:w w:val="98"/>
                </w:rPr>
                <w:t>Energy, Inc., filed with the Secretary of State of</w:t>
              </w:r>
            </w:hyperlink>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40" w:type="dxa"/>
            <w:vAlign w:val="bottom"/>
            <w:tcBorders>
              <w:top w:val="single" w:sz="8" w:color="0000FF"/>
              <w:bottom w:val="single" w:sz="8" w:color="0000FF"/>
            </w:tcBorders>
            <w:gridSpan w:val="23"/>
          </w:tcPr>
          <w:p>
            <w:pPr>
              <w:spacing w:after="0" w:line="113" w:lineRule="exact"/>
              <w:rPr>
                <w:rFonts w:ascii="Arial" w:cs="Arial" w:eastAsia="Arial" w:hAnsi="Arial"/>
                <w:sz w:val="13"/>
                <w:szCs w:val="13"/>
                <w:color w:val="0000FF"/>
                <w:w w:val="97"/>
              </w:rPr>
            </w:pPr>
            <w:hyperlink r:id="rId150">
              <w:r>
                <w:rPr>
                  <w:rFonts w:ascii="Arial" w:cs="Arial" w:eastAsia="Arial" w:hAnsi="Arial"/>
                  <w:sz w:val="13"/>
                  <w:szCs w:val="13"/>
                  <w:color w:val="0000FF"/>
                  <w:w w:val="97"/>
                </w:rPr>
                <w:t>the State of Texas and effective May 7, 2020</w:t>
              </w:r>
            </w:hyperlink>
          </w:p>
        </w:tc>
        <w:tc>
          <w:tcPr>
            <w:tcW w:w="260" w:type="dxa"/>
            <w:vAlign w:val="bottom"/>
            <w:tcBorders>
              <w:top w:val="single" w:sz="8" w:color="0000FF"/>
            </w:tcBorders>
            <w:gridSpan w:val="1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96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00" w:type="dxa"/>
            <w:vAlign w:val="bottom"/>
            <w:gridSpan w:val="41"/>
          </w:tcPr>
          <w:p>
            <w:pPr>
              <w:spacing w:after="0"/>
              <w:rPr>
                <w:rFonts w:ascii="Arial" w:cs="Arial" w:eastAsia="Arial" w:hAnsi="Arial"/>
                <w:sz w:val="14"/>
                <w:szCs w:val="14"/>
                <w:color w:val="0000FF"/>
              </w:rPr>
            </w:pPr>
            <w:hyperlink r:id="rId151">
              <w:r>
                <w:rPr>
                  <w:rFonts w:ascii="Arial" w:cs="Arial" w:eastAsia="Arial" w:hAnsi="Arial"/>
                  <w:sz w:val="14"/>
                  <w:szCs w:val="14"/>
                  <w:color w:val="0000FF"/>
                </w:rPr>
                <w:t>Form of CenterPoint Energy Stock Certificate</w:t>
              </w:r>
            </w:hyperlink>
          </w:p>
        </w:tc>
        <w:tc>
          <w:tcPr>
            <w:tcW w:w="1680" w:type="dxa"/>
            <w:vAlign w:val="bottom"/>
            <w:gridSpan w:val="2"/>
          </w:tcPr>
          <w:p>
            <w:pPr>
              <w:spacing w:after="0"/>
              <w:rPr>
                <w:sz w:val="20"/>
                <w:szCs w:val="20"/>
                <w:color w:val="auto"/>
              </w:rPr>
            </w:pPr>
            <w:r>
              <w:rPr>
                <w:rFonts w:ascii="Arial" w:cs="Arial" w:eastAsia="Arial" w:hAnsi="Arial"/>
                <w:sz w:val="14"/>
                <w:szCs w:val="14"/>
                <w:color w:val="auto"/>
              </w:rPr>
              <w:t>CenterPoint Energy’s</w:t>
            </w: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3-69502</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60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4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80" w:type="dxa"/>
            <w:vAlign w:val="bottom"/>
            <w:gridSpan w:val="2"/>
          </w:tcPr>
          <w:p>
            <w:pPr>
              <w:spacing w:after="0" w:line="114" w:lineRule="exact"/>
              <w:rPr>
                <w:sz w:val="20"/>
                <w:szCs w:val="20"/>
                <w:color w:val="auto"/>
              </w:rPr>
            </w:pPr>
            <w:r>
              <w:rPr>
                <w:rFonts w:ascii="Arial" w:cs="Arial" w:eastAsia="Arial" w:hAnsi="Arial"/>
                <w:sz w:val="13"/>
                <w:szCs w:val="13"/>
                <w:color w:val="auto"/>
              </w:rPr>
              <w:t>Registration Statement on</w:t>
            </w: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80" w:type="dxa"/>
            <w:vAlign w:val="bottom"/>
            <w:gridSpan w:val="2"/>
          </w:tcPr>
          <w:p>
            <w:pPr>
              <w:spacing w:after="0"/>
              <w:rPr>
                <w:sz w:val="20"/>
                <w:szCs w:val="20"/>
                <w:color w:val="auto"/>
              </w:rPr>
            </w:pPr>
            <w:r>
              <w:rPr>
                <w:rFonts w:ascii="Arial" w:cs="Arial" w:eastAsia="Arial" w:hAnsi="Arial"/>
                <w:sz w:val="14"/>
                <w:szCs w:val="14"/>
                <w:color w:val="auto"/>
              </w:rPr>
              <w:t>Form S-4</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960" w:type="dxa"/>
            <w:vAlign w:val="bottom"/>
          </w:tcPr>
          <w:p>
            <w:pPr>
              <w:jc w:val="center"/>
              <w:spacing w:after="0" w:line="157" w:lineRule="exact"/>
              <w:rPr>
                <w:sz w:val="20"/>
                <w:szCs w:val="20"/>
                <w:color w:val="auto"/>
              </w:rPr>
            </w:pPr>
            <w:r>
              <w:rPr>
                <w:rFonts w:ascii="Arial" w:cs="Arial" w:eastAsia="Arial" w:hAnsi="Arial"/>
                <w:sz w:val="14"/>
                <w:szCs w:val="14"/>
                <w:color w:val="auto"/>
                <w:w w:val="92"/>
              </w:rPr>
              <w:t>4.2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60" w:type="dxa"/>
            <w:vAlign w:val="bottom"/>
            <w:tcBorders>
              <w:bottom w:val="single" w:sz="8" w:color="0000FF"/>
            </w:tcBorders>
            <w:gridSpan w:val="34"/>
          </w:tcPr>
          <w:p>
            <w:pPr>
              <w:spacing w:after="0" w:line="157" w:lineRule="exact"/>
              <w:rPr>
                <w:rFonts w:ascii="Arial" w:cs="Arial" w:eastAsia="Arial" w:hAnsi="Arial"/>
                <w:sz w:val="14"/>
                <w:szCs w:val="14"/>
                <w:color w:val="0000FF"/>
                <w:w w:val="94"/>
              </w:rPr>
            </w:pPr>
            <w:hyperlink r:id="rId152">
              <w:r>
                <w:rPr>
                  <w:rFonts w:ascii="Arial" w:cs="Arial" w:eastAsia="Arial" w:hAnsi="Arial"/>
                  <w:sz w:val="14"/>
                  <w:szCs w:val="14"/>
                  <w:color w:val="0000FF"/>
                  <w:w w:val="94"/>
                </w:rPr>
                <w:t>Indenture dated as of August 4, 2023, between</w:t>
              </w:r>
            </w:hyperlink>
          </w:p>
        </w:tc>
        <w:tc>
          <w:tcPr>
            <w:tcW w:w="140" w:type="dxa"/>
            <w:vAlign w:val="bottom"/>
            <w:gridSpan w:val="7"/>
          </w:tcPr>
          <w:p>
            <w:pPr>
              <w:spacing w:after="0"/>
              <w:rPr>
                <w:sz w:val="14"/>
                <w:szCs w:val="14"/>
                <w:color w:val="auto"/>
              </w:rPr>
            </w:pPr>
          </w:p>
        </w:tc>
        <w:tc>
          <w:tcPr>
            <w:tcW w:w="1680" w:type="dxa"/>
            <w:vAlign w:val="bottom"/>
            <w:gridSpan w:val="2"/>
          </w:tcPr>
          <w:p>
            <w:pPr>
              <w:spacing w:after="0" w:line="157" w:lineRule="exact"/>
              <w:rPr>
                <w:sz w:val="20"/>
                <w:szCs w:val="20"/>
                <w:color w:val="auto"/>
              </w:rPr>
            </w:pPr>
            <w:r>
              <w:rPr>
                <w:rFonts w:ascii="Arial" w:cs="Arial" w:eastAsia="Arial" w:hAnsi="Arial"/>
                <w:sz w:val="14"/>
                <w:szCs w:val="14"/>
                <w:color w:val="auto"/>
                <w:w w:val="98"/>
              </w:rPr>
              <w:t>CenterPoint Energy’s Form</w:t>
            </w:r>
          </w:p>
        </w:tc>
        <w:tc>
          <w:tcPr>
            <w:tcW w:w="1100" w:type="dxa"/>
            <w:vAlign w:val="bottom"/>
          </w:tcPr>
          <w:p>
            <w:pPr>
              <w:jc w:val="center"/>
              <w:spacing w:after="0" w:line="157" w:lineRule="exact"/>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14"/>
                <w:szCs w:val="14"/>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2"/>
              </w:rPr>
              <w:t>4.1</w:t>
            </w:r>
          </w:p>
        </w:tc>
        <w:tc>
          <w:tcPr>
            <w:tcW w:w="120" w:type="dxa"/>
            <w:vAlign w:val="bottom"/>
          </w:tcPr>
          <w:p>
            <w:pPr>
              <w:spacing w:after="0"/>
              <w:rPr>
                <w:sz w:val="14"/>
                <w:szCs w:val="14"/>
                <w:color w:val="auto"/>
              </w:rPr>
            </w:pPr>
          </w:p>
        </w:tc>
        <w:tc>
          <w:tcPr>
            <w:tcW w:w="1200" w:type="dxa"/>
            <w:vAlign w:val="bottom"/>
            <w:gridSpan w:val="2"/>
          </w:tcPr>
          <w:p>
            <w:pPr>
              <w:jc w:val="center"/>
              <w:ind w:right="120"/>
              <w:spacing w:after="0" w:line="157" w:lineRule="exact"/>
              <w:rPr>
                <w:sz w:val="20"/>
                <w:szCs w:val="20"/>
                <w:color w:val="auto"/>
              </w:rPr>
            </w:pPr>
            <w:r>
              <w:rPr>
                <w:rFonts w:ascii="Arial" w:cs="Arial" w:eastAsia="Arial" w:hAnsi="Arial"/>
                <w:sz w:val="14"/>
                <w:szCs w:val="14"/>
                <w:color w:val="auto"/>
              </w:rPr>
              <w:t>x</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00" w:type="dxa"/>
            <w:vAlign w:val="bottom"/>
            <w:gridSpan w:val="41"/>
          </w:tcPr>
          <w:p>
            <w:pPr>
              <w:spacing w:after="0" w:line="120" w:lineRule="exact"/>
              <w:rPr>
                <w:rFonts w:ascii="Arial" w:cs="Arial" w:eastAsia="Arial" w:hAnsi="Arial"/>
                <w:sz w:val="13"/>
                <w:szCs w:val="13"/>
                <w:color w:val="0000FF"/>
              </w:rPr>
            </w:pPr>
            <w:hyperlink r:id="rId152">
              <w:r>
                <w:rPr>
                  <w:rFonts w:ascii="Arial" w:cs="Arial" w:eastAsia="Arial" w:hAnsi="Arial"/>
                  <w:sz w:val="13"/>
                  <w:szCs w:val="13"/>
                  <w:color w:val="0000FF"/>
                </w:rPr>
                <w:t>CenterPoint Energy and The Bank of New York</w:t>
              </w:r>
            </w:hyperlink>
          </w:p>
        </w:tc>
        <w:tc>
          <w:tcPr>
            <w:tcW w:w="1680" w:type="dxa"/>
            <w:vAlign w:val="bottom"/>
            <w:gridSpan w:val="2"/>
          </w:tcPr>
          <w:p>
            <w:pPr>
              <w:spacing w:after="0" w:line="120" w:lineRule="exact"/>
              <w:rPr>
                <w:sz w:val="20"/>
                <w:szCs w:val="20"/>
                <w:color w:val="auto"/>
              </w:rPr>
            </w:pPr>
            <w:r>
              <w:rPr>
                <w:rFonts w:ascii="Arial" w:cs="Arial" w:eastAsia="Arial" w:hAnsi="Arial"/>
                <w:sz w:val="13"/>
                <w:szCs w:val="13"/>
                <w:color w:val="auto"/>
              </w:rPr>
              <w:t>8-K dated August 4, 2023</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40" w:type="dxa"/>
            <w:vAlign w:val="bottom"/>
            <w:tcBorders>
              <w:top w:val="single" w:sz="8" w:color="0000FF"/>
            </w:tcBorders>
            <w:gridSpan w:val="38"/>
          </w:tcPr>
          <w:p>
            <w:pPr>
              <w:spacing w:after="0" w:line="127" w:lineRule="exact"/>
              <w:rPr>
                <w:rFonts w:ascii="Arial" w:cs="Arial" w:eastAsia="Arial" w:hAnsi="Arial"/>
                <w:sz w:val="14"/>
                <w:szCs w:val="14"/>
                <w:color w:val="0000FF"/>
              </w:rPr>
            </w:pPr>
            <w:hyperlink r:id="rId152">
              <w:r>
                <w:rPr>
                  <w:rFonts w:ascii="Arial" w:cs="Arial" w:eastAsia="Arial" w:hAnsi="Arial"/>
                  <w:sz w:val="14"/>
                  <w:szCs w:val="14"/>
                  <w:color w:val="0000FF"/>
                </w:rPr>
                <w:t>Mellon Trust Company, National Association,</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00" w:type="dxa"/>
            <w:vAlign w:val="bottom"/>
            <w:tcBorders>
              <w:top w:val="single" w:sz="8" w:color="0000FF"/>
            </w:tcBorders>
            <w:gridSpan w:val="31"/>
          </w:tcPr>
          <w:p>
            <w:pPr>
              <w:spacing w:after="0" w:line="127" w:lineRule="exact"/>
              <w:rPr>
                <w:rFonts w:ascii="Arial" w:cs="Arial" w:eastAsia="Arial" w:hAnsi="Arial"/>
                <w:sz w:val="14"/>
                <w:szCs w:val="14"/>
                <w:color w:val="0000FF"/>
              </w:rPr>
            </w:pPr>
            <w:hyperlink r:id="rId152">
              <w:r>
                <w:rPr>
                  <w:rFonts w:ascii="Arial" w:cs="Arial" w:eastAsia="Arial" w:hAnsi="Arial"/>
                  <w:sz w:val="14"/>
                  <w:szCs w:val="14"/>
                  <w:color w:val="0000FF"/>
                </w:rPr>
                <w:t>as trustee</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6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60" w:type="dxa"/>
            <w:vAlign w:val="bottom"/>
            <w:tcBorders>
              <w:bottom w:val="single" w:sz="8" w:color="0000FF"/>
            </w:tcBorders>
            <w:gridSpan w:val="24"/>
          </w:tcPr>
          <w:p>
            <w:pPr>
              <w:spacing w:after="0"/>
              <w:rPr>
                <w:rFonts w:ascii="Arial" w:cs="Arial" w:eastAsia="Arial" w:hAnsi="Arial"/>
                <w:sz w:val="14"/>
                <w:szCs w:val="14"/>
                <w:color w:val="0000FF"/>
                <w:w w:val="90"/>
              </w:rPr>
            </w:pPr>
            <w:hyperlink r:id="rId153">
              <w:r>
                <w:rPr>
                  <w:rFonts w:ascii="Arial" w:cs="Arial" w:eastAsia="Arial" w:hAnsi="Arial"/>
                  <w:sz w:val="14"/>
                  <w:szCs w:val="14"/>
                  <w:color w:val="0000FF"/>
                  <w:w w:val="90"/>
                </w:rPr>
                <w:t>Indenture dated as of May 19, 2003, between</w:t>
              </w:r>
            </w:hyperlink>
          </w:p>
        </w:tc>
        <w:tc>
          <w:tcPr>
            <w:tcW w:w="340" w:type="dxa"/>
            <w:vAlign w:val="bottom"/>
            <w:gridSpan w:val="17"/>
          </w:tcPr>
          <w:p>
            <w:pPr>
              <w:spacing w:after="0"/>
              <w:rPr>
                <w:sz w:val="15"/>
                <w:szCs w:val="15"/>
                <w:color w:val="auto"/>
              </w:rPr>
            </w:pPr>
          </w:p>
        </w:tc>
        <w:tc>
          <w:tcPr>
            <w:tcW w:w="1680" w:type="dxa"/>
            <w:vAlign w:val="bottom"/>
            <w:gridSpan w:val="2"/>
          </w:tcPr>
          <w:p>
            <w:pPr>
              <w:spacing w:after="0"/>
              <w:rPr>
                <w:sz w:val="20"/>
                <w:szCs w:val="20"/>
                <w:color w:val="auto"/>
              </w:rPr>
            </w:pPr>
            <w:r>
              <w:rPr>
                <w:rFonts w:ascii="Arial" w:cs="Arial" w:eastAsia="Arial" w:hAnsi="Arial"/>
                <w:sz w:val="14"/>
                <w:szCs w:val="14"/>
                <w:color w:val="auto"/>
                <w:w w:val="98"/>
              </w:rPr>
              <w:t>CenterPoint Energy’s Form</w:t>
            </w: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00" w:type="dxa"/>
            <w:vAlign w:val="bottom"/>
            <w:gridSpan w:val="41"/>
          </w:tcPr>
          <w:p>
            <w:pPr>
              <w:spacing w:after="0" w:line="120" w:lineRule="exact"/>
              <w:rPr>
                <w:rFonts w:ascii="Arial" w:cs="Arial" w:eastAsia="Arial" w:hAnsi="Arial"/>
                <w:sz w:val="13"/>
                <w:szCs w:val="13"/>
                <w:color w:val="0000FF"/>
              </w:rPr>
            </w:pPr>
            <w:hyperlink r:id="rId153">
              <w:r>
                <w:rPr>
                  <w:rFonts w:ascii="Arial" w:cs="Arial" w:eastAsia="Arial" w:hAnsi="Arial"/>
                  <w:sz w:val="13"/>
                  <w:szCs w:val="13"/>
                  <w:color w:val="0000FF"/>
                </w:rPr>
                <w:t>CenterPoint Energy and The Bank of New York</w:t>
              </w:r>
            </w:hyperlink>
          </w:p>
        </w:tc>
        <w:tc>
          <w:tcPr>
            <w:tcW w:w="1680" w:type="dxa"/>
            <w:vAlign w:val="bottom"/>
            <w:gridSpan w:val="2"/>
          </w:tcPr>
          <w:p>
            <w:pPr>
              <w:spacing w:after="0" w:line="120" w:lineRule="exact"/>
              <w:rPr>
                <w:sz w:val="20"/>
                <w:szCs w:val="20"/>
                <w:color w:val="auto"/>
              </w:rPr>
            </w:pPr>
            <w:r>
              <w:rPr>
                <w:rFonts w:ascii="Arial" w:cs="Arial" w:eastAsia="Arial" w:hAnsi="Arial"/>
                <w:sz w:val="13"/>
                <w:szCs w:val="13"/>
                <w:color w:val="auto"/>
              </w:rPr>
              <w:t>8-K dated May 19, 2003</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60" w:type="dxa"/>
            <w:vAlign w:val="bottom"/>
            <w:tcBorders>
              <w:top w:val="single" w:sz="8" w:color="0000FF"/>
            </w:tcBorders>
            <w:gridSpan w:val="39"/>
          </w:tcPr>
          <w:p>
            <w:pPr>
              <w:spacing w:after="0" w:line="127" w:lineRule="exact"/>
              <w:rPr>
                <w:rFonts w:ascii="Arial" w:cs="Arial" w:eastAsia="Arial" w:hAnsi="Arial"/>
                <w:sz w:val="14"/>
                <w:szCs w:val="14"/>
                <w:color w:val="0000FF"/>
              </w:rPr>
            </w:pPr>
            <w:hyperlink r:id="rId153">
              <w:r>
                <w:rPr>
                  <w:rFonts w:ascii="Arial" w:cs="Arial" w:eastAsia="Arial" w:hAnsi="Arial"/>
                  <w:sz w:val="14"/>
                  <w:szCs w:val="14"/>
                  <w:color w:val="0000FF"/>
                </w:rPr>
                <w:t>Mellon Trust Company, National Association</w:t>
              </w:r>
            </w:hyperlink>
          </w:p>
        </w:tc>
        <w:tc>
          <w:tcPr>
            <w:tcW w:w="40" w:type="dxa"/>
            <w:vAlign w:val="bottom"/>
            <w:gridSpan w:val="2"/>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0" w:type="dxa"/>
            <w:vAlign w:val="bottom"/>
            <w:tcBorders>
              <w:top w:val="single" w:sz="8" w:color="0000FF"/>
              <w:bottom w:val="single" w:sz="8" w:color="0000FF"/>
            </w:tcBorders>
            <w:gridSpan w:val="26"/>
          </w:tcPr>
          <w:p>
            <w:pPr>
              <w:spacing w:after="0" w:line="127" w:lineRule="exact"/>
              <w:rPr>
                <w:rFonts w:ascii="Arial" w:cs="Arial" w:eastAsia="Arial" w:hAnsi="Arial"/>
                <w:sz w:val="14"/>
                <w:szCs w:val="14"/>
                <w:color w:val="0000FF"/>
                <w:w w:val="88"/>
              </w:rPr>
            </w:pPr>
            <w:hyperlink r:id="rId153">
              <w:r>
                <w:rPr>
                  <w:rFonts w:ascii="Arial" w:cs="Arial" w:eastAsia="Arial" w:hAnsi="Arial"/>
                  <w:sz w:val="14"/>
                  <w:szCs w:val="14"/>
                  <w:color w:val="0000FF"/>
                  <w:w w:val="88"/>
                </w:rPr>
                <w:t>(successor to JPMorgan Chase Bank, National</w:t>
              </w:r>
            </w:hyperlink>
          </w:p>
        </w:tc>
        <w:tc>
          <w:tcPr>
            <w:tcW w:w="120" w:type="dxa"/>
            <w:vAlign w:val="bottom"/>
            <w:tcBorders>
              <w:bottom w:val="single" w:sz="8" w:color="0000FF"/>
            </w:tcBorders>
            <w:gridSpan w:val="6"/>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20" w:type="dxa"/>
            <w:vAlign w:val="bottom"/>
            <w:tcBorders>
              <w:bottom w:val="single" w:sz="8" w:color="0000FF"/>
            </w:tcBorders>
            <w:gridSpan w:val="32"/>
          </w:tcPr>
          <w:p>
            <w:pPr>
              <w:spacing w:after="0" w:line="113" w:lineRule="exact"/>
              <w:rPr>
                <w:rFonts w:ascii="Arial" w:cs="Arial" w:eastAsia="Arial" w:hAnsi="Arial"/>
                <w:sz w:val="13"/>
                <w:szCs w:val="13"/>
                <w:color w:val="0000FF"/>
                <w:w w:val="99"/>
              </w:rPr>
            </w:pPr>
            <w:hyperlink r:id="rId153">
              <w:r>
                <w:rPr>
                  <w:rFonts w:ascii="Arial" w:cs="Arial" w:eastAsia="Arial" w:hAnsi="Arial"/>
                  <w:sz w:val="13"/>
                  <w:szCs w:val="13"/>
                  <w:color w:val="0000FF"/>
                  <w:w w:val="99"/>
                </w:rPr>
                <w:t>Association (formerly JPMorgan Chase Bank)),</w:t>
              </w:r>
            </w:hyperlink>
          </w:p>
        </w:tc>
        <w:tc>
          <w:tcPr>
            <w:tcW w:w="40" w:type="dxa"/>
            <w:vAlign w:val="bottom"/>
            <w:tcBorders>
              <w:bottom w:val="single" w:sz="8" w:color="0000FF"/>
            </w:tcBorders>
            <w:gridSpan w:val="2"/>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40" w:type="dxa"/>
            <w:vAlign w:val="bottom"/>
            <w:tcBorders>
              <w:bottom w:val="single" w:sz="8" w:color="0000FF"/>
            </w:tcBorders>
            <w:gridSpan w:val="2"/>
          </w:tcPr>
          <w:p>
            <w:pPr>
              <w:spacing w:after="0"/>
              <w:rPr>
                <w:sz w:val="9"/>
                <w:szCs w:val="9"/>
                <w:color w:val="auto"/>
              </w:rPr>
            </w:pPr>
          </w:p>
        </w:tc>
        <w:tc>
          <w:tcPr>
            <w:tcW w:w="80" w:type="dxa"/>
            <w:vAlign w:val="bottom"/>
            <w:gridSpan w:val="4"/>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20" w:type="dxa"/>
            <w:vAlign w:val="bottom"/>
            <w:gridSpan w:val="37"/>
          </w:tcPr>
          <w:p>
            <w:pPr>
              <w:spacing w:after="0" w:line="127" w:lineRule="exact"/>
              <w:rPr>
                <w:rFonts w:ascii="Arial" w:cs="Arial" w:eastAsia="Arial" w:hAnsi="Arial"/>
                <w:sz w:val="14"/>
                <w:szCs w:val="14"/>
                <w:color w:val="0000FF"/>
              </w:rPr>
            </w:pPr>
            <w:hyperlink r:id="rId153">
              <w:r>
                <w:rPr>
                  <w:rFonts w:ascii="Arial" w:cs="Arial" w:eastAsia="Arial" w:hAnsi="Arial"/>
                  <w:sz w:val="14"/>
                  <w:szCs w:val="14"/>
                  <w:color w:val="0000FF"/>
                </w:rPr>
                <w:t>as trustee</w:t>
              </w:r>
            </w:hyperlink>
          </w:p>
        </w:tc>
        <w:tc>
          <w:tcPr>
            <w:tcW w:w="80" w:type="dxa"/>
            <w:vAlign w:val="bottom"/>
            <w:gridSpan w:val="4"/>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6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†4.4</w:t>
            </w:r>
          </w:p>
        </w:tc>
        <w:tc>
          <w:tcPr>
            <w:tcW w:w="20" w:type="dxa"/>
            <w:vAlign w:val="bottom"/>
          </w:tcPr>
          <w:p>
            <w:pPr>
              <w:spacing w:after="0"/>
              <w:rPr>
                <w:sz w:val="15"/>
                <w:szCs w:val="15"/>
                <w:color w:val="auto"/>
              </w:rPr>
            </w:pPr>
          </w:p>
        </w:tc>
        <w:tc>
          <w:tcPr>
            <w:tcW w:w="2900" w:type="dxa"/>
            <w:vAlign w:val="bottom"/>
            <w:gridSpan w:val="41"/>
          </w:tcPr>
          <w:p>
            <w:pPr>
              <w:spacing w:after="0"/>
              <w:rPr>
                <w:sz w:val="20"/>
                <w:szCs w:val="20"/>
                <w:color w:val="auto"/>
              </w:rPr>
            </w:pPr>
            <w:r>
              <w:rPr>
                <w:rFonts w:ascii="Arial" w:cs="Arial" w:eastAsia="Arial" w:hAnsi="Arial"/>
                <w:sz w:val="14"/>
                <w:szCs w:val="14"/>
                <w:color w:val="0000FF"/>
              </w:rPr>
              <w:t>Supplemental Indenture No. 14, dated as of</w:t>
            </w: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0" w:type="dxa"/>
            <w:vAlign w:val="bottom"/>
            <w:tcBorders>
              <w:top w:val="single" w:sz="8" w:color="0000FF"/>
              <w:bottom w:val="single" w:sz="8" w:color="0000FF"/>
            </w:tcBorders>
            <w:gridSpan w:val="8"/>
          </w:tcPr>
          <w:p>
            <w:pPr>
              <w:spacing w:after="0" w:line="113" w:lineRule="exact"/>
              <w:rPr>
                <w:sz w:val="20"/>
                <w:szCs w:val="20"/>
                <w:color w:val="auto"/>
              </w:rPr>
            </w:pPr>
            <w:r>
              <w:rPr>
                <w:rFonts w:ascii="Arial" w:cs="Arial" w:eastAsia="Arial" w:hAnsi="Arial"/>
                <w:sz w:val="13"/>
                <w:szCs w:val="13"/>
                <w:color w:val="0000FF"/>
              </w:rPr>
              <w:t>August 10, 2023, to Exhibit 4.3</w:t>
            </w:r>
          </w:p>
        </w:tc>
        <w:tc>
          <w:tcPr>
            <w:tcW w:w="660" w:type="dxa"/>
            <w:vAlign w:val="bottom"/>
            <w:tcBorders>
              <w:top w:val="single" w:sz="8" w:color="0000FF"/>
            </w:tcBorders>
            <w:gridSpan w:val="13"/>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180" w:type="dxa"/>
            <w:vAlign w:val="bottom"/>
            <w:gridSpan w:val="9"/>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gridSpan w:val="6"/>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960" w:type="dxa"/>
            <w:vAlign w:val="bottom"/>
          </w:tcPr>
          <w:p>
            <w:pPr>
              <w:jc w:val="center"/>
              <w:spacing w:after="0"/>
              <w:rPr>
                <w:sz w:val="20"/>
                <w:szCs w:val="20"/>
                <w:color w:val="auto"/>
              </w:rPr>
            </w:pPr>
            <w:r>
              <w:rPr>
                <w:rFonts w:ascii="Arial" w:cs="Arial" w:eastAsia="Arial" w:hAnsi="Arial"/>
                <w:sz w:val="14"/>
                <w:szCs w:val="14"/>
                <w:color w:val="auto"/>
                <w:w w:val="92"/>
              </w:rPr>
              <w:t>4.5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00" w:type="dxa"/>
            <w:vAlign w:val="bottom"/>
            <w:tcBorders>
              <w:bottom w:val="single" w:sz="8" w:color="0000FF"/>
            </w:tcBorders>
            <w:gridSpan w:val="15"/>
          </w:tcPr>
          <w:p>
            <w:pPr>
              <w:spacing w:after="0"/>
              <w:rPr>
                <w:rFonts w:ascii="Arial" w:cs="Arial" w:eastAsia="Arial" w:hAnsi="Arial"/>
                <w:sz w:val="14"/>
                <w:szCs w:val="14"/>
                <w:color w:val="0000FF"/>
                <w:w w:val="90"/>
              </w:rPr>
            </w:pPr>
            <w:hyperlink r:id="rId154">
              <w:r>
                <w:rPr>
                  <w:rFonts w:ascii="Arial" w:cs="Arial" w:eastAsia="Arial" w:hAnsi="Arial"/>
                  <w:sz w:val="14"/>
                  <w:szCs w:val="14"/>
                  <w:color w:val="0000FF"/>
                  <w:w w:val="90"/>
                </w:rPr>
                <w:t>General Mortgage Indenture, dated as of</w:t>
              </w:r>
            </w:hyperlink>
          </w:p>
        </w:tc>
        <w:tc>
          <w:tcPr>
            <w:tcW w:w="600" w:type="dxa"/>
            <w:vAlign w:val="bottom"/>
            <w:gridSpan w:val="26"/>
          </w:tcPr>
          <w:p>
            <w:pPr>
              <w:spacing w:after="0"/>
              <w:rPr>
                <w:sz w:val="15"/>
                <w:szCs w:val="15"/>
                <w:color w:val="auto"/>
              </w:rPr>
            </w:pPr>
          </w:p>
        </w:tc>
        <w:tc>
          <w:tcPr>
            <w:tcW w:w="1680" w:type="dxa"/>
            <w:vAlign w:val="bottom"/>
            <w:gridSpan w:val="2"/>
          </w:tcPr>
          <w:p>
            <w:pPr>
              <w:spacing w:after="0"/>
              <w:rPr>
                <w:sz w:val="20"/>
                <w:szCs w:val="20"/>
                <w:color w:val="auto"/>
              </w:rPr>
            </w:pPr>
            <w:r>
              <w:rPr>
                <w:rFonts w:ascii="Arial" w:cs="Arial" w:eastAsia="Arial" w:hAnsi="Arial"/>
                <w:sz w:val="14"/>
                <w:szCs w:val="14"/>
                <w:color w:val="auto"/>
                <w:w w:val="98"/>
              </w:rPr>
              <w:t>CenterPoint Energy’s Form</w:t>
            </w: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15"/>
                <w:szCs w:val="15"/>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color w:val="auto"/>
              </w:rPr>
              <w:t>4(j)(1)</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00" w:type="dxa"/>
            <w:vAlign w:val="bottom"/>
            <w:gridSpan w:val="41"/>
          </w:tcPr>
          <w:p>
            <w:pPr>
              <w:spacing w:after="0" w:line="120" w:lineRule="exact"/>
              <w:rPr>
                <w:rFonts w:ascii="Arial" w:cs="Arial" w:eastAsia="Arial" w:hAnsi="Arial"/>
                <w:sz w:val="13"/>
                <w:szCs w:val="13"/>
                <w:color w:val="0000FF"/>
              </w:rPr>
            </w:pPr>
            <w:hyperlink r:id="rId154">
              <w:r>
                <w:rPr>
                  <w:rFonts w:ascii="Arial" w:cs="Arial" w:eastAsia="Arial" w:hAnsi="Arial"/>
                  <w:sz w:val="13"/>
                  <w:szCs w:val="13"/>
                  <w:color w:val="0000FF"/>
                </w:rPr>
                <w:t>October 10, 2002, between Houston Electric</w:t>
              </w:r>
            </w:hyperlink>
          </w:p>
        </w:tc>
        <w:tc>
          <w:tcPr>
            <w:tcW w:w="1680" w:type="dxa"/>
            <w:vAlign w:val="bottom"/>
            <w:gridSpan w:val="2"/>
          </w:tcPr>
          <w:p>
            <w:pPr>
              <w:spacing w:after="0" w:line="120" w:lineRule="exact"/>
              <w:rPr>
                <w:sz w:val="20"/>
                <w:szCs w:val="20"/>
                <w:color w:val="auto"/>
              </w:rPr>
            </w:pPr>
            <w:r>
              <w:rPr>
                <w:rFonts w:ascii="Arial" w:cs="Arial" w:eastAsia="Arial" w:hAnsi="Arial"/>
                <w:sz w:val="13"/>
                <w:szCs w:val="13"/>
                <w:color w:val="auto"/>
              </w:rPr>
              <w:t>10-Q for the quarter ended</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20" w:type="dxa"/>
            <w:vAlign w:val="bottom"/>
            <w:tcBorders>
              <w:top w:val="single" w:sz="8" w:color="0000FF"/>
            </w:tcBorders>
            <w:gridSpan w:val="22"/>
          </w:tcPr>
          <w:p>
            <w:pPr>
              <w:spacing w:after="0" w:line="127" w:lineRule="exact"/>
              <w:rPr>
                <w:rFonts w:ascii="Arial" w:cs="Arial" w:eastAsia="Arial" w:hAnsi="Arial"/>
                <w:sz w:val="14"/>
                <w:szCs w:val="14"/>
                <w:color w:val="0000FF"/>
              </w:rPr>
            </w:pPr>
            <w:hyperlink r:id="rId154">
              <w:r>
                <w:rPr>
                  <w:rFonts w:ascii="Arial" w:cs="Arial" w:eastAsia="Arial" w:hAnsi="Arial"/>
                  <w:sz w:val="14"/>
                  <w:szCs w:val="14"/>
                  <w:color w:val="0000FF"/>
                </w:rPr>
                <w:t>and The Bank of New York Mellon Trust</w:t>
              </w:r>
            </w:hyperlink>
          </w:p>
        </w:tc>
        <w:tc>
          <w:tcPr>
            <w:tcW w:w="60" w:type="dxa"/>
            <w:vAlign w:val="bottom"/>
            <w:gridSpan w:val="3"/>
          </w:tcPr>
          <w:p>
            <w:pPr>
              <w:spacing w:after="0"/>
              <w:rPr>
                <w:sz w:val="10"/>
                <w:szCs w:val="10"/>
                <w:color w:val="auto"/>
              </w:rPr>
            </w:pPr>
          </w:p>
        </w:tc>
        <w:tc>
          <w:tcPr>
            <w:tcW w:w="180" w:type="dxa"/>
            <w:vAlign w:val="bottom"/>
            <w:gridSpan w:val="9"/>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6"/>
          </w:tcPr>
          <w:p>
            <w:pPr>
              <w:spacing w:after="0"/>
              <w:rPr>
                <w:sz w:val="10"/>
                <w:szCs w:val="10"/>
                <w:color w:val="auto"/>
              </w:rPr>
            </w:pPr>
          </w:p>
        </w:tc>
        <w:tc>
          <w:tcPr>
            <w:tcW w:w="1680" w:type="dxa"/>
            <w:vAlign w:val="bottom"/>
            <w:gridSpan w:val="2"/>
          </w:tcPr>
          <w:p>
            <w:pPr>
              <w:spacing w:after="0" w:line="127" w:lineRule="exact"/>
              <w:rPr>
                <w:sz w:val="20"/>
                <w:szCs w:val="20"/>
                <w:color w:val="auto"/>
              </w:rPr>
            </w:pPr>
            <w:r>
              <w:rPr>
                <w:rFonts w:ascii="Arial" w:cs="Arial" w:eastAsia="Arial" w:hAnsi="Arial"/>
                <w:sz w:val="14"/>
                <w:szCs w:val="14"/>
                <w:color w:val="auto"/>
              </w:rPr>
              <w:t>September 30, 2002</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40" w:type="dxa"/>
            <w:vAlign w:val="bottom"/>
            <w:tcBorders>
              <w:top w:val="single" w:sz="8" w:color="0000FF"/>
            </w:tcBorders>
            <w:gridSpan w:val="17"/>
          </w:tcPr>
          <w:p>
            <w:pPr>
              <w:spacing w:after="0" w:line="127" w:lineRule="exact"/>
              <w:rPr>
                <w:rFonts w:ascii="Arial" w:cs="Arial" w:eastAsia="Arial" w:hAnsi="Arial"/>
                <w:sz w:val="14"/>
                <w:szCs w:val="14"/>
                <w:color w:val="0000FF"/>
                <w:w w:val="87"/>
              </w:rPr>
            </w:pPr>
            <w:hyperlink r:id="rId154">
              <w:r>
                <w:rPr>
                  <w:rFonts w:ascii="Arial" w:cs="Arial" w:eastAsia="Arial" w:hAnsi="Arial"/>
                  <w:sz w:val="14"/>
                  <w:szCs w:val="14"/>
                  <w:color w:val="0000FF"/>
                  <w:w w:val="87"/>
                </w:rPr>
                <w:t>Company, National Association (successor</w:t>
              </w:r>
            </w:hyperlink>
          </w:p>
        </w:tc>
        <w:tc>
          <w:tcPr>
            <w:tcW w:w="60" w:type="dxa"/>
            <w:vAlign w:val="bottom"/>
            <w:gridSpan w:val="2"/>
          </w:tcPr>
          <w:p>
            <w:pPr>
              <w:spacing w:after="0"/>
              <w:rPr>
                <w:sz w:val="10"/>
                <w:szCs w:val="10"/>
                <w:color w:val="auto"/>
              </w:rPr>
            </w:pPr>
          </w:p>
        </w:tc>
        <w:tc>
          <w:tcPr>
            <w:tcW w:w="500" w:type="dxa"/>
            <w:vAlign w:val="bottom"/>
            <w:gridSpan w:val="22"/>
          </w:tcPr>
          <w:p>
            <w:pPr>
              <w:ind w:left="60"/>
              <w:spacing w:after="0" w:line="127" w:lineRule="exact"/>
              <w:rPr>
                <w:rFonts w:ascii="Arial" w:cs="Arial" w:eastAsia="Arial" w:hAnsi="Arial"/>
                <w:sz w:val="14"/>
                <w:szCs w:val="14"/>
                <w:color w:val="0000FF"/>
              </w:rPr>
            </w:pPr>
            <w:hyperlink r:id="rId154">
              <w:r>
                <w:rPr>
                  <w:rFonts w:ascii="Arial" w:cs="Arial" w:eastAsia="Arial" w:hAnsi="Arial"/>
                  <w:sz w:val="14"/>
                  <w:szCs w:val="14"/>
                  <w:color w:val="0000FF"/>
                </w:rPr>
                <w:t>in</w:t>
              </w:r>
            </w:hyperlink>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780" w:type="dxa"/>
            <w:vAlign w:val="bottom"/>
            <w:tcBorders>
              <w:top w:val="single" w:sz="8" w:color="0000FF"/>
              <w:bottom w:val="single" w:sz="8" w:color="0000FF"/>
            </w:tcBorders>
            <w:gridSpan w:val="7"/>
          </w:tcPr>
          <w:p>
            <w:pPr>
              <w:spacing w:after="0" w:line="113" w:lineRule="exact"/>
              <w:rPr>
                <w:rFonts w:ascii="Arial" w:cs="Arial" w:eastAsia="Arial" w:hAnsi="Arial"/>
                <w:sz w:val="13"/>
                <w:szCs w:val="13"/>
                <w:color w:val="0000FF"/>
                <w:w w:val="97"/>
              </w:rPr>
            </w:pPr>
            <w:hyperlink r:id="rId154">
              <w:r>
                <w:rPr>
                  <w:rFonts w:ascii="Arial" w:cs="Arial" w:eastAsia="Arial" w:hAnsi="Arial"/>
                  <w:sz w:val="13"/>
                  <w:szCs w:val="13"/>
                  <w:color w:val="0000FF"/>
                  <w:w w:val="97"/>
                </w:rPr>
                <w:t>trust to JPMorgan Chase Bank)</w:t>
              </w:r>
            </w:hyperlink>
          </w:p>
        </w:tc>
        <w:tc>
          <w:tcPr>
            <w:tcW w:w="800" w:type="dxa"/>
            <w:vAlign w:val="bottom"/>
            <w:tcBorders>
              <w:top w:val="single" w:sz="8" w:color="0000FF"/>
            </w:tcBorders>
            <w:gridSpan w:val="18"/>
          </w:tcPr>
          <w:p>
            <w:pPr>
              <w:spacing w:after="0"/>
              <w:rPr>
                <w:sz w:val="9"/>
                <w:szCs w:val="9"/>
                <w:color w:val="auto"/>
              </w:rPr>
            </w:pPr>
          </w:p>
        </w:tc>
        <w:tc>
          <w:tcPr>
            <w:tcW w:w="180" w:type="dxa"/>
            <w:vAlign w:val="bottom"/>
            <w:gridSpan w:val="9"/>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gridSpan w:val="6"/>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960" w:type="dxa"/>
            <w:vAlign w:val="bottom"/>
          </w:tcPr>
          <w:p>
            <w:pPr>
              <w:jc w:val="center"/>
              <w:spacing w:after="0"/>
              <w:rPr>
                <w:sz w:val="20"/>
                <w:szCs w:val="20"/>
                <w:color w:val="auto"/>
              </w:rPr>
            </w:pPr>
            <w:r>
              <w:rPr>
                <w:rFonts w:ascii="Arial" w:cs="Arial" w:eastAsia="Arial" w:hAnsi="Arial"/>
                <w:sz w:val="14"/>
                <w:szCs w:val="14"/>
                <w:color w:val="auto"/>
                <w:w w:val="92"/>
              </w:rPr>
              <w:t>4.6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00" w:type="dxa"/>
            <w:vAlign w:val="bottom"/>
            <w:gridSpan w:val="41"/>
          </w:tcPr>
          <w:p>
            <w:pPr>
              <w:spacing w:after="0"/>
              <w:rPr>
                <w:rFonts w:ascii="Arial" w:cs="Arial" w:eastAsia="Arial" w:hAnsi="Arial"/>
                <w:sz w:val="14"/>
                <w:szCs w:val="14"/>
                <w:color w:val="0000FF"/>
              </w:rPr>
            </w:pPr>
            <w:hyperlink r:id="rId155">
              <w:r>
                <w:rPr>
                  <w:rFonts w:ascii="Arial" w:cs="Arial" w:eastAsia="Arial" w:hAnsi="Arial"/>
                  <w:sz w:val="14"/>
                  <w:szCs w:val="14"/>
                  <w:color w:val="0000FF"/>
                </w:rPr>
                <w:t>Ninth Supplemental Indenture, dated as of</w:t>
              </w:r>
            </w:hyperlink>
          </w:p>
        </w:tc>
        <w:tc>
          <w:tcPr>
            <w:tcW w:w="1680" w:type="dxa"/>
            <w:vAlign w:val="bottom"/>
            <w:gridSpan w:val="2"/>
          </w:tcPr>
          <w:p>
            <w:pPr>
              <w:spacing w:after="0"/>
              <w:rPr>
                <w:sz w:val="20"/>
                <w:szCs w:val="20"/>
                <w:color w:val="auto"/>
              </w:rPr>
            </w:pPr>
            <w:r>
              <w:rPr>
                <w:rFonts w:ascii="Arial" w:cs="Arial" w:eastAsia="Arial" w:hAnsi="Arial"/>
                <w:sz w:val="14"/>
                <w:szCs w:val="14"/>
                <w:color w:val="auto"/>
                <w:w w:val="98"/>
              </w:rPr>
              <w:t>CenterPoint Energy’s Form</w:t>
            </w: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15"/>
                <w:szCs w:val="15"/>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4(k)(10)</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0" w:type="dxa"/>
            <w:vAlign w:val="bottom"/>
            <w:tcBorders>
              <w:top w:val="single" w:sz="8" w:color="0000FF"/>
            </w:tcBorders>
            <w:gridSpan w:val="19"/>
          </w:tcPr>
          <w:p>
            <w:pPr>
              <w:spacing w:after="0" w:line="120" w:lineRule="exact"/>
              <w:rPr>
                <w:rFonts w:ascii="Arial" w:cs="Arial" w:eastAsia="Arial" w:hAnsi="Arial"/>
                <w:sz w:val="13"/>
                <w:szCs w:val="13"/>
                <w:color w:val="0000FF"/>
              </w:rPr>
            </w:pPr>
            <w:hyperlink r:id="rId155">
              <w:r>
                <w:rPr>
                  <w:rFonts w:ascii="Arial" w:cs="Arial" w:eastAsia="Arial" w:hAnsi="Arial"/>
                  <w:sz w:val="13"/>
                  <w:szCs w:val="13"/>
                  <w:color w:val="0000FF"/>
                </w:rPr>
                <w:t>November 12, 2002, to Exhibit 4.5</w:t>
              </w:r>
            </w:hyperlink>
          </w:p>
        </w:tc>
        <w:tc>
          <w:tcPr>
            <w:tcW w:w="360" w:type="dxa"/>
            <w:vAlign w:val="bottom"/>
            <w:gridSpan w:val="15"/>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6"/>
          </w:tcPr>
          <w:p>
            <w:pPr>
              <w:spacing w:after="0"/>
              <w:rPr>
                <w:sz w:val="10"/>
                <w:szCs w:val="10"/>
                <w:color w:val="auto"/>
              </w:rPr>
            </w:pPr>
          </w:p>
        </w:tc>
        <w:tc>
          <w:tcPr>
            <w:tcW w:w="1680" w:type="dxa"/>
            <w:vAlign w:val="bottom"/>
            <w:gridSpan w:val="2"/>
          </w:tcPr>
          <w:p>
            <w:pPr>
              <w:spacing w:after="0" w:line="120" w:lineRule="exact"/>
              <w:rPr>
                <w:sz w:val="20"/>
                <w:szCs w:val="20"/>
                <w:color w:val="auto"/>
              </w:rPr>
            </w:pPr>
            <w:r>
              <w:rPr>
                <w:rFonts w:ascii="Arial" w:cs="Arial" w:eastAsia="Arial" w:hAnsi="Arial"/>
                <w:sz w:val="13"/>
                <w:szCs w:val="13"/>
                <w:color w:val="auto"/>
              </w:rPr>
              <w:t>10-K for the year ended</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80" w:type="dxa"/>
            <w:vAlign w:val="bottom"/>
            <w:gridSpan w:val="2"/>
          </w:tcPr>
          <w:p>
            <w:pPr>
              <w:spacing w:after="0"/>
              <w:rPr>
                <w:sz w:val="20"/>
                <w:szCs w:val="20"/>
                <w:color w:val="auto"/>
              </w:rPr>
            </w:pPr>
            <w:r>
              <w:rPr>
                <w:rFonts w:ascii="Arial" w:cs="Arial" w:eastAsia="Arial" w:hAnsi="Arial"/>
                <w:sz w:val="14"/>
                <w:szCs w:val="14"/>
                <w:color w:val="auto"/>
              </w:rPr>
              <w:t>December 31, 2002</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960" w:type="dxa"/>
            <w:vAlign w:val="bottom"/>
          </w:tcPr>
          <w:p>
            <w:pPr>
              <w:jc w:val="center"/>
              <w:spacing w:after="0" w:line="152" w:lineRule="exact"/>
              <w:rPr>
                <w:sz w:val="20"/>
                <w:szCs w:val="20"/>
                <w:color w:val="auto"/>
              </w:rPr>
            </w:pPr>
            <w:r>
              <w:rPr>
                <w:rFonts w:ascii="Arial" w:cs="Arial" w:eastAsia="Arial" w:hAnsi="Arial"/>
                <w:sz w:val="14"/>
                <w:szCs w:val="14"/>
                <w:color w:val="auto"/>
                <w:w w:val="92"/>
              </w:rPr>
              <w:t>4.7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00" w:type="dxa"/>
            <w:vAlign w:val="bottom"/>
            <w:gridSpan w:val="41"/>
          </w:tcPr>
          <w:p>
            <w:pPr>
              <w:spacing w:after="0" w:line="152" w:lineRule="exact"/>
              <w:rPr>
                <w:rFonts w:ascii="Arial" w:cs="Arial" w:eastAsia="Arial" w:hAnsi="Arial"/>
                <w:sz w:val="14"/>
                <w:szCs w:val="14"/>
                <w:color w:val="0000FF"/>
                <w:w w:val="99"/>
              </w:rPr>
            </w:pPr>
            <w:hyperlink r:id="rId156">
              <w:r>
                <w:rPr>
                  <w:rFonts w:ascii="Arial" w:cs="Arial" w:eastAsia="Arial" w:hAnsi="Arial"/>
                  <w:sz w:val="14"/>
                  <w:szCs w:val="14"/>
                  <w:color w:val="0000FF"/>
                  <w:w w:val="99"/>
                </w:rPr>
                <w:t>Twentieth Supplemental Indenture, dated as of</w:t>
              </w:r>
            </w:hyperlink>
          </w:p>
        </w:tc>
        <w:tc>
          <w:tcPr>
            <w:tcW w:w="1680" w:type="dxa"/>
            <w:vAlign w:val="bottom"/>
            <w:gridSpan w:val="2"/>
          </w:tcPr>
          <w:p>
            <w:pPr>
              <w:spacing w:after="0" w:line="152" w:lineRule="exact"/>
              <w:rPr>
                <w:sz w:val="20"/>
                <w:szCs w:val="20"/>
                <w:color w:val="auto"/>
              </w:rPr>
            </w:pPr>
            <w:r>
              <w:rPr>
                <w:rFonts w:ascii="Arial" w:cs="Arial" w:eastAsia="Arial" w:hAnsi="Arial"/>
                <w:sz w:val="14"/>
                <w:szCs w:val="14"/>
                <w:color w:val="auto"/>
              </w:rPr>
              <w:t>Houston Electric’s Form 8-</w:t>
            </w:r>
          </w:p>
        </w:tc>
        <w:tc>
          <w:tcPr>
            <w:tcW w:w="1100" w:type="dxa"/>
            <w:vAlign w:val="bottom"/>
          </w:tcPr>
          <w:p>
            <w:pPr>
              <w:jc w:val="center"/>
              <w:spacing w:after="0" w:line="152" w:lineRule="exact"/>
              <w:rPr>
                <w:sz w:val="20"/>
                <w:szCs w:val="20"/>
                <w:color w:val="auto"/>
              </w:rPr>
            </w:pPr>
            <w:r>
              <w:rPr>
                <w:rFonts w:ascii="Arial" w:cs="Arial" w:eastAsia="Arial" w:hAnsi="Arial"/>
                <w:sz w:val="14"/>
                <w:szCs w:val="14"/>
                <w:color w:val="auto"/>
                <w:w w:val="91"/>
              </w:rPr>
              <w:t>1-3187</w:t>
            </w:r>
          </w:p>
        </w:tc>
        <w:tc>
          <w:tcPr>
            <w:tcW w:w="100" w:type="dxa"/>
            <w:vAlign w:val="bottom"/>
          </w:tcPr>
          <w:p>
            <w:pPr>
              <w:spacing w:after="0"/>
              <w:rPr>
                <w:sz w:val="13"/>
                <w:szCs w:val="13"/>
                <w:color w:val="auto"/>
              </w:rPr>
            </w:pPr>
          </w:p>
        </w:tc>
        <w:tc>
          <w:tcPr>
            <w:tcW w:w="920" w:type="dxa"/>
            <w:vAlign w:val="bottom"/>
          </w:tcPr>
          <w:p>
            <w:pPr>
              <w:jc w:val="center"/>
              <w:spacing w:after="0" w:line="152" w:lineRule="exact"/>
              <w:rPr>
                <w:sz w:val="20"/>
                <w:szCs w:val="20"/>
                <w:color w:val="auto"/>
              </w:rPr>
            </w:pPr>
            <w:r>
              <w:rPr>
                <w:rFonts w:ascii="Arial" w:cs="Arial" w:eastAsia="Arial" w:hAnsi="Arial"/>
                <w:sz w:val="14"/>
                <w:szCs w:val="14"/>
                <w:color w:val="auto"/>
                <w:w w:val="92"/>
              </w:rPr>
              <w:t>4.2</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100"/>
              <w:spacing w:after="0" w:line="152" w:lineRule="exact"/>
              <w:rPr>
                <w:sz w:val="20"/>
                <w:szCs w:val="20"/>
                <w:color w:val="auto"/>
              </w:rPr>
            </w:pPr>
            <w:r>
              <w:rPr>
                <w:rFonts w:ascii="Arial" w:cs="Arial" w:eastAsia="Arial" w:hAnsi="Arial"/>
                <w:sz w:val="14"/>
                <w:szCs w:val="14"/>
                <w:color w:val="auto"/>
              </w:rPr>
              <w:t>x</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60" w:type="dxa"/>
            <w:vAlign w:val="bottom"/>
            <w:tcBorders>
              <w:top w:val="single" w:sz="8" w:color="0000FF"/>
            </w:tcBorders>
            <w:gridSpan w:val="34"/>
          </w:tcPr>
          <w:p>
            <w:pPr>
              <w:spacing w:after="0" w:line="120" w:lineRule="exact"/>
              <w:rPr>
                <w:rFonts w:ascii="Arial" w:cs="Arial" w:eastAsia="Arial" w:hAnsi="Arial"/>
                <w:sz w:val="13"/>
                <w:szCs w:val="13"/>
                <w:color w:val="0000FF"/>
              </w:rPr>
            </w:pPr>
            <w:hyperlink r:id="rId156">
              <w:r>
                <w:rPr>
                  <w:rFonts w:ascii="Arial" w:cs="Arial" w:eastAsia="Arial" w:hAnsi="Arial"/>
                  <w:sz w:val="13"/>
                  <w:szCs w:val="13"/>
                  <w:color w:val="0000FF"/>
                </w:rPr>
                <w:t>December 9, 2008, to Exhibit 4.5</w:t>
              </w:r>
            </w:hyperlink>
          </w:p>
        </w:tc>
        <w:tc>
          <w:tcPr>
            <w:tcW w:w="20" w:type="dxa"/>
            <w:vAlign w:val="bottom"/>
          </w:tcPr>
          <w:p>
            <w:pPr>
              <w:spacing w:after="0"/>
              <w:rPr>
                <w:sz w:val="10"/>
                <w:szCs w:val="10"/>
                <w:color w:val="auto"/>
              </w:rPr>
            </w:pPr>
          </w:p>
        </w:tc>
        <w:tc>
          <w:tcPr>
            <w:tcW w:w="120" w:type="dxa"/>
            <w:vAlign w:val="bottom"/>
            <w:gridSpan w:val="6"/>
          </w:tcPr>
          <w:p>
            <w:pPr>
              <w:spacing w:after="0"/>
              <w:rPr>
                <w:sz w:val="10"/>
                <w:szCs w:val="10"/>
                <w:color w:val="auto"/>
              </w:rPr>
            </w:pPr>
          </w:p>
        </w:tc>
        <w:tc>
          <w:tcPr>
            <w:tcW w:w="1680" w:type="dxa"/>
            <w:vAlign w:val="bottom"/>
            <w:gridSpan w:val="2"/>
          </w:tcPr>
          <w:p>
            <w:pPr>
              <w:spacing w:after="0" w:line="120" w:lineRule="exact"/>
              <w:rPr>
                <w:sz w:val="20"/>
                <w:szCs w:val="20"/>
                <w:color w:val="auto"/>
              </w:rPr>
            </w:pPr>
            <w:r>
              <w:rPr>
                <w:rFonts w:ascii="Arial" w:cs="Arial" w:eastAsia="Arial" w:hAnsi="Arial"/>
                <w:sz w:val="13"/>
                <w:szCs w:val="13"/>
                <w:color w:val="auto"/>
              </w:rPr>
              <w:t>K dated January 6, 2009</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0" w:type="dxa"/>
            <w:vAlign w:val="bottom"/>
            <w:gridSpan w:val="8"/>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gridSpan w:val="2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60" w:type="dxa"/>
            <w:vAlign w:val="bottom"/>
          </w:tcPr>
          <w:p>
            <w:pPr>
              <w:jc w:val="center"/>
              <w:spacing w:after="0"/>
              <w:rPr>
                <w:sz w:val="20"/>
                <w:szCs w:val="20"/>
                <w:color w:val="auto"/>
              </w:rPr>
            </w:pPr>
            <w:r>
              <w:rPr>
                <w:rFonts w:ascii="Arial" w:cs="Arial" w:eastAsia="Arial" w:hAnsi="Arial"/>
                <w:sz w:val="14"/>
                <w:szCs w:val="14"/>
                <w:color w:val="auto"/>
                <w:w w:val="92"/>
              </w:rPr>
              <w:t>4.8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00" w:type="dxa"/>
            <w:vAlign w:val="bottom"/>
            <w:gridSpan w:val="41"/>
          </w:tcPr>
          <w:p>
            <w:pPr>
              <w:spacing w:after="0"/>
              <w:rPr>
                <w:rFonts w:ascii="Arial" w:cs="Arial" w:eastAsia="Arial" w:hAnsi="Arial"/>
                <w:sz w:val="14"/>
                <w:szCs w:val="14"/>
                <w:color w:val="0000FF"/>
                <w:w w:val="97"/>
              </w:rPr>
            </w:pPr>
            <w:hyperlink r:id="rId157">
              <w:r>
                <w:rPr>
                  <w:rFonts w:ascii="Arial" w:cs="Arial" w:eastAsia="Arial" w:hAnsi="Arial"/>
                  <w:sz w:val="14"/>
                  <w:szCs w:val="14"/>
                  <w:color w:val="0000FF"/>
                  <w:w w:val="97"/>
                </w:rPr>
                <w:t>Thirty-Fourth Supplemental Indenture, dated as</w:t>
              </w:r>
            </w:hyperlink>
          </w:p>
        </w:tc>
        <w:tc>
          <w:tcPr>
            <w:tcW w:w="1680" w:type="dxa"/>
            <w:vAlign w:val="bottom"/>
            <w:gridSpan w:val="2"/>
          </w:tcPr>
          <w:p>
            <w:pPr>
              <w:spacing w:after="0"/>
              <w:rPr>
                <w:sz w:val="20"/>
                <w:szCs w:val="20"/>
                <w:color w:val="auto"/>
              </w:rPr>
            </w:pPr>
            <w:r>
              <w:rPr>
                <w:rFonts w:ascii="Arial" w:cs="Arial" w:eastAsia="Arial" w:hAnsi="Arial"/>
                <w:sz w:val="14"/>
                <w:szCs w:val="14"/>
                <w:color w:val="auto"/>
              </w:rPr>
              <w:t>Houston Electric’s Form 8-</w:t>
            </w:r>
          </w:p>
        </w:tc>
        <w:tc>
          <w:tcPr>
            <w:tcW w:w="1100" w:type="dxa"/>
            <w:vAlign w:val="bottom"/>
          </w:tcPr>
          <w:p>
            <w:pPr>
              <w:jc w:val="center"/>
              <w:spacing w:after="0"/>
              <w:rPr>
                <w:sz w:val="20"/>
                <w:szCs w:val="20"/>
                <w:color w:val="auto"/>
              </w:rPr>
            </w:pPr>
            <w:r>
              <w:rPr>
                <w:rFonts w:ascii="Arial" w:cs="Arial" w:eastAsia="Arial" w:hAnsi="Arial"/>
                <w:sz w:val="14"/>
                <w:szCs w:val="14"/>
                <w:color w:val="auto"/>
                <w:w w:val="91"/>
              </w:rPr>
              <w:t>1-3187</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4.4</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80" w:type="dxa"/>
            <w:vAlign w:val="bottom"/>
            <w:tcBorders>
              <w:top w:val="single" w:sz="8" w:color="0000FF"/>
              <w:bottom w:val="single" w:sz="8" w:color="0000FF"/>
            </w:tcBorders>
            <w:gridSpan w:val="11"/>
          </w:tcPr>
          <w:p>
            <w:pPr>
              <w:spacing w:after="0" w:line="120" w:lineRule="exact"/>
              <w:rPr>
                <w:rFonts w:ascii="Arial" w:cs="Arial" w:eastAsia="Arial" w:hAnsi="Arial"/>
                <w:sz w:val="13"/>
                <w:szCs w:val="13"/>
                <w:color w:val="0000FF"/>
                <w:w w:val="99"/>
              </w:rPr>
            </w:pPr>
            <w:hyperlink r:id="rId157">
              <w:r>
                <w:rPr>
                  <w:rFonts w:ascii="Arial" w:cs="Arial" w:eastAsia="Arial" w:hAnsi="Arial"/>
                  <w:sz w:val="13"/>
                  <w:szCs w:val="13"/>
                  <w:color w:val="0000FF"/>
                  <w:w w:val="99"/>
                </w:rPr>
                <w:t>of September 18, 2023, to Exhibit 4.5</w:t>
              </w:r>
            </w:hyperlink>
          </w:p>
        </w:tc>
        <w:tc>
          <w:tcPr>
            <w:tcW w:w="600" w:type="dxa"/>
            <w:vAlign w:val="bottom"/>
            <w:tcBorders>
              <w:top w:val="single" w:sz="8" w:color="0000FF"/>
            </w:tcBorders>
            <w:gridSpan w:val="24"/>
          </w:tcPr>
          <w:p>
            <w:pPr>
              <w:spacing w:after="0"/>
              <w:rPr>
                <w:sz w:val="10"/>
                <w:szCs w:val="10"/>
                <w:color w:val="auto"/>
              </w:rPr>
            </w:pPr>
          </w:p>
        </w:tc>
        <w:tc>
          <w:tcPr>
            <w:tcW w:w="120" w:type="dxa"/>
            <w:vAlign w:val="bottom"/>
            <w:gridSpan w:val="6"/>
          </w:tcPr>
          <w:p>
            <w:pPr>
              <w:spacing w:after="0"/>
              <w:rPr>
                <w:sz w:val="10"/>
                <w:szCs w:val="10"/>
                <w:color w:val="auto"/>
              </w:rPr>
            </w:pPr>
          </w:p>
        </w:tc>
        <w:tc>
          <w:tcPr>
            <w:tcW w:w="1680" w:type="dxa"/>
            <w:vAlign w:val="bottom"/>
            <w:gridSpan w:val="2"/>
          </w:tcPr>
          <w:p>
            <w:pPr>
              <w:spacing w:after="0" w:line="120" w:lineRule="exact"/>
              <w:rPr>
                <w:sz w:val="20"/>
                <w:szCs w:val="20"/>
                <w:color w:val="auto"/>
              </w:rPr>
            </w:pPr>
            <w:r>
              <w:rPr>
                <w:rFonts w:ascii="Arial" w:cs="Arial" w:eastAsia="Arial" w:hAnsi="Arial"/>
                <w:sz w:val="13"/>
                <w:szCs w:val="13"/>
                <w:color w:val="auto"/>
              </w:rPr>
              <w:t>K dated September 13,</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87"/>
              </w:rPr>
              <w:t>†4.9</w:t>
            </w:r>
          </w:p>
        </w:tc>
        <w:tc>
          <w:tcPr>
            <w:tcW w:w="20" w:type="dxa"/>
            <w:vAlign w:val="bottom"/>
          </w:tcPr>
          <w:p>
            <w:pPr>
              <w:spacing w:after="0"/>
              <w:rPr>
                <w:sz w:val="13"/>
                <w:szCs w:val="13"/>
                <w:color w:val="auto"/>
              </w:rPr>
            </w:pPr>
          </w:p>
        </w:tc>
        <w:tc>
          <w:tcPr>
            <w:tcW w:w="2900" w:type="dxa"/>
            <w:vAlign w:val="bottom"/>
            <w:gridSpan w:val="41"/>
            <w:vMerge w:val="restart"/>
          </w:tcPr>
          <w:p>
            <w:pPr>
              <w:spacing w:after="0"/>
              <w:rPr>
                <w:sz w:val="20"/>
                <w:szCs w:val="20"/>
                <w:color w:val="auto"/>
              </w:rPr>
            </w:pPr>
            <w:r>
              <w:rPr>
                <w:rFonts w:ascii="Arial" w:cs="Arial" w:eastAsia="Arial" w:hAnsi="Arial"/>
                <w:sz w:val="14"/>
                <w:szCs w:val="14"/>
                <w:color w:val="0000FF"/>
                <w:w w:val="98"/>
              </w:rPr>
              <w:t>Officer’s Certificate, dated as of September 18,</w:t>
            </w:r>
          </w:p>
        </w:tc>
        <w:tc>
          <w:tcPr>
            <w:tcW w:w="1580" w:type="dxa"/>
            <w:vAlign w:val="bottom"/>
          </w:tcPr>
          <w:p>
            <w:pPr>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900" w:type="dxa"/>
            <w:vAlign w:val="bottom"/>
            <w:gridSpan w:val="41"/>
            <w:vMerge w:val="continue"/>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top w:val="single" w:sz="8" w:color="0000FF"/>
              <w:bottom w:val="single" w:sz="8" w:color="0000FF"/>
            </w:tcBorders>
          </w:tcPr>
          <w:p>
            <w:pPr>
              <w:spacing w:after="0" w:line="113" w:lineRule="exact"/>
              <w:rPr>
                <w:sz w:val="20"/>
                <w:szCs w:val="20"/>
                <w:color w:val="auto"/>
              </w:rPr>
            </w:pPr>
            <w:r>
              <w:rPr>
                <w:rFonts w:ascii="Arial" w:cs="Arial" w:eastAsia="Arial" w:hAnsi="Arial"/>
                <w:sz w:val="13"/>
                <w:szCs w:val="13"/>
                <w:color w:val="0000FF"/>
                <w:w w:val="89"/>
              </w:rPr>
              <w:t>2023</w:t>
            </w:r>
          </w:p>
        </w:tc>
        <w:tc>
          <w:tcPr>
            <w:tcW w:w="12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60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4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94" w:name="page95"/>
    <w:bookmarkEnd w:id="94"/>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Report or Registration</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SEC File or</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CenterPoint</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0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20" w:type="dxa"/>
            <w:vAlign w:val="bottom"/>
            <w:gridSpan w:val="20"/>
            <w:vMerge w:val="restart"/>
          </w:tcPr>
          <w:p>
            <w:pPr>
              <w:ind w:left="180"/>
              <w:spacing w:after="0"/>
              <w:rPr>
                <w:sz w:val="20"/>
                <w:szCs w:val="20"/>
                <w:color w:val="auto"/>
              </w:rPr>
            </w:pPr>
            <w:r>
              <w:rPr>
                <w:rFonts w:ascii="Arial" w:cs="Arial" w:eastAsia="Arial" w:hAnsi="Arial"/>
                <w:sz w:val="14"/>
                <w:szCs w:val="14"/>
                <w:b w:val="1"/>
                <w:bCs w:val="1"/>
                <w:color w:val="auto"/>
              </w:rPr>
              <w:t>Description</w:t>
            </w:r>
          </w:p>
        </w:tc>
        <w:tc>
          <w:tcPr>
            <w:tcW w:w="1740" w:type="dxa"/>
            <w:vAlign w:val="bottom"/>
            <w:gridSpan w:val="2"/>
            <w:vMerge w:val="continue"/>
          </w:tcPr>
          <w:p>
            <w:pPr>
              <w:spacing w:after="0"/>
              <w:rPr>
                <w:sz w:val="12"/>
                <w:szCs w:val="12"/>
                <w:color w:val="auto"/>
              </w:rPr>
            </w:pPr>
          </w:p>
        </w:tc>
        <w:tc>
          <w:tcPr>
            <w:tcW w:w="118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0"/>
              </w:rPr>
              <w:t>Registration</w:t>
            </w:r>
          </w:p>
        </w:tc>
        <w:tc>
          <w:tcPr>
            <w:tcW w:w="104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3"/>
        </w:trPr>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20" w:type="dxa"/>
            <w:vAlign w:val="bottom"/>
            <w:gridSpan w:val="20"/>
            <w:vMerge w:val="continue"/>
          </w:tcPr>
          <w:p>
            <w:pPr>
              <w:spacing w:after="0"/>
              <w:rPr>
                <w:sz w:val="16"/>
                <w:szCs w:val="16"/>
                <w:color w:val="auto"/>
              </w:rPr>
            </w:pPr>
          </w:p>
        </w:tc>
        <w:tc>
          <w:tcPr>
            <w:tcW w:w="1740" w:type="dxa"/>
            <w:vAlign w:val="bottom"/>
            <w:gridSpan w:val="2"/>
          </w:tcPr>
          <w:p>
            <w:pPr>
              <w:ind w:left="500"/>
              <w:spacing w:after="0"/>
              <w:rPr>
                <w:sz w:val="20"/>
                <w:szCs w:val="20"/>
                <w:color w:val="auto"/>
              </w:rPr>
            </w:pPr>
            <w:r>
              <w:rPr>
                <w:rFonts w:ascii="Arial" w:cs="Arial" w:eastAsia="Arial" w:hAnsi="Arial"/>
                <w:sz w:val="14"/>
                <w:szCs w:val="14"/>
                <w:b w:val="1"/>
                <w:bCs w:val="1"/>
                <w:color w:val="auto"/>
              </w:rPr>
              <w:t>Statement</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Reference</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Energy</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Electric</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96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w w:val="91"/>
              </w:rPr>
              <w:t>†10.1</w:t>
            </w:r>
          </w:p>
        </w:tc>
        <w:tc>
          <w:tcPr>
            <w:tcW w:w="1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760" w:type="dxa"/>
            <w:vAlign w:val="bottom"/>
            <w:tcBorders>
              <w:top w:val="single" w:sz="8" w:color="auto"/>
            </w:tcBorders>
            <w:gridSpan w:val="24"/>
          </w:tcPr>
          <w:p>
            <w:pPr>
              <w:spacing w:after="0" w:line="147" w:lineRule="exact"/>
              <w:rPr>
                <w:sz w:val="20"/>
                <w:szCs w:val="20"/>
                <w:color w:val="auto"/>
              </w:rPr>
            </w:pPr>
            <w:r>
              <w:rPr>
                <w:rFonts w:ascii="Arial" w:cs="Arial" w:eastAsia="Arial" w:hAnsi="Arial"/>
                <w:sz w:val="14"/>
                <w:szCs w:val="14"/>
                <w:color w:val="0000FF"/>
                <w:w w:val="95"/>
              </w:rPr>
              <w:t>Third Amendment effective October 1, 2023 to</w:t>
            </w:r>
          </w:p>
        </w:tc>
        <w:tc>
          <w:tcPr>
            <w:tcW w:w="8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60" w:type="dxa"/>
            <w:vAlign w:val="bottom"/>
            <w:tcBorders>
              <w:top w:val="single" w:sz="8" w:color="0000FF"/>
            </w:tcBorders>
            <w:gridSpan w:val="19"/>
          </w:tcPr>
          <w:p>
            <w:pPr>
              <w:spacing w:after="0" w:line="113" w:lineRule="exact"/>
              <w:rPr>
                <w:sz w:val="20"/>
                <w:szCs w:val="20"/>
                <w:color w:val="auto"/>
              </w:rPr>
            </w:pPr>
            <w:r>
              <w:rPr>
                <w:rFonts w:ascii="Arial" w:cs="Arial" w:eastAsia="Arial" w:hAnsi="Arial"/>
                <w:sz w:val="13"/>
                <w:szCs w:val="13"/>
                <w:color w:val="0000FF"/>
              </w:rPr>
              <w:t>CenterPoint Energy 2005 Deferred</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Borders>
              <w:top w:val="single" w:sz="8" w:color="0000FF"/>
              <w:bottom w:val="single" w:sz="8" w:color="0000FF"/>
            </w:tcBorders>
            <w:gridSpan w:val="6"/>
          </w:tcPr>
          <w:p>
            <w:pPr>
              <w:spacing w:after="0" w:line="127" w:lineRule="exact"/>
              <w:rPr>
                <w:sz w:val="20"/>
                <w:szCs w:val="20"/>
                <w:color w:val="auto"/>
              </w:rPr>
            </w:pPr>
            <w:r>
              <w:rPr>
                <w:rFonts w:ascii="Arial" w:cs="Arial" w:eastAsia="Arial" w:hAnsi="Arial"/>
                <w:sz w:val="14"/>
                <w:szCs w:val="14"/>
                <w:color w:val="0000FF"/>
                <w:w w:val="88"/>
              </w:rPr>
              <w:t>Compensation Plan</w:t>
            </w:r>
          </w:p>
        </w:tc>
        <w:tc>
          <w:tcPr>
            <w:tcW w:w="860" w:type="dxa"/>
            <w:vAlign w:val="bottom"/>
            <w:tcBorders>
              <w:top w:val="single" w:sz="8" w:color="0000FF"/>
            </w:tcBorders>
            <w:gridSpan w:val="3"/>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0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†10.2</w:t>
            </w:r>
          </w:p>
        </w:tc>
        <w:tc>
          <w:tcPr>
            <w:tcW w:w="20" w:type="dxa"/>
            <w:vAlign w:val="bottom"/>
          </w:tcPr>
          <w:p>
            <w:pPr>
              <w:spacing w:after="0"/>
              <w:rPr>
                <w:sz w:val="15"/>
                <w:szCs w:val="15"/>
                <w:color w:val="auto"/>
              </w:rPr>
            </w:pPr>
          </w:p>
        </w:tc>
        <w:tc>
          <w:tcPr>
            <w:tcW w:w="2840" w:type="dxa"/>
            <w:vAlign w:val="bottom"/>
            <w:gridSpan w:val="25"/>
          </w:tcPr>
          <w:p>
            <w:pPr>
              <w:spacing w:after="0"/>
              <w:rPr>
                <w:sz w:val="20"/>
                <w:szCs w:val="20"/>
                <w:color w:val="auto"/>
              </w:rPr>
            </w:pPr>
            <w:r>
              <w:rPr>
                <w:rFonts w:ascii="Arial" w:cs="Arial" w:eastAsia="Arial" w:hAnsi="Arial"/>
                <w:sz w:val="14"/>
                <w:szCs w:val="14"/>
                <w:color w:val="0000FF"/>
                <w:w w:val="98"/>
              </w:rPr>
              <w:t>Third Amendment effective October 1, 2023 to</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540" w:type="dxa"/>
            <w:vAlign w:val="bottom"/>
            <w:tcBorders>
              <w:top w:val="single" w:sz="8" w:color="0000FF"/>
              <w:bottom w:val="single" w:sz="8" w:color="0000FF"/>
            </w:tcBorders>
            <w:gridSpan w:val="17"/>
          </w:tcPr>
          <w:p>
            <w:pPr>
              <w:spacing w:after="0" w:line="113" w:lineRule="exact"/>
              <w:rPr>
                <w:sz w:val="20"/>
                <w:szCs w:val="20"/>
                <w:color w:val="auto"/>
              </w:rPr>
            </w:pPr>
            <w:r>
              <w:rPr>
                <w:rFonts w:ascii="Arial" w:cs="Arial" w:eastAsia="Arial" w:hAnsi="Arial"/>
                <w:sz w:val="13"/>
                <w:szCs w:val="13"/>
                <w:color w:val="0000FF"/>
                <w:w w:val="97"/>
              </w:rPr>
              <w:t>CenterPoint Energy Benefit Restoration Plan</w:t>
            </w:r>
          </w:p>
        </w:tc>
        <w:tc>
          <w:tcPr>
            <w:tcW w:w="140" w:type="dxa"/>
            <w:vAlign w:val="bottom"/>
            <w:tcBorders>
              <w:top w:val="single" w:sz="8" w:color="0000FF"/>
            </w:tcBorders>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0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†10.3</w:t>
            </w:r>
          </w:p>
        </w:tc>
        <w:tc>
          <w:tcPr>
            <w:tcW w:w="20" w:type="dxa"/>
            <w:vAlign w:val="bottom"/>
          </w:tcPr>
          <w:p>
            <w:pPr>
              <w:spacing w:after="0"/>
              <w:rPr>
                <w:sz w:val="15"/>
                <w:szCs w:val="15"/>
                <w:color w:val="auto"/>
              </w:rPr>
            </w:pPr>
          </w:p>
        </w:tc>
        <w:tc>
          <w:tcPr>
            <w:tcW w:w="2840" w:type="dxa"/>
            <w:vAlign w:val="bottom"/>
            <w:gridSpan w:val="25"/>
          </w:tcPr>
          <w:p>
            <w:pPr>
              <w:spacing w:after="0"/>
              <w:rPr>
                <w:sz w:val="20"/>
                <w:szCs w:val="20"/>
                <w:color w:val="auto"/>
              </w:rPr>
            </w:pPr>
            <w:r>
              <w:rPr>
                <w:rFonts w:ascii="Arial" w:cs="Arial" w:eastAsia="Arial" w:hAnsi="Arial"/>
                <w:sz w:val="14"/>
                <w:szCs w:val="14"/>
                <w:color w:val="0000FF"/>
              </w:rPr>
              <w:t>Fourth Amendment effective October 1, 2023</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740" w:type="dxa"/>
            <w:vAlign w:val="bottom"/>
            <w:tcBorders>
              <w:bottom w:val="single" w:sz="8" w:color="0000FF"/>
            </w:tcBorders>
            <w:gridSpan w:val="23"/>
          </w:tcPr>
          <w:p>
            <w:pPr>
              <w:spacing w:after="0" w:line="113" w:lineRule="exact"/>
              <w:rPr>
                <w:sz w:val="20"/>
                <w:szCs w:val="20"/>
                <w:color w:val="auto"/>
              </w:rPr>
            </w:pPr>
            <w:r>
              <w:rPr>
                <w:rFonts w:ascii="Arial" w:cs="Arial" w:eastAsia="Arial" w:hAnsi="Arial"/>
                <w:sz w:val="13"/>
                <w:szCs w:val="13"/>
                <w:color w:val="0000FF"/>
                <w:w w:val="98"/>
              </w:rPr>
              <w:t>to CenterPoint Energy Savings Restoration Plan</w:t>
            </w:r>
          </w:p>
        </w:tc>
        <w:tc>
          <w:tcPr>
            <w:tcW w:w="100" w:type="dxa"/>
            <w:vAlign w:val="bottom"/>
            <w:gridSpan w:val="2"/>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0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†10.4</w:t>
            </w:r>
          </w:p>
        </w:tc>
        <w:tc>
          <w:tcPr>
            <w:tcW w:w="20" w:type="dxa"/>
            <w:vAlign w:val="bottom"/>
          </w:tcPr>
          <w:p>
            <w:pPr>
              <w:spacing w:after="0"/>
              <w:rPr>
                <w:sz w:val="15"/>
                <w:szCs w:val="15"/>
                <w:color w:val="auto"/>
              </w:rPr>
            </w:pPr>
          </w:p>
        </w:tc>
        <w:tc>
          <w:tcPr>
            <w:tcW w:w="2840" w:type="dxa"/>
            <w:vAlign w:val="bottom"/>
            <w:gridSpan w:val="25"/>
          </w:tcPr>
          <w:p>
            <w:pPr>
              <w:spacing w:after="0"/>
              <w:rPr>
                <w:sz w:val="20"/>
                <w:szCs w:val="20"/>
                <w:color w:val="auto"/>
              </w:rPr>
            </w:pPr>
            <w:r>
              <w:rPr>
                <w:rFonts w:ascii="Arial" w:cs="Arial" w:eastAsia="Arial" w:hAnsi="Arial"/>
                <w:sz w:val="14"/>
                <w:szCs w:val="14"/>
                <w:color w:val="0000FF"/>
              </w:rPr>
              <w:t>Third Amendment dated July 24, 2023 to</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80" w:type="dxa"/>
            <w:vAlign w:val="bottom"/>
            <w:tcBorders>
              <w:top w:val="single" w:sz="8" w:color="0000FF"/>
              <w:bottom w:val="single" w:sz="8" w:color="0000FF"/>
            </w:tcBorders>
            <w:gridSpan w:val="8"/>
          </w:tcPr>
          <w:p>
            <w:pPr>
              <w:spacing w:after="0" w:line="113" w:lineRule="exact"/>
              <w:rPr>
                <w:sz w:val="20"/>
                <w:szCs w:val="20"/>
                <w:color w:val="auto"/>
              </w:rPr>
            </w:pPr>
            <w:r>
              <w:rPr>
                <w:rFonts w:ascii="Arial" w:cs="Arial" w:eastAsia="Arial" w:hAnsi="Arial"/>
                <w:sz w:val="13"/>
                <w:szCs w:val="13"/>
                <w:color w:val="0000FF"/>
                <w:w w:val="96"/>
              </w:rPr>
              <w:t>CenterPoint Energy Savings Plan</w:t>
            </w:r>
          </w:p>
        </w:tc>
        <w:tc>
          <w:tcPr>
            <w:tcW w:w="440" w:type="dxa"/>
            <w:vAlign w:val="bottom"/>
            <w:tcBorders>
              <w:top w:val="single" w:sz="8" w:color="0000FF"/>
            </w:tcBorders>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gridSpan w:val="5"/>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gridSpan w:val="3"/>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960" w:type="dxa"/>
            <w:vAlign w:val="bottom"/>
          </w:tcPr>
          <w:p>
            <w:pPr>
              <w:jc w:val="center"/>
              <w:spacing w:after="0"/>
              <w:rPr>
                <w:sz w:val="20"/>
                <w:szCs w:val="20"/>
                <w:color w:val="auto"/>
              </w:rPr>
            </w:pPr>
            <w:r>
              <w:rPr>
                <w:rFonts w:ascii="Arial" w:cs="Arial" w:eastAsia="Arial" w:hAnsi="Arial"/>
                <w:sz w:val="14"/>
                <w:szCs w:val="14"/>
                <w:color w:val="auto"/>
                <w:w w:val="87"/>
              </w:rPr>
              <w:t>10.5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00" w:type="dxa"/>
            <w:vAlign w:val="bottom"/>
            <w:tcBorders>
              <w:bottom w:val="single" w:sz="8" w:color="0000FF"/>
            </w:tcBorders>
            <w:gridSpan w:val="15"/>
          </w:tcPr>
          <w:p>
            <w:pPr>
              <w:spacing w:after="0"/>
              <w:rPr>
                <w:rFonts w:ascii="Arial" w:cs="Arial" w:eastAsia="Arial" w:hAnsi="Arial"/>
                <w:sz w:val="14"/>
                <w:szCs w:val="14"/>
                <w:color w:val="0000FF"/>
                <w:w w:val="92"/>
              </w:rPr>
            </w:pPr>
            <w:hyperlink r:id="rId159">
              <w:r>
                <w:rPr>
                  <w:rFonts w:ascii="Arial" w:cs="Arial" w:eastAsia="Arial" w:hAnsi="Arial"/>
                  <w:sz w:val="14"/>
                  <w:szCs w:val="14"/>
                  <w:color w:val="0000FF"/>
                  <w:w w:val="92"/>
                </w:rPr>
                <w:t>Form of Award Agreement for Performance</w:t>
              </w:r>
            </w:hyperlink>
          </w:p>
        </w:tc>
        <w:tc>
          <w:tcPr>
            <w:tcW w:w="340" w:type="dxa"/>
            <w:vAlign w:val="bottom"/>
            <w:gridSpan w:val="10"/>
          </w:tcPr>
          <w:p>
            <w:pPr>
              <w:spacing w:after="0"/>
              <w:rPr>
                <w:sz w:val="15"/>
                <w:szCs w:val="15"/>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40" w:type="dxa"/>
            <w:vAlign w:val="bottom"/>
            <w:gridSpan w:val="25"/>
          </w:tcPr>
          <w:p>
            <w:pPr>
              <w:spacing w:after="0" w:line="120" w:lineRule="exact"/>
              <w:rPr>
                <w:rFonts w:ascii="Arial" w:cs="Arial" w:eastAsia="Arial" w:hAnsi="Arial"/>
                <w:sz w:val="13"/>
                <w:szCs w:val="13"/>
                <w:color w:val="0000FF"/>
              </w:rPr>
            </w:pPr>
            <w:hyperlink r:id="rId159">
              <w:r>
                <w:rPr>
                  <w:rFonts w:ascii="Arial" w:cs="Arial" w:eastAsia="Arial" w:hAnsi="Arial"/>
                  <w:sz w:val="13"/>
                  <w:szCs w:val="13"/>
                  <w:color w:val="0000FF"/>
                </w:rPr>
                <w:t>Share Units for Officer and Director Employees</w:t>
              </w:r>
            </w:hyperlink>
          </w:p>
        </w:tc>
        <w:tc>
          <w:tcPr>
            <w:tcW w:w="1740" w:type="dxa"/>
            <w:vAlign w:val="bottom"/>
            <w:gridSpan w:val="2"/>
          </w:tcPr>
          <w:p>
            <w:pPr>
              <w:ind w:left="20"/>
              <w:spacing w:after="0" w:line="120" w:lineRule="exact"/>
              <w:rPr>
                <w:sz w:val="20"/>
                <w:szCs w:val="20"/>
                <w:color w:val="auto"/>
              </w:rPr>
            </w:pPr>
            <w:r>
              <w:rPr>
                <w:rFonts w:ascii="Arial" w:cs="Arial" w:eastAsia="Arial" w:hAnsi="Arial"/>
                <w:sz w:val="13"/>
                <w:szCs w:val="13"/>
                <w:color w:val="auto"/>
              </w:rPr>
              <w:t>8-K dated September 27,</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ind w:left="20"/>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960" w:type="dxa"/>
            <w:vAlign w:val="bottom"/>
          </w:tcPr>
          <w:p>
            <w:pPr>
              <w:jc w:val="center"/>
              <w:spacing w:after="0" w:line="152" w:lineRule="exact"/>
              <w:rPr>
                <w:sz w:val="20"/>
                <w:szCs w:val="20"/>
                <w:color w:val="auto"/>
              </w:rPr>
            </w:pPr>
            <w:r>
              <w:rPr>
                <w:rFonts w:ascii="Arial" w:cs="Arial" w:eastAsia="Arial" w:hAnsi="Arial"/>
                <w:sz w:val="14"/>
                <w:szCs w:val="14"/>
                <w:color w:val="auto"/>
                <w:w w:val="87"/>
              </w:rPr>
              <w:t>10.6</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40" w:type="dxa"/>
            <w:vAlign w:val="bottom"/>
            <w:gridSpan w:val="25"/>
          </w:tcPr>
          <w:p>
            <w:pPr>
              <w:spacing w:after="0" w:line="152" w:lineRule="exact"/>
              <w:rPr>
                <w:rFonts w:ascii="Arial" w:cs="Arial" w:eastAsia="Arial" w:hAnsi="Arial"/>
                <w:sz w:val="14"/>
                <w:szCs w:val="14"/>
                <w:color w:val="0000FF"/>
                <w:w w:val="97"/>
              </w:rPr>
            </w:pPr>
            <w:hyperlink r:id="rId160">
              <w:r>
                <w:rPr>
                  <w:rFonts w:ascii="Arial" w:cs="Arial" w:eastAsia="Arial" w:hAnsi="Arial"/>
                  <w:sz w:val="14"/>
                  <w:szCs w:val="14"/>
                  <w:color w:val="0000FF"/>
                  <w:w w:val="97"/>
                </w:rPr>
                <w:t>Form of Award Agreement for Restricted Stock</w:t>
              </w:r>
            </w:hyperlink>
          </w:p>
        </w:tc>
        <w:tc>
          <w:tcPr>
            <w:tcW w:w="1740" w:type="dxa"/>
            <w:vAlign w:val="bottom"/>
            <w:gridSpan w:val="2"/>
          </w:tcPr>
          <w:p>
            <w:pPr>
              <w:ind w:left="20"/>
              <w:spacing w:after="0" w:line="152" w:lineRule="exact"/>
              <w:rPr>
                <w:sz w:val="20"/>
                <w:szCs w:val="20"/>
                <w:color w:val="auto"/>
              </w:rPr>
            </w:pPr>
            <w:r>
              <w:rPr>
                <w:rFonts w:ascii="Arial" w:cs="Arial" w:eastAsia="Arial" w:hAnsi="Arial"/>
                <w:sz w:val="14"/>
                <w:szCs w:val="14"/>
                <w:color w:val="auto"/>
              </w:rPr>
              <w:t>CenterPoint Energy’s Form</w:t>
            </w:r>
          </w:p>
        </w:tc>
        <w:tc>
          <w:tcPr>
            <w:tcW w:w="1080" w:type="dxa"/>
            <w:vAlign w:val="bottom"/>
          </w:tcPr>
          <w:p>
            <w:pPr>
              <w:jc w:val="center"/>
              <w:spacing w:after="0" w:line="152" w:lineRule="exact"/>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13"/>
                <w:szCs w:val="13"/>
                <w:color w:val="auto"/>
              </w:rPr>
            </w:pPr>
          </w:p>
        </w:tc>
        <w:tc>
          <w:tcPr>
            <w:tcW w:w="920" w:type="dxa"/>
            <w:vAlign w:val="bottom"/>
          </w:tcPr>
          <w:p>
            <w:pPr>
              <w:jc w:val="center"/>
              <w:spacing w:after="0" w:line="152" w:lineRule="exact"/>
              <w:rPr>
                <w:sz w:val="20"/>
                <w:szCs w:val="20"/>
                <w:color w:val="auto"/>
              </w:rPr>
            </w:pPr>
            <w:r>
              <w:rPr>
                <w:rFonts w:ascii="Arial" w:cs="Arial" w:eastAsia="Arial" w:hAnsi="Arial"/>
                <w:sz w:val="14"/>
                <w:szCs w:val="14"/>
                <w:color w:val="auto"/>
                <w:w w:val="87"/>
              </w:rPr>
              <w:t>10.2</w:t>
            </w:r>
          </w:p>
        </w:tc>
        <w:tc>
          <w:tcPr>
            <w:tcW w:w="120" w:type="dxa"/>
            <w:vAlign w:val="bottom"/>
          </w:tcPr>
          <w:p>
            <w:pPr>
              <w:spacing w:after="0"/>
              <w:rPr>
                <w:sz w:val="13"/>
                <w:szCs w:val="13"/>
                <w:color w:val="auto"/>
              </w:rPr>
            </w:pPr>
          </w:p>
        </w:tc>
        <w:tc>
          <w:tcPr>
            <w:tcW w:w="1200" w:type="dxa"/>
            <w:vAlign w:val="bottom"/>
            <w:gridSpan w:val="2"/>
          </w:tcPr>
          <w:p>
            <w:pPr>
              <w:jc w:val="center"/>
              <w:ind w:right="120"/>
              <w:spacing w:after="0" w:line="152" w:lineRule="exact"/>
              <w:rPr>
                <w:sz w:val="20"/>
                <w:szCs w:val="20"/>
                <w:color w:val="auto"/>
              </w:rPr>
            </w:pPr>
            <w:r>
              <w:rPr>
                <w:rFonts w:ascii="Arial" w:cs="Arial" w:eastAsia="Arial" w:hAnsi="Arial"/>
                <w:sz w:val="14"/>
                <w:szCs w:val="14"/>
                <w:color w:val="auto"/>
              </w:rPr>
              <w:t>x</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00" w:type="dxa"/>
            <w:vAlign w:val="bottom"/>
            <w:tcBorders>
              <w:top w:val="single" w:sz="8" w:color="0000FF"/>
            </w:tcBorders>
            <w:gridSpan w:val="21"/>
          </w:tcPr>
          <w:p>
            <w:pPr>
              <w:spacing w:after="0" w:line="120" w:lineRule="exact"/>
              <w:rPr>
                <w:rFonts w:ascii="Arial" w:cs="Arial" w:eastAsia="Arial" w:hAnsi="Arial"/>
                <w:sz w:val="13"/>
                <w:szCs w:val="13"/>
                <w:color w:val="0000FF"/>
              </w:rPr>
            </w:pPr>
            <w:hyperlink r:id="rId160">
              <w:r>
                <w:rPr>
                  <w:rFonts w:ascii="Arial" w:cs="Arial" w:eastAsia="Arial" w:hAnsi="Arial"/>
                  <w:sz w:val="13"/>
                  <w:szCs w:val="13"/>
                  <w:color w:val="0000FF"/>
                </w:rPr>
                <w:t>Units for Officer and Director Employees</w:t>
              </w:r>
            </w:hyperlink>
          </w:p>
        </w:tc>
        <w:tc>
          <w:tcPr>
            <w:tcW w:w="20" w:type="dxa"/>
            <w:vAlign w:val="bottom"/>
          </w:tcPr>
          <w:p>
            <w:pPr>
              <w:spacing w:after="0"/>
              <w:rPr>
                <w:sz w:val="10"/>
                <w:szCs w:val="10"/>
                <w:color w:val="auto"/>
              </w:rPr>
            </w:pPr>
          </w:p>
        </w:tc>
        <w:tc>
          <w:tcPr>
            <w:tcW w:w="120" w:type="dxa"/>
            <w:vAlign w:val="bottom"/>
            <w:gridSpan w:val="3"/>
          </w:tcPr>
          <w:p>
            <w:pPr>
              <w:spacing w:after="0"/>
              <w:rPr>
                <w:sz w:val="10"/>
                <w:szCs w:val="10"/>
                <w:color w:val="auto"/>
              </w:rPr>
            </w:pPr>
          </w:p>
        </w:tc>
        <w:tc>
          <w:tcPr>
            <w:tcW w:w="1740" w:type="dxa"/>
            <w:vAlign w:val="bottom"/>
            <w:gridSpan w:val="2"/>
          </w:tcPr>
          <w:p>
            <w:pPr>
              <w:ind w:left="20"/>
              <w:spacing w:after="0" w:line="120" w:lineRule="exact"/>
              <w:rPr>
                <w:sz w:val="20"/>
                <w:szCs w:val="20"/>
                <w:color w:val="auto"/>
              </w:rPr>
            </w:pPr>
            <w:r>
              <w:rPr>
                <w:rFonts w:ascii="Arial" w:cs="Arial" w:eastAsia="Arial" w:hAnsi="Arial"/>
                <w:sz w:val="13"/>
                <w:szCs w:val="13"/>
                <w:color w:val="auto"/>
              </w:rPr>
              <w:t>8-K dated September 27,</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ind w:left="20"/>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60" w:type="dxa"/>
            <w:vAlign w:val="bottom"/>
          </w:tcPr>
          <w:p>
            <w:pPr>
              <w:jc w:val="center"/>
              <w:spacing w:after="0" w:line="152" w:lineRule="exact"/>
              <w:rPr>
                <w:sz w:val="20"/>
                <w:szCs w:val="20"/>
                <w:color w:val="auto"/>
              </w:rPr>
            </w:pPr>
            <w:r>
              <w:rPr>
                <w:rFonts w:ascii="Arial" w:cs="Arial" w:eastAsia="Arial" w:hAnsi="Arial"/>
                <w:sz w:val="14"/>
                <w:szCs w:val="14"/>
                <w:color w:val="auto"/>
                <w:w w:val="87"/>
              </w:rPr>
              <w:t>10.7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40" w:type="dxa"/>
            <w:vAlign w:val="bottom"/>
            <w:gridSpan w:val="25"/>
          </w:tcPr>
          <w:p>
            <w:pPr>
              <w:spacing w:after="0" w:line="152" w:lineRule="exact"/>
              <w:rPr>
                <w:rFonts w:ascii="Arial" w:cs="Arial" w:eastAsia="Arial" w:hAnsi="Arial"/>
                <w:sz w:val="14"/>
                <w:szCs w:val="14"/>
                <w:color w:val="0000FF"/>
              </w:rPr>
            </w:pPr>
            <w:hyperlink r:id="rId161">
              <w:r>
                <w:rPr>
                  <w:rFonts w:ascii="Arial" w:cs="Arial" w:eastAsia="Arial" w:hAnsi="Arial"/>
                  <w:sz w:val="14"/>
                  <w:szCs w:val="14"/>
                  <w:color w:val="0000FF"/>
                </w:rPr>
                <w:t>First Amendment to Second Amended and</w:t>
              </w:r>
            </w:hyperlink>
          </w:p>
        </w:tc>
        <w:tc>
          <w:tcPr>
            <w:tcW w:w="1740" w:type="dxa"/>
            <w:vAlign w:val="bottom"/>
            <w:gridSpan w:val="2"/>
          </w:tcPr>
          <w:p>
            <w:pPr>
              <w:ind w:left="20"/>
              <w:spacing w:after="0" w:line="152" w:lineRule="exact"/>
              <w:rPr>
                <w:sz w:val="20"/>
                <w:szCs w:val="20"/>
                <w:color w:val="auto"/>
              </w:rPr>
            </w:pPr>
            <w:r>
              <w:rPr>
                <w:rFonts w:ascii="Arial" w:cs="Arial" w:eastAsia="Arial" w:hAnsi="Arial"/>
                <w:sz w:val="14"/>
                <w:szCs w:val="14"/>
                <w:color w:val="auto"/>
              </w:rPr>
              <w:t>CenterPoint Energy’s Form</w:t>
            </w:r>
          </w:p>
        </w:tc>
        <w:tc>
          <w:tcPr>
            <w:tcW w:w="1080" w:type="dxa"/>
            <w:vAlign w:val="bottom"/>
          </w:tcPr>
          <w:p>
            <w:pPr>
              <w:jc w:val="center"/>
              <w:spacing w:after="0" w:line="152" w:lineRule="exact"/>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13"/>
                <w:szCs w:val="13"/>
                <w:color w:val="auto"/>
              </w:rPr>
            </w:pPr>
          </w:p>
        </w:tc>
        <w:tc>
          <w:tcPr>
            <w:tcW w:w="920" w:type="dxa"/>
            <w:vAlign w:val="bottom"/>
          </w:tcPr>
          <w:p>
            <w:pPr>
              <w:jc w:val="center"/>
              <w:spacing w:after="0" w:line="152" w:lineRule="exact"/>
              <w:rPr>
                <w:sz w:val="20"/>
                <w:szCs w:val="20"/>
                <w:color w:val="auto"/>
              </w:rPr>
            </w:pPr>
            <w:r>
              <w:rPr>
                <w:rFonts w:ascii="Arial" w:cs="Arial" w:eastAsia="Arial" w:hAnsi="Arial"/>
                <w:sz w:val="14"/>
                <w:szCs w:val="14"/>
                <w:color w:val="auto"/>
                <w:w w:val="87"/>
              </w:rPr>
              <w:t>10.1</w:t>
            </w:r>
          </w:p>
        </w:tc>
        <w:tc>
          <w:tcPr>
            <w:tcW w:w="120" w:type="dxa"/>
            <w:vAlign w:val="bottom"/>
          </w:tcPr>
          <w:p>
            <w:pPr>
              <w:spacing w:after="0"/>
              <w:rPr>
                <w:sz w:val="13"/>
                <w:szCs w:val="13"/>
                <w:color w:val="auto"/>
              </w:rPr>
            </w:pPr>
          </w:p>
        </w:tc>
        <w:tc>
          <w:tcPr>
            <w:tcW w:w="1200" w:type="dxa"/>
            <w:vAlign w:val="bottom"/>
            <w:gridSpan w:val="2"/>
          </w:tcPr>
          <w:p>
            <w:pPr>
              <w:jc w:val="center"/>
              <w:ind w:right="120"/>
              <w:spacing w:after="0" w:line="152" w:lineRule="exact"/>
              <w:rPr>
                <w:sz w:val="20"/>
                <w:szCs w:val="20"/>
                <w:color w:val="auto"/>
              </w:rPr>
            </w:pPr>
            <w:r>
              <w:rPr>
                <w:rFonts w:ascii="Arial" w:cs="Arial" w:eastAsia="Arial" w:hAnsi="Arial"/>
                <w:sz w:val="14"/>
                <w:szCs w:val="14"/>
                <w:color w:val="auto"/>
              </w:rPr>
              <w:t>x</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00" w:type="dxa"/>
            <w:vAlign w:val="bottom"/>
            <w:gridSpan w:val="2"/>
            <w:shd w:val="clear" w:color="auto" w:fill="0000FF"/>
          </w:tcPr>
          <w:p>
            <w:pPr>
              <w:spacing w:after="0"/>
              <w:rPr>
                <w:sz w:val="2"/>
                <w:szCs w:val="2"/>
                <w:color w:val="auto"/>
              </w:rPr>
            </w:pPr>
          </w:p>
        </w:tc>
        <w:tc>
          <w:tcPr>
            <w:tcW w:w="1120" w:type="dxa"/>
            <w:vAlign w:val="bottom"/>
            <w:gridSpan w:val="4"/>
            <w:shd w:val="clear" w:color="auto" w:fill="0000FF"/>
          </w:tcPr>
          <w:p>
            <w:pPr>
              <w:spacing w:after="0"/>
              <w:rPr>
                <w:sz w:val="2"/>
                <w:szCs w:val="2"/>
                <w:color w:val="auto"/>
              </w:rPr>
            </w:pPr>
          </w:p>
        </w:tc>
        <w:tc>
          <w:tcPr>
            <w:tcW w:w="60" w:type="dxa"/>
            <w:vAlign w:val="bottom"/>
            <w:gridSpan w:val="2"/>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gridSpan w:val="6"/>
          </w:tcPr>
          <w:p>
            <w:pPr>
              <w:spacing w:after="0"/>
              <w:rPr>
                <w:sz w:val="2"/>
                <w:szCs w:val="2"/>
                <w:color w:val="auto"/>
              </w:rPr>
            </w:pPr>
          </w:p>
        </w:tc>
        <w:tc>
          <w:tcPr>
            <w:tcW w:w="120" w:type="dxa"/>
            <w:vAlign w:val="bottom"/>
            <w:gridSpan w:val="3"/>
          </w:tcPr>
          <w:p>
            <w:pPr>
              <w:spacing w:after="0"/>
              <w:rPr>
                <w:sz w:val="2"/>
                <w:szCs w:val="2"/>
                <w:color w:val="auto"/>
              </w:rPr>
            </w:pPr>
          </w:p>
        </w:tc>
        <w:tc>
          <w:tcPr>
            <w:tcW w:w="1740" w:type="dxa"/>
            <w:vAlign w:val="bottom"/>
            <w:gridSpan w:val="2"/>
            <w:vMerge w:val="restart"/>
          </w:tcPr>
          <w:p>
            <w:pPr>
              <w:ind w:left="20"/>
              <w:spacing w:after="0" w:line="147" w:lineRule="exact"/>
              <w:rPr>
                <w:sz w:val="20"/>
                <w:szCs w:val="20"/>
                <w:color w:val="auto"/>
              </w:rPr>
            </w:pPr>
            <w:r>
              <w:rPr>
                <w:rFonts w:ascii="Arial" w:cs="Arial" w:eastAsia="Arial" w:hAnsi="Arial"/>
                <w:sz w:val="14"/>
                <w:szCs w:val="14"/>
                <w:color w:val="auto"/>
              </w:rPr>
              <w:t>10-Q for the quarter ended</w:t>
            </w: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40" w:type="dxa"/>
            <w:vAlign w:val="bottom"/>
            <w:gridSpan w:val="25"/>
          </w:tcPr>
          <w:p>
            <w:pPr>
              <w:spacing w:after="0" w:line="120" w:lineRule="exact"/>
              <w:rPr>
                <w:rFonts w:ascii="Arial" w:cs="Arial" w:eastAsia="Arial" w:hAnsi="Arial"/>
                <w:sz w:val="13"/>
                <w:szCs w:val="13"/>
                <w:color w:val="0000FF"/>
              </w:rPr>
            </w:pPr>
            <w:hyperlink r:id="rId161">
              <w:r>
                <w:rPr>
                  <w:rFonts w:ascii="Arial" w:cs="Arial" w:eastAsia="Arial" w:hAnsi="Arial"/>
                  <w:sz w:val="13"/>
                  <w:szCs w:val="13"/>
                  <w:color w:val="0000FF"/>
                </w:rPr>
                <w:t>Restated Credit Agreement, dated as of July 26,</w:t>
              </w:r>
            </w:hyperlink>
          </w:p>
        </w:tc>
        <w:tc>
          <w:tcPr>
            <w:tcW w:w="1740" w:type="dxa"/>
            <w:vAlign w:val="bottom"/>
            <w:gridSpan w:val="2"/>
            <w:vMerge w:val="continue"/>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Borders>
              <w:top w:val="single" w:sz="8" w:color="0000FF"/>
              <w:bottom w:val="single" w:sz="8" w:color="0000FF"/>
            </w:tcBorders>
          </w:tcPr>
          <w:p>
            <w:pPr>
              <w:spacing w:after="0" w:line="127" w:lineRule="exact"/>
              <w:rPr>
                <w:rFonts w:ascii="Arial" w:cs="Arial" w:eastAsia="Arial" w:hAnsi="Arial"/>
                <w:sz w:val="14"/>
                <w:szCs w:val="14"/>
                <w:color w:val="0000FF"/>
                <w:w w:val="83"/>
              </w:rPr>
            </w:pPr>
            <w:hyperlink r:id="rId161">
              <w:r>
                <w:rPr>
                  <w:rFonts w:ascii="Arial" w:cs="Arial" w:eastAsia="Arial" w:hAnsi="Arial"/>
                  <w:sz w:val="14"/>
                  <w:szCs w:val="14"/>
                  <w:color w:val="0000FF"/>
                  <w:w w:val="83"/>
                </w:rPr>
                <w:t>2023</w:t>
              </w:r>
            </w:hyperlink>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40" w:type="dxa"/>
            <w:vAlign w:val="bottom"/>
            <w:gridSpan w:val="2"/>
          </w:tcPr>
          <w:p>
            <w:pPr>
              <w:ind w:left="20"/>
              <w:spacing w:after="0" w:line="127" w:lineRule="exact"/>
              <w:rPr>
                <w:sz w:val="20"/>
                <w:szCs w:val="20"/>
                <w:color w:val="auto"/>
              </w:rPr>
            </w:pPr>
            <w:r>
              <w:rPr>
                <w:rFonts w:ascii="Arial" w:cs="Arial" w:eastAsia="Arial" w:hAnsi="Arial"/>
                <w:sz w:val="14"/>
                <w:szCs w:val="14"/>
                <w:color w:val="auto"/>
              </w:rPr>
              <w:t>June 30, 2023</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†31.1.1</w:t>
            </w:r>
          </w:p>
        </w:tc>
        <w:tc>
          <w:tcPr>
            <w:tcW w:w="20" w:type="dxa"/>
            <w:vAlign w:val="bottom"/>
          </w:tcPr>
          <w:p>
            <w:pPr>
              <w:spacing w:after="0"/>
              <w:rPr>
                <w:sz w:val="15"/>
                <w:szCs w:val="15"/>
                <w:color w:val="auto"/>
              </w:rPr>
            </w:pPr>
          </w:p>
        </w:tc>
        <w:tc>
          <w:tcPr>
            <w:tcW w:w="2840" w:type="dxa"/>
            <w:vAlign w:val="bottom"/>
            <w:gridSpan w:val="25"/>
          </w:tcPr>
          <w:p>
            <w:pPr>
              <w:spacing w:after="0"/>
              <w:rPr>
                <w:sz w:val="20"/>
                <w:szCs w:val="20"/>
                <w:color w:val="auto"/>
              </w:rPr>
            </w:pPr>
            <w:r>
              <w:rPr>
                <w:rFonts w:ascii="Arial" w:cs="Arial" w:eastAsia="Arial" w:hAnsi="Arial"/>
                <w:sz w:val="14"/>
                <w:szCs w:val="14"/>
                <w:color w:val="0000FF"/>
              </w:rPr>
              <w:t>Rule 13a-14(a)/15d-14(a) Certification of</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Borders>
              <w:top w:val="single" w:sz="8" w:color="0000FF"/>
              <w:bottom w:val="single" w:sz="8" w:color="0000FF"/>
            </w:tcBorders>
            <w:gridSpan w:val="5"/>
          </w:tcPr>
          <w:p>
            <w:pPr>
              <w:spacing w:after="0" w:line="113" w:lineRule="exact"/>
              <w:rPr>
                <w:sz w:val="20"/>
                <w:szCs w:val="20"/>
                <w:color w:val="auto"/>
              </w:rPr>
            </w:pPr>
            <w:r>
              <w:rPr>
                <w:rFonts w:ascii="Arial" w:cs="Arial" w:eastAsia="Arial" w:hAnsi="Arial"/>
                <w:sz w:val="13"/>
                <w:szCs w:val="13"/>
                <w:color w:val="0000FF"/>
                <w:w w:val="96"/>
              </w:rPr>
              <w:t>David J. Lesar</w:t>
            </w:r>
          </w:p>
        </w:tc>
        <w:tc>
          <w:tcPr>
            <w:tcW w:w="1520" w:type="dxa"/>
            <w:vAlign w:val="bottom"/>
            <w:tcBorders>
              <w:top w:val="single" w:sz="8" w:color="0000FF"/>
            </w:tcBorders>
            <w:gridSpan w:val="6"/>
          </w:tcPr>
          <w:p>
            <w:pPr>
              <w:spacing w:after="0"/>
              <w:rPr>
                <w:sz w:val="9"/>
                <w:szCs w:val="9"/>
                <w:color w:val="auto"/>
              </w:rPr>
            </w:pPr>
          </w:p>
        </w:tc>
        <w:tc>
          <w:tcPr>
            <w:tcW w:w="14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gridSpan w:val="6"/>
          </w:tcPr>
          <w:p>
            <w:pPr>
              <w:spacing w:after="0"/>
              <w:rPr>
                <w:sz w:val="9"/>
                <w:szCs w:val="9"/>
                <w:color w:val="auto"/>
              </w:rPr>
            </w:pPr>
          </w:p>
        </w:tc>
        <w:tc>
          <w:tcPr>
            <w:tcW w:w="120" w:type="dxa"/>
            <w:vAlign w:val="bottom"/>
            <w:gridSpan w:val="3"/>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†31.1.2</w:t>
            </w:r>
          </w:p>
        </w:tc>
        <w:tc>
          <w:tcPr>
            <w:tcW w:w="20" w:type="dxa"/>
            <w:vAlign w:val="bottom"/>
          </w:tcPr>
          <w:p>
            <w:pPr>
              <w:spacing w:after="0"/>
              <w:rPr>
                <w:sz w:val="15"/>
                <w:szCs w:val="15"/>
                <w:color w:val="auto"/>
              </w:rPr>
            </w:pPr>
          </w:p>
        </w:tc>
        <w:tc>
          <w:tcPr>
            <w:tcW w:w="2840" w:type="dxa"/>
            <w:vAlign w:val="bottom"/>
            <w:gridSpan w:val="25"/>
          </w:tcPr>
          <w:p>
            <w:pPr>
              <w:spacing w:after="0"/>
              <w:rPr>
                <w:sz w:val="20"/>
                <w:szCs w:val="20"/>
                <w:color w:val="auto"/>
              </w:rPr>
            </w:pPr>
            <w:r>
              <w:rPr>
                <w:rFonts w:ascii="Arial" w:cs="Arial" w:eastAsia="Arial" w:hAnsi="Arial"/>
                <w:sz w:val="14"/>
                <w:szCs w:val="14"/>
                <w:color w:val="0000FF"/>
                <w:w w:val="96"/>
              </w:rPr>
              <w:t>Rule 13a-14(a)/15d-14(a) Certification of Jason</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720" w:type="dxa"/>
            <w:vAlign w:val="bottom"/>
            <w:tcBorders>
              <w:top w:val="single" w:sz="8" w:color="0000FF"/>
            </w:tcBorders>
            <w:gridSpan w:val="22"/>
          </w:tcPr>
          <w:p>
            <w:pPr>
              <w:spacing w:after="0" w:line="113" w:lineRule="exact"/>
              <w:rPr>
                <w:sz w:val="20"/>
                <w:szCs w:val="20"/>
                <w:color w:val="auto"/>
              </w:rPr>
            </w:pPr>
            <w:r>
              <w:rPr>
                <w:rFonts w:ascii="Arial" w:cs="Arial" w:eastAsia="Arial" w:hAnsi="Arial"/>
                <w:sz w:val="13"/>
                <w:szCs w:val="13"/>
                <w:color w:val="0000FF"/>
              </w:rPr>
              <w:t>P. Wells</w:t>
            </w:r>
          </w:p>
        </w:tc>
        <w:tc>
          <w:tcPr>
            <w:tcW w:w="120" w:type="dxa"/>
            <w:vAlign w:val="bottom"/>
            <w:gridSpan w:val="3"/>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†31.1.3</w:t>
            </w:r>
          </w:p>
        </w:tc>
        <w:tc>
          <w:tcPr>
            <w:tcW w:w="20" w:type="dxa"/>
            <w:vAlign w:val="bottom"/>
          </w:tcPr>
          <w:p>
            <w:pPr>
              <w:spacing w:after="0"/>
              <w:rPr>
                <w:sz w:val="15"/>
                <w:szCs w:val="15"/>
                <w:color w:val="auto"/>
              </w:rPr>
            </w:pPr>
          </w:p>
        </w:tc>
        <w:tc>
          <w:tcPr>
            <w:tcW w:w="2840" w:type="dxa"/>
            <w:vAlign w:val="bottom"/>
            <w:gridSpan w:val="25"/>
          </w:tcPr>
          <w:p>
            <w:pPr>
              <w:spacing w:after="0"/>
              <w:rPr>
                <w:sz w:val="20"/>
                <w:szCs w:val="20"/>
                <w:color w:val="auto"/>
              </w:rPr>
            </w:pPr>
            <w:r>
              <w:rPr>
                <w:rFonts w:ascii="Arial" w:cs="Arial" w:eastAsia="Arial" w:hAnsi="Arial"/>
                <w:sz w:val="14"/>
                <w:szCs w:val="14"/>
                <w:color w:val="0000FF"/>
                <w:w w:val="96"/>
              </w:rPr>
              <w:t>Rule 13a-14(a)/15d-14(a) Certification of Jason</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720" w:type="dxa"/>
            <w:vAlign w:val="bottom"/>
            <w:tcBorders>
              <w:top w:val="single" w:sz="8" w:color="0000FF"/>
            </w:tcBorders>
            <w:gridSpan w:val="22"/>
          </w:tcPr>
          <w:p>
            <w:pPr>
              <w:spacing w:after="0" w:line="113" w:lineRule="exact"/>
              <w:rPr>
                <w:sz w:val="20"/>
                <w:szCs w:val="20"/>
                <w:color w:val="auto"/>
              </w:rPr>
            </w:pPr>
            <w:r>
              <w:rPr>
                <w:rFonts w:ascii="Arial" w:cs="Arial" w:eastAsia="Arial" w:hAnsi="Arial"/>
                <w:sz w:val="13"/>
                <w:szCs w:val="13"/>
                <w:color w:val="0000FF"/>
              </w:rPr>
              <w:t>P. Wells</w:t>
            </w:r>
          </w:p>
        </w:tc>
        <w:tc>
          <w:tcPr>
            <w:tcW w:w="120" w:type="dxa"/>
            <w:vAlign w:val="bottom"/>
            <w:gridSpan w:val="3"/>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†31.2.1</w:t>
            </w:r>
          </w:p>
        </w:tc>
        <w:tc>
          <w:tcPr>
            <w:tcW w:w="20" w:type="dxa"/>
            <w:vAlign w:val="bottom"/>
          </w:tcPr>
          <w:p>
            <w:pPr>
              <w:spacing w:after="0"/>
              <w:rPr>
                <w:sz w:val="15"/>
                <w:szCs w:val="15"/>
                <w:color w:val="auto"/>
              </w:rPr>
            </w:pPr>
          </w:p>
        </w:tc>
        <w:tc>
          <w:tcPr>
            <w:tcW w:w="2840" w:type="dxa"/>
            <w:vAlign w:val="bottom"/>
            <w:gridSpan w:val="25"/>
          </w:tcPr>
          <w:p>
            <w:pPr>
              <w:spacing w:after="0"/>
              <w:rPr>
                <w:sz w:val="20"/>
                <w:szCs w:val="20"/>
                <w:color w:val="auto"/>
              </w:rPr>
            </w:pPr>
            <w:r>
              <w:rPr>
                <w:rFonts w:ascii="Arial" w:cs="Arial" w:eastAsia="Arial" w:hAnsi="Arial"/>
                <w:sz w:val="14"/>
                <w:szCs w:val="14"/>
                <w:color w:val="0000FF"/>
              </w:rPr>
              <w:t>Rule 13a-14(a)/15d-14(a) Certification of</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tcBorders>
              <w:top w:val="single" w:sz="8" w:color="0000FF"/>
              <w:bottom w:val="single" w:sz="8" w:color="0000FF"/>
            </w:tcBorders>
            <w:gridSpan w:val="7"/>
          </w:tcPr>
          <w:p>
            <w:pPr>
              <w:spacing w:after="0" w:line="113" w:lineRule="exact"/>
              <w:rPr>
                <w:sz w:val="20"/>
                <w:szCs w:val="20"/>
                <w:color w:val="auto"/>
              </w:rPr>
            </w:pPr>
            <w:r>
              <w:rPr>
                <w:rFonts w:ascii="Arial" w:cs="Arial" w:eastAsia="Arial" w:hAnsi="Arial"/>
                <w:sz w:val="13"/>
                <w:szCs w:val="13"/>
                <w:color w:val="0000FF"/>
                <w:w w:val="97"/>
              </w:rPr>
              <w:t>Christopher A. Foster</w:t>
            </w:r>
          </w:p>
        </w:tc>
        <w:tc>
          <w:tcPr>
            <w:tcW w:w="1120" w:type="dxa"/>
            <w:vAlign w:val="bottom"/>
            <w:tcBorders>
              <w:top w:val="single" w:sz="8" w:color="0000FF"/>
            </w:tcBorders>
            <w:gridSpan w:val="4"/>
          </w:tcPr>
          <w:p>
            <w:pPr>
              <w:spacing w:after="0"/>
              <w:rPr>
                <w:sz w:val="9"/>
                <w:szCs w:val="9"/>
                <w:color w:val="auto"/>
              </w:rPr>
            </w:pPr>
          </w:p>
        </w:tc>
        <w:tc>
          <w:tcPr>
            <w:tcW w:w="14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gridSpan w:val="9"/>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†31.2.2</w:t>
            </w:r>
          </w:p>
        </w:tc>
        <w:tc>
          <w:tcPr>
            <w:tcW w:w="20" w:type="dxa"/>
            <w:vAlign w:val="bottom"/>
          </w:tcPr>
          <w:p>
            <w:pPr>
              <w:spacing w:after="0"/>
              <w:rPr>
                <w:sz w:val="15"/>
                <w:szCs w:val="15"/>
                <w:color w:val="auto"/>
              </w:rPr>
            </w:pPr>
          </w:p>
        </w:tc>
        <w:tc>
          <w:tcPr>
            <w:tcW w:w="2840" w:type="dxa"/>
            <w:vAlign w:val="bottom"/>
            <w:gridSpan w:val="25"/>
          </w:tcPr>
          <w:p>
            <w:pPr>
              <w:spacing w:after="0"/>
              <w:rPr>
                <w:sz w:val="20"/>
                <w:szCs w:val="20"/>
                <w:color w:val="auto"/>
              </w:rPr>
            </w:pPr>
            <w:r>
              <w:rPr>
                <w:rFonts w:ascii="Arial" w:cs="Arial" w:eastAsia="Arial" w:hAnsi="Arial"/>
                <w:sz w:val="14"/>
                <w:szCs w:val="14"/>
                <w:color w:val="0000FF"/>
              </w:rPr>
              <w:t>Rule 13a-14(a)/15d-14(a) Certification of</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tcBorders>
              <w:top w:val="single" w:sz="8" w:color="0000FF"/>
              <w:bottom w:val="single" w:sz="8" w:color="0000FF"/>
            </w:tcBorders>
            <w:gridSpan w:val="7"/>
          </w:tcPr>
          <w:p>
            <w:pPr>
              <w:spacing w:after="0" w:line="113" w:lineRule="exact"/>
              <w:rPr>
                <w:sz w:val="20"/>
                <w:szCs w:val="20"/>
                <w:color w:val="auto"/>
              </w:rPr>
            </w:pPr>
            <w:r>
              <w:rPr>
                <w:rFonts w:ascii="Arial" w:cs="Arial" w:eastAsia="Arial" w:hAnsi="Arial"/>
                <w:sz w:val="13"/>
                <w:szCs w:val="13"/>
                <w:color w:val="0000FF"/>
                <w:w w:val="97"/>
              </w:rPr>
              <w:t>Christopher A. Foster</w:t>
            </w:r>
          </w:p>
        </w:tc>
        <w:tc>
          <w:tcPr>
            <w:tcW w:w="1120" w:type="dxa"/>
            <w:vAlign w:val="bottom"/>
            <w:tcBorders>
              <w:top w:val="single" w:sz="8" w:color="0000FF"/>
            </w:tcBorders>
            <w:gridSpan w:val="4"/>
          </w:tcPr>
          <w:p>
            <w:pPr>
              <w:spacing w:after="0"/>
              <w:rPr>
                <w:sz w:val="9"/>
                <w:szCs w:val="9"/>
                <w:color w:val="auto"/>
              </w:rPr>
            </w:pPr>
          </w:p>
        </w:tc>
        <w:tc>
          <w:tcPr>
            <w:tcW w:w="14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gridSpan w:val="9"/>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†31.2.3</w:t>
            </w:r>
          </w:p>
        </w:tc>
        <w:tc>
          <w:tcPr>
            <w:tcW w:w="20" w:type="dxa"/>
            <w:vAlign w:val="bottom"/>
          </w:tcPr>
          <w:p>
            <w:pPr>
              <w:spacing w:after="0"/>
              <w:rPr>
                <w:sz w:val="15"/>
                <w:szCs w:val="15"/>
                <w:color w:val="auto"/>
              </w:rPr>
            </w:pPr>
          </w:p>
        </w:tc>
        <w:tc>
          <w:tcPr>
            <w:tcW w:w="2840" w:type="dxa"/>
            <w:vAlign w:val="bottom"/>
            <w:gridSpan w:val="25"/>
          </w:tcPr>
          <w:p>
            <w:pPr>
              <w:spacing w:after="0"/>
              <w:rPr>
                <w:sz w:val="20"/>
                <w:szCs w:val="20"/>
                <w:color w:val="auto"/>
              </w:rPr>
            </w:pPr>
            <w:r>
              <w:rPr>
                <w:rFonts w:ascii="Arial" w:cs="Arial" w:eastAsia="Arial" w:hAnsi="Arial"/>
                <w:sz w:val="14"/>
                <w:szCs w:val="14"/>
                <w:color w:val="0000FF"/>
              </w:rPr>
              <w:t>Rule 13a-14(a)/15d-14(a) Certification of</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tcBorders>
              <w:top w:val="single" w:sz="8" w:color="0000FF"/>
              <w:bottom w:val="single" w:sz="8" w:color="0000FF"/>
            </w:tcBorders>
            <w:gridSpan w:val="7"/>
          </w:tcPr>
          <w:p>
            <w:pPr>
              <w:spacing w:after="0" w:line="113" w:lineRule="exact"/>
              <w:rPr>
                <w:sz w:val="20"/>
                <w:szCs w:val="20"/>
                <w:color w:val="auto"/>
              </w:rPr>
            </w:pPr>
            <w:r>
              <w:rPr>
                <w:rFonts w:ascii="Arial" w:cs="Arial" w:eastAsia="Arial" w:hAnsi="Arial"/>
                <w:sz w:val="13"/>
                <w:szCs w:val="13"/>
                <w:color w:val="0000FF"/>
                <w:w w:val="97"/>
              </w:rPr>
              <w:t>Christopher A. Foster</w:t>
            </w:r>
          </w:p>
        </w:tc>
        <w:tc>
          <w:tcPr>
            <w:tcW w:w="1120" w:type="dxa"/>
            <w:vAlign w:val="bottom"/>
            <w:tcBorders>
              <w:top w:val="single" w:sz="8" w:color="0000FF"/>
            </w:tcBorders>
            <w:gridSpan w:val="4"/>
          </w:tcPr>
          <w:p>
            <w:pPr>
              <w:spacing w:after="0"/>
              <w:rPr>
                <w:sz w:val="9"/>
                <w:szCs w:val="9"/>
                <w:color w:val="auto"/>
              </w:rPr>
            </w:pPr>
          </w:p>
        </w:tc>
        <w:tc>
          <w:tcPr>
            <w:tcW w:w="14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gridSpan w:val="9"/>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†32.1.1</w:t>
            </w:r>
          </w:p>
        </w:tc>
        <w:tc>
          <w:tcPr>
            <w:tcW w:w="20" w:type="dxa"/>
            <w:vAlign w:val="bottom"/>
          </w:tcPr>
          <w:p>
            <w:pPr>
              <w:spacing w:after="0"/>
              <w:rPr>
                <w:sz w:val="15"/>
                <w:szCs w:val="15"/>
                <w:color w:val="auto"/>
              </w:rPr>
            </w:pPr>
          </w:p>
        </w:tc>
        <w:tc>
          <w:tcPr>
            <w:tcW w:w="2500" w:type="dxa"/>
            <w:vAlign w:val="bottom"/>
            <w:tcBorders>
              <w:bottom w:val="single" w:sz="8" w:color="0000FF"/>
            </w:tcBorders>
            <w:gridSpan w:val="15"/>
          </w:tcPr>
          <w:p>
            <w:pPr>
              <w:spacing w:after="0"/>
              <w:rPr>
                <w:sz w:val="20"/>
                <w:szCs w:val="20"/>
                <w:color w:val="auto"/>
              </w:rPr>
            </w:pPr>
            <w:r>
              <w:rPr>
                <w:rFonts w:ascii="Arial" w:cs="Arial" w:eastAsia="Arial" w:hAnsi="Arial"/>
                <w:sz w:val="14"/>
                <w:szCs w:val="14"/>
                <w:color w:val="0000FF"/>
                <w:w w:val="92"/>
              </w:rPr>
              <w:t>Section 1350 Certification of David J. Lesar</w:t>
            </w:r>
          </w:p>
        </w:tc>
        <w:tc>
          <w:tcPr>
            <w:tcW w:w="340" w:type="dxa"/>
            <w:vAlign w:val="bottom"/>
            <w:gridSpan w:val="10"/>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†32.1.2</w:t>
            </w:r>
          </w:p>
        </w:tc>
        <w:tc>
          <w:tcPr>
            <w:tcW w:w="20" w:type="dxa"/>
            <w:vAlign w:val="bottom"/>
          </w:tcPr>
          <w:p>
            <w:pPr>
              <w:spacing w:after="0"/>
              <w:rPr>
                <w:sz w:val="15"/>
                <w:szCs w:val="15"/>
                <w:color w:val="auto"/>
              </w:rPr>
            </w:pPr>
          </w:p>
        </w:tc>
        <w:tc>
          <w:tcPr>
            <w:tcW w:w="2480" w:type="dxa"/>
            <w:vAlign w:val="bottom"/>
            <w:tcBorders>
              <w:bottom w:val="single" w:sz="8" w:color="0000FF"/>
            </w:tcBorders>
            <w:gridSpan w:val="14"/>
          </w:tcPr>
          <w:p>
            <w:pPr>
              <w:spacing w:after="0"/>
              <w:rPr>
                <w:sz w:val="20"/>
                <w:szCs w:val="20"/>
                <w:color w:val="auto"/>
              </w:rPr>
            </w:pPr>
            <w:r>
              <w:rPr>
                <w:rFonts w:ascii="Arial" w:cs="Arial" w:eastAsia="Arial" w:hAnsi="Arial"/>
                <w:sz w:val="14"/>
                <w:szCs w:val="14"/>
                <w:color w:val="0000FF"/>
                <w:w w:val="90"/>
              </w:rPr>
              <w:t>Section 1350 Certification of Jason P. Wells</w:t>
            </w:r>
          </w:p>
        </w:tc>
        <w:tc>
          <w:tcPr>
            <w:tcW w:w="360" w:type="dxa"/>
            <w:vAlign w:val="bottom"/>
            <w:gridSpan w:val="11"/>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†32.1.3</w:t>
            </w:r>
          </w:p>
        </w:tc>
        <w:tc>
          <w:tcPr>
            <w:tcW w:w="20" w:type="dxa"/>
            <w:vAlign w:val="bottom"/>
          </w:tcPr>
          <w:p>
            <w:pPr>
              <w:spacing w:after="0"/>
              <w:rPr>
                <w:sz w:val="15"/>
                <w:szCs w:val="15"/>
                <w:color w:val="auto"/>
              </w:rPr>
            </w:pPr>
          </w:p>
        </w:tc>
        <w:tc>
          <w:tcPr>
            <w:tcW w:w="2480" w:type="dxa"/>
            <w:vAlign w:val="bottom"/>
            <w:tcBorders>
              <w:bottom w:val="single" w:sz="8" w:color="0000FF"/>
            </w:tcBorders>
            <w:gridSpan w:val="14"/>
          </w:tcPr>
          <w:p>
            <w:pPr>
              <w:spacing w:after="0"/>
              <w:rPr>
                <w:sz w:val="20"/>
                <w:szCs w:val="20"/>
                <w:color w:val="auto"/>
              </w:rPr>
            </w:pPr>
            <w:r>
              <w:rPr>
                <w:rFonts w:ascii="Arial" w:cs="Arial" w:eastAsia="Arial" w:hAnsi="Arial"/>
                <w:sz w:val="14"/>
                <w:szCs w:val="14"/>
                <w:color w:val="0000FF"/>
                <w:w w:val="90"/>
              </w:rPr>
              <w:t>Section 1350 Certification of Jason P. Wells</w:t>
            </w:r>
          </w:p>
        </w:tc>
        <w:tc>
          <w:tcPr>
            <w:tcW w:w="360" w:type="dxa"/>
            <w:vAlign w:val="bottom"/>
            <w:gridSpan w:val="11"/>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79"/>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†32.2.1</w:t>
            </w:r>
          </w:p>
        </w:tc>
        <w:tc>
          <w:tcPr>
            <w:tcW w:w="20" w:type="dxa"/>
            <w:vAlign w:val="bottom"/>
          </w:tcPr>
          <w:p>
            <w:pPr>
              <w:spacing w:after="0"/>
              <w:rPr>
                <w:sz w:val="15"/>
                <w:szCs w:val="15"/>
                <w:color w:val="auto"/>
              </w:rPr>
            </w:pPr>
          </w:p>
        </w:tc>
        <w:tc>
          <w:tcPr>
            <w:tcW w:w="2840" w:type="dxa"/>
            <w:vAlign w:val="bottom"/>
            <w:gridSpan w:val="25"/>
          </w:tcPr>
          <w:p>
            <w:pPr>
              <w:spacing w:after="0"/>
              <w:rPr>
                <w:sz w:val="20"/>
                <w:szCs w:val="20"/>
                <w:color w:val="auto"/>
              </w:rPr>
            </w:pPr>
            <w:r>
              <w:rPr>
                <w:rFonts w:ascii="Arial" w:cs="Arial" w:eastAsia="Arial" w:hAnsi="Arial"/>
                <w:sz w:val="14"/>
                <w:szCs w:val="14"/>
                <w:color w:val="0000FF"/>
              </w:rPr>
              <w:t>Section 1350 Certification of Christopher A.</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Borders>
              <w:top w:val="single" w:sz="8" w:color="0000FF"/>
              <w:bottom w:val="single" w:sz="8" w:color="0000FF"/>
            </w:tcBorders>
            <w:gridSpan w:val="3"/>
          </w:tcPr>
          <w:p>
            <w:pPr>
              <w:spacing w:after="0" w:line="113" w:lineRule="exact"/>
              <w:rPr>
                <w:sz w:val="20"/>
                <w:szCs w:val="20"/>
                <w:color w:val="auto"/>
              </w:rPr>
            </w:pPr>
            <w:r>
              <w:rPr>
                <w:rFonts w:ascii="Arial" w:cs="Arial" w:eastAsia="Arial" w:hAnsi="Arial"/>
                <w:sz w:val="13"/>
                <w:szCs w:val="13"/>
                <w:color w:val="0000FF"/>
                <w:w w:val="92"/>
              </w:rPr>
              <w:t>Foster</w:t>
            </w:r>
          </w:p>
        </w:tc>
        <w:tc>
          <w:tcPr>
            <w:tcW w:w="2160" w:type="dxa"/>
            <w:vAlign w:val="bottom"/>
            <w:tcBorders>
              <w:top w:val="single" w:sz="8" w:color="0000FF"/>
            </w:tcBorders>
            <w:gridSpan w:val="13"/>
          </w:tcPr>
          <w:p>
            <w:pPr>
              <w:spacing w:after="0"/>
              <w:rPr>
                <w:sz w:val="9"/>
                <w:szCs w:val="9"/>
                <w:color w:val="auto"/>
              </w:rPr>
            </w:pPr>
          </w:p>
        </w:tc>
        <w:tc>
          <w:tcPr>
            <w:tcW w:w="320" w:type="dxa"/>
            <w:vAlign w:val="bottom"/>
            <w:gridSpan w:val="9"/>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†32.2.2</w:t>
            </w:r>
          </w:p>
        </w:tc>
        <w:tc>
          <w:tcPr>
            <w:tcW w:w="20" w:type="dxa"/>
            <w:vAlign w:val="bottom"/>
          </w:tcPr>
          <w:p>
            <w:pPr>
              <w:spacing w:after="0"/>
              <w:rPr>
                <w:sz w:val="15"/>
                <w:szCs w:val="15"/>
                <w:color w:val="auto"/>
              </w:rPr>
            </w:pPr>
          </w:p>
        </w:tc>
        <w:tc>
          <w:tcPr>
            <w:tcW w:w="2840" w:type="dxa"/>
            <w:vAlign w:val="bottom"/>
            <w:gridSpan w:val="25"/>
          </w:tcPr>
          <w:p>
            <w:pPr>
              <w:spacing w:after="0"/>
              <w:rPr>
                <w:sz w:val="20"/>
                <w:szCs w:val="20"/>
                <w:color w:val="auto"/>
              </w:rPr>
            </w:pPr>
            <w:r>
              <w:rPr>
                <w:rFonts w:ascii="Arial" w:cs="Arial" w:eastAsia="Arial" w:hAnsi="Arial"/>
                <w:sz w:val="14"/>
                <w:szCs w:val="14"/>
                <w:color w:val="0000FF"/>
              </w:rPr>
              <w:t>Section 1350 Certification of Christopher A.</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Borders>
              <w:top w:val="single" w:sz="8" w:color="0000FF"/>
              <w:bottom w:val="single" w:sz="8" w:color="0000FF"/>
            </w:tcBorders>
            <w:gridSpan w:val="3"/>
          </w:tcPr>
          <w:p>
            <w:pPr>
              <w:spacing w:after="0" w:line="113" w:lineRule="exact"/>
              <w:rPr>
                <w:sz w:val="20"/>
                <w:szCs w:val="20"/>
                <w:color w:val="auto"/>
              </w:rPr>
            </w:pPr>
            <w:r>
              <w:rPr>
                <w:rFonts w:ascii="Arial" w:cs="Arial" w:eastAsia="Arial" w:hAnsi="Arial"/>
                <w:sz w:val="13"/>
                <w:szCs w:val="13"/>
                <w:color w:val="0000FF"/>
                <w:w w:val="92"/>
              </w:rPr>
              <w:t>Foster</w:t>
            </w:r>
          </w:p>
        </w:tc>
        <w:tc>
          <w:tcPr>
            <w:tcW w:w="2160" w:type="dxa"/>
            <w:vAlign w:val="bottom"/>
            <w:tcBorders>
              <w:top w:val="single" w:sz="8" w:color="0000FF"/>
            </w:tcBorders>
            <w:gridSpan w:val="13"/>
          </w:tcPr>
          <w:p>
            <w:pPr>
              <w:spacing w:after="0"/>
              <w:rPr>
                <w:sz w:val="9"/>
                <w:szCs w:val="9"/>
                <w:color w:val="auto"/>
              </w:rPr>
            </w:pPr>
          </w:p>
        </w:tc>
        <w:tc>
          <w:tcPr>
            <w:tcW w:w="320" w:type="dxa"/>
            <w:vAlign w:val="bottom"/>
            <w:gridSpan w:val="9"/>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†32.2.3</w:t>
            </w:r>
          </w:p>
        </w:tc>
        <w:tc>
          <w:tcPr>
            <w:tcW w:w="20" w:type="dxa"/>
            <w:vAlign w:val="bottom"/>
          </w:tcPr>
          <w:p>
            <w:pPr>
              <w:spacing w:after="0"/>
              <w:rPr>
                <w:sz w:val="15"/>
                <w:szCs w:val="15"/>
                <w:color w:val="auto"/>
              </w:rPr>
            </w:pPr>
          </w:p>
        </w:tc>
        <w:tc>
          <w:tcPr>
            <w:tcW w:w="2840" w:type="dxa"/>
            <w:vAlign w:val="bottom"/>
            <w:gridSpan w:val="25"/>
          </w:tcPr>
          <w:p>
            <w:pPr>
              <w:spacing w:after="0"/>
              <w:rPr>
                <w:sz w:val="20"/>
                <w:szCs w:val="20"/>
                <w:color w:val="auto"/>
              </w:rPr>
            </w:pPr>
            <w:r>
              <w:rPr>
                <w:rFonts w:ascii="Arial" w:cs="Arial" w:eastAsia="Arial" w:hAnsi="Arial"/>
                <w:sz w:val="14"/>
                <w:szCs w:val="14"/>
                <w:color w:val="0000FF"/>
              </w:rPr>
              <w:t>Section 1350 Certification of Christopher A.</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520" w:type="dxa"/>
            <w:vAlign w:val="bottom"/>
            <w:tcBorders>
              <w:top w:val="single" w:sz="8" w:color="0000FF"/>
            </w:tcBorders>
            <w:gridSpan w:val="16"/>
          </w:tcPr>
          <w:p>
            <w:pPr>
              <w:spacing w:after="0" w:line="113" w:lineRule="exact"/>
              <w:rPr>
                <w:sz w:val="20"/>
                <w:szCs w:val="20"/>
                <w:color w:val="auto"/>
              </w:rPr>
            </w:pPr>
            <w:r>
              <w:rPr>
                <w:rFonts w:ascii="Arial" w:cs="Arial" w:eastAsia="Arial" w:hAnsi="Arial"/>
                <w:sz w:val="13"/>
                <w:szCs w:val="13"/>
                <w:color w:val="0000FF"/>
              </w:rPr>
              <w:t>Foster</w:t>
            </w:r>
          </w:p>
        </w:tc>
        <w:tc>
          <w:tcPr>
            <w:tcW w:w="320" w:type="dxa"/>
            <w:vAlign w:val="bottom"/>
            <w:gridSpan w:val="9"/>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500" w:type="dxa"/>
            <w:vAlign w:val="bottom"/>
            <w:gridSpan w:val="2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†101.INS</w:t>
            </w:r>
          </w:p>
        </w:tc>
        <w:tc>
          <w:tcPr>
            <w:tcW w:w="20" w:type="dxa"/>
            <w:vAlign w:val="bottom"/>
          </w:tcPr>
          <w:p>
            <w:pPr>
              <w:spacing w:after="0"/>
              <w:rPr>
                <w:sz w:val="14"/>
                <w:szCs w:val="14"/>
                <w:color w:val="auto"/>
              </w:rPr>
            </w:pPr>
          </w:p>
        </w:tc>
        <w:tc>
          <w:tcPr>
            <w:tcW w:w="2840" w:type="dxa"/>
            <w:vAlign w:val="bottom"/>
            <w:gridSpan w:val="25"/>
          </w:tcPr>
          <w:p>
            <w:pPr>
              <w:spacing w:after="0"/>
              <w:rPr>
                <w:sz w:val="20"/>
                <w:szCs w:val="20"/>
                <w:color w:val="auto"/>
              </w:rPr>
            </w:pPr>
            <w:r>
              <w:rPr>
                <w:rFonts w:ascii="Arial" w:cs="Arial" w:eastAsia="Arial" w:hAnsi="Arial"/>
                <w:sz w:val="14"/>
                <w:szCs w:val="14"/>
                <w:color w:val="auto"/>
                <w:w w:val="98"/>
              </w:rPr>
              <w:t>Inline XBRL Instance Document - the instance</w:t>
            </w: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color w:val="auto"/>
              </w:rPr>
              <w:t>x</w:t>
            </w: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1"/>
        </w:trPr>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5"/>
          </w:tcPr>
          <w:p>
            <w:pPr>
              <w:spacing w:after="0" w:line="141" w:lineRule="exact"/>
              <w:rPr>
                <w:sz w:val="20"/>
                <w:szCs w:val="20"/>
                <w:color w:val="auto"/>
              </w:rPr>
            </w:pPr>
            <w:r>
              <w:rPr>
                <w:rFonts w:ascii="Arial" w:cs="Arial" w:eastAsia="Arial" w:hAnsi="Arial"/>
                <w:sz w:val="14"/>
                <w:szCs w:val="14"/>
                <w:color w:val="auto"/>
              </w:rPr>
              <w:t>document does not appear in the Interactive</w:t>
            </w: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5"/>
          </w:tcPr>
          <w:p>
            <w:pPr>
              <w:spacing w:after="0" w:line="147" w:lineRule="exact"/>
              <w:rPr>
                <w:sz w:val="20"/>
                <w:szCs w:val="20"/>
                <w:color w:val="auto"/>
              </w:rPr>
            </w:pPr>
            <w:r>
              <w:rPr>
                <w:rFonts w:ascii="Arial" w:cs="Arial" w:eastAsia="Arial" w:hAnsi="Arial"/>
                <w:sz w:val="14"/>
                <w:szCs w:val="14"/>
                <w:color w:val="auto"/>
                <w:w w:val="95"/>
              </w:rPr>
              <w:t>Data File because its XBRL tags are embedded</w:t>
            </w: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40" w:type="dxa"/>
            <w:vAlign w:val="bottom"/>
            <w:gridSpan w:val="25"/>
          </w:tcPr>
          <w:p>
            <w:pPr>
              <w:spacing w:after="0"/>
              <w:rPr>
                <w:sz w:val="20"/>
                <w:szCs w:val="20"/>
                <w:color w:val="auto"/>
              </w:rPr>
            </w:pPr>
            <w:r>
              <w:rPr>
                <w:rFonts w:ascii="Arial" w:cs="Arial" w:eastAsia="Arial" w:hAnsi="Arial"/>
                <w:sz w:val="14"/>
                <w:szCs w:val="14"/>
                <w:color w:val="auto"/>
              </w:rPr>
              <w:t>within the Inline XBRL document</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080" w:type="dxa"/>
            <w:vAlign w:val="bottom"/>
            <w:gridSpan w:val="2"/>
          </w:tcPr>
          <w:p>
            <w:pPr>
              <w:jc w:val="center"/>
              <w:ind w:right="120"/>
              <w:spacing w:after="0" w:line="157" w:lineRule="exact"/>
              <w:rPr>
                <w:sz w:val="20"/>
                <w:szCs w:val="20"/>
                <w:color w:val="auto"/>
              </w:rPr>
            </w:pPr>
            <w:r>
              <w:rPr>
                <w:rFonts w:ascii="Arial" w:cs="Arial" w:eastAsia="Arial" w:hAnsi="Arial"/>
                <w:sz w:val="14"/>
                <w:szCs w:val="14"/>
                <w:color w:val="auto"/>
                <w:w w:val="92"/>
              </w:rPr>
              <w:t>†101.SCH</w:t>
            </w:r>
          </w:p>
        </w:tc>
        <w:tc>
          <w:tcPr>
            <w:tcW w:w="20" w:type="dxa"/>
            <w:vAlign w:val="bottom"/>
          </w:tcPr>
          <w:p>
            <w:pPr>
              <w:spacing w:after="0"/>
              <w:rPr>
                <w:sz w:val="13"/>
                <w:szCs w:val="13"/>
                <w:color w:val="auto"/>
              </w:rPr>
            </w:pPr>
          </w:p>
        </w:tc>
        <w:tc>
          <w:tcPr>
            <w:tcW w:w="2840" w:type="dxa"/>
            <w:vAlign w:val="bottom"/>
            <w:gridSpan w:val="25"/>
          </w:tcPr>
          <w:p>
            <w:pPr>
              <w:spacing w:after="0" w:line="157" w:lineRule="exact"/>
              <w:rPr>
                <w:sz w:val="20"/>
                <w:szCs w:val="20"/>
                <w:color w:val="auto"/>
              </w:rPr>
            </w:pPr>
            <w:r>
              <w:rPr>
                <w:rFonts w:ascii="Arial" w:cs="Arial" w:eastAsia="Arial" w:hAnsi="Arial"/>
                <w:sz w:val="14"/>
                <w:szCs w:val="14"/>
                <w:color w:val="auto"/>
              </w:rPr>
              <w:t>Inline XBRL Taxonomy Extension Schema</w:t>
            </w: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120"/>
              <w:spacing w:after="0" w:line="157" w:lineRule="exact"/>
              <w:rPr>
                <w:sz w:val="20"/>
                <w:szCs w:val="20"/>
                <w:color w:val="auto"/>
              </w:rPr>
            </w:pPr>
            <w:r>
              <w:rPr>
                <w:rFonts w:ascii="Arial" w:cs="Arial" w:eastAsia="Arial" w:hAnsi="Arial"/>
                <w:sz w:val="14"/>
                <w:szCs w:val="14"/>
                <w:color w:val="auto"/>
              </w:rPr>
              <w:t>x</w:t>
            </w:r>
          </w:p>
        </w:tc>
        <w:tc>
          <w:tcPr>
            <w:tcW w:w="110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rPr>
              <w:t>x</w:t>
            </w:r>
          </w:p>
        </w:tc>
        <w:tc>
          <w:tcPr>
            <w:tcW w:w="1000" w:type="dxa"/>
            <w:vAlign w:val="bottom"/>
          </w:tcPr>
          <w:p>
            <w:pPr>
              <w:jc w:val="center"/>
              <w:spacing w:after="0" w:line="157"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40" w:type="dxa"/>
            <w:vAlign w:val="bottom"/>
            <w:gridSpan w:val="25"/>
          </w:tcPr>
          <w:p>
            <w:pPr>
              <w:spacing w:after="0"/>
              <w:rPr>
                <w:sz w:val="20"/>
                <w:szCs w:val="20"/>
                <w:color w:val="auto"/>
              </w:rPr>
            </w:pPr>
            <w:r>
              <w:rPr>
                <w:rFonts w:ascii="Arial" w:cs="Arial" w:eastAsia="Arial" w:hAnsi="Arial"/>
                <w:sz w:val="14"/>
                <w:szCs w:val="14"/>
                <w:color w:val="auto"/>
              </w:rPr>
              <w:t>Document</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080" w:type="dxa"/>
            <w:vAlign w:val="bottom"/>
            <w:gridSpan w:val="2"/>
          </w:tcPr>
          <w:p>
            <w:pPr>
              <w:jc w:val="center"/>
              <w:ind w:right="120"/>
              <w:spacing w:after="0" w:line="152" w:lineRule="exact"/>
              <w:rPr>
                <w:sz w:val="20"/>
                <w:szCs w:val="20"/>
                <w:color w:val="auto"/>
              </w:rPr>
            </w:pPr>
            <w:r>
              <w:rPr>
                <w:rFonts w:ascii="Arial" w:cs="Arial" w:eastAsia="Arial" w:hAnsi="Arial"/>
                <w:sz w:val="14"/>
                <w:szCs w:val="14"/>
                <w:color w:val="auto"/>
                <w:w w:val="96"/>
              </w:rPr>
              <w:t>†101.CAL</w:t>
            </w:r>
          </w:p>
        </w:tc>
        <w:tc>
          <w:tcPr>
            <w:tcW w:w="20" w:type="dxa"/>
            <w:vAlign w:val="bottom"/>
          </w:tcPr>
          <w:p>
            <w:pPr>
              <w:spacing w:after="0"/>
              <w:rPr>
                <w:sz w:val="13"/>
                <w:szCs w:val="13"/>
                <w:color w:val="auto"/>
              </w:rPr>
            </w:pPr>
          </w:p>
        </w:tc>
        <w:tc>
          <w:tcPr>
            <w:tcW w:w="2840" w:type="dxa"/>
            <w:vAlign w:val="bottom"/>
            <w:gridSpan w:val="25"/>
          </w:tcPr>
          <w:p>
            <w:pPr>
              <w:spacing w:after="0" w:line="152" w:lineRule="exact"/>
              <w:rPr>
                <w:sz w:val="20"/>
                <w:szCs w:val="20"/>
                <w:color w:val="auto"/>
              </w:rPr>
            </w:pPr>
            <w:r>
              <w:rPr>
                <w:rFonts w:ascii="Arial" w:cs="Arial" w:eastAsia="Arial" w:hAnsi="Arial"/>
                <w:sz w:val="14"/>
                <w:szCs w:val="14"/>
                <w:color w:val="auto"/>
              </w:rPr>
              <w:t>Inline XBRL Taxonomy Extension Calculation</w:t>
            </w: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120"/>
              <w:spacing w:after="0" w:line="152" w:lineRule="exact"/>
              <w:rPr>
                <w:sz w:val="20"/>
                <w:szCs w:val="20"/>
                <w:color w:val="auto"/>
              </w:rPr>
            </w:pPr>
            <w:r>
              <w:rPr>
                <w:rFonts w:ascii="Arial" w:cs="Arial" w:eastAsia="Arial" w:hAnsi="Arial"/>
                <w:sz w:val="14"/>
                <w:szCs w:val="14"/>
                <w:color w:val="auto"/>
              </w:rPr>
              <w:t>x</w:t>
            </w:r>
          </w:p>
        </w:tc>
        <w:tc>
          <w:tcPr>
            <w:tcW w:w="1100" w:type="dxa"/>
            <w:vAlign w:val="bottom"/>
            <w:gridSpan w:val="2"/>
          </w:tcPr>
          <w:p>
            <w:pPr>
              <w:jc w:val="center"/>
              <w:ind w:right="100"/>
              <w:spacing w:after="0" w:line="152" w:lineRule="exact"/>
              <w:rPr>
                <w:sz w:val="20"/>
                <w:szCs w:val="20"/>
                <w:color w:val="auto"/>
              </w:rPr>
            </w:pPr>
            <w:r>
              <w:rPr>
                <w:rFonts w:ascii="Arial" w:cs="Arial" w:eastAsia="Arial" w:hAnsi="Arial"/>
                <w:sz w:val="14"/>
                <w:szCs w:val="14"/>
                <w:color w:val="auto"/>
              </w:rPr>
              <w:t>x</w:t>
            </w:r>
          </w:p>
        </w:tc>
        <w:tc>
          <w:tcPr>
            <w:tcW w:w="1000" w:type="dxa"/>
            <w:vAlign w:val="bottom"/>
          </w:tcPr>
          <w:p>
            <w:pPr>
              <w:jc w:val="center"/>
              <w:spacing w:after="0" w:line="15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40" w:type="dxa"/>
            <w:vAlign w:val="bottom"/>
            <w:gridSpan w:val="25"/>
          </w:tcPr>
          <w:p>
            <w:pPr>
              <w:spacing w:after="0"/>
              <w:rPr>
                <w:sz w:val="20"/>
                <w:szCs w:val="20"/>
                <w:color w:val="auto"/>
              </w:rPr>
            </w:pPr>
            <w:r>
              <w:rPr>
                <w:rFonts w:ascii="Arial" w:cs="Arial" w:eastAsia="Arial" w:hAnsi="Arial"/>
                <w:sz w:val="14"/>
                <w:szCs w:val="14"/>
                <w:color w:val="auto"/>
              </w:rPr>
              <w:t>Linkbase Document</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080" w:type="dxa"/>
            <w:vAlign w:val="bottom"/>
            <w:gridSpan w:val="2"/>
          </w:tcPr>
          <w:p>
            <w:pPr>
              <w:jc w:val="center"/>
              <w:ind w:right="100"/>
              <w:spacing w:after="0" w:line="152" w:lineRule="exact"/>
              <w:rPr>
                <w:sz w:val="20"/>
                <w:szCs w:val="20"/>
                <w:color w:val="auto"/>
              </w:rPr>
            </w:pPr>
            <w:r>
              <w:rPr>
                <w:rFonts w:ascii="Arial" w:cs="Arial" w:eastAsia="Arial" w:hAnsi="Arial"/>
                <w:sz w:val="14"/>
                <w:szCs w:val="14"/>
                <w:color w:val="auto"/>
                <w:w w:val="91"/>
              </w:rPr>
              <w:t>†101.DEF</w:t>
            </w:r>
          </w:p>
        </w:tc>
        <w:tc>
          <w:tcPr>
            <w:tcW w:w="20" w:type="dxa"/>
            <w:vAlign w:val="bottom"/>
          </w:tcPr>
          <w:p>
            <w:pPr>
              <w:spacing w:after="0"/>
              <w:rPr>
                <w:sz w:val="13"/>
                <w:szCs w:val="13"/>
                <w:color w:val="auto"/>
              </w:rPr>
            </w:pPr>
          </w:p>
        </w:tc>
        <w:tc>
          <w:tcPr>
            <w:tcW w:w="2840" w:type="dxa"/>
            <w:vAlign w:val="bottom"/>
            <w:gridSpan w:val="25"/>
          </w:tcPr>
          <w:p>
            <w:pPr>
              <w:spacing w:after="0" w:line="152" w:lineRule="exact"/>
              <w:rPr>
                <w:sz w:val="20"/>
                <w:szCs w:val="20"/>
                <w:color w:val="auto"/>
              </w:rPr>
            </w:pPr>
            <w:r>
              <w:rPr>
                <w:rFonts w:ascii="Arial" w:cs="Arial" w:eastAsia="Arial" w:hAnsi="Arial"/>
                <w:sz w:val="14"/>
                <w:szCs w:val="14"/>
                <w:color w:val="auto"/>
              </w:rPr>
              <w:t>Inline XBRL Taxonomy Extension Definition</w:t>
            </w: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120"/>
              <w:spacing w:after="0" w:line="152" w:lineRule="exact"/>
              <w:rPr>
                <w:sz w:val="20"/>
                <w:szCs w:val="20"/>
                <w:color w:val="auto"/>
              </w:rPr>
            </w:pPr>
            <w:r>
              <w:rPr>
                <w:rFonts w:ascii="Arial" w:cs="Arial" w:eastAsia="Arial" w:hAnsi="Arial"/>
                <w:sz w:val="14"/>
                <w:szCs w:val="14"/>
                <w:color w:val="auto"/>
              </w:rPr>
              <w:t>x</w:t>
            </w:r>
          </w:p>
        </w:tc>
        <w:tc>
          <w:tcPr>
            <w:tcW w:w="1100" w:type="dxa"/>
            <w:vAlign w:val="bottom"/>
            <w:gridSpan w:val="2"/>
          </w:tcPr>
          <w:p>
            <w:pPr>
              <w:jc w:val="center"/>
              <w:ind w:right="100"/>
              <w:spacing w:after="0" w:line="152" w:lineRule="exact"/>
              <w:rPr>
                <w:sz w:val="20"/>
                <w:szCs w:val="20"/>
                <w:color w:val="auto"/>
              </w:rPr>
            </w:pPr>
            <w:r>
              <w:rPr>
                <w:rFonts w:ascii="Arial" w:cs="Arial" w:eastAsia="Arial" w:hAnsi="Arial"/>
                <w:sz w:val="14"/>
                <w:szCs w:val="14"/>
                <w:color w:val="auto"/>
              </w:rPr>
              <w:t>x</w:t>
            </w:r>
          </w:p>
        </w:tc>
        <w:tc>
          <w:tcPr>
            <w:tcW w:w="1000" w:type="dxa"/>
            <w:vAlign w:val="bottom"/>
          </w:tcPr>
          <w:p>
            <w:pPr>
              <w:jc w:val="center"/>
              <w:spacing w:after="0" w:line="15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40" w:type="dxa"/>
            <w:vAlign w:val="bottom"/>
            <w:gridSpan w:val="25"/>
          </w:tcPr>
          <w:p>
            <w:pPr>
              <w:spacing w:after="0"/>
              <w:rPr>
                <w:sz w:val="20"/>
                <w:szCs w:val="20"/>
                <w:color w:val="auto"/>
              </w:rPr>
            </w:pPr>
            <w:r>
              <w:rPr>
                <w:rFonts w:ascii="Arial" w:cs="Arial" w:eastAsia="Arial" w:hAnsi="Arial"/>
                <w:sz w:val="14"/>
                <w:szCs w:val="14"/>
                <w:color w:val="auto"/>
              </w:rPr>
              <w:t>Linkbase Document</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080" w:type="dxa"/>
            <w:vAlign w:val="bottom"/>
            <w:gridSpan w:val="2"/>
          </w:tcPr>
          <w:p>
            <w:pPr>
              <w:jc w:val="center"/>
              <w:ind w:right="120"/>
              <w:spacing w:after="0" w:line="152" w:lineRule="exact"/>
              <w:rPr>
                <w:sz w:val="20"/>
                <w:szCs w:val="20"/>
                <w:color w:val="auto"/>
              </w:rPr>
            </w:pPr>
            <w:r>
              <w:rPr>
                <w:rFonts w:ascii="Arial" w:cs="Arial" w:eastAsia="Arial" w:hAnsi="Arial"/>
                <w:sz w:val="14"/>
                <w:szCs w:val="14"/>
                <w:color w:val="auto"/>
                <w:w w:val="97"/>
              </w:rPr>
              <w:t>†101.LAB</w:t>
            </w:r>
          </w:p>
        </w:tc>
        <w:tc>
          <w:tcPr>
            <w:tcW w:w="20" w:type="dxa"/>
            <w:vAlign w:val="bottom"/>
          </w:tcPr>
          <w:p>
            <w:pPr>
              <w:spacing w:after="0"/>
              <w:rPr>
                <w:sz w:val="13"/>
                <w:szCs w:val="13"/>
                <w:color w:val="auto"/>
              </w:rPr>
            </w:pPr>
          </w:p>
        </w:tc>
        <w:tc>
          <w:tcPr>
            <w:tcW w:w="2840" w:type="dxa"/>
            <w:vAlign w:val="bottom"/>
            <w:gridSpan w:val="25"/>
          </w:tcPr>
          <w:p>
            <w:pPr>
              <w:spacing w:after="0" w:line="152" w:lineRule="exact"/>
              <w:rPr>
                <w:sz w:val="20"/>
                <w:szCs w:val="20"/>
                <w:color w:val="auto"/>
              </w:rPr>
            </w:pPr>
            <w:r>
              <w:rPr>
                <w:rFonts w:ascii="Arial" w:cs="Arial" w:eastAsia="Arial" w:hAnsi="Arial"/>
                <w:sz w:val="14"/>
                <w:szCs w:val="14"/>
                <w:color w:val="auto"/>
              </w:rPr>
              <w:t>Inline XBRL Taxonomy Extension Labels</w:t>
            </w: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120"/>
              <w:spacing w:after="0" w:line="152" w:lineRule="exact"/>
              <w:rPr>
                <w:sz w:val="20"/>
                <w:szCs w:val="20"/>
                <w:color w:val="auto"/>
              </w:rPr>
            </w:pPr>
            <w:r>
              <w:rPr>
                <w:rFonts w:ascii="Arial" w:cs="Arial" w:eastAsia="Arial" w:hAnsi="Arial"/>
                <w:sz w:val="14"/>
                <w:szCs w:val="14"/>
                <w:color w:val="auto"/>
              </w:rPr>
              <w:t>x</w:t>
            </w:r>
          </w:p>
        </w:tc>
        <w:tc>
          <w:tcPr>
            <w:tcW w:w="1100" w:type="dxa"/>
            <w:vAlign w:val="bottom"/>
            <w:gridSpan w:val="2"/>
          </w:tcPr>
          <w:p>
            <w:pPr>
              <w:jc w:val="center"/>
              <w:ind w:right="100"/>
              <w:spacing w:after="0" w:line="152" w:lineRule="exact"/>
              <w:rPr>
                <w:sz w:val="20"/>
                <w:szCs w:val="20"/>
                <w:color w:val="auto"/>
              </w:rPr>
            </w:pPr>
            <w:r>
              <w:rPr>
                <w:rFonts w:ascii="Arial" w:cs="Arial" w:eastAsia="Arial" w:hAnsi="Arial"/>
                <w:sz w:val="14"/>
                <w:szCs w:val="14"/>
                <w:color w:val="auto"/>
              </w:rPr>
              <w:t>x</w:t>
            </w:r>
          </w:p>
        </w:tc>
        <w:tc>
          <w:tcPr>
            <w:tcW w:w="1000" w:type="dxa"/>
            <w:vAlign w:val="bottom"/>
          </w:tcPr>
          <w:p>
            <w:pPr>
              <w:jc w:val="center"/>
              <w:spacing w:after="0" w:line="15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40" w:type="dxa"/>
            <w:vAlign w:val="bottom"/>
            <w:gridSpan w:val="25"/>
          </w:tcPr>
          <w:p>
            <w:pPr>
              <w:spacing w:after="0"/>
              <w:rPr>
                <w:sz w:val="20"/>
                <w:szCs w:val="20"/>
                <w:color w:val="auto"/>
              </w:rPr>
            </w:pPr>
            <w:r>
              <w:rPr>
                <w:rFonts w:ascii="Arial" w:cs="Arial" w:eastAsia="Arial" w:hAnsi="Arial"/>
                <w:sz w:val="14"/>
                <w:szCs w:val="14"/>
                <w:color w:val="auto"/>
              </w:rPr>
              <w:t>Linkbase Document</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080" w:type="dxa"/>
            <w:vAlign w:val="bottom"/>
            <w:gridSpan w:val="2"/>
          </w:tcPr>
          <w:p>
            <w:pPr>
              <w:jc w:val="center"/>
              <w:ind w:right="100"/>
              <w:spacing w:after="0" w:line="152" w:lineRule="exact"/>
              <w:rPr>
                <w:sz w:val="20"/>
                <w:szCs w:val="20"/>
                <w:color w:val="auto"/>
              </w:rPr>
            </w:pPr>
            <w:r>
              <w:rPr>
                <w:rFonts w:ascii="Arial" w:cs="Arial" w:eastAsia="Arial" w:hAnsi="Arial"/>
                <w:sz w:val="14"/>
                <w:szCs w:val="14"/>
                <w:color w:val="auto"/>
                <w:w w:val="90"/>
              </w:rPr>
              <w:t>†101.PRE</w:t>
            </w:r>
          </w:p>
        </w:tc>
        <w:tc>
          <w:tcPr>
            <w:tcW w:w="20" w:type="dxa"/>
            <w:vAlign w:val="bottom"/>
          </w:tcPr>
          <w:p>
            <w:pPr>
              <w:spacing w:after="0"/>
              <w:rPr>
                <w:sz w:val="13"/>
                <w:szCs w:val="13"/>
                <w:color w:val="auto"/>
              </w:rPr>
            </w:pPr>
          </w:p>
        </w:tc>
        <w:tc>
          <w:tcPr>
            <w:tcW w:w="2840" w:type="dxa"/>
            <w:vAlign w:val="bottom"/>
            <w:gridSpan w:val="25"/>
          </w:tcPr>
          <w:p>
            <w:pPr>
              <w:spacing w:after="0" w:line="152" w:lineRule="exact"/>
              <w:rPr>
                <w:sz w:val="20"/>
                <w:szCs w:val="20"/>
                <w:color w:val="auto"/>
              </w:rPr>
            </w:pPr>
            <w:r>
              <w:rPr>
                <w:rFonts w:ascii="Arial" w:cs="Arial" w:eastAsia="Arial" w:hAnsi="Arial"/>
                <w:sz w:val="14"/>
                <w:szCs w:val="14"/>
                <w:color w:val="auto"/>
                <w:w w:val="96"/>
              </w:rPr>
              <w:t>Inline XBRL Taxonomy Extension Presentation</w:t>
            </w: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120"/>
              <w:spacing w:after="0" w:line="152" w:lineRule="exact"/>
              <w:rPr>
                <w:sz w:val="20"/>
                <w:szCs w:val="20"/>
                <w:color w:val="auto"/>
              </w:rPr>
            </w:pPr>
            <w:r>
              <w:rPr>
                <w:rFonts w:ascii="Arial" w:cs="Arial" w:eastAsia="Arial" w:hAnsi="Arial"/>
                <w:sz w:val="14"/>
                <w:szCs w:val="14"/>
                <w:color w:val="auto"/>
              </w:rPr>
              <w:t>x</w:t>
            </w:r>
          </w:p>
        </w:tc>
        <w:tc>
          <w:tcPr>
            <w:tcW w:w="1100" w:type="dxa"/>
            <w:vAlign w:val="bottom"/>
            <w:gridSpan w:val="2"/>
          </w:tcPr>
          <w:p>
            <w:pPr>
              <w:jc w:val="center"/>
              <w:ind w:right="100"/>
              <w:spacing w:after="0" w:line="152" w:lineRule="exact"/>
              <w:rPr>
                <w:sz w:val="20"/>
                <w:szCs w:val="20"/>
                <w:color w:val="auto"/>
              </w:rPr>
            </w:pPr>
            <w:r>
              <w:rPr>
                <w:rFonts w:ascii="Arial" w:cs="Arial" w:eastAsia="Arial" w:hAnsi="Arial"/>
                <w:sz w:val="14"/>
                <w:szCs w:val="14"/>
                <w:color w:val="auto"/>
              </w:rPr>
              <w:t>x</w:t>
            </w:r>
          </w:p>
        </w:tc>
        <w:tc>
          <w:tcPr>
            <w:tcW w:w="1000" w:type="dxa"/>
            <w:vAlign w:val="bottom"/>
          </w:tcPr>
          <w:p>
            <w:pPr>
              <w:jc w:val="center"/>
              <w:spacing w:after="0" w:line="15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40" w:type="dxa"/>
            <w:vAlign w:val="bottom"/>
            <w:gridSpan w:val="25"/>
          </w:tcPr>
          <w:p>
            <w:pPr>
              <w:spacing w:after="0"/>
              <w:rPr>
                <w:sz w:val="20"/>
                <w:szCs w:val="20"/>
                <w:color w:val="auto"/>
              </w:rPr>
            </w:pPr>
            <w:r>
              <w:rPr>
                <w:rFonts w:ascii="Arial" w:cs="Arial" w:eastAsia="Arial" w:hAnsi="Arial"/>
                <w:sz w:val="14"/>
                <w:szCs w:val="14"/>
                <w:color w:val="auto"/>
              </w:rPr>
              <w:t>Linkbase Document</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080" w:type="dxa"/>
            <w:vAlign w:val="bottom"/>
            <w:gridSpan w:val="2"/>
          </w:tcPr>
          <w:p>
            <w:pPr>
              <w:jc w:val="center"/>
              <w:ind w:right="120"/>
              <w:spacing w:after="0" w:line="152" w:lineRule="exact"/>
              <w:rPr>
                <w:sz w:val="20"/>
                <w:szCs w:val="20"/>
                <w:color w:val="auto"/>
              </w:rPr>
            </w:pPr>
            <w:r>
              <w:rPr>
                <w:rFonts w:ascii="Arial" w:cs="Arial" w:eastAsia="Arial" w:hAnsi="Arial"/>
                <w:sz w:val="14"/>
                <w:szCs w:val="14"/>
                <w:color w:val="auto"/>
                <w:w w:val="89"/>
              </w:rPr>
              <w:t>†104</w:t>
            </w:r>
          </w:p>
        </w:tc>
        <w:tc>
          <w:tcPr>
            <w:tcW w:w="20" w:type="dxa"/>
            <w:vAlign w:val="bottom"/>
          </w:tcPr>
          <w:p>
            <w:pPr>
              <w:spacing w:after="0"/>
              <w:rPr>
                <w:sz w:val="13"/>
                <w:szCs w:val="13"/>
                <w:color w:val="auto"/>
              </w:rPr>
            </w:pPr>
          </w:p>
        </w:tc>
        <w:tc>
          <w:tcPr>
            <w:tcW w:w="2840" w:type="dxa"/>
            <w:vAlign w:val="bottom"/>
            <w:gridSpan w:val="25"/>
          </w:tcPr>
          <w:p>
            <w:pPr>
              <w:spacing w:after="0" w:line="152" w:lineRule="exact"/>
              <w:rPr>
                <w:sz w:val="20"/>
                <w:szCs w:val="20"/>
                <w:color w:val="auto"/>
              </w:rPr>
            </w:pPr>
            <w:r>
              <w:rPr>
                <w:rFonts w:ascii="Arial" w:cs="Arial" w:eastAsia="Arial" w:hAnsi="Arial"/>
                <w:sz w:val="14"/>
                <w:szCs w:val="14"/>
                <w:color w:val="auto"/>
                <w:w w:val="97"/>
              </w:rPr>
              <w:t>Cover Page Interactive Data File (formatted as</w:t>
            </w: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120"/>
              <w:spacing w:after="0" w:line="152" w:lineRule="exact"/>
              <w:rPr>
                <w:sz w:val="20"/>
                <w:szCs w:val="20"/>
                <w:color w:val="auto"/>
              </w:rPr>
            </w:pPr>
            <w:r>
              <w:rPr>
                <w:rFonts w:ascii="Arial" w:cs="Arial" w:eastAsia="Arial" w:hAnsi="Arial"/>
                <w:sz w:val="14"/>
                <w:szCs w:val="14"/>
                <w:color w:val="auto"/>
              </w:rPr>
              <w:t>x</w:t>
            </w:r>
          </w:p>
        </w:tc>
        <w:tc>
          <w:tcPr>
            <w:tcW w:w="1100" w:type="dxa"/>
            <w:vAlign w:val="bottom"/>
            <w:gridSpan w:val="2"/>
          </w:tcPr>
          <w:p>
            <w:pPr>
              <w:jc w:val="center"/>
              <w:ind w:right="100"/>
              <w:spacing w:after="0" w:line="152" w:lineRule="exact"/>
              <w:rPr>
                <w:sz w:val="20"/>
                <w:szCs w:val="20"/>
                <w:color w:val="auto"/>
              </w:rPr>
            </w:pPr>
            <w:r>
              <w:rPr>
                <w:rFonts w:ascii="Arial" w:cs="Arial" w:eastAsia="Arial" w:hAnsi="Arial"/>
                <w:sz w:val="14"/>
                <w:szCs w:val="14"/>
                <w:color w:val="auto"/>
              </w:rPr>
              <w:t>x</w:t>
            </w:r>
          </w:p>
        </w:tc>
        <w:tc>
          <w:tcPr>
            <w:tcW w:w="1000" w:type="dxa"/>
            <w:vAlign w:val="bottom"/>
          </w:tcPr>
          <w:p>
            <w:pPr>
              <w:jc w:val="center"/>
              <w:spacing w:after="0" w:line="15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40" w:type="dxa"/>
            <w:vAlign w:val="bottom"/>
            <w:gridSpan w:val="25"/>
          </w:tcPr>
          <w:p>
            <w:pPr>
              <w:spacing w:after="0"/>
              <w:rPr>
                <w:sz w:val="20"/>
                <w:szCs w:val="20"/>
                <w:color w:val="auto"/>
              </w:rPr>
            </w:pPr>
            <w:r>
              <w:rPr>
                <w:rFonts w:ascii="Arial" w:cs="Arial" w:eastAsia="Arial" w:hAnsi="Arial"/>
                <w:sz w:val="14"/>
                <w:szCs w:val="14"/>
                <w:color w:val="auto"/>
              </w:rPr>
              <w:t>Inline XBRL and contained in Exhibit 101)</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740" w:right="580" w:hanging="217"/>
        <w:spacing w:after="0" w:line="225" w:lineRule="auto"/>
        <w:tabs>
          <w:tab w:leader="none" w:pos="7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Schedules to this agreement have been omitted pursuant to Items 601(a)(5) and 601(b)(2) of Regulation S-K. A copy of any omitted schedules will be furnished supplementally to the SEC upon request; provided, however, that the parties may request confidential treatment pursuant to Rule 24b-2 of the Exchange Act for any document so furnished.</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95" w:name="page96"/>
    <w:bookmarkEnd w:id="95"/>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color w:val="auto"/>
        </w:rPr>
        <w:t>Pursuant to the requirements of the Securities Exchange Act of 1934, each registrant has duly caused this report to be signed on its behalf by the undersigned thereunto duly authorized.</w:t>
      </w:r>
    </w:p>
    <w:p>
      <w:pPr>
        <w:spacing w:after="0" w:line="240" w:lineRule="exact"/>
        <w:rPr>
          <w:sz w:val="20"/>
          <w:szCs w:val="20"/>
          <w:color w:val="auto"/>
        </w:rPr>
      </w:pPr>
    </w:p>
    <w:p>
      <w:pPr>
        <w:jc w:val="center"/>
        <w:ind w:left="5100"/>
        <w:spacing w:after="0"/>
        <w:rPr>
          <w:sz w:val="20"/>
          <w:szCs w:val="20"/>
          <w:color w:val="auto"/>
        </w:rPr>
      </w:pPr>
      <w:r>
        <w:rPr>
          <w:rFonts w:ascii="Arial" w:cs="Arial" w:eastAsia="Arial" w:hAnsi="Arial"/>
          <w:sz w:val="18"/>
          <w:szCs w:val="18"/>
          <w:b w:val="1"/>
          <w:bCs w:val="1"/>
          <w:color w:val="auto"/>
        </w:rPr>
        <w:t>CENTERPOINT ENERGY, INC.</w:t>
      </w:r>
    </w:p>
    <w:p>
      <w:pPr>
        <w:spacing w:after="0" w:line="23" w:lineRule="exact"/>
        <w:rPr>
          <w:sz w:val="20"/>
          <w:szCs w:val="20"/>
          <w:color w:val="auto"/>
        </w:rPr>
      </w:pPr>
    </w:p>
    <w:p>
      <w:pPr>
        <w:jc w:val="center"/>
        <w:ind w:left="5100"/>
        <w:spacing w:after="0"/>
        <w:rPr>
          <w:sz w:val="20"/>
          <w:szCs w:val="20"/>
          <w:color w:val="auto"/>
        </w:rPr>
      </w:pPr>
      <w:r>
        <w:rPr>
          <w:rFonts w:ascii="Arial" w:cs="Arial" w:eastAsia="Arial" w:hAnsi="Arial"/>
          <w:sz w:val="18"/>
          <w:szCs w:val="18"/>
          <w:b w:val="1"/>
          <w:bCs w:val="1"/>
          <w:color w:val="auto"/>
        </w:rPr>
        <w:t>CENTERPOINT ENERGY HOUSTON ELECTRIC, LLC</w:t>
      </w:r>
    </w:p>
    <w:p>
      <w:pPr>
        <w:spacing w:after="0" w:line="19" w:lineRule="exact"/>
        <w:rPr>
          <w:sz w:val="20"/>
          <w:szCs w:val="20"/>
          <w:color w:val="auto"/>
        </w:rPr>
      </w:pPr>
    </w:p>
    <w:p>
      <w:pPr>
        <w:jc w:val="center"/>
        <w:ind w:left="5100"/>
        <w:spacing w:after="0"/>
        <w:rPr>
          <w:sz w:val="20"/>
          <w:szCs w:val="20"/>
          <w:color w:val="auto"/>
        </w:rPr>
      </w:pPr>
      <w:r>
        <w:rPr>
          <w:rFonts w:ascii="Arial" w:cs="Arial" w:eastAsia="Arial" w:hAnsi="Arial"/>
          <w:sz w:val="18"/>
          <w:szCs w:val="18"/>
          <w:b w:val="1"/>
          <w:bCs w:val="1"/>
          <w:color w:val="auto"/>
        </w:rPr>
        <w:t>CENTERPOINT ENERGY RESOURCES CORP.</w:t>
      </w:r>
    </w:p>
    <w:p>
      <w:pPr>
        <w:spacing w:after="0" w:line="200" w:lineRule="exact"/>
        <w:rPr>
          <w:sz w:val="20"/>
          <w:szCs w:val="20"/>
          <w:color w:val="auto"/>
        </w:rPr>
      </w:pPr>
    </w:p>
    <w:p>
      <w:pPr>
        <w:spacing w:after="0" w:line="247" w:lineRule="exact"/>
        <w:rPr>
          <w:sz w:val="20"/>
          <w:szCs w:val="20"/>
          <w:color w:val="auto"/>
        </w:rPr>
      </w:pPr>
    </w:p>
    <w:tbl>
      <w:tblPr>
        <w:tblLayout w:type="fixed"/>
        <w:tblInd w:w="4840" w:type="dxa"/>
        <w:tblCellMar>
          <w:top w:w="0" w:type="dxa"/>
          <w:left w:w="0" w:type="dxa"/>
          <w:bottom w:w="0" w:type="dxa"/>
          <w:right w:w="0" w:type="dxa"/>
        </w:tblCellMar>
      </w:tblPr>
      <w:tr>
        <w:trPr>
          <w:trHeight w:val="225"/>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6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Kristie L. Colvin</w:t>
            </w:r>
          </w:p>
        </w:tc>
      </w:tr>
      <w:tr>
        <w:trPr>
          <w:trHeight w:val="219"/>
        </w:trPr>
        <w:tc>
          <w:tcPr>
            <w:tcW w:w="280" w:type="dxa"/>
            <w:vAlign w:val="bottom"/>
          </w:tcPr>
          <w:p>
            <w:pPr>
              <w:spacing w:after="0"/>
              <w:rPr>
                <w:sz w:val="19"/>
                <w:szCs w:val="19"/>
                <w:color w:val="auto"/>
              </w:rPr>
            </w:pPr>
          </w:p>
        </w:tc>
        <w:tc>
          <w:tcPr>
            <w:tcW w:w="6120" w:type="dxa"/>
            <w:vAlign w:val="bottom"/>
          </w:tcPr>
          <w:p>
            <w:pPr>
              <w:jc w:val="center"/>
              <w:spacing w:after="0"/>
              <w:rPr>
                <w:sz w:val="20"/>
                <w:szCs w:val="20"/>
                <w:color w:val="auto"/>
              </w:rPr>
            </w:pPr>
            <w:r>
              <w:rPr>
                <w:rFonts w:ascii="Arial" w:cs="Arial" w:eastAsia="Arial" w:hAnsi="Arial"/>
                <w:sz w:val="18"/>
                <w:szCs w:val="18"/>
                <w:color w:val="auto"/>
                <w:w w:val="95"/>
              </w:rPr>
              <w:t>Kristie L. Colvin</w:t>
            </w:r>
          </w:p>
        </w:tc>
      </w:tr>
      <w:tr>
        <w:trPr>
          <w:trHeight w:val="226"/>
        </w:trPr>
        <w:tc>
          <w:tcPr>
            <w:tcW w:w="280" w:type="dxa"/>
            <w:vAlign w:val="bottom"/>
          </w:tcPr>
          <w:p>
            <w:pPr>
              <w:spacing w:after="0"/>
              <w:rPr>
                <w:sz w:val="19"/>
                <w:szCs w:val="19"/>
                <w:color w:val="auto"/>
              </w:rPr>
            </w:pPr>
          </w:p>
        </w:tc>
        <w:tc>
          <w:tcPr>
            <w:tcW w:w="6120" w:type="dxa"/>
            <w:vAlign w:val="bottom"/>
          </w:tcPr>
          <w:p>
            <w:pPr>
              <w:jc w:val="center"/>
              <w:spacing w:after="0"/>
              <w:rPr>
                <w:sz w:val="20"/>
                <w:szCs w:val="20"/>
                <w:color w:val="auto"/>
              </w:rPr>
            </w:pPr>
            <w:r>
              <w:rPr>
                <w:rFonts w:ascii="Arial" w:cs="Arial" w:eastAsia="Arial" w:hAnsi="Arial"/>
                <w:sz w:val="18"/>
                <w:szCs w:val="18"/>
                <w:color w:val="auto"/>
                <w:w w:val="90"/>
              </w:rPr>
              <w:t>Senior Vice President and Chief Accounting Officer</w:t>
            </w:r>
          </w:p>
        </w:tc>
      </w:tr>
      <w:tr>
        <w:trPr>
          <w:trHeight w:val="226"/>
        </w:trPr>
        <w:tc>
          <w:tcPr>
            <w:tcW w:w="280" w:type="dxa"/>
            <w:vAlign w:val="bottom"/>
          </w:tcPr>
          <w:p>
            <w:pPr>
              <w:spacing w:after="0"/>
              <w:rPr>
                <w:sz w:val="19"/>
                <w:szCs w:val="19"/>
                <w:color w:val="auto"/>
              </w:rPr>
            </w:pPr>
          </w:p>
        </w:tc>
        <w:tc>
          <w:tcPr>
            <w:tcW w:w="6120" w:type="dxa"/>
            <w:vAlign w:val="bottom"/>
          </w:tcPr>
          <w:p>
            <w:pPr>
              <w:jc w:val="center"/>
              <w:spacing w:after="0"/>
              <w:rPr>
                <w:sz w:val="20"/>
                <w:szCs w:val="20"/>
                <w:color w:val="auto"/>
              </w:rPr>
            </w:pPr>
            <w:r>
              <w:rPr>
                <w:rFonts w:ascii="Arial" w:cs="Arial" w:eastAsia="Arial" w:hAnsi="Arial"/>
                <w:sz w:val="18"/>
                <w:szCs w:val="18"/>
                <w:color w:val="auto"/>
                <w:w w:val="93"/>
              </w:rPr>
              <w:t>(Duly Authorized Officer and Principal Accounting Officer)</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27"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CENTERPOINT ENERGY, INC.</w:t>
      </w:r>
    </w:p>
    <w:p>
      <w:pPr>
        <w:spacing w:after="0" w:line="184"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To</w:t>
      </w:r>
    </w:p>
    <w:p>
      <w:pPr>
        <w:spacing w:after="0" w:line="184" w:lineRule="exact"/>
        <w:rPr>
          <w:sz w:val="20"/>
          <w:szCs w:val="20"/>
          <w:color w:val="auto"/>
        </w:rPr>
      </w:pPr>
    </w:p>
    <w:p>
      <w:pPr>
        <w:jc w:val="center"/>
        <w:ind w:left="500" w:right="1620"/>
        <w:spacing w:after="0" w:line="437" w:lineRule="auto"/>
        <w:rPr>
          <w:sz w:val="20"/>
          <w:szCs w:val="20"/>
          <w:color w:val="auto"/>
        </w:rPr>
      </w:pPr>
      <w:r>
        <w:rPr>
          <w:rFonts w:ascii="Arial" w:cs="Arial" w:eastAsia="Arial" w:hAnsi="Arial"/>
          <w:sz w:val="21"/>
          <w:szCs w:val="21"/>
          <w:color w:val="auto"/>
        </w:rPr>
        <w:t>THE BANK OF NEW YORK MELLON TRUST COMPANY, NATIONAL ASSOCIATION (successor to JPMorgan Chase Bank, National Association (formerly JPMorgan Chase Bank))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12065</wp:posOffset>
            </wp:positionV>
            <wp:extent cx="71342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323"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SUPPLEMENTAL INDENTURE NO. 14</w:t>
      </w:r>
    </w:p>
    <w:p>
      <w:pPr>
        <w:spacing w:after="0" w:line="184"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Dated as of August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155575</wp:posOffset>
            </wp:positionV>
            <wp:extent cx="71342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620"/>
        <w:spacing w:after="0"/>
        <w:rPr>
          <w:sz w:val="20"/>
          <w:szCs w:val="20"/>
          <w:color w:val="auto"/>
        </w:rPr>
      </w:pPr>
      <w:r>
        <w:rPr>
          <w:rFonts w:ascii="Arial" w:cs="Arial" w:eastAsia="Arial" w:hAnsi="Arial"/>
          <w:sz w:val="21"/>
          <w:szCs w:val="21"/>
          <w:color w:val="auto"/>
        </w:rPr>
        <w:t>$400,000,000 5.25% Senior Notes due 2026</w:t>
      </w:r>
    </w:p>
    <w:p>
      <w:pPr>
        <w:sectPr>
          <w:pgSz w:w="11900" w:h="16838" w:orient="portrait"/>
          <w:cols w:equalWidth="0" w:num="1">
            <w:col w:w="10120"/>
          </w:cols>
          <w:pgMar w:left="1440" w:top="108" w:right="339" w:bottom="1440" w:gutter="0" w:footer="0" w:header="0"/>
        </w:sectPr>
      </w:pPr>
    </w:p>
    <w:bookmarkStart w:id="97" w:name="page98"/>
    <w:bookmarkEnd w:id="97"/>
    <w:p>
      <w:pPr>
        <w:ind w:left="4160"/>
        <w:spacing w:after="0"/>
        <w:rPr>
          <w:sz w:val="20"/>
          <w:szCs w:val="20"/>
          <w:color w:val="auto"/>
        </w:rPr>
      </w:pPr>
      <w:r>
        <w:rPr>
          <w:rFonts w:ascii="Arial" w:cs="Arial" w:eastAsia="Arial" w:hAnsi="Arial"/>
          <w:sz w:val="21"/>
          <w:szCs w:val="21"/>
          <w:color w:val="auto"/>
        </w:rPr>
        <w:t>CENTERPOINT ENERGY, INC.</w:t>
      </w:r>
    </w:p>
    <w:p>
      <w:pPr>
        <w:ind w:left="3840"/>
        <w:spacing w:after="0"/>
        <w:rPr>
          <w:sz w:val="20"/>
          <w:szCs w:val="20"/>
          <w:color w:val="auto"/>
        </w:rPr>
      </w:pPr>
      <w:r>
        <w:rPr>
          <w:rFonts w:ascii="Arial" w:cs="Arial" w:eastAsia="Arial" w:hAnsi="Arial"/>
          <w:sz w:val="21"/>
          <w:szCs w:val="21"/>
          <w:color w:val="auto"/>
        </w:rPr>
        <w:t>SUPPLEMENTAL INDENTURE NO. 14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$400,000,000 5.25% Senior Notes due 2026</w:t>
      </w:r>
    </w:p>
    <w:p>
      <w:pPr>
        <w:spacing w:after="0" w:line="184" w:lineRule="exact"/>
        <w:rPr>
          <w:sz w:val="20"/>
          <w:szCs w:val="20"/>
          <w:color w:val="auto"/>
        </w:rPr>
      </w:pPr>
    </w:p>
    <w:p>
      <w:pPr>
        <w:jc w:val="both"/>
        <w:ind w:firstLine="638"/>
        <w:spacing w:after="0" w:line="262" w:lineRule="auto"/>
        <w:rPr>
          <w:sz w:val="20"/>
          <w:szCs w:val="20"/>
          <w:color w:val="auto"/>
        </w:rPr>
      </w:pPr>
      <w:r>
        <w:rPr>
          <w:rFonts w:ascii="Arial" w:cs="Arial" w:eastAsia="Arial" w:hAnsi="Arial"/>
          <w:sz w:val="19"/>
          <w:szCs w:val="19"/>
          <w:color w:val="auto"/>
        </w:rPr>
        <w:t>SUPPLEMENTAL INDENTURE No. 14, dated as of August 10, 2023, between CENTERPOINT ENERGY, INC., a Texas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THE BANK OF NEW YORK MELLON TRUST COMPANY, NATIONAL ASSOCIATION (successor to JPMorgan Chase Bank, National Association (formerly JPMorgan Chase Bank)), as Trustee (the “</w:t>
      </w:r>
      <w:r>
        <w:rPr>
          <w:rFonts w:ascii="Arial" w:cs="Arial" w:eastAsia="Arial" w:hAnsi="Arial"/>
          <w:sz w:val="19"/>
          <w:szCs w:val="19"/>
          <w:u w:val="single" w:color="auto"/>
          <w:color w:val="auto"/>
        </w:rPr>
        <w:t>Trustee</w:t>
      </w:r>
      <w:r>
        <w:rPr>
          <w:rFonts w:ascii="Arial" w:cs="Arial" w:eastAsia="Arial" w:hAnsi="Arial"/>
          <w:sz w:val="19"/>
          <w:szCs w:val="19"/>
          <w:color w:val="auto"/>
        </w:rPr>
        <w: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RECITALS</w:t>
      </w:r>
    </w:p>
    <w:p>
      <w:pPr>
        <w:spacing w:after="0" w:line="184" w:lineRule="exact"/>
        <w:rPr>
          <w:sz w:val="20"/>
          <w:szCs w:val="20"/>
          <w:color w:val="auto"/>
        </w:rPr>
      </w:pPr>
    </w:p>
    <w:p>
      <w:pPr>
        <w:jc w:val="both"/>
        <w:ind w:firstLine="638"/>
        <w:spacing w:after="0" w:line="230" w:lineRule="auto"/>
        <w:rPr>
          <w:sz w:val="20"/>
          <w:szCs w:val="20"/>
          <w:color w:val="auto"/>
        </w:rPr>
      </w:pPr>
      <w:r>
        <w:rPr>
          <w:rFonts w:ascii="Arial" w:cs="Arial" w:eastAsia="Arial" w:hAnsi="Arial"/>
          <w:sz w:val="21"/>
          <w:szCs w:val="21"/>
          <w:color w:val="auto"/>
        </w:rPr>
        <w:t>The Company has heretofore executed and delivered to the Trustee an Indenture, dated as of May 19, 2003 (the “</w:t>
      </w:r>
      <w:r>
        <w:rPr>
          <w:rFonts w:ascii="Arial" w:cs="Arial" w:eastAsia="Arial" w:hAnsi="Arial"/>
          <w:sz w:val="21"/>
          <w:szCs w:val="21"/>
          <w:u w:val="single" w:color="auto"/>
          <w:color w:val="auto"/>
        </w:rPr>
        <w:t>Original</w:t>
      </w:r>
      <w:r>
        <w:rPr>
          <w:rFonts w:ascii="Arial" w:cs="Arial" w:eastAsia="Arial" w:hAnsi="Arial"/>
          <w:sz w:val="21"/>
          <w:szCs w:val="21"/>
          <w:color w:val="auto"/>
        </w:rPr>
        <w:t xml:space="preserve"> </w:t>
      </w:r>
      <w:r>
        <w:rPr>
          <w:rFonts w:ascii="Arial" w:cs="Arial" w:eastAsia="Arial" w:hAnsi="Arial"/>
          <w:sz w:val="21"/>
          <w:szCs w:val="21"/>
          <w:u w:val="single" w:color="auto"/>
          <w:color w:val="auto"/>
        </w:rPr>
        <w:t>Indenture</w:t>
      </w:r>
      <w:r>
        <w:rPr>
          <w:rFonts w:ascii="Arial" w:cs="Arial" w:eastAsia="Arial" w:hAnsi="Arial"/>
          <w:sz w:val="21"/>
          <w:szCs w:val="21"/>
          <w:color w:val="auto"/>
        </w:rPr>
        <w:t>” and, as hereby supplemented and amended, the “</w:t>
      </w:r>
      <w:r>
        <w:rPr>
          <w:rFonts w:ascii="Arial" w:cs="Arial" w:eastAsia="Arial" w:hAnsi="Arial"/>
          <w:sz w:val="21"/>
          <w:szCs w:val="21"/>
          <w:u w:val="single" w:color="auto"/>
          <w:color w:val="auto"/>
        </w:rPr>
        <w:t>Indenture</w:t>
      </w:r>
      <w:r>
        <w:rPr>
          <w:rFonts w:ascii="Arial" w:cs="Arial" w:eastAsia="Arial" w:hAnsi="Arial"/>
          <w:sz w:val="21"/>
          <w:szCs w:val="21"/>
          <w:color w:val="auto"/>
        </w:rPr>
        <w:t>”), providing for the issuance from time to time of one or more series of the Company’s Securities.</w:t>
      </w:r>
    </w:p>
    <w:p>
      <w:pPr>
        <w:spacing w:after="0" w:line="157" w:lineRule="exact"/>
        <w:rPr>
          <w:sz w:val="20"/>
          <w:szCs w:val="20"/>
          <w:color w:val="auto"/>
        </w:rPr>
      </w:pPr>
    </w:p>
    <w:p>
      <w:pPr>
        <w:jc w:val="both"/>
        <w:ind w:firstLine="638"/>
        <w:spacing w:after="0" w:line="262" w:lineRule="auto"/>
        <w:rPr>
          <w:sz w:val="20"/>
          <w:szCs w:val="20"/>
          <w:color w:val="auto"/>
        </w:rPr>
      </w:pPr>
      <w:r>
        <w:rPr>
          <w:rFonts w:ascii="Arial" w:cs="Arial" w:eastAsia="Arial" w:hAnsi="Arial"/>
          <w:sz w:val="19"/>
          <w:szCs w:val="19"/>
          <w:color w:val="auto"/>
        </w:rPr>
        <w:t>Pursuant to the terms of the Indenture, the Company desires to provide for the establishment of a new series of Securities to be designated as the “5.25% Senior Notes due 2026” (the “</w:t>
      </w:r>
      <w:r>
        <w:rPr>
          <w:rFonts w:ascii="Arial" w:cs="Arial" w:eastAsia="Arial" w:hAnsi="Arial"/>
          <w:sz w:val="19"/>
          <w:szCs w:val="19"/>
          <w:u w:val="single" w:color="auto"/>
          <w:color w:val="auto"/>
        </w:rPr>
        <w:t>Notes</w:t>
      </w:r>
      <w:r>
        <w:rPr>
          <w:rFonts w:ascii="Arial" w:cs="Arial" w:eastAsia="Arial" w:hAnsi="Arial"/>
          <w:sz w:val="19"/>
          <w:szCs w:val="19"/>
          <w:color w:val="auto"/>
        </w:rPr>
        <w:t>”), the form and substance of such Notes and the terms, provisions and conditions thereof to be set forth as provided in the Original Indenture and this Supplemental Indenture No. 14.</w:t>
      </w:r>
    </w:p>
    <w:p>
      <w:pPr>
        <w:spacing w:after="0" w:line="135" w:lineRule="exact"/>
        <w:rPr>
          <w:sz w:val="20"/>
          <w:szCs w:val="20"/>
          <w:color w:val="auto"/>
        </w:rPr>
      </w:pPr>
    </w:p>
    <w:p>
      <w:pPr>
        <w:jc w:val="both"/>
        <w:ind w:firstLine="638"/>
        <w:spacing w:after="0" w:line="241" w:lineRule="auto"/>
        <w:rPr>
          <w:sz w:val="20"/>
          <w:szCs w:val="20"/>
          <w:color w:val="auto"/>
        </w:rPr>
      </w:pPr>
      <w:r>
        <w:rPr>
          <w:rFonts w:ascii="Arial" w:cs="Arial" w:eastAsia="Arial" w:hAnsi="Arial"/>
          <w:sz w:val="21"/>
          <w:szCs w:val="21"/>
          <w:color w:val="auto"/>
        </w:rPr>
        <w:t>Section 301 of the Original Indenture provides that various matters with respect to any series of Securities issued under the Indenture may be established in an indenture supplemental to the Indenture.</w:t>
      </w:r>
    </w:p>
    <w:p>
      <w:pPr>
        <w:spacing w:after="0" w:line="153" w:lineRule="exact"/>
        <w:rPr>
          <w:sz w:val="20"/>
          <w:szCs w:val="20"/>
          <w:color w:val="auto"/>
        </w:rPr>
      </w:pPr>
    </w:p>
    <w:p>
      <w:pPr>
        <w:jc w:val="both"/>
        <w:ind w:firstLine="638"/>
        <w:spacing w:after="0" w:line="230" w:lineRule="auto"/>
        <w:rPr>
          <w:sz w:val="20"/>
          <w:szCs w:val="20"/>
          <w:color w:val="auto"/>
        </w:rPr>
      </w:pPr>
      <w:r>
        <w:rPr>
          <w:rFonts w:ascii="Arial" w:cs="Arial" w:eastAsia="Arial" w:hAnsi="Arial"/>
          <w:sz w:val="21"/>
          <w:szCs w:val="21"/>
          <w:color w:val="auto"/>
        </w:rPr>
        <w:t>Subparagraph (7) of Section 901 of the Original Indenture provides that the Company and the Trustee may enter into an indenture supplemental to the Indenture to establish the form or terms of Securities of any series as permitted by Sections 201 and 301 of the Original Indenture.</w:t>
      </w:r>
    </w:p>
    <w:p>
      <w:pPr>
        <w:spacing w:after="0" w:line="157" w:lineRule="exact"/>
        <w:rPr>
          <w:sz w:val="20"/>
          <w:szCs w:val="20"/>
          <w:color w:val="auto"/>
        </w:rPr>
      </w:pPr>
    </w:p>
    <w:p>
      <w:pPr>
        <w:jc w:val="both"/>
        <w:ind w:firstLine="638"/>
        <w:spacing w:after="0" w:line="265" w:lineRule="auto"/>
        <w:rPr>
          <w:sz w:val="20"/>
          <w:szCs w:val="20"/>
          <w:color w:val="auto"/>
        </w:rPr>
      </w:pPr>
      <w:r>
        <w:rPr>
          <w:rFonts w:ascii="Arial" w:cs="Arial" w:eastAsia="Arial" w:hAnsi="Arial"/>
          <w:sz w:val="20"/>
          <w:szCs w:val="20"/>
          <w:color w:val="auto"/>
        </w:rPr>
        <w:t>For and in consideration of the premises and the issuance of the series of Securities provided for herein, it is mutually covenanted and agreed, for the equal and proportionate benefit of the Holders of the Securities of such series, as follows:</w:t>
      </w:r>
    </w:p>
    <w:p>
      <w:pPr>
        <w:spacing w:after="0" w:line="130" w:lineRule="exact"/>
        <w:rPr>
          <w:sz w:val="20"/>
          <w:szCs w:val="20"/>
          <w:color w:val="auto"/>
        </w:rPr>
      </w:pPr>
    </w:p>
    <w:p>
      <w:pPr>
        <w:ind w:left="4980"/>
        <w:spacing w:after="0"/>
        <w:rPr>
          <w:sz w:val="20"/>
          <w:szCs w:val="20"/>
          <w:color w:val="auto"/>
        </w:rPr>
      </w:pPr>
      <w:r>
        <w:rPr>
          <w:rFonts w:ascii="Arial" w:cs="Arial" w:eastAsia="Arial" w:hAnsi="Arial"/>
          <w:sz w:val="21"/>
          <w:szCs w:val="21"/>
          <w:color w:val="010000"/>
        </w:rPr>
        <w:t>Article I</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Relation to Indenture; Additional Definitions</w:t>
      </w:r>
    </w:p>
    <w:p>
      <w:pPr>
        <w:spacing w:after="0" w:line="184" w:lineRule="exact"/>
        <w:rPr>
          <w:sz w:val="20"/>
          <w:szCs w:val="20"/>
          <w:color w:val="auto"/>
        </w:rPr>
      </w:pPr>
    </w:p>
    <w:p>
      <w:pPr>
        <w:jc w:val="both"/>
        <w:ind w:right="20" w:firstLine="638"/>
        <w:spacing w:after="0" w:line="241" w:lineRule="auto"/>
        <w:rPr>
          <w:sz w:val="20"/>
          <w:szCs w:val="20"/>
          <w:color w:val="auto"/>
        </w:rPr>
      </w:pPr>
      <w:r>
        <w:rPr>
          <w:rFonts w:ascii="Arial" w:cs="Arial" w:eastAsia="Arial" w:hAnsi="Arial"/>
          <w:sz w:val="21"/>
          <w:szCs w:val="21"/>
          <w:color w:val="010000"/>
        </w:rPr>
        <w:t xml:space="preserve">Section 101 </w:t>
      </w:r>
      <w:r>
        <w:rPr>
          <w:rFonts w:ascii="Arial" w:cs="Arial" w:eastAsia="Arial" w:hAnsi="Arial"/>
          <w:sz w:val="21"/>
          <w:szCs w:val="21"/>
          <w:i w:val="1"/>
          <w:iCs w:val="1"/>
          <w:color w:val="000000"/>
        </w:rPr>
        <w:t>Relation to Indenture</w:t>
      </w:r>
      <w:r>
        <w:rPr>
          <w:rFonts w:ascii="Arial" w:cs="Arial" w:eastAsia="Arial" w:hAnsi="Arial"/>
          <w:sz w:val="21"/>
          <w:szCs w:val="21"/>
          <w:color w:val="000000"/>
        </w:rPr>
        <w:t>. This Supplemental Indenture No. 14 constitutes an integral part of the Original</w:t>
      </w:r>
      <w:r>
        <w:rPr>
          <w:rFonts w:ascii="Arial" w:cs="Arial" w:eastAsia="Arial" w:hAnsi="Arial"/>
          <w:sz w:val="21"/>
          <w:szCs w:val="21"/>
          <w:color w:val="010000"/>
        </w:rPr>
        <w:t xml:space="preserve"> </w:t>
      </w:r>
      <w:r>
        <w:rPr>
          <w:rFonts w:ascii="Arial" w:cs="Arial" w:eastAsia="Arial" w:hAnsi="Arial"/>
          <w:sz w:val="21"/>
          <w:szCs w:val="21"/>
          <w:color w:val="000000"/>
        </w:rPr>
        <w:t>Indenture.</w:t>
      </w:r>
    </w:p>
    <w:p>
      <w:pPr>
        <w:spacing w:after="0" w:line="153"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21"/>
          <w:szCs w:val="21"/>
          <w:color w:val="010000"/>
        </w:rPr>
        <w:t>Section 102</w:t>
      </w:r>
      <w:r>
        <w:rPr>
          <w:sz w:val="20"/>
          <w:szCs w:val="20"/>
          <w:color w:val="auto"/>
        </w:rPr>
        <w:tab/>
      </w:r>
      <w:r>
        <w:rPr>
          <w:rFonts w:ascii="Arial" w:cs="Arial" w:eastAsia="Arial" w:hAnsi="Arial"/>
          <w:sz w:val="19"/>
          <w:szCs w:val="19"/>
          <w:i w:val="1"/>
          <w:iCs w:val="1"/>
          <w:color w:val="auto"/>
        </w:rPr>
        <w:t xml:space="preserve">Additional Definitions. </w:t>
      </w:r>
      <w:r>
        <w:rPr>
          <w:rFonts w:ascii="Arial" w:cs="Arial" w:eastAsia="Arial" w:hAnsi="Arial"/>
          <w:sz w:val="19"/>
          <w:szCs w:val="19"/>
          <w:color w:val="auto"/>
        </w:rPr>
        <w:t>For all purposes of this Supplemental Indenture No. 14:</w:t>
      </w:r>
    </w:p>
    <w:p>
      <w:pPr>
        <w:spacing w:after="0" w:line="184"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Capitalized terms used herein shall have the meaning specified herein or in the Original Indenture, as the case may</w:t>
      </w:r>
    </w:p>
    <w:p>
      <w:pPr>
        <w:spacing w:after="0" w:line="1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be;</w:t>
      </w:r>
    </w:p>
    <w:p>
      <w:pPr>
        <w:spacing w:after="0" w:line="166" w:lineRule="exact"/>
        <w:rPr>
          <w:sz w:val="20"/>
          <w:szCs w:val="20"/>
          <w:color w:val="auto"/>
        </w:rPr>
      </w:pPr>
    </w:p>
    <w:p>
      <w:pPr>
        <w:jc w:val="both"/>
        <w:ind w:left="640" w:firstLine="638"/>
        <w:spacing w:after="0" w:line="23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of, or a Person “affiliated” with, a specific Person means a Person that directly, or indirectly through one or more intermediaries, controls, or is controlled by, or is under common control with, the Person specified. For purposes of this definition,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370" w:right="339" w:bottom="1440" w:gutter="0" w:footer="0" w:header="0"/>
        </w:sectPr>
      </w:pPr>
    </w:p>
    <w:bookmarkStart w:id="98" w:name="page99"/>
    <w:bookmarkEnd w:id="98"/>
    <w:p>
      <w:pPr>
        <w:jc w:val="both"/>
        <w:ind w:left="640"/>
        <w:spacing w:after="0" w:line="230" w:lineRule="auto"/>
        <w:rPr>
          <w:sz w:val="20"/>
          <w:szCs w:val="20"/>
          <w:color w:val="auto"/>
        </w:rPr>
      </w:pPr>
      <w:r>
        <w:rPr>
          <w:rFonts w:ascii="Arial" w:cs="Arial" w:eastAsia="Arial" w:hAnsi="Arial"/>
          <w:sz w:val="21"/>
          <w:szCs w:val="21"/>
          <w:color w:val="auto"/>
        </w:rPr>
        <w:t>“control” (including the terms “controlled by” and “under common control with”) means the possession, direct or indirect, of the power to direct or cause the direction of the management and policies of a Person, whether through the ownership of voting shares, by contract, or otherwise;</w:t>
      </w:r>
    </w:p>
    <w:p>
      <w:pPr>
        <w:spacing w:after="0" w:line="157" w:lineRule="exact"/>
        <w:rPr>
          <w:sz w:val="20"/>
          <w:szCs w:val="20"/>
          <w:color w:val="auto"/>
        </w:rPr>
      </w:pPr>
    </w:p>
    <w:p>
      <w:pPr>
        <w:jc w:val="both"/>
        <w:ind w:left="640" w:firstLine="638"/>
        <w:spacing w:after="0" w:line="21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Day</w:t>
      </w:r>
      <w:r>
        <w:rPr>
          <w:rFonts w:ascii="Arial" w:cs="Arial" w:eastAsia="Arial" w:hAnsi="Arial"/>
          <w:sz w:val="21"/>
          <w:szCs w:val="21"/>
          <w:color w:val="auto"/>
        </w:rPr>
        <w:t>” means, with respect to any Note, any day other than a Saturday, a Sunday or a day on which banking institutions in The City of New York are authorized or required by law, regulation or executive order to close. If any Interest Payment Date, Stated Maturity or Redemption Date of a Note falls on a day that is not a Business Day, the required payment will be made on the next succeeding Business Day with the same force and effect as if made on the relevant date that the payment was due and no interest will accrue on such payment for the period from and after the Interest Payment Date, Stated Maturity or Redemption Date, as the case may be, to the date of that payment on the next succeeding Business Day. The definition of “Business Day” in this Supplemental Indenture No. 14 and the provisions described in the preceding sentence shall supersede the definition of Business Day in the Original Indenture and Section 113 of the Original Indenture;</w:t>
      </w:r>
    </w:p>
    <w:p>
      <w:pPr>
        <w:spacing w:after="0" w:line="162" w:lineRule="exact"/>
        <w:rPr>
          <w:sz w:val="20"/>
          <w:szCs w:val="20"/>
          <w:color w:val="auto"/>
        </w:rPr>
      </w:pPr>
    </w:p>
    <w:p>
      <w:pPr>
        <w:jc w:val="both"/>
        <w:ind w:left="640" w:firstLine="638"/>
        <w:spacing w:after="0" w:line="24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CERC Corp.</w:t>
      </w:r>
      <w:r>
        <w:rPr>
          <w:rFonts w:ascii="Arial" w:cs="Arial" w:eastAsia="Arial" w:hAnsi="Arial"/>
          <w:sz w:val="21"/>
          <w:szCs w:val="21"/>
          <w:color w:val="auto"/>
        </w:rPr>
        <w:t xml:space="preserve">” means CenterPoint Energy Resources Corp., a Delaware corporation, and any successor thereto; </w:t>
      </w:r>
      <w:r>
        <w:rPr>
          <w:rFonts w:ascii="Arial" w:cs="Arial" w:eastAsia="Arial" w:hAnsi="Arial"/>
          <w:sz w:val="21"/>
          <w:szCs w:val="21"/>
          <w:u w:val="single" w:color="auto"/>
          <w:color w:val="auto"/>
        </w:rPr>
        <w:t>provided</w:t>
      </w:r>
      <w:r>
        <w:rPr>
          <w:rFonts w:ascii="Arial" w:cs="Arial" w:eastAsia="Arial" w:hAnsi="Arial"/>
          <w:sz w:val="21"/>
          <w:szCs w:val="21"/>
          <w:color w:val="auto"/>
        </w:rPr>
        <w:t>, that at any given time, there shall not be more than one such successor;</w:t>
      </w:r>
    </w:p>
    <w:p>
      <w:pPr>
        <w:spacing w:after="0" w:line="153" w:lineRule="exact"/>
        <w:rPr>
          <w:sz w:val="20"/>
          <w:szCs w:val="20"/>
          <w:color w:val="auto"/>
        </w:rPr>
      </w:pPr>
    </w:p>
    <w:p>
      <w:pPr>
        <w:jc w:val="both"/>
        <w:ind w:left="640" w:firstLine="63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Corporate Trust Office</w:t>
      </w:r>
      <w:r>
        <w:rPr>
          <w:rFonts w:ascii="Arial" w:cs="Arial" w:eastAsia="Arial" w:hAnsi="Arial"/>
          <w:sz w:val="20"/>
          <w:szCs w:val="20"/>
          <w:color w:val="auto"/>
        </w:rPr>
        <w:t>” means the principal office of the Trustee at which at any particular time its corporate trust business shall be administered, which office as of the date hereof is located at: 601 Travis Street, 16th Floor, Houston, Texas 77002, Attention: Global Corporate Trust; telephone: (713) 483-6817; telecopy: (713) 483-7038;</w:t>
      </w:r>
    </w:p>
    <w:p>
      <w:pPr>
        <w:spacing w:after="0" w:line="152" w:lineRule="exact"/>
        <w:rPr>
          <w:sz w:val="20"/>
          <w:szCs w:val="20"/>
          <w:color w:val="auto"/>
        </w:rPr>
      </w:pPr>
    </w:p>
    <w:p>
      <w:pPr>
        <w:jc w:val="both"/>
        <w:ind w:left="640" w:firstLine="638"/>
        <w:spacing w:after="0" w:line="23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Finance Lease</w:t>
      </w:r>
      <w:r>
        <w:rPr>
          <w:rFonts w:ascii="Arial" w:cs="Arial" w:eastAsia="Arial" w:hAnsi="Arial"/>
          <w:sz w:val="21"/>
          <w:szCs w:val="21"/>
          <w:color w:val="auto"/>
        </w:rPr>
        <w:t>” means a lease that, in accordance with accounting principles generally accepted in the United States of America, would be recorded as a finance lease on the balance sheet of the lessee, but excluding, for the avoidance of doubt, any operating leases or any other non-finance leases;</w:t>
      </w:r>
    </w:p>
    <w:p>
      <w:pPr>
        <w:spacing w:after="0" w:line="157" w:lineRule="exact"/>
        <w:rPr>
          <w:sz w:val="20"/>
          <w:szCs w:val="20"/>
          <w:color w:val="auto"/>
        </w:rPr>
      </w:pPr>
    </w:p>
    <w:p>
      <w:pPr>
        <w:jc w:val="both"/>
        <w:ind w:left="640" w:firstLine="638"/>
        <w:spacing w:after="0" w:line="24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Houston Electric</w:t>
      </w:r>
      <w:r>
        <w:rPr>
          <w:rFonts w:ascii="Arial" w:cs="Arial" w:eastAsia="Arial" w:hAnsi="Arial"/>
          <w:sz w:val="21"/>
          <w:szCs w:val="21"/>
          <w:color w:val="auto"/>
        </w:rPr>
        <w:t xml:space="preserve">” means CenterPoint Energy Houston Electric, LLC, a Texas limited liability company, and any successor thereto; </w:t>
      </w:r>
      <w:r>
        <w:rPr>
          <w:rFonts w:ascii="Arial" w:cs="Arial" w:eastAsia="Arial" w:hAnsi="Arial"/>
          <w:sz w:val="21"/>
          <w:szCs w:val="21"/>
          <w:u w:val="single" w:color="auto"/>
          <w:color w:val="auto"/>
        </w:rPr>
        <w:t>provided</w:t>
      </w:r>
      <w:r>
        <w:rPr>
          <w:rFonts w:ascii="Arial" w:cs="Arial" w:eastAsia="Arial" w:hAnsi="Arial"/>
          <w:sz w:val="21"/>
          <w:szCs w:val="21"/>
          <w:color w:val="auto"/>
        </w:rPr>
        <w:t>, that at any given time, there shall not be more than one such successor;</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H.15</w:t>
      </w:r>
      <w:r>
        <w:rPr>
          <w:rFonts w:ascii="Arial" w:cs="Arial" w:eastAsia="Arial" w:hAnsi="Arial"/>
          <w:sz w:val="21"/>
          <w:szCs w:val="21"/>
          <w:color w:val="auto"/>
        </w:rPr>
        <w:t>” has the meaning set forth in Section 302 hereof;</w:t>
      </w:r>
    </w:p>
    <w:p>
      <w:pPr>
        <w:spacing w:after="0" w:line="184"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H.15 TCM</w:t>
      </w:r>
      <w:r>
        <w:rPr>
          <w:rFonts w:ascii="Arial" w:cs="Arial" w:eastAsia="Arial" w:hAnsi="Arial"/>
          <w:sz w:val="21"/>
          <w:szCs w:val="21"/>
          <w:color w:val="auto"/>
        </w:rPr>
        <w:t>” has the meaning set forth in Section 302 hereof;</w:t>
      </w:r>
    </w:p>
    <w:p>
      <w:pPr>
        <w:spacing w:after="0" w:line="184" w:lineRule="exact"/>
        <w:rPr>
          <w:sz w:val="20"/>
          <w:szCs w:val="20"/>
          <w:color w:val="auto"/>
        </w:rPr>
      </w:pPr>
    </w:p>
    <w:p>
      <w:pPr>
        <w:jc w:val="both"/>
        <w:ind w:left="640" w:firstLine="638"/>
        <w:spacing w:after="0" w:line="228" w:lineRule="auto"/>
        <w:rPr>
          <w:sz w:val="20"/>
          <w:szCs w:val="20"/>
          <w:color w:val="auto"/>
        </w:rPr>
      </w:pPr>
      <w:r>
        <w:rPr>
          <w:rFonts w:ascii="Arial" w:cs="Arial" w:eastAsia="Arial" w:hAnsi="Arial"/>
          <w:sz w:val="20"/>
          <w:szCs w:val="20"/>
          <w:color w:val="auto"/>
        </w:rPr>
        <w:t>The term “</w:t>
      </w:r>
      <w:r>
        <w:rPr>
          <w:rFonts w:ascii="Arial" w:cs="Arial" w:eastAsia="Arial" w:hAnsi="Arial"/>
          <w:sz w:val="20"/>
          <w:szCs w:val="20"/>
          <w:u w:val="single" w:color="auto"/>
          <w:color w:val="auto"/>
        </w:rPr>
        <w:t>Indebtedness</w:t>
      </w:r>
      <w:r>
        <w:rPr>
          <w:rFonts w:ascii="Arial" w:cs="Arial" w:eastAsia="Arial" w:hAnsi="Arial"/>
          <w:sz w:val="20"/>
          <w:szCs w:val="20"/>
          <w:color w:val="auto"/>
        </w:rPr>
        <w:t>” as applied to any Person, means bonds, debentures, notes and other instruments or arrangements representing obligations created or assumed by such Person, in respect of: (i) obligations for money borrowed (other than unamortized debt discount or premium); (ii) obligations evidenced by a note or similar instrument given in connection with the acquisition of any business, properties or assets of any kind; (iii) obligations as lessee under a Finance Lease; and (iv) any amendments, renewals, extensions, modifications and refundings of any such indebtedness or obligations listed in clause (i), (ii) or (iii) above. All indebtedness of such type, secured by a lien upon property owned by such Person although such Person has not assumed or become liable for the payment of such indebtedness, shall also for all purposes hereof be deemed to be indebtedness of such Person. All indebtedness for borrowed money incurred by any other Persons which is directly guaranteed as to payment of principal by such Person shall for all purposes hereof be deemed to be indebtedness of any such Person, but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381" w:right="339" w:bottom="1440" w:gutter="0" w:footer="0" w:header="0"/>
        </w:sectPr>
      </w:pPr>
    </w:p>
    <w:bookmarkStart w:id="99" w:name="page100"/>
    <w:bookmarkEnd w:id="99"/>
    <w:p>
      <w:pPr>
        <w:ind w:left="640" w:right="20"/>
        <w:spacing w:after="0" w:line="241" w:lineRule="auto"/>
        <w:rPr>
          <w:sz w:val="20"/>
          <w:szCs w:val="20"/>
          <w:color w:val="auto"/>
        </w:rPr>
      </w:pPr>
      <w:r>
        <w:rPr>
          <w:rFonts w:ascii="Arial" w:cs="Arial" w:eastAsia="Arial" w:hAnsi="Arial"/>
          <w:sz w:val="21"/>
          <w:szCs w:val="21"/>
          <w:color w:val="auto"/>
        </w:rPr>
        <w:t>other contingent obligation of such Person in respect of indebtedness incurred by any other Persons shall for any purpose be deemed to be indebtedness of such Person;</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Interest Payment Date</w:t>
      </w:r>
      <w:r>
        <w:rPr>
          <w:rFonts w:ascii="Arial" w:cs="Arial" w:eastAsia="Arial" w:hAnsi="Arial"/>
          <w:sz w:val="21"/>
          <w:szCs w:val="21"/>
          <w:color w:val="auto"/>
        </w:rPr>
        <w:t>” has the meaning set forth in Section 204(a) hereof;</w:t>
      </w:r>
    </w:p>
    <w:p>
      <w:pPr>
        <w:spacing w:after="0" w:line="184"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Issue Date</w:t>
      </w:r>
      <w:r>
        <w:rPr>
          <w:rFonts w:ascii="Arial" w:cs="Arial" w:eastAsia="Arial" w:hAnsi="Arial"/>
          <w:sz w:val="21"/>
          <w:szCs w:val="21"/>
          <w:color w:val="auto"/>
        </w:rPr>
        <w:t>” has the meaning set forth in Section 204(a) hereof;</w:t>
      </w:r>
    </w:p>
    <w:p>
      <w:pPr>
        <w:spacing w:after="0" w:line="184"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Maturity Date</w:t>
      </w:r>
      <w:r>
        <w:rPr>
          <w:rFonts w:ascii="Arial" w:cs="Arial" w:eastAsia="Arial" w:hAnsi="Arial"/>
          <w:sz w:val="21"/>
          <w:szCs w:val="21"/>
          <w:color w:val="auto"/>
        </w:rPr>
        <w:t>” has the meaning set forth in Section 203 hereof;</w:t>
      </w:r>
    </w:p>
    <w:p>
      <w:pPr>
        <w:spacing w:after="0" w:line="184"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Notes</w:t>
      </w:r>
      <w:r>
        <w:rPr>
          <w:rFonts w:ascii="Arial" w:cs="Arial" w:eastAsia="Arial" w:hAnsi="Arial"/>
          <w:sz w:val="21"/>
          <w:szCs w:val="21"/>
          <w:color w:val="auto"/>
        </w:rPr>
        <w:t>” has the meaning set forth in the second paragraph of the Recitals hereof;</w:t>
      </w:r>
    </w:p>
    <w:p>
      <w:pPr>
        <w:spacing w:after="0" w:line="184"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Original Indenture</w:t>
      </w:r>
      <w:r>
        <w:rPr>
          <w:rFonts w:ascii="Arial" w:cs="Arial" w:eastAsia="Arial" w:hAnsi="Arial"/>
          <w:sz w:val="21"/>
          <w:szCs w:val="21"/>
          <w:color w:val="auto"/>
        </w:rPr>
        <w:t>” has the meaning set forth in the first paragraph of the Recitals hereof;</w:t>
      </w:r>
    </w:p>
    <w:p>
      <w:pPr>
        <w:spacing w:after="0" w:line="184"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Regular Record Date</w:t>
      </w:r>
      <w:r>
        <w:rPr>
          <w:rFonts w:ascii="Arial" w:cs="Arial" w:eastAsia="Arial" w:hAnsi="Arial"/>
          <w:sz w:val="21"/>
          <w:szCs w:val="21"/>
          <w:color w:val="auto"/>
        </w:rPr>
        <w:t>” has the meaning set forth in Section 204(a) hereof;</w:t>
      </w:r>
    </w:p>
    <w:p>
      <w:pPr>
        <w:spacing w:after="0" w:line="184"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Remaining Life</w:t>
      </w:r>
      <w:r>
        <w:rPr>
          <w:rFonts w:ascii="Arial" w:cs="Arial" w:eastAsia="Arial" w:hAnsi="Arial"/>
          <w:sz w:val="21"/>
          <w:szCs w:val="21"/>
          <w:color w:val="auto"/>
        </w:rPr>
        <w:t>” has the meaning set forth in Section 302 hereof;</w:t>
      </w:r>
    </w:p>
    <w:p>
      <w:pPr>
        <w:spacing w:after="0" w:line="184"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Treasury Rate</w:t>
      </w:r>
      <w:r>
        <w:rPr>
          <w:rFonts w:ascii="Arial" w:cs="Arial" w:eastAsia="Arial" w:hAnsi="Arial"/>
          <w:sz w:val="21"/>
          <w:szCs w:val="21"/>
          <w:color w:val="auto"/>
        </w:rPr>
        <w:t>” has the meaning set forth in Section 302 hereof;</w:t>
      </w:r>
    </w:p>
    <w:p>
      <w:pPr>
        <w:spacing w:after="0" w:line="184" w:lineRule="exact"/>
        <w:rPr>
          <w:sz w:val="20"/>
          <w:szCs w:val="20"/>
          <w:color w:val="auto"/>
        </w:rPr>
      </w:pPr>
    </w:p>
    <w:p>
      <w:pPr>
        <w:ind w:left="640" w:firstLine="638"/>
        <w:spacing w:after="0" w:line="241" w:lineRule="auto"/>
        <w:rPr>
          <w:sz w:val="20"/>
          <w:szCs w:val="20"/>
          <w:color w:val="auto"/>
        </w:rPr>
      </w:pPr>
      <w:r>
        <w:rPr>
          <w:rFonts w:ascii="Arial" w:cs="Arial" w:eastAsia="Arial" w:hAnsi="Arial"/>
          <w:sz w:val="21"/>
          <w:szCs w:val="21"/>
          <w:color w:val="auto"/>
        </w:rPr>
        <w:t>All references herein to Articles and Sections, unless otherwise specified, refer to the corresponding Articles and Sections of this Supplemental Indenture No. 14; and</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The terms “herein,” “hereof,” “hereunder” and other words of similar import refer to this Supplemental Indenture</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No. 14.</w:t>
      </w:r>
    </w:p>
    <w:p>
      <w:pPr>
        <w:spacing w:after="0" w:line="166" w:lineRule="exact"/>
        <w:rPr>
          <w:sz w:val="20"/>
          <w:szCs w:val="20"/>
          <w:color w:val="auto"/>
        </w:rPr>
      </w:pPr>
    </w:p>
    <w:p>
      <w:pPr>
        <w:jc w:val="center"/>
        <w:ind w:right="480"/>
        <w:spacing w:after="0"/>
        <w:rPr>
          <w:sz w:val="20"/>
          <w:szCs w:val="20"/>
          <w:color w:val="auto"/>
        </w:rPr>
      </w:pPr>
      <w:r>
        <w:rPr>
          <w:rFonts w:ascii="Arial" w:cs="Arial" w:eastAsia="Arial" w:hAnsi="Arial"/>
          <w:sz w:val="21"/>
          <w:szCs w:val="21"/>
          <w:color w:val="010000"/>
        </w:rPr>
        <w:t>Article II</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The Series of Securities</w:t>
      </w:r>
    </w:p>
    <w:p>
      <w:pPr>
        <w:spacing w:after="0" w:line="184"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21"/>
          <w:szCs w:val="21"/>
          <w:color w:val="010000"/>
        </w:rPr>
        <w:t>Section 101</w:t>
      </w:r>
      <w:r>
        <w:rPr>
          <w:sz w:val="20"/>
          <w:szCs w:val="20"/>
          <w:color w:val="auto"/>
        </w:rPr>
        <w:tab/>
      </w:r>
      <w:r>
        <w:rPr>
          <w:rFonts w:ascii="Arial" w:cs="Arial" w:eastAsia="Arial" w:hAnsi="Arial"/>
          <w:sz w:val="19"/>
          <w:szCs w:val="19"/>
          <w:i w:val="1"/>
          <w:iCs w:val="1"/>
          <w:color w:val="auto"/>
        </w:rPr>
        <w:t xml:space="preserve">Title of the Securities. </w:t>
      </w:r>
      <w:r>
        <w:rPr>
          <w:rFonts w:ascii="Arial" w:cs="Arial" w:eastAsia="Arial" w:hAnsi="Arial"/>
          <w:sz w:val="19"/>
          <w:szCs w:val="19"/>
          <w:color w:val="auto"/>
        </w:rPr>
        <w:t>The Notes shall be designated as the “5.25% Senior Notes due 2026.”</w:t>
      </w:r>
    </w:p>
    <w:p>
      <w:pPr>
        <w:spacing w:after="0" w:line="184" w:lineRule="exact"/>
        <w:rPr>
          <w:sz w:val="20"/>
          <w:szCs w:val="20"/>
          <w:color w:val="auto"/>
        </w:rPr>
      </w:pPr>
    </w:p>
    <w:p>
      <w:pPr>
        <w:jc w:val="both"/>
        <w:ind w:firstLine="638"/>
        <w:spacing w:after="0" w:line="219" w:lineRule="auto"/>
        <w:rPr>
          <w:sz w:val="20"/>
          <w:szCs w:val="20"/>
          <w:color w:val="auto"/>
        </w:rPr>
      </w:pPr>
      <w:r>
        <w:rPr>
          <w:rFonts w:ascii="Arial" w:cs="Arial" w:eastAsia="Arial" w:hAnsi="Arial"/>
          <w:sz w:val="21"/>
          <w:szCs w:val="21"/>
          <w:color w:val="010000"/>
        </w:rPr>
        <w:t xml:space="preserve">Section 102 </w:t>
      </w:r>
      <w:r>
        <w:rPr>
          <w:rFonts w:ascii="Arial" w:cs="Arial" w:eastAsia="Arial" w:hAnsi="Arial"/>
          <w:sz w:val="21"/>
          <w:szCs w:val="21"/>
          <w:i w:val="1"/>
          <w:iCs w:val="1"/>
          <w:color w:val="000000"/>
        </w:rPr>
        <w:t>Limitation on Aggregate Principal Amount</w:t>
      </w:r>
      <w:r>
        <w:rPr>
          <w:rFonts w:ascii="Arial" w:cs="Arial" w:eastAsia="Arial" w:hAnsi="Arial"/>
          <w:sz w:val="21"/>
          <w:szCs w:val="21"/>
          <w:color w:val="000000"/>
        </w:rPr>
        <w:t>. The Trustee shall authenticate and deliver the Notes for original</w:t>
      </w:r>
      <w:r>
        <w:rPr>
          <w:rFonts w:ascii="Arial" w:cs="Arial" w:eastAsia="Arial" w:hAnsi="Arial"/>
          <w:sz w:val="21"/>
          <w:szCs w:val="21"/>
          <w:color w:val="010000"/>
        </w:rPr>
        <w:t xml:space="preserve"> </w:t>
      </w:r>
      <w:r>
        <w:rPr>
          <w:rFonts w:ascii="Arial" w:cs="Arial" w:eastAsia="Arial" w:hAnsi="Arial"/>
          <w:sz w:val="21"/>
          <w:szCs w:val="21"/>
          <w:color w:val="000000"/>
        </w:rPr>
        <w:t xml:space="preserve">issue on the Issue Date in the aggregate principal amount of $400,000,000, upon a Company Order for the authentication and delivery thereof and satisfaction of Sections 301 and 303 of the Original Indenture. Such order shall specify the amount of the Notes to be authenticated, the date on which the original issue of Notes is to be authenticated and the name or names of the initial Holder or Holders. The aggregate principal amount of the Notes that may initially be outstanding shall not exceed $400,000,000; </w:t>
      </w:r>
      <w:r>
        <w:rPr>
          <w:rFonts w:ascii="Arial" w:cs="Arial" w:eastAsia="Arial" w:hAnsi="Arial"/>
          <w:sz w:val="21"/>
          <w:szCs w:val="21"/>
          <w:i w:val="1"/>
          <w:iCs w:val="1"/>
          <w:color w:val="000000"/>
        </w:rPr>
        <w:t>provided, however</w:t>
      </w:r>
      <w:r>
        <w:rPr>
          <w:rFonts w:ascii="Arial" w:cs="Arial" w:eastAsia="Arial" w:hAnsi="Arial"/>
          <w:sz w:val="21"/>
          <w:szCs w:val="21"/>
          <w:color w:val="000000"/>
        </w:rPr>
        <w:t>, that the authorized aggregate principal amount of the Notes may be increased above such amount by a Board</w:t>
      </w:r>
      <w:r>
        <w:rPr>
          <w:rFonts w:ascii="Arial" w:cs="Arial" w:eastAsia="Arial" w:hAnsi="Arial"/>
          <w:sz w:val="21"/>
          <w:szCs w:val="21"/>
          <w:i w:val="1"/>
          <w:iCs w:val="1"/>
          <w:color w:val="000000"/>
        </w:rPr>
        <w:t xml:space="preserve"> </w:t>
      </w:r>
      <w:r>
        <w:rPr>
          <w:rFonts w:ascii="Arial" w:cs="Arial" w:eastAsia="Arial" w:hAnsi="Arial"/>
          <w:sz w:val="21"/>
          <w:szCs w:val="21"/>
          <w:color w:val="000000"/>
        </w:rPr>
        <w:t>Resolution to such effect.</w:t>
      </w:r>
    </w:p>
    <w:p>
      <w:pPr>
        <w:spacing w:after="0" w:line="159"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21"/>
          <w:szCs w:val="21"/>
          <w:color w:val="010000"/>
        </w:rPr>
        <w:t>Section 103</w:t>
      </w:r>
      <w:r>
        <w:rPr>
          <w:sz w:val="20"/>
          <w:szCs w:val="20"/>
          <w:color w:val="auto"/>
        </w:rPr>
        <w:tab/>
      </w:r>
      <w:r>
        <w:rPr>
          <w:rFonts w:ascii="Arial" w:cs="Arial" w:eastAsia="Arial" w:hAnsi="Arial"/>
          <w:sz w:val="19"/>
          <w:szCs w:val="19"/>
          <w:i w:val="1"/>
          <w:iCs w:val="1"/>
          <w:color w:val="auto"/>
        </w:rPr>
        <w:t>Stated Maturity</w:t>
      </w:r>
      <w:r>
        <w:rPr>
          <w:rFonts w:ascii="Arial" w:cs="Arial" w:eastAsia="Arial" w:hAnsi="Arial"/>
          <w:sz w:val="19"/>
          <w:szCs w:val="19"/>
          <w:color w:val="auto"/>
        </w:rPr>
        <w:t>. The Stated Maturity of the Notes shall be August 10, 2026 (the “</w:t>
      </w:r>
      <w:r>
        <w:rPr>
          <w:rFonts w:ascii="Arial" w:cs="Arial" w:eastAsia="Arial" w:hAnsi="Arial"/>
          <w:sz w:val="19"/>
          <w:szCs w:val="19"/>
          <w:u w:val="single" w:color="auto"/>
          <w:color w:val="auto"/>
        </w:rPr>
        <w:t>Maturity Date</w:t>
      </w:r>
      <w:r>
        <w:rPr>
          <w:rFonts w:ascii="Arial" w:cs="Arial" w:eastAsia="Arial" w:hAnsi="Arial"/>
          <w:sz w:val="19"/>
          <w:szCs w:val="19"/>
          <w:color w:val="auto"/>
        </w:rPr>
        <w:t>”).</w:t>
      </w:r>
    </w:p>
    <w:p>
      <w:pPr>
        <w:spacing w:after="0" w:line="184"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21"/>
          <w:szCs w:val="21"/>
          <w:color w:val="010000"/>
        </w:rPr>
        <w:t>Section 104</w:t>
      </w:r>
      <w:r>
        <w:rPr>
          <w:sz w:val="20"/>
          <w:szCs w:val="20"/>
          <w:color w:val="auto"/>
        </w:rPr>
        <w:tab/>
      </w:r>
      <w:r>
        <w:rPr>
          <w:rFonts w:ascii="Arial" w:cs="Arial" w:eastAsia="Arial" w:hAnsi="Arial"/>
          <w:sz w:val="18"/>
          <w:szCs w:val="18"/>
          <w:i w:val="1"/>
          <w:iCs w:val="1"/>
          <w:color w:val="auto"/>
        </w:rPr>
        <w:t>Interest and Interest Rates.</w:t>
      </w:r>
    </w:p>
    <w:p>
      <w:pPr>
        <w:spacing w:after="0" w:line="184" w:lineRule="exact"/>
        <w:rPr>
          <w:sz w:val="20"/>
          <w:szCs w:val="20"/>
          <w:color w:val="auto"/>
        </w:rPr>
      </w:pPr>
    </w:p>
    <w:p>
      <w:pPr>
        <w:jc w:val="both"/>
        <w:ind w:firstLine="645"/>
        <w:spacing w:after="0" w:line="226" w:lineRule="auto"/>
        <w:tabs>
          <w:tab w:leader="none" w:pos="1273" w:val="left"/>
        </w:tabs>
        <w:numPr>
          <w:ilvl w:val="0"/>
          <w:numId w:val="58"/>
        </w:numPr>
        <w:rPr>
          <w:rFonts w:ascii="Arial" w:cs="Arial" w:eastAsia="Arial" w:hAnsi="Arial"/>
          <w:sz w:val="21"/>
          <w:szCs w:val="21"/>
          <w:color w:val="010000"/>
        </w:rPr>
      </w:pPr>
      <w:r>
        <w:rPr>
          <w:rFonts w:ascii="Arial" w:cs="Arial" w:eastAsia="Arial" w:hAnsi="Arial"/>
          <w:sz w:val="21"/>
          <w:szCs w:val="21"/>
          <w:color w:val="auto"/>
        </w:rPr>
        <w:t>The Notes shall bear interest at a rate of 5.25% per year, from and including August 10, 2023 (the “</w:t>
      </w:r>
      <w:r>
        <w:rPr>
          <w:rFonts w:ascii="Arial" w:cs="Arial" w:eastAsia="Arial" w:hAnsi="Arial"/>
          <w:sz w:val="21"/>
          <w:szCs w:val="21"/>
          <w:u w:val="single" w:color="auto"/>
          <w:color w:val="auto"/>
        </w:rPr>
        <w:t>Issue Date</w:t>
      </w:r>
      <w:r>
        <w:rPr>
          <w:rFonts w:ascii="Arial" w:cs="Arial" w:eastAsia="Arial" w:hAnsi="Arial"/>
          <w:sz w:val="21"/>
          <w:szCs w:val="21"/>
          <w:color w:val="auto"/>
        </w:rPr>
        <w:t>”) to, but excluding, the Maturity Date. Such interest shall be payable semiannually in arrears on February 10 and August 10 of each year (each an “</w:t>
      </w:r>
      <w:r>
        <w:rPr>
          <w:rFonts w:ascii="Arial" w:cs="Arial" w:eastAsia="Arial" w:hAnsi="Arial"/>
          <w:sz w:val="21"/>
          <w:szCs w:val="21"/>
          <w:u w:val="single" w:color="auto"/>
          <w:color w:val="auto"/>
        </w:rPr>
        <w:t>Interest Payment Date</w:t>
      </w:r>
      <w:r>
        <w:rPr>
          <w:rFonts w:ascii="Arial" w:cs="Arial" w:eastAsia="Arial" w:hAnsi="Arial"/>
          <w:sz w:val="21"/>
          <w:szCs w:val="21"/>
          <w:color w:val="auto"/>
        </w:rPr>
        <w:t>”), beginning February 10, 2024, to the persons in whose names the Notes (or one or more Predecessor Securities) are registered at the close of business on January 25 and July 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381" w:right="339" w:bottom="1440" w:gutter="0" w:footer="0" w:header="0"/>
        </w:sectPr>
      </w:pPr>
    </w:p>
    <w:bookmarkStart w:id="100" w:name="page101"/>
    <w:bookmarkEnd w:id="100"/>
    <w:p>
      <w:pPr>
        <w:spacing w:after="0" w:line="241" w:lineRule="auto"/>
        <w:rPr>
          <w:sz w:val="20"/>
          <w:szCs w:val="20"/>
          <w:color w:val="auto"/>
        </w:rPr>
      </w:pPr>
      <w:r>
        <w:rPr>
          <w:rFonts w:ascii="Arial" w:cs="Arial" w:eastAsia="Arial" w:hAnsi="Arial"/>
          <w:sz w:val="21"/>
          <w:szCs w:val="21"/>
          <w:color w:val="auto"/>
        </w:rPr>
        <w:t>(each a “</w:t>
      </w:r>
      <w:r>
        <w:rPr>
          <w:rFonts w:ascii="Arial" w:cs="Arial" w:eastAsia="Arial" w:hAnsi="Arial"/>
          <w:sz w:val="21"/>
          <w:szCs w:val="21"/>
          <w:u w:val="single" w:color="auto"/>
          <w:color w:val="auto"/>
        </w:rPr>
        <w:t>Regular Record Date</w:t>
      </w:r>
      <w:r>
        <w:rPr>
          <w:rFonts w:ascii="Arial" w:cs="Arial" w:eastAsia="Arial" w:hAnsi="Arial"/>
          <w:sz w:val="21"/>
          <w:szCs w:val="21"/>
          <w:color w:val="auto"/>
        </w:rPr>
        <w:t>”) (whether or not a Business Day), as the case may be, immediately preceding such Interest Payment Date.</w:t>
      </w:r>
    </w:p>
    <w:p>
      <w:pPr>
        <w:spacing w:after="0" w:line="153" w:lineRule="exact"/>
        <w:rPr>
          <w:sz w:val="20"/>
          <w:szCs w:val="20"/>
          <w:color w:val="auto"/>
        </w:rPr>
      </w:pPr>
    </w:p>
    <w:p>
      <w:pPr>
        <w:jc w:val="both"/>
        <w:ind w:firstLine="645"/>
        <w:spacing w:after="0" w:line="230" w:lineRule="auto"/>
        <w:tabs>
          <w:tab w:leader="none" w:pos="1272" w:val="left"/>
        </w:tabs>
        <w:numPr>
          <w:ilvl w:val="0"/>
          <w:numId w:val="59"/>
        </w:numPr>
        <w:rPr>
          <w:rFonts w:ascii="Arial" w:cs="Arial" w:eastAsia="Arial" w:hAnsi="Arial"/>
          <w:sz w:val="20"/>
          <w:szCs w:val="20"/>
          <w:color w:val="010000"/>
        </w:rPr>
      </w:pPr>
      <w:r>
        <w:rPr>
          <w:rFonts w:ascii="Arial" w:cs="Arial" w:eastAsia="Arial" w:hAnsi="Arial"/>
          <w:sz w:val="20"/>
          <w:szCs w:val="20"/>
          <w:color w:val="auto"/>
        </w:rPr>
        <w:t>Any such interest not so punctually paid or duly provided for shall forthwith cease to be payable to the Holder on such Regular Record Date and shall either (i) be paid to the Person in whose name such Note (or one or more Predecessor Securities) is registered at the close of business on the Special Record Date for the payment of such Defaulted Interest to be fixed by the Trustee, notice whereof shall be given to Holders of the Notes not less than 10 days prior to such Special Record Date, or (ii) be paid at any time in any other lawful manner not inconsistent with the requirements of any securities exchange or automated quotation system on which the Notes may be listed or traded, and upon such notice as may be required by such exchange or automated quotation system, all as more fully provided in the Indenture.</w:t>
      </w:r>
    </w:p>
    <w:p>
      <w:pPr>
        <w:spacing w:after="0" w:line="159" w:lineRule="exact"/>
        <w:rPr>
          <w:rFonts w:ascii="Arial" w:cs="Arial" w:eastAsia="Arial" w:hAnsi="Arial"/>
          <w:sz w:val="20"/>
          <w:szCs w:val="20"/>
          <w:color w:val="010000"/>
        </w:rPr>
      </w:pPr>
    </w:p>
    <w:p>
      <w:pPr>
        <w:jc w:val="both"/>
        <w:ind w:firstLine="645"/>
        <w:spacing w:after="0" w:line="221" w:lineRule="auto"/>
        <w:tabs>
          <w:tab w:leader="none" w:pos="1273" w:val="left"/>
        </w:tabs>
        <w:numPr>
          <w:ilvl w:val="0"/>
          <w:numId w:val="59"/>
        </w:numPr>
        <w:rPr>
          <w:rFonts w:ascii="Arial" w:cs="Arial" w:eastAsia="Arial" w:hAnsi="Arial"/>
          <w:sz w:val="21"/>
          <w:szCs w:val="21"/>
          <w:color w:val="010000"/>
        </w:rPr>
      </w:pPr>
      <w:r>
        <w:rPr>
          <w:rFonts w:ascii="Arial" w:cs="Arial" w:eastAsia="Arial" w:hAnsi="Arial"/>
          <w:sz w:val="21"/>
          <w:szCs w:val="21"/>
          <w:color w:val="auto"/>
        </w:rPr>
        <w:t>The amount of interest payable for any period shall be computed on the basis of a 360-day year of twelve 30-day months. The amount of interest payable for any partial period shall be computed on the basis of a 360-day year of twelve 30-day months and the days elapsed in any partial month. In the event that any date on which interest is payable on a Note is not a Business Day, then a payment of the interest payable on such date will be made on the next succeeding day which is a Business Day (and without any interest or other payment in respect of any such delay) with the same force and effect as if made on the date the payment was originally payable.</w:t>
      </w:r>
    </w:p>
    <w:p>
      <w:pPr>
        <w:spacing w:after="0" w:line="154" w:lineRule="exact"/>
        <w:rPr>
          <w:rFonts w:ascii="Arial" w:cs="Arial" w:eastAsia="Arial" w:hAnsi="Arial"/>
          <w:sz w:val="21"/>
          <w:szCs w:val="21"/>
          <w:color w:val="010000"/>
        </w:rPr>
      </w:pPr>
    </w:p>
    <w:p>
      <w:pPr>
        <w:jc w:val="both"/>
        <w:ind w:firstLine="645"/>
        <w:spacing w:after="0" w:line="230" w:lineRule="auto"/>
        <w:tabs>
          <w:tab w:leader="none" w:pos="1272" w:val="left"/>
        </w:tabs>
        <w:numPr>
          <w:ilvl w:val="0"/>
          <w:numId w:val="59"/>
        </w:numPr>
        <w:rPr>
          <w:rFonts w:ascii="Arial" w:cs="Arial" w:eastAsia="Arial" w:hAnsi="Arial"/>
          <w:sz w:val="21"/>
          <w:szCs w:val="21"/>
          <w:color w:val="010000"/>
        </w:rPr>
      </w:pPr>
      <w:r>
        <w:rPr>
          <w:rFonts w:ascii="Arial" w:cs="Arial" w:eastAsia="Arial" w:hAnsi="Arial"/>
          <w:sz w:val="21"/>
          <w:szCs w:val="21"/>
          <w:color w:val="auto"/>
        </w:rPr>
        <w:t>Any principal and premium, if any, and any installment of interest, which is overdue shall bear interest at the rate of 5.25% per annum (to the extent permitted by law) for the Notes from the dates such amounts are due until they are paid or made available for payment, and such interest shall be payable on demand.</w:t>
      </w:r>
    </w:p>
    <w:p>
      <w:pPr>
        <w:spacing w:after="0" w:line="157" w:lineRule="exact"/>
        <w:rPr>
          <w:sz w:val="20"/>
          <w:szCs w:val="20"/>
          <w:color w:val="auto"/>
        </w:rPr>
      </w:pPr>
    </w:p>
    <w:p>
      <w:pPr>
        <w:jc w:val="both"/>
        <w:ind w:firstLine="638"/>
        <w:spacing w:after="0" w:line="243" w:lineRule="auto"/>
        <w:rPr>
          <w:sz w:val="20"/>
          <w:szCs w:val="20"/>
          <w:color w:val="auto"/>
        </w:rPr>
      </w:pPr>
      <w:r>
        <w:rPr>
          <w:rFonts w:ascii="Arial" w:cs="Arial" w:eastAsia="Arial" w:hAnsi="Arial"/>
          <w:sz w:val="19"/>
          <w:szCs w:val="19"/>
          <w:color w:val="010000"/>
        </w:rPr>
        <w:t xml:space="preserve">Section 105 </w:t>
      </w:r>
      <w:r>
        <w:rPr>
          <w:rFonts w:ascii="Arial" w:cs="Arial" w:eastAsia="Arial" w:hAnsi="Arial"/>
          <w:sz w:val="19"/>
          <w:szCs w:val="19"/>
          <w:i w:val="1"/>
          <w:iCs w:val="1"/>
          <w:color w:val="000000"/>
        </w:rPr>
        <w:t>Paying Agent; Place of Payment</w:t>
      </w:r>
      <w:r>
        <w:rPr>
          <w:rFonts w:ascii="Arial" w:cs="Arial" w:eastAsia="Arial" w:hAnsi="Arial"/>
          <w:sz w:val="19"/>
          <w:szCs w:val="19"/>
          <w:color w:val="000000"/>
        </w:rPr>
        <w:t>. The Trustee shall initially serve as the Paying Agent for the Notes. The</w:t>
      </w:r>
      <w:r>
        <w:rPr>
          <w:rFonts w:ascii="Arial" w:cs="Arial" w:eastAsia="Arial" w:hAnsi="Arial"/>
          <w:sz w:val="19"/>
          <w:szCs w:val="19"/>
          <w:color w:val="010000"/>
        </w:rPr>
        <w:t xml:space="preserve"> </w:t>
      </w:r>
      <w:r>
        <w:rPr>
          <w:rFonts w:ascii="Arial" w:cs="Arial" w:eastAsia="Arial" w:hAnsi="Arial"/>
          <w:sz w:val="19"/>
          <w:szCs w:val="19"/>
          <w:color w:val="000000"/>
        </w:rPr>
        <w:t>Company may appoint and change any Paying Agent or approve a change in the office through which any Paying Agent acts without notice, other than notice to the Trustee. The Company or any of its Subsidiaries or any of their Affiliates may act as Paying Agent. The Place of Payment where the Notes may be presented or surrendered for payment shall be the Corporate Trust Office of the Trustee. At the option of the Company, payment of interest may be made (i) by check mailed to the address of the Person entitled thereto as such address shall appear in the Security Register or (ii) by wire transfer in immediately available funds at such place and to such account as may be designated in writing by the Person entitled thereto as specified in the Security Register.</w:t>
      </w:r>
    </w:p>
    <w:p>
      <w:pPr>
        <w:spacing w:after="0" w:line="153" w:lineRule="exact"/>
        <w:rPr>
          <w:sz w:val="20"/>
          <w:szCs w:val="20"/>
          <w:color w:val="auto"/>
        </w:rPr>
      </w:pPr>
    </w:p>
    <w:p>
      <w:pPr>
        <w:jc w:val="both"/>
        <w:ind w:firstLine="638"/>
        <w:spacing w:after="0" w:line="230" w:lineRule="auto"/>
        <w:rPr>
          <w:sz w:val="20"/>
          <w:szCs w:val="20"/>
          <w:color w:val="auto"/>
        </w:rPr>
      </w:pPr>
      <w:r>
        <w:rPr>
          <w:rFonts w:ascii="Arial" w:cs="Arial" w:eastAsia="Arial" w:hAnsi="Arial"/>
          <w:sz w:val="21"/>
          <w:szCs w:val="21"/>
          <w:color w:val="010000"/>
        </w:rPr>
        <w:t xml:space="preserve">Section 106 </w:t>
      </w:r>
      <w:r>
        <w:rPr>
          <w:rFonts w:ascii="Arial" w:cs="Arial" w:eastAsia="Arial" w:hAnsi="Arial"/>
          <w:sz w:val="21"/>
          <w:szCs w:val="21"/>
          <w:i w:val="1"/>
          <w:iCs w:val="1"/>
          <w:color w:val="000000"/>
        </w:rPr>
        <w:t>Place of Registration or Exchange; Notices and Demands With Respect to the Notes</w:t>
      </w:r>
      <w:r>
        <w:rPr>
          <w:rFonts w:ascii="Arial" w:cs="Arial" w:eastAsia="Arial" w:hAnsi="Arial"/>
          <w:sz w:val="21"/>
          <w:szCs w:val="21"/>
          <w:color w:val="000000"/>
        </w:rPr>
        <w:t>. The place where the</w:t>
      </w:r>
      <w:r>
        <w:rPr>
          <w:rFonts w:ascii="Arial" w:cs="Arial" w:eastAsia="Arial" w:hAnsi="Arial"/>
          <w:sz w:val="21"/>
          <w:szCs w:val="21"/>
          <w:color w:val="010000"/>
        </w:rPr>
        <w:t xml:space="preserve"> </w:t>
      </w:r>
      <w:r>
        <w:rPr>
          <w:rFonts w:ascii="Arial" w:cs="Arial" w:eastAsia="Arial" w:hAnsi="Arial"/>
          <w:sz w:val="21"/>
          <w:szCs w:val="21"/>
          <w:color w:val="000000"/>
        </w:rPr>
        <w:t>Holders of the Notes may present the Notes for registration of transfer or exchange and may make notices and demands to or upon the Company in respect of the Notes shall be the Corporate Trust Office of the Trustee.</w:t>
      </w:r>
    </w:p>
    <w:p>
      <w:pPr>
        <w:spacing w:after="0" w:line="157" w:lineRule="exact"/>
        <w:rPr>
          <w:sz w:val="20"/>
          <w:szCs w:val="20"/>
          <w:color w:val="auto"/>
        </w:rPr>
      </w:pPr>
    </w:p>
    <w:p>
      <w:pPr>
        <w:jc w:val="both"/>
        <w:ind w:firstLine="638"/>
        <w:spacing w:after="0" w:line="241" w:lineRule="auto"/>
        <w:rPr>
          <w:sz w:val="20"/>
          <w:szCs w:val="20"/>
          <w:color w:val="auto"/>
        </w:rPr>
      </w:pPr>
      <w:r>
        <w:rPr>
          <w:rFonts w:ascii="Arial" w:cs="Arial" w:eastAsia="Arial" w:hAnsi="Arial"/>
          <w:sz w:val="21"/>
          <w:szCs w:val="21"/>
          <w:color w:val="010000"/>
        </w:rPr>
        <w:t xml:space="preserve">Section 107 </w:t>
      </w:r>
      <w:r>
        <w:rPr>
          <w:rFonts w:ascii="Arial" w:cs="Arial" w:eastAsia="Arial" w:hAnsi="Arial"/>
          <w:sz w:val="21"/>
          <w:szCs w:val="21"/>
          <w:i w:val="1"/>
          <w:iCs w:val="1"/>
          <w:color w:val="000000"/>
        </w:rPr>
        <w:t>Percentage of Principal Amount</w:t>
      </w:r>
      <w:r>
        <w:rPr>
          <w:rFonts w:ascii="Arial" w:cs="Arial" w:eastAsia="Arial" w:hAnsi="Arial"/>
          <w:sz w:val="21"/>
          <w:szCs w:val="21"/>
          <w:color w:val="000000"/>
        </w:rPr>
        <w:t>. The Notes shall be initially issued at 99.816% of their principal amount,</w:t>
      </w:r>
      <w:r>
        <w:rPr>
          <w:rFonts w:ascii="Arial" w:cs="Arial" w:eastAsia="Arial" w:hAnsi="Arial"/>
          <w:sz w:val="21"/>
          <w:szCs w:val="21"/>
          <w:color w:val="010000"/>
        </w:rPr>
        <w:t xml:space="preserve"> </w:t>
      </w:r>
      <w:r>
        <w:rPr>
          <w:rFonts w:ascii="Arial" w:cs="Arial" w:eastAsia="Arial" w:hAnsi="Arial"/>
          <w:sz w:val="21"/>
          <w:szCs w:val="21"/>
          <w:color w:val="000000"/>
        </w:rPr>
        <w:t>plus accrued interest, if any, from the Issue Date.</w:t>
      </w:r>
    </w:p>
    <w:p>
      <w:pPr>
        <w:spacing w:after="0" w:line="153" w:lineRule="exact"/>
        <w:rPr>
          <w:sz w:val="20"/>
          <w:szCs w:val="20"/>
          <w:color w:val="auto"/>
        </w:rPr>
      </w:pPr>
    </w:p>
    <w:p>
      <w:pPr>
        <w:jc w:val="both"/>
        <w:ind w:firstLine="638"/>
        <w:spacing w:after="0" w:line="226" w:lineRule="auto"/>
        <w:rPr>
          <w:sz w:val="20"/>
          <w:szCs w:val="20"/>
          <w:color w:val="auto"/>
        </w:rPr>
      </w:pPr>
      <w:r>
        <w:rPr>
          <w:rFonts w:ascii="Arial" w:cs="Arial" w:eastAsia="Arial" w:hAnsi="Arial"/>
          <w:sz w:val="21"/>
          <w:szCs w:val="21"/>
          <w:color w:val="010000"/>
        </w:rPr>
        <w:t xml:space="preserve">Section 108 </w:t>
      </w:r>
      <w:r>
        <w:rPr>
          <w:rFonts w:ascii="Arial" w:cs="Arial" w:eastAsia="Arial" w:hAnsi="Arial"/>
          <w:sz w:val="21"/>
          <w:szCs w:val="21"/>
          <w:i w:val="1"/>
          <w:iCs w:val="1"/>
          <w:color w:val="000000"/>
        </w:rPr>
        <w:t>Global Securities</w:t>
      </w:r>
      <w:r>
        <w:rPr>
          <w:rFonts w:ascii="Arial" w:cs="Arial" w:eastAsia="Arial" w:hAnsi="Arial"/>
          <w:sz w:val="21"/>
          <w:szCs w:val="21"/>
          <w:color w:val="000000"/>
        </w:rPr>
        <w:t>. The Notes shall be issuable in whole or in part in the form of one or more Global</w:t>
      </w:r>
      <w:r>
        <w:rPr>
          <w:rFonts w:ascii="Arial" w:cs="Arial" w:eastAsia="Arial" w:hAnsi="Arial"/>
          <w:sz w:val="21"/>
          <w:szCs w:val="21"/>
          <w:color w:val="010000"/>
        </w:rPr>
        <w:t xml:space="preserve"> </w:t>
      </w:r>
      <w:r>
        <w:rPr>
          <w:rFonts w:ascii="Arial" w:cs="Arial" w:eastAsia="Arial" w:hAnsi="Arial"/>
          <w:sz w:val="21"/>
          <w:szCs w:val="21"/>
          <w:color w:val="000000"/>
        </w:rPr>
        <w:t xml:space="preserve">Securities. Such Global Securities shall be deposited with, or on behalf of, The Depository Trust Company, New York, New York, which shall act as Depositary with respect to the Notes. Such Global Securities shall bear the legends set forth in the form of Security attached as </w:t>
      </w:r>
      <w:r>
        <w:rPr>
          <w:rFonts w:ascii="Arial" w:cs="Arial" w:eastAsia="Arial" w:hAnsi="Arial"/>
          <w:sz w:val="21"/>
          <w:szCs w:val="21"/>
          <w:u w:val="single" w:color="auto"/>
          <w:color w:val="000000"/>
        </w:rPr>
        <w:t>Exhibit A</w:t>
      </w:r>
      <w:r>
        <w:rPr>
          <w:rFonts w:ascii="Arial" w:cs="Arial" w:eastAsia="Arial" w:hAnsi="Arial"/>
          <w:sz w:val="21"/>
          <w:szCs w:val="21"/>
          <w:color w:val="000000"/>
        </w:rPr>
        <w:t xml:space="preserve"> hereto.</w:t>
      </w:r>
    </w:p>
    <w:p>
      <w:pPr>
        <w:spacing w:after="0" w:line="154"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21"/>
          <w:szCs w:val="21"/>
          <w:color w:val="010000"/>
        </w:rPr>
        <w:t>Section 109</w:t>
      </w:r>
      <w:r>
        <w:rPr>
          <w:sz w:val="20"/>
          <w:szCs w:val="20"/>
          <w:color w:val="auto"/>
        </w:rPr>
        <w:tab/>
      </w:r>
      <w:r>
        <w:rPr>
          <w:rFonts w:ascii="Arial" w:cs="Arial" w:eastAsia="Arial" w:hAnsi="Arial"/>
          <w:sz w:val="19"/>
          <w:szCs w:val="19"/>
          <w:i w:val="1"/>
          <w:iCs w:val="1"/>
          <w:color w:val="auto"/>
        </w:rPr>
        <w:t>Form of Securities</w:t>
      </w:r>
      <w:r>
        <w:rPr>
          <w:rFonts w:ascii="Arial" w:cs="Arial" w:eastAsia="Arial" w:hAnsi="Arial"/>
          <w:sz w:val="19"/>
          <w:szCs w:val="19"/>
          <w:color w:val="auto"/>
        </w:rPr>
        <w:t>. The Notes shall be substantially in the form attached as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Exhibit A</w:t>
      </w:r>
      <w:r>
        <w:rPr>
          <w:rFonts w:ascii="Arial" w:cs="Arial" w:eastAsia="Arial" w:hAnsi="Arial"/>
          <w:sz w:val="19"/>
          <w:szCs w:val="19"/>
          <w:i w:val="1"/>
          <w:iCs w:val="1"/>
          <w:color w:val="auto"/>
        </w:rPr>
        <w:t xml:space="preserve"> </w:t>
      </w:r>
      <w:r>
        <w:rPr>
          <w:rFonts w:ascii="Arial" w:cs="Arial" w:eastAsia="Arial" w:hAnsi="Arial"/>
          <w:sz w:val="19"/>
          <w:szCs w:val="19"/>
          <w:color w:val="auto"/>
        </w:rPr>
        <w: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381" w:right="339" w:bottom="1440" w:gutter="0" w:footer="0" w:header="0"/>
        </w:sectPr>
      </w:pPr>
    </w:p>
    <w:bookmarkStart w:id="101" w:name="page102"/>
    <w:bookmarkEnd w:id="101"/>
    <w:p>
      <w:pPr>
        <w:ind w:left="640"/>
        <w:spacing w:after="0"/>
        <w:tabs>
          <w:tab w:leader="none" w:pos="1940" w:val="left"/>
        </w:tabs>
        <w:rPr>
          <w:sz w:val="20"/>
          <w:szCs w:val="20"/>
          <w:color w:val="auto"/>
        </w:rPr>
      </w:pPr>
      <w:r>
        <w:rPr>
          <w:rFonts w:ascii="Arial" w:cs="Arial" w:eastAsia="Arial" w:hAnsi="Arial"/>
          <w:sz w:val="21"/>
          <w:szCs w:val="21"/>
          <w:color w:val="010000"/>
        </w:rPr>
        <w:t>Section 110</w:t>
      </w:r>
      <w:r>
        <w:rPr>
          <w:sz w:val="20"/>
          <w:szCs w:val="20"/>
          <w:color w:val="auto"/>
        </w:rPr>
        <w:tab/>
      </w:r>
      <w:r>
        <w:rPr>
          <w:rFonts w:ascii="Arial" w:cs="Arial" w:eastAsia="Arial" w:hAnsi="Arial"/>
          <w:sz w:val="19"/>
          <w:szCs w:val="19"/>
          <w:i w:val="1"/>
          <w:iCs w:val="1"/>
          <w:color w:val="auto"/>
        </w:rPr>
        <w:t>Securities Registrar</w:t>
      </w:r>
      <w:r>
        <w:rPr>
          <w:rFonts w:ascii="Arial" w:cs="Arial" w:eastAsia="Arial" w:hAnsi="Arial"/>
          <w:sz w:val="19"/>
          <w:szCs w:val="19"/>
          <w:color w:val="auto"/>
        </w:rPr>
        <w:t>. The Trustee shall initially serve as the Security Registrar for the Notes.</w:t>
      </w:r>
    </w:p>
    <w:p>
      <w:pPr>
        <w:spacing w:after="0" w:line="184" w:lineRule="exact"/>
        <w:rPr>
          <w:sz w:val="20"/>
          <w:szCs w:val="20"/>
          <w:color w:val="auto"/>
        </w:rPr>
      </w:pPr>
    </w:p>
    <w:p>
      <w:pPr>
        <w:ind w:firstLine="638"/>
        <w:spacing w:after="0" w:line="291" w:lineRule="auto"/>
        <w:rPr>
          <w:sz w:val="20"/>
          <w:szCs w:val="20"/>
          <w:color w:val="auto"/>
        </w:rPr>
      </w:pPr>
      <w:r>
        <w:rPr>
          <w:rFonts w:ascii="Arial" w:cs="Arial" w:eastAsia="Arial" w:hAnsi="Arial"/>
          <w:sz w:val="19"/>
          <w:szCs w:val="19"/>
          <w:color w:val="010000"/>
        </w:rPr>
        <w:t xml:space="preserve">Section 111 </w:t>
      </w:r>
      <w:r>
        <w:rPr>
          <w:rFonts w:ascii="Arial" w:cs="Arial" w:eastAsia="Arial" w:hAnsi="Arial"/>
          <w:sz w:val="19"/>
          <w:szCs w:val="19"/>
          <w:i w:val="1"/>
          <w:iCs w:val="1"/>
          <w:color w:val="000000"/>
        </w:rPr>
        <w:t>Sinking Fund Obligations</w:t>
      </w:r>
      <w:r>
        <w:rPr>
          <w:rFonts w:ascii="Arial" w:cs="Arial" w:eastAsia="Arial" w:hAnsi="Arial"/>
          <w:sz w:val="19"/>
          <w:szCs w:val="19"/>
          <w:color w:val="000000"/>
        </w:rPr>
        <w:t>. The Company shall have no obligation to redeem or purchase any Notes pursuant</w:t>
      </w:r>
      <w:r>
        <w:rPr>
          <w:rFonts w:ascii="Arial" w:cs="Arial" w:eastAsia="Arial" w:hAnsi="Arial"/>
          <w:sz w:val="19"/>
          <w:szCs w:val="19"/>
          <w:color w:val="010000"/>
        </w:rPr>
        <w:t xml:space="preserve"> </w:t>
      </w:r>
      <w:r>
        <w:rPr>
          <w:rFonts w:ascii="Arial" w:cs="Arial" w:eastAsia="Arial" w:hAnsi="Arial"/>
          <w:sz w:val="19"/>
          <w:szCs w:val="19"/>
          <w:color w:val="000000"/>
        </w:rPr>
        <w:t>to any sinking fund or analogous requirement or upon the happening of a specified event or at the option of a Holder thereof.</w:t>
      </w:r>
    </w:p>
    <w:p>
      <w:pPr>
        <w:spacing w:after="0" w:line="108"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21"/>
          <w:szCs w:val="21"/>
          <w:color w:val="010000"/>
        </w:rPr>
        <w:t>Section 112</w:t>
      </w:r>
      <w:r>
        <w:rPr>
          <w:sz w:val="20"/>
          <w:szCs w:val="20"/>
          <w:color w:val="auto"/>
        </w:rPr>
        <w:tab/>
      </w:r>
      <w:r>
        <w:rPr>
          <w:rFonts w:ascii="Arial" w:cs="Arial" w:eastAsia="Arial" w:hAnsi="Arial"/>
          <w:sz w:val="19"/>
          <w:szCs w:val="19"/>
          <w:i w:val="1"/>
          <w:iCs w:val="1"/>
          <w:color w:val="auto"/>
        </w:rPr>
        <w:t>Defeasance and Discharge; Covenant Defeasance</w:t>
      </w:r>
    </w:p>
    <w:p>
      <w:pPr>
        <w:spacing w:after="0" w:line="184" w:lineRule="exact"/>
        <w:rPr>
          <w:sz w:val="20"/>
          <w:szCs w:val="20"/>
          <w:color w:val="auto"/>
        </w:rPr>
      </w:pPr>
    </w:p>
    <w:p>
      <w:pPr>
        <w:ind w:firstLine="645"/>
        <w:spacing w:after="0" w:line="241" w:lineRule="auto"/>
        <w:tabs>
          <w:tab w:leader="none" w:pos="1273" w:val="left"/>
        </w:tabs>
        <w:numPr>
          <w:ilvl w:val="0"/>
          <w:numId w:val="60"/>
        </w:numPr>
        <w:rPr>
          <w:rFonts w:ascii="Arial" w:cs="Arial" w:eastAsia="Arial" w:hAnsi="Arial"/>
          <w:sz w:val="21"/>
          <w:szCs w:val="21"/>
          <w:color w:val="010000"/>
        </w:rPr>
      </w:pPr>
      <w:r>
        <w:rPr>
          <w:rFonts w:ascii="Arial" w:cs="Arial" w:eastAsia="Arial" w:hAnsi="Arial"/>
          <w:sz w:val="21"/>
          <w:szCs w:val="21"/>
          <w:color w:val="auto"/>
        </w:rPr>
        <w:t>Article Fourteen of the Original Indenture, including without limitation Sections 1402 and 1403 thereof (as modified by Section 212(b) hereof), shall apply to the Notes.</w:t>
      </w:r>
    </w:p>
    <w:p>
      <w:pPr>
        <w:spacing w:after="0" w:line="153" w:lineRule="exact"/>
        <w:rPr>
          <w:rFonts w:ascii="Arial" w:cs="Arial" w:eastAsia="Arial" w:hAnsi="Arial"/>
          <w:sz w:val="21"/>
          <w:szCs w:val="21"/>
          <w:color w:val="010000"/>
        </w:rPr>
      </w:pPr>
    </w:p>
    <w:p>
      <w:pPr>
        <w:ind w:firstLine="645"/>
        <w:spacing w:after="0" w:line="241" w:lineRule="auto"/>
        <w:tabs>
          <w:tab w:leader="none" w:pos="1272" w:val="left"/>
        </w:tabs>
        <w:numPr>
          <w:ilvl w:val="0"/>
          <w:numId w:val="60"/>
        </w:numPr>
        <w:rPr>
          <w:rFonts w:ascii="Arial" w:cs="Arial" w:eastAsia="Arial" w:hAnsi="Arial"/>
          <w:sz w:val="21"/>
          <w:szCs w:val="21"/>
          <w:color w:val="010000"/>
        </w:rPr>
      </w:pPr>
      <w:r>
        <w:rPr>
          <w:rFonts w:ascii="Arial" w:cs="Arial" w:eastAsia="Arial" w:hAnsi="Arial"/>
          <w:sz w:val="21"/>
          <w:szCs w:val="21"/>
          <w:color w:val="auto"/>
        </w:rPr>
        <w:t>Solely with respect to the Notes issued hereby, the first sentence of Section 1403 of the Original Indenture is hereby deleted in its entirety, and the following is substituted in lieu thereof:</w:t>
      </w:r>
    </w:p>
    <w:p>
      <w:pPr>
        <w:spacing w:after="0" w:line="153" w:lineRule="exact"/>
        <w:rPr>
          <w:sz w:val="20"/>
          <w:szCs w:val="20"/>
          <w:color w:val="auto"/>
        </w:rPr>
      </w:pPr>
    </w:p>
    <w:p>
      <w:pPr>
        <w:jc w:val="both"/>
        <w:ind w:left="1280"/>
        <w:spacing w:after="0" w:line="243" w:lineRule="auto"/>
        <w:rPr>
          <w:sz w:val="20"/>
          <w:szCs w:val="20"/>
          <w:color w:val="auto"/>
        </w:rPr>
      </w:pPr>
      <w:r>
        <w:rPr>
          <w:rFonts w:ascii="Arial" w:cs="Arial" w:eastAsia="Arial" w:hAnsi="Arial"/>
          <w:sz w:val="19"/>
          <w:szCs w:val="19"/>
          <w:color w:val="auto"/>
        </w:rPr>
        <w:t>“Upon the Company’s exercise of its option (if any) to have this Section 1403 applied to any Securities or any series of Securities, as the case may be, (1) the Company shall be released from its obligations under Article Eight and under any covenants provided pursuant to Section 301(20), 901(2) or 901(7) for the benefit of the Holders of such Securities and (2) the occurrence of any event specified in Sections 501(4) (with respect to Article Eight and to any such covenants provided pursuant to Section 301(20), 901(2) or 901(7)) and 501(7) shall be deemed not to be or result in an Event of Default, in each case with respect to such Securities as provided in this Section 1403 on and after the date the conditions set forth in Section 1404 are satisfied (hereinafter called “Covenant Defeasance”).”</w:t>
      </w:r>
    </w:p>
    <w:p>
      <w:pPr>
        <w:spacing w:after="0" w:line="153" w:lineRule="exact"/>
        <w:rPr>
          <w:sz w:val="20"/>
          <w:szCs w:val="20"/>
          <w:color w:val="auto"/>
        </w:rPr>
      </w:pPr>
    </w:p>
    <w:p>
      <w:pPr>
        <w:jc w:val="center"/>
        <w:ind w:right="420"/>
        <w:spacing w:after="0"/>
        <w:rPr>
          <w:sz w:val="20"/>
          <w:szCs w:val="20"/>
          <w:color w:val="auto"/>
        </w:rPr>
      </w:pPr>
      <w:r>
        <w:rPr>
          <w:rFonts w:ascii="Arial" w:cs="Arial" w:eastAsia="Arial" w:hAnsi="Arial"/>
          <w:sz w:val="21"/>
          <w:szCs w:val="21"/>
          <w:color w:val="010000"/>
        </w:rPr>
        <w:t>Article III</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Optional Redemption of the Notes</w:t>
      </w:r>
    </w:p>
    <w:p>
      <w:pPr>
        <w:spacing w:after="0" w:line="184" w:lineRule="exact"/>
        <w:rPr>
          <w:sz w:val="20"/>
          <w:szCs w:val="20"/>
          <w:color w:val="auto"/>
        </w:rPr>
      </w:pPr>
    </w:p>
    <w:p>
      <w:pPr>
        <w:jc w:val="both"/>
        <w:ind w:firstLine="638"/>
        <w:spacing w:after="0" w:line="219" w:lineRule="auto"/>
        <w:rPr>
          <w:sz w:val="20"/>
          <w:szCs w:val="20"/>
          <w:color w:val="auto"/>
        </w:rPr>
      </w:pPr>
      <w:r>
        <w:rPr>
          <w:rFonts w:ascii="Arial" w:cs="Arial" w:eastAsia="Arial" w:hAnsi="Arial"/>
          <w:sz w:val="21"/>
          <w:szCs w:val="21"/>
          <w:color w:val="010000"/>
        </w:rPr>
        <w:t xml:space="preserve">Section 101 </w:t>
      </w:r>
      <w:r>
        <w:rPr>
          <w:rFonts w:ascii="Arial" w:cs="Arial" w:eastAsia="Arial" w:hAnsi="Arial"/>
          <w:sz w:val="21"/>
          <w:szCs w:val="21"/>
          <w:i w:val="1"/>
          <w:iCs w:val="1"/>
          <w:color w:val="000000"/>
        </w:rPr>
        <w:t>Redemption Price</w:t>
      </w:r>
      <w:r>
        <w:rPr>
          <w:rFonts w:ascii="Arial" w:cs="Arial" w:eastAsia="Arial" w:hAnsi="Arial"/>
          <w:sz w:val="21"/>
          <w:szCs w:val="21"/>
          <w:color w:val="000000"/>
        </w:rPr>
        <w:t>. The Notes shall be redeemable, at the option of the Company, in whole or in part, at any</w:t>
      </w:r>
      <w:r>
        <w:rPr>
          <w:rFonts w:ascii="Arial" w:cs="Arial" w:eastAsia="Arial" w:hAnsi="Arial"/>
          <w:sz w:val="21"/>
          <w:szCs w:val="21"/>
          <w:color w:val="010000"/>
        </w:rPr>
        <w:t xml:space="preserve"> </w:t>
      </w:r>
      <w:r>
        <w:rPr>
          <w:rFonts w:ascii="Arial" w:cs="Arial" w:eastAsia="Arial" w:hAnsi="Arial"/>
          <w:sz w:val="21"/>
          <w:szCs w:val="21"/>
          <w:color w:val="000000"/>
        </w:rPr>
        <w:t>time and from time to time, at a redemption price (expressed as a percentage of principal amount and rounded to three decimal places) equal to the greater of (1)(a) the sum of the present values of the remaining scheduled payments of principal and interest on the Notes to be redeemed discounted to the Redemption Date on a semi-annual basis (assuming a 360-day year consisting of twelve 30-day months) at the applicable Treasury Rate plus 15 basis points less (b) interest accrued to the Redemption Date, and (2) 100% of the principal amount of the Notes to be redeemed, plus, in either case, accrued and unpaid interest thereon, if any, to, but excluding, the Redemption Date.</w:t>
      </w:r>
    </w:p>
    <w:p>
      <w:pPr>
        <w:spacing w:after="0" w:line="159" w:lineRule="exact"/>
        <w:rPr>
          <w:sz w:val="20"/>
          <w:szCs w:val="20"/>
          <w:color w:val="auto"/>
        </w:rPr>
      </w:pPr>
    </w:p>
    <w:p>
      <w:pPr>
        <w:jc w:val="both"/>
        <w:ind w:firstLine="638"/>
        <w:spacing w:after="0" w:line="241" w:lineRule="auto"/>
        <w:rPr>
          <w:sz w:val="20"/>
          <w:szCs w:val="20"/>
          <w:color w:val="auto"/>
        </w:rPr>
      </w:pPr>
      <w:r>
        <w:rPr>
          <w:rFonts w:ascii="Arial" w:cs="Arial" w:eastAsia="Arial" w:hAnsi="Arial"/>
          <w:sz w:val="21"/>
          <w:szCs w:val="21"/>
          <w:color w:val="010000"/>
        </w:rPr>
        <w:t xml:space="preserve">Section 102 </w:t>
      </w:r>
      <w:r>
        <w:rPr>
          <w:rFonts w:ascii="Arial" w:cs="Arial" w:eastAsia="Arial" w:hAnsi="Arial"/>
          <w:sz w:val="21"/>
          <w:szCs w:val="21"/>
          <w:i w:val="1"/>
          <w:iCs w:val="1"/>
          <w:color w:val="000000"/>
        </w:rPr>
        <w:t>Calculation.</w:t>
      </w:r>
      <w:r>
        <w:rPr>
          <w:rFonts w:ascii="Arial" w:cs="Arial" w:eastAsia="Arial" w:hAnsi="Arial"/>
          <w:sz w:val="21"/>
          <w:szCs w:val="21"/>
          <w:color w:val="010000"/>
        </w:rPr>
        <w:t xml:space="preserve"> </w:t>
      </w:r>
      <w:r>
        <w:rPr>
          <w:rFonts w:ascii="Arial" w:cs="Arial" w:eastAsia="Arial" w:hAnsi="Arial"/>
          <w:sz w:val="21"/>
          <w:szCs w:val="21"/>
          <w:color w:val="000000"/>
        </w:rPr>
        <w:t>“</w:t>
      </w:r>
      <w:r>
        <w:rPr>
          <w:rFonts w:ascii="Arial" w:cs="Arial" w:eastAsia="Arial" w:hAnsi="Arial"/>
          <w:sz w:val="21"/>
          <w:szCs w:val="21"/>
          <w:u w:val="single" w:color="auto"/>
          <w:color w:val="000000"/>
        </w:rPr>
        <w:t>Treasury Rate</w:t>
      </w:r>
      <w:r>
        <w:rPr>
          <w:rFonts w:ascii="Arial" w:cs="Arial" w:eastAsia="Arial" w:hAnsi="Arial"/>
          <w:sz w:val="21"/>
          <w:szCs w:val="21"/>
          <w:color w:val="000000"/>
        </w:rPr>
        <w:t>” means, with respect to any Redemption Date, the yield determined by the</w:t>
      </w:r>
      <w:r>
        <w:rPr>
          <w:rFonts w:ascii="Arial" w:cs="Arial" w:eastAsia="Arial" w:hAnsi="Arial"/>
          <w:sz w:val="21"/>
          <w:szCs w:val="21"/>
          <w:color w:val="010000"/>
        </w:rPr>
        <w:t xml:space="preserve"> </w:t>
      </w:r>
      <w:r>
        <w:rPr>
          <w:rFonts w:ascii="Arial" w:cs="Arial" w:eastAsia="Arial" w:hAnsi="Arial"/>
          <w:sz w:val="21"/>
          <w:szCs w:val="21"/>
          <w:color w:val="000000"/>
        </w:rPr>
        <w:t>Company in accordance with the following two paragraphs.</w:t>
      </w:r>
    </w:p>
    <w:p>
      <w:pPr>
        <w:spacing w:after="0" w:line="153" w:lineRule="exact"/>
        <w:rPr>
          <w:sz w:val="20"/>
          <w:szCs w:val="20"/>
          <w:color w:val="auto"/>
        </w:rPr>
      </w:pPr>
    </w:p>
    <w:p>
      <w:pPr>
        <w:jc w:val="both"/>
        <w:ind w:firstLine="485"/>
        <w:spacing w:after="0" w:line="218" w:lineRule="auto"/>
        <w:rPr>
          <w:sz w:val="20"/>
          <w:szCs w:val="20"/>
          <w:color w:val="auto"/>
        </w:rPr>
      </w:pPr>
      <w:r>
        <w:rPr>
          <w:rFonts w:ascii="Arial" w:cs="Arial" w:eastAsia="Arial" w:hAnsi="Arial"/>
          <w:sz w:val="21"/>
          <w:szCs w:val="21"/>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Arial" w:cs="Arial" w:eastAsia="Arial" w:hAnsi="Arial"/>
          <w:sz w:val="21"/>
          <w:szCs w:val="21"/>
          <w:u w:val="single" w:color="auto"/>
          <w:color w:val="auto"/>
        </w:rPr>
        <w:t>H.15</w:t>
      </w:r>
      <w:r>
        <w:rPr>
          <w:rFonts w:ascii="Arial" w:cs="Arial" w:eastAsia="Arial" w:hAnsi="Arial"/>
          <w:sz w:val="21"/>
          <w:szCs w:val="21"/>
          <w:color w:val="auto"/>
        </w:rPr>
        <w:t>”) under the caption “U.S. government securities– Treasury constant maturities–Nominal” (or any successor caption or heading) (“</w:t>
      </w:r>
      <w:r>
        <w:rPr>
          <w:rFonts w:ascii="Arial" w:cs="Arial" w:eastAsia="Arial" w:hAnsi="Arial"/>
          <w:sz w:val="21"/>
          <w:szCs w:val="21"/>
          <w:u w:val="single" w:color="auto"/>
          <w:color w:val="auto"/>
        </w:rPr>
        <w:t>H.15 TCM</w:t>
      </w:r>
      <w:r>
        <w:rPr>
          <w:rFonts w:ascii="Arial" w:cs="Arial" w:eastAsia="Arial" w:hAnsi="Arial"/>
          <w:sz w:val="21"/>
          <w:szCs w:val="21"/>
          <w:color w:val="auto"/>
        </w:rPr>
        <w:t>”). In determining the treasury rate, the Company shall select, as applicable: (1) the yield for the Treasury constant maturity on H.15 exactly equal to the period from the Redemption Date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381" w:right="339" w:bottom="1440" w:gutter="0" w:footer="0" w:header="0"/>
        </w:sectPr>
      </w:pPr>
    </w:p>
    <w:bookmarkStart w:id="102" w:name="page103"/>
    <w:bookmarkEnd w:id="102"/>
    <w:p>
      <w:pPr>
        <w:jc w:val="both"/>
        <w:spacing w:after="0" w:line="229" w:lineRule="auto"/>
        <w:rPr>
          <w:sz w:val="20"/>
          <w:szCs w:val="20"/>
          <w:color w:val="auto"/>
        </w:rPr>
      </w:pPr>
      <w:r>
        <w:rPr>
          <w:rFonts w:ascii="Arial" w:cs="Arial" w:eastAsia="Arial" w:hAnsi="Arial"/>
          <w:sz w:val="20"/>
          <w:szCs w:val="20"/>
          <w:color w:val="auto"/>
        </w:rPr>
        <w:t>Maturity Date (the “</w:t>
      </w:r>
      <w:r>
        <w:rPr>
          <w:rFonts w:ascii="Arial" w:cs="Arial" w:eastAsia="Arial" w:hAnsi="Arial"/>
          <w:sz w:val="20"/>
          <w:szCs w:val="20"/>
          <w:u w:val="single" w:color="auto"/>
          <w:color w:val="auto"/>
        </w:rPr>
        <w:t>Remaining Life</w:t>
      </w:r>
      <w:r>
        <w:rPr>
          <w:rFonts w:ascii="Arial" w:cs="Arial" w:eastAsia="Arial" w:hAnsi="Arial"/>
          <w:sz w:val="20"/>
          <w:szCs w:val="20"/>
          <w:color w:val="auto"/>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Maturity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6" w:lineRule="exact"/>
        <w:rPr>
          <w:sz w:val="20"/>
          <w:szCs w:val="20"/>
          <w:color w:val="auto"/>
        </w:rPr>
      </w:pPr>
    </w:p>
    <w:p>
      <w:pPr>
        <w:jc w:val="both"/>
        <w:ind w:firstLine="485"/>
        <w:spacing w:after="0" w:line="238" w:lineRule="auto"/>
        <w:rPr>
          <w:sz w:val="20"/>
          <w:szCs w:val="20"/>
          <w:color w:val="auto"/>
        </w:rPr>
      </w:pPr>
      <w:r>
        <w:rPr>
          <w:rFonts w:ascii="Arial" w:cs="Arial" w:eastAsia="Arial" w:hAnsi="Arial"/>
          <w:sz w:val="19"/>
          <w:szCs w:val="19"/>
          <w:color w:val="auto"/>
        </w:rPr>
        <w:t>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Maturity Date, as applicable. If there is no United States Treasury security maturing on the Maturity Date but there are two or more United States Treasury securities with a maturity date equally distant from the Maturity Date, one with a maturity date preceding the Maturity Date and one with a maturity date following the Maturity Date, the Company shall select the United States Treasury security with a maturity date preceding the Maturity Date. If there are two or more United States Treasury securities maturing on the Maturity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84" w:lineRule="exact"/>
        <w:rPr>
          <w:sz w:val="20"/>
          <w:szCs w:val="20"/>
          <w:color w:val="auto"/>
        </w:rPr>
      </w:pPr>
    </w:p>
    <w:p>
      <w:pPr>
        <w:jc w:val="both"/>
        <w:ind w:firstLine="485"/>
        <w:spacing w:after="0" w:line="241" w:lineRule="auto"/>
        <w:rPr>
          <w:sz w:val="20"/>
          <w:szCs w:val="20"/>
          <w:color w:val="auto"/>
        </w:rPr>
      </w:pPr>
      <w:r>
        <w:rPr>
          <w:rFonts w:ascii="Arial" w:cs="Arial" w:eastAsia="Arial" w:hAnsi="Arial"/>
          <w:sz w:val="21"/>
          <w:szCs w:val="21"/>
          <w:color w:val="auto"/>
        </w:rPr>
        <w:t>The Company’s actions and determinations in determining the Redemption Price shall be conclusive and binding for all purposes, absent manifest error. The Trustee shall have no responsibility for the calculation of such amount.</w:t>
      </w:r>
    </w:p>
    <w:p>
      <w:pPr>
        <w:spacing w:after="0" w:line="180" w:lineRule="exact"/>
        <w:rPr>
          <w:sz w:val="20"/>
          <w:szCs w:val="20"/>
          <w:color w:val="auto"/>
        </w:rPr>
      </w:pPr>
    </w:p>
    <w:p>
      <w:pPr>
        <w:jc w:val="both"/>
        <w:ind w:firstLine="638"/>
        <w:spacing w:after="0" w:line="219" w:lineRule="auto"/>
        <w:rPr>
          <w:sz w:val="20"/>
          <w:szCs w:val="20"/>
          <w:color w:val="auto"/>
        </w:rPr>
      </w:pPr>
      <w:r>
        <w:rPr>
          <w:rFonts w:ascii="Arial" w:cs="Arial" w:eastAsia="Arial" w:hAnsi="Arial"/>
          <w:sz w:val="21"/>
          <w:szCs w:val="21"/>
          <w:color w:val="010000"/>
        </w:rPr>
        <w:t xml:space="preserve">Section 103 </w:t>
      </w:r>
      <w:r>
        <w:rPr>
          <w:rFonts w:ascii="Arial" w:cs="Arial" w:eastAsia="Arial" w:hAnsi="Arial"/>
          <w:sz w:val="21"/>
          <w:szCs w:val="21"/>
          <w:i w:val="1"/>
          <w:iCs w:val="1"/>
          <w:color w:val="000000"/>
        </w:rPr>
        <w:t>Partial Redemption</w:t>
      </w:r>
      <w:r>
        <w:rPr>
          <w:rFonts w:ascii="Arial" w:cs="Arial" w:eastAsia="Arial" w:hAnsi="Arial"/>
          <w:sz w:val="21"/>
          <w:szCs w:val="21"/>
          <w:color w:val="000000"/>
        </w:rPr>
        <w:t>. If fewer than all of the Notes are to be redeemed by the Company pursuant to this</w:t>
      </w:r>
      <w:r>
        <w:rPr>
          <w:rFonts w:ascii="Arial" w:cs="Arial" w:eastAsia="Arial" w:hAnsi="Arial"/>
          <w:sz w:val="21"/>
          <w:szCs w:val="21"/>
          <w:color w:val="010000"/>
        </w:rPr>
        <w:t xml:space="preserve"> </w:t>
      </w:r>
      <w:r>
        <w:rPr>
          <w:rFonts w:ascii="Arial" w:cs="Arial" w:eastAsia="Arial" w:hAnsi="Arial"/>
          <w:sz w:val="21"/>
          <w:szCs w:val="21"/>
          <w:color w:val="000000"/>
        </w:rPr>
        <w:t>Article III, not more than 60 days prior to the Redemption Date, the particular Notes or portions thereof for redemption will be selected from the outstanding Notes not previously called by lot by the Trustee. The Trustee may select for redemption Notes and portions of Notes in minimum amounts of $2,000 or whole multiples of $1,000. A new Note in principal amount equal to the unredeemed portion of the original Note shall be issued upon the cancellation of the original Note. In the case of a partial redemption of Notes registered in the name of Cede &amp; Co., the Notes to be redeemed will be determined in accordance with the procedures of The Depository Trust Company.</w:t>
      </w:r>
    </w:p>
    <w:p>
      <w:pPr>
        <w:spacing w:after="0" w:line="159"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21"/>
          <w:szCs w:val="21"/>
          <w:color w:val="010000"/>
        </w:rPr>
        <w:t>Section 104</w:t>
      </w:r>
      <w:r>
        <w:rPr>
          <w:sz w:val="20"/>
          <w:szCs w:val="20"/>
          <w:color w:val="auto"/>
        </w:rPr>
        <w:tab/>
      </w:r>
      <w:r>
        <w:rPr>
          <w:rFonts w:ascii="Arial" w:cs="Arial" w:eastAsia="Arial" w:hAnsi="Arial"/>
          <w:sz w:val="19"/>
          <w:szCs w:val="19"/>
          <w:i w:val="1"/>
          <w:iCs w:val="1"/>
          <w:color w:val="auto"/>
        </w:rPr>
        <w:t>Notice of Optional Redemption</w:t>
      </w:r>
      <w:r>
        <w:rPr>
          <w:rFonts w:ascii="Arial" w:cs="Arial" w:eastAsia="Arial" w:hAnsi="Arial"/>
          <w:sz w:val="19"/>
          <w:szCs w:val="19"/>
          <w:color w:val="auto"/>
        </w:rPr>
        <w:t>.</w:t>
      </w:r>
    </w:p>
    <w:p>
      <w:pPr>
        <w:spacing w:after="0" w:line="184" w:lineRule="exact"/>
        <w:rPr>
          <w:sz w:val="20"/>
          <w:szCs w:val="20"/>
          <w:color w:val="auto"/>
        </w:rPr>
      </w:pPr>
    </w:p>
    <w:p>
      <w:pPr>
        <w:jc w:val="both"/>
        <w:ind w:firstLine="645"/>
        <w:spacing w:after="0" w:line="223" w:lineRule="auto"/>
        <w:tabs>
          <w:tab w:leader="none" w:pos="1273" w:val="left"/>
        </w:tabs>
        <w:numPr>
          <w:ilvl w:val="0"/>
          <w:numId w:val="61"/>
        </w:numPr>
        <w:rPr>
          <w:rFonts w:ascii="Arial" w:cs="Arial" w:eastAsia="Arial" w:hAnsi="Arial"/>
          <w:sz w:val="21"/>
          <w:szCs w:val="21"/>
          <w:color w:val="010000"/>
        </w:rPr>
      </w:pPr>
      <w:r>
        <w:rPr>
          <w:rFonts w:ascii="Arial" w:cs="Arial" w:eastAsia="Arial" w:hAnsi="Arial"/>
          <w:sz w:val="21"/>
          <w:szCs w:val="21"/>
          <w:color w:val="auto"/>
        </w:rPr>
        <w:t>The Trustee, at the written direction of the Company, will send a notice of redemption prepared by the Company to each holder of Notes to be redeemed by first-class mail (or in accordance with the procedures of The Depository Trust Company with respect to Notes registered in the name of Cede &amp; Co.) at least 10 days and not more than 60 days prior to the date fixed for redemption. Unless the Company defaults on payment of the Redemption Price, interest will cease to accrue on the Notes or portions thereof called for redemption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381" w:right="339" w:bottom="1440" w:gutter="0" w:footer="0" w:header="0"/>
        </w:sectPr>
      </w:pPr>
    </w:p>
    <w:bookmarkStart w:id="103" w:name="page104"/>
    <w:bookmarkEnd w:id="103"/>
    <w:p>
      <w:pPr>
        <w:spacing w:after="0" w:line="241" w:lineRule="auto"/>
        <w:rPr>
          <w:sz w:val="20"/>
          <w:szCs w:val="20"/>
          <w:color w:val="auto"/>
        </w:rPr>
      </w:pPr>
      <w:r>
        <w:rPr>
          <w:rFonts w:ascii="Arial" w:cs="Arial" w:eastAsia="Arial" w:hAnsi="Arial"/>
          <w:sz w:val="21"/>
          <w:szCs w:val="21"/>
          <w:color w:val="auto"/>
        </w:rPr>
        <w:t>Redemption Date. If any Note is to be redeemed in part only, the notice of redemption shall state the portion of the principal amount to be redeemed.</w:t>
      </w:r>
    </w:p>
    <w:p>
      <w:pPr>
        <w:spacing w:after="0" w:line="153" w:lineRule="exact"/>
        <w:rPr>
          <w:sz w:val="20"/>
          <w:szCs w:val="20"/>
          <w:color w:val="auto"/>
        </w:rPr>
      </w:pPr>
    </w:p>
    <w:p>
      <w:pPr>
        <w:jc w:val="both"/>
        <w:ind w:firstLine="645"/>
        <w:spacing w:after="0"/>
        <w:tabs>
          <w:tab w:leader="none" w:pos="1191" w:val="left"/>
        </w:tabs>
        <w:numPr>
          <w:ilvl w:val="0"/>
          <w:numId w:val="62"/>
        </w:numPr>
        <w:rPr>
          <w:rFonts w:ascii="Arial" w:cs="Arial" w:eastAsia="Arial" w:hAnsi="Arial"/>
          <w:sz w:val="19"/>
          <w:szCs w:val="19"/>
          <w:color w:val="auto"/>
        </w:rPr>
      </w:pPr>
      <w:r>
        <w:rPr>
          <w:rFonts w:ascii="Arial" w:cs="Arial" w:eastAsia="Arial" w:hAnsi="Arial"/>
          <w:sz w:val="19"/>
          <w:szCs w:val="19"/>
          <w:color w:val="auto"/>
        </w:rPr>
        <w:t>Notice of any redemption of the Notes may, at the Company’s discretion, be given subject to one or more conditions precedent, including, but not limited to, completion of a corporate transaction that is pending (such as an equity or equity-linked offering, an incurrence of Indebtedness or an acquisition or other strategic transaction involving a change of control in the Company or another entity). If such redemption is so subject to satisfaction of one or more conditions precedent, such notice shall describe each such condition, and such notice may be rescinded in the event that any or all such conditions shall not have been satisfied or otherwise waived by the Redemption Date. Once notice of redemption is mailed or sent, subject to the satisfaction of any conditions precedent provided in the notice of redemption, the Notes called for redemption will become due and payable on the Redemption Date and at the applicable Redemption Price, plus accrued and unpaid interest to the Redemption Date. The Company shall notify holders of Notes called for redemption of any such rescission as soon as practicable after the Company determines that such conditions precedent will not be able to be satisfied or the Company is not able or willing to waive such conditions precedent.</w:t>
      </w:r>
    </w:p>
    <w:p>
      <w:pPr>
        <w:spacing w:after="0" w:line="155" w:lineRule="exact"/>
        <w:rPr>
          <w:sz w:val="20"/>
          <w:szCs w:val="20"/>
          <w:color w:val="auto"/>
        </w:rPr>
      </w:pPr>
    </w:p>
    <w:p>
      <w:pPr>
        <w:jc w:val="center"/>
        <w:ind w:right="400"/>
        <w:spacing w:after="0"/>
        <w:rPr>
          <w:sz w:val="20"/>
          <w:szCs w:val="20"/>
          <w:color w:val="auto"/>
        </w:rPr>
      </w:pPr>
      <w:r>
        <w:rPr>
          <w:rFonts w:ascii="Arial" w:cs="Arial" w:eastAsia="Arial" w:hAnsi="Arial"/>
          <w:sz w:val="21"/>
          <w:szCs w:val="21"/>
          <w:color w:val="010000"/>
        </w:rPr>
        <w:t>Article IV</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Remedies</w:t>
      </w:r>
    </w:p>
    <w:p>
      <w:pPr>
        <w:spacing w:after="0" w:line="184"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21"/>
          <w:szCs w:val="21"/>
          <w:i w:val="1"/>
          <w:iCs w:val="1"/>
          <w:color w:val="010000"/>
        </w:rPr>
        <w:t>Section 101</w:t>
      </w:r>
      <w:r>
        <w:rPr>
          <w:sz w:val="20"/>
          <w:szCs w:val="20"/>
          <w:color w:val="auto"/>
        </w:rPr>
        <w:tab/>
      </w:r>
      <w:r>
        <w:rPr>
          <w:rFonts w:ascii="Arial" w:cs="Arial" w:eastAsia="Arial" w:hAnsi="Arial"/>
          <w:sz w:val="20"/>
          <w:szCs w:val="20"/>
          <w:i w:val="1"/>
          <w:iCs w:val="1"/>
          <w:color w:val="auto"/>
        </w:rPr>
        <w:t>Additional Events of Default; Acceleration of Maturity</w:t>
      </w:r>
    </w:p>
    <w:p>
      <w:pPr>
        <w:spacing w:after="0" w:line="184" w:lineRule="exact"/>
        <w:rPr>
          <w:sz w:val="20"/>
          <w:szCs w:val="20"/>
          <w:color w:val="auto"/>
        </w:rPr>
      </w:pPr>
    </w:p>
    <w:p>
      <w:pPr>
        <w:jc w:val="both"/>
        <w:ind w:firstLine="645"/>
        <w:spacing w:after="0" w:line="231" w:lineRule="auto"/>
        <w:tabs>
          <w:tab w:leader="none" w:pos="1273" w:val="left"/>
        </w:tabs>
        <w:numPr>
          <w:ilvl w:val="0"/>
          <w:numId w:val="63"/>
        </w:numPr>
        <w:rPr>
          <w:rFonts w:ascii="Arial" w:cs="Arial" w:eastAsia="Arial" w:hAnsi="Arial"/>
          <w:sz w:val="20"/>
          <w:szCs w:val="20"/>
          <w:color w:val="010000"/>
        </w:rPr>
      </w:pPr>
      <w:r>
        <w:rPr>
          <w:rFonts w:ascii="Arial" w:cs="Arial" w:eastAsia="Arial" w:hAnsi="Arial"/>
          <w:sz w:val="20"/>
          <w:szCs w:val="20"/>
          <w:color w:val="auto"/>
        </w:rPr>
        <w:t>Solely with respect to the Notes issued hereby, Section 501(5) of the Original Indenture is hereby deleted in its entirety, and the following is substituted in lieu thereof as an Event of Default in addition to the other events set forth in Section</w:t>
      </w:r>
    </w:p>
    <w:p>
      <w:pPr>
        <w:spacing w:after="0"/>
        <w:rPr>
          <w:rFonts w:ascii="Arial" w:cs="Arial" w:eastAsia="Arial" w:hAnsi="Arial"/>
          <w:sz w:val="20"/>
          <w:szCs w:val="20"/>
          <w:color w:val="010000"/>
        </w:rPr>
      </w:pPr>
      <w:r>
        <w:rPr>
          <w:rFonts w:ascii="Arial" w:cs="Arial" w:eastAsia="Arial" w:hAnsi="Arial"/>
          <w:sz w:val="21"/>
          <w:szCs w:val="21"/>
          <w:color w:val="auto"/>
        </w:rPr>
        <w:t>501 of the Original Indenture:</w:t>
      </w:r>
    </w:p>
    <w:p>
      <w:pPr>
        <w:spacing w:after="0" w:line="166" w:lineRule="exact"/>
        <w:rPr>
          <w:sz w:val="20"/>
          <w:szCs w:val="20"/>
          <w:color w:val="auto"/>
        </w:rPr>
      </w:pPr>
    </w:p>
    <w:p>
      <w:pPr>
        <w:jc w:val="both"/>
        <w:ind w:left="1280" w:right="1280" w:firstLine="638"/>
        <w:spacing w:after="0"/>
        <w:rPr>
          <w:sz w:val="20"/>
          <w:szCs w:val="20"/>
          <w:color w:val="auto"/>
        </w:rPr>
      </w:pPr>
      <w:r>
        <w:rPr>
          <w:rFonts w:ascii="Arial" w:cs="Arial" w:eastAsia="Arial" w:hAnsi="Arial"/>
          <w:sz w:val="19"/>
          <w:szCs w:val="19"/>
          <w:color w:val="auto"/>
        </w:rPr>
        <w:t>“(5) the entry by a court having jurisdiction in the premises of (A) a decree or order for relief in respect of the Company, CERC Corp. or Houston Electric in an involuntary case or proceeding under any applicable federal or state bankruptcy, insolvency, reorganization or other similar law or</w:t>
      </w:r>
    </w:p>
    <w:p>
      <w:pPr>
        <w:spacing w:after="0" w:line="1" w:lineRule="exact"/>
        <w:rPr>
          <w:sz w:val="20"/>
          <w:szCs w:val="20"/>
          <w:color w:val="auto"/>
        </w:rPr>
      </w:pPr>
    </w:p>
    <w:p>
      <w:pPr>
        <w:jc w:val="both"/>
        <w:ind w:left="1280" w:right="1280" w:firstLine="3"/>
        <w:spacing w:after="0" w:line="233" w:lineRule="auto"/>
        <w:tabs>
          <w:tab w:leader="none" w:pos="1675" w:val="left"/>
        </w:tabs>
        <w:numPr>
          <w:ilvl w:val="1"/>
          <w:numId w:val="64"/>
        </w:numPr>
        <w:rPr>
          <w:rFonts w:ascii="Arial" w:cs="Arial" w:eastAsia="Arial" w:hAnsi="Arial"/>
          <w:sz w:val="19"/>
          <w:szCs w:val="19"/>
          <w:color w:val="auto"/>
        </w:rPr>
      </w:pPr>
      <w:r>
        <w:rPr>
          <w:rFonts w:ascii="Arial" w:cs="Arial" w:eastAsia="Arial" w:hAnsi="Arial"/>
          <w:sz w:val="19"/>
          <w:szCs w:val="19"/>
          <w:color w:val="auto"/>
        </w:rPr>
        <w:t>a decree or order adjudging the Company, CERC Corp. or Houston Electric, bankrupt or insolvent, or approving as properly filed a petition seeking reorganization, arrangement, adjustment or composition of or in respect of the Company, CERC Corp. or Houston Electric, under any applicable federal or state law, or appointing a custodian, receiver, liquidator, assignee, trustee, sequestrator or other similar official of the Company, CERC Corp. or Houston Electric or of any substantial part of its respective property, or ordering the winding up or liquidation of its respective affairs, and the continuance of any such decree or order for relief or any such other decree or order unstayed and in effect for a period of 90 consecutive days; provided that any specified event in (A) or</w:t>
      </w:r>
    </w:p>
    <w:p>
      <w:pPr>
        <w:spacing w:after="0" w:line="4" w:lineRule="exact"/>
        <w:rPr>
          <w:rFonts w:ascii="Arial" w:cs="Arial" w:eastAsia="Arial" w:hAnsi="Arial"/>
          <w:sz w:val="19"/>
          <w:szCs w:val="19"/>
          <w:color w:val="auto"/>
        </w:rPr>
      </w:pPr>
    </w:p>
    <w:p>
      <w:pPr>
        <w:jc w:val="both"/>
        <w:ind w:left="1280" w:right="1280" w:firstLine="3"/>
        <w:spacing w:after="0" w:line="224" w:lineRule="auto"/>
        <w:tabs>
          <w:tab w:leader="none" w:pos="1622" w:val="left"/>
        </w:tabs>
        <w:numPr>
          <w:ilvl w:val="1"/>
          <w:numId w:val="65"/>
        </w:numPr>
        <w:rPr>
          <w:rFonts w:ascii="Arial" w:cs="Arial" w:eastAsia="Arial" w:hAnsi="Arial"/>
          <w:sz w:val="21"/>
          <w:szCs w:val="21"/>
          <w:color w:val="auto"/>
        </w:rPr>
      </w:pPr>
      <w:r>
        <w:rPr>
          <w:rFonts w:ascii="Arial" w:cs="Arial" w:eastAsia="Arial" w:hAnsi="Arial"/>
          <w:sz w:val="21"/>
          <w:szCs w:val="21"/>
          <w:color w:val="auto"/>
        </w:rPr>
        <w:t>involving CERC Corp. or Houston Electric shall not constitute an Event of Default if, at the time such event occurs, CERC Corp. or Houston Electric, as the case may be, shall no longer be an Affiliate of the Company; or”</w:t>
      </w:r>
    </w:p>
    <w:p>
      <w:pPr>
        <w:spacing w:after="0" w:line="156" w:lineRule="exact"/>
        <w:rPr>
          <w:rFonts w:ascii="Arial" w:cs="Arial" w:eastAsia="Arial" w:hAnsi="Arial"/>
          <w:sz w:val="21"/>
          <w:szCs w:val="21"/>
          <w:color w:val="auto"/>
        </w:rPr>
      </w:pPr>
    </w:p>
    <w:p>
      <w:pPr>
        <w:jc w:val="both"/>
        <w:ind w:firstLine="645"/>
        <w:spacing w:after="0" w:line="231" w:lineRule="auto"/>
        <w:tabs>
          <w:tab w:leader="none" w:pos="1272" w:val="left"/>
        </w:tabs>
        <w:numPr>
          <w:ilvl w:val="0"/>
          <w:numId w:val="66"/>
        </w:numPr>
        <w:rPr>
          <w:rFonts w:ascii="Arial" w:cs="Arial" w:eastAsia="Arial" w:hAnsi="Arial"/>
          <w:sz w:val="20"/>
          <w:szCs w:val="20"/>
          <w:color w:val="010000"/>
        </w:rPr>
      </w:pPr>
      <w:r>
        <w:rPr>
          <w:rFonts w:ascii="Arial" w:cs="Arial" w:eastAsia="Arial" w:hAnsi="Arial"/>
          <w:sz w:val="20"/>
          <w:szCs w:val="20"/>
          <w:color w:val="auto"/>
        </w:rPr>
        <w:t>Solely with respect to the Notes issued hereby, Section 501(6) of the Original Indenture is hereby deleted in its entirety, and the following is substituted in lieu thereof as an Event of Default in addition to the other events set forth in Section</w:t>
      </w:r>
    </w:p>
    <w:p>
      <w:pPr>
        <w:spacing w:after="0"/>
        <w:rPr>
          <w:rFonts w:ascii="Arial" w:cs="Arial" w:eastAsia="Arial" w:hAnsi="Arial"/>
          <w:sz w:val="20"/>
          <w:szCs w:val="20"/>
          <w:color w:val="010000"/>
        </w:rPr>
      </w:pPr>
      <w:r>
        <w:rPr>
          <w:rFonts w:ascii="Arial" w:cs="Arial" w:eastAsia="Arial" w:hAnsi="Arial"/>
          <w:sz w:val="21"/>
          <w:szCs w:val="21"/>
          <w:color w:val="auto"/>
        </w:rPr>
        <w:t>501 of the Original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381" w:right="339" w:bottom="1440" w:gutter="0" w:footer="0" w:header="0"/>
        </w:sectPr>
      </w:pPr>
    </w:p>
    <w:bookmarkStart w:id="104" w:name="page105"/>
    <w:bookmarkEnd w:id="104"/>
    <w:p>
      <w:pPr>
        <w:jc w:val="both"/>
        <w:ind w:left="1280" w:right="1280" w:firstLine="638"/>
        <w:spacing w:after="0" w:line="237" w:lineRule="auto"/>
        <w:rPr>
          <w:sz w:val="20"/>
          <w:szCs w:val="20"/>
          <w:color w:val="auto"/>
        </w:rPr>
      </w:pPr>
      <w:r>
        <w:rPr>
          <w:rFonts w:ascii="Arial" w:cs="Arial" w:eastAsia="Arial" w:hAnsi="Arial"/>
          <w:sz w:val="19"/>
          <w:szCs w:val="19"/>
          <w:color w:val="auto"/>
        </w:rPr>
        <w:t>“(6) the commencement by the Company, CERC Corp. or Houston Electric of a voluntary case or proceeding under any applicable federal or state bankruptcy, insolvency, reorganization or other similar law or of any other case or proceeding to be adjudicated a bankrupt or insolvent, or the consent by any of them to the entry of a decree or order for relief in respect of the Company, CERC Corp. or Houston Electric in an involuntary case or proceeding under any applicable federal or state bankruptcy, insolvency, reorganization or other similar law or to the commencement of any bankruptcy or insolvency case or proceeding against any of them, or the filing by any of them of a petition or answer or consent seeking reorganization or relief under any applicable federal or state law, or the consent by any of them to the filing of such petition or to the appointment of or taking possession by a custodian, receiver, liquidator, assignee, trustee, sequestrator or other similar official of the Company, CERC Corp. or Houston Electric or of any substantial part of its respective property, or the making by any of them of an assignment of a substantial part of its respective property for the benefit of creditors, or the admission by any of them in writing of the inability of any of the Company, CERC Corp. or Houston Electric to pay its respective debts generally as they become due, or the taking of corporate action by the Company, CERC Corp. or Houston Electric in furtherance of any such action; provided that any such specified event involving CERC Corp. or Houston Electric shall not constitute an Event of Default if, at the time such event occurs, CERC Corp. or Houston Electric, as the case may be, shall no longer be an Affiliate of the Company; or”</w:t>
      </w:r>
    </w:p>
    <w:p>
      <w:pPr>
        <w:spacing w:after="0" w:line="158" w:lineRule="exact"/>
        <w:rPr>
          <w:sz w:val="20"/>
          <w:szCs w:val="20"/>
          <w:color w:val="auto"/>
        </w:rPr>
      </w:pPr>
    </w:p>
    <w:p>
      <w:pPr>
        <w:jc w:val="both"/>
        <w:ind w:firstLine="645"/>
        <w:spacing w:after="0" w:line="230" w:lineRule="auto"/>
        <w:tabs>
          <w:tab w:leader="none" w:pos="1273" w:val="left"/>
        </w:tabs>
        <w:numPr>
          <w:ilvl w:val="0"/>
          <w:numId w:val="67"/>
        </w:numPr>
        <w:rPr>
          <w:rFonts w:ascii="Arial" w:cs="Arial" w:eastAsia="Arial" w:hAnsi="Arial"/>
          <w:sz w:val="21"/>
          <w:szCs w:val="21"/>
          <w:color w:val="010000"/>
        </w:rPr>
      </w:pPr>
      <w:r>
        <w:rPr>
          <w:rFonts w:ascii="Arial" w:cs="Arial" w:eastAsia="Arial" w:hAnsi="Arial"/>
          <w:sz w:val="21"/>
          <w:szCs w:val="21"/>
          <w:color w:val="auto"/>
        </w:rPr>
        <w:t>Solely with respect to the Notes issued hereby, and pursuant to Section 501(7) of the Original Indenture, Section 501(7) of the Original Indenture is hereby deleted in its entirety, and the following is substituted in lieu thereof, as an “Event of Default” in addition to the other events set forth in Section 501 of the Original Indenture:</w:t>
      </w:r>
    </w:p>
    <w:p>
      <w:pPr>
        <w:spacing w:after="0" w:line="157" w:lineRule="exact"/>
        <w:rPr>
          <w:sz w:val="20"/>
          <w:szCs w:val="20"/>
          <w:color w:val="auto"/>
        </w:rPr>
      </w:pPr>
    </w:p>
    <w:p>
      <w:pPr>
        <w:jc w:val="both"/>
        <w:ind w:left="1280" w:right="1280" w:firstLine="638"/>
        <w:spacing w:after="0" w:line="219" w:lineRule="auto"/>
        <w:rPr>
          <w:sz w:val="20"/>
          <w:szCs w:val="20"/>
          <w:color w:val="auto"/>
        </w:rPr>
      </w:pPr>
      <w:r>
        <w:rPr>
          <w:rFonts w:ascii="Arial" w:cs="Arial" w:eastAsia="Arial" w:hAnsi="Arial"/>
          <w:sz w:val="21"/>
          <w:szCs w:val="21"/>
          <w:color w:val="auto"/>
        </w:rPr>
        <w:t>“(7) The default by the Company in a scheduled payment at maturity, upon redemption or otherwise, in the aggregate principal amount of $125 million or more, after the expiration of any applicable grace period, of any Indebtedness or the acceleration of any Indebtedness of the Company in such aggregate principal amount so that it becomes due and payable prior to the date on which it would otherwise have become due and payable and such payment default is not cured or such acceleration is not rescinded within 30 days after notice to the Company in accordance with the terms of the Indebtedness.”</w:t>
      </w:r>
    </w:p>
    <w:p>
      <w:pPr>
        <w:spacing w:after="0" w:line="159" w:lineRule="exact"/>
        <w:rPr>
          <w:sz w:val="20"/>
          <w:szCs w:val="20"/>
          <w:color w:val="auto"/>
        </w:rPr>
      </w:pPr>
    </w:p>
    <w:p>
      <w:pPr>
        <w:ind w:firstLine="638"/>
        <w:spacing w:after="0" w:line="241" w:lineRule="auto"/>
        <w:rPr>
          <w:sz w:val="20"/>
          <w:szCs w:val="20"/>
          <w:color w:val="auto"/>
        </w:rPr>
      </w:pPr>
      <w:r>
        <w:rPr>
          <w:rFonts w:ascii="Arial" w:cs="Arial" w:eastAsia="Arial" w:hAnsi="Arial"/>
          <w:sz w:val="21"/>
          <w:szCs w:val="21"/>
          <w:color w:val="010000"/>
        </w:rPr>
        <w:t xml:space="preserve">Section 102 </w:t>
      </w:r>
      <w:r>
        <w:rPr>
          <w:rFonts w:ascii="Arial" w:cs="Arial" w:eastAsia="Arial" w:hAnsi="Arial"/>
          <w:sz w:val="21"/>
          <w:szCs w:val="21"/>
          <w:i w:val="1"/>
          <w:iCs w:val="1"/>
          <w:color w:val="000000"/>
        </w:rPr>
        <w:t>Amendment of Certain Provisions</w:t>
      </w:r>
      <w:r>
        <w:rPr>
          <w:rFonts w:ascii="Arial" w:cs="Arial" w:eastAsia="Arial" w:hAnsi="Arial"/>
          <w:sz w:val="21"/>
          <w:szCs w:val="21"/>
          <w:color w:val="000000"/>
        </w:rPr>
        <w:t>. Solely with respect to the Notes issued hereby, references to “25%” in</w:t>
      </w:r>
      <w:r>
        <w:rPr>
          <w:rFonts w:ascii="Arial" w:cs="Arial" w:eastAsia="Arial" w:hAnsi="Arial"/>
          <w:sz w:val="21"/>
          <w:szCs w:val="21"/>
          <w:color w:val="010000"/>
        </w:rPr>
        <w:t xml:space="preserve"> </w:t>
      </w:r>
      <w:r>
        <w:rPr>
          <w:rFonts w:ascii="Arial" w:cs="Arial" w:eastAsia="Arial" w:hAnsi="Arial"/>
          <w:sz w:val="21"/>
          <w:szCs w:val="21"/>
          <w:color w:val="000000"/>
        </w:rPr>
        <w:t>Article Five of the Indenture are hereby deleted in their entirety and “33%” is substituted in lieu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381" w:right="339" w:bottom="1440" w:gutter="0" w:footer="0" w:header="0"/>
        </w:sectPr>
      </w:pPr>
    </w:p>
    <w:bookmarkStart w:id="105" w:name="page106"/>
    <w:bookmarkEnd w:id="105"/>
    <w:p>
      <w:pPr>
        <w:jc w:val="center"/>
        <w:ind w:right="480"/>
        <w:spacing w:after="0"/>
        <w:rPr>
          <w:sz w:val="20"/>
          <w:szCs w:val="20"/>
          <w:color w:val="auto"/>
        </w:rPr>
      </w:pPr>
      <w:r>
        <w:rPr>
          <w:rFonts w:ascii="Arial" w:cs="Arial" w:eastAsia="Arial" w:hAnsi="Arial"/>
          <w:sz w:val="21"/>
          <w:szCs w:val="21"/>
          <w:color w:val="010000"/>
        </w:rPr>
        <w:t>Article V</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Miscellaneous Provisions</w:t>
      </w:r>
    </w:p>
    <w:p>
      <w:pPr>
        <w:spacing w:after="0" w:line="184" w:lineRule="exact"/>
        <w:rPr>
          <w:sz w:val="20"/>
          <w:szCs w:val="20"/>
          <w:color w:val="auto"/>
        </w:rPr>
      </w:pPr>
    </w:p>
    <w:p>
      <w:pPr>
        <w:jc w:val="both"/>
        <w:ind w:firstLine="638"/>
        <w:spacing w:after="0" w:line="241" w:lineRule="auto"/>
        <w:rPr>
          <w:sz w:val="20"/>
          <w:szCs w:val="20"/>
          <w:color w:val="auto"/>
        </w:rPr>
      </w:pPr>
      <w:r>
        <w:rPr>
          <w:rFonts w:ascii="Arial" w:cs="Arial" w:eastAsia="Arial" w:hAnsi="Arial"/>
          <w:sz w:val="21"/>
          <w:szCs w:val="21"/>
          <w:color w:val="010000"/>
        </w:rPr>
        <w:t xml:space="preserve">Section 101 </w:t>
      </w:r>
      <w:r>
        <w:rPr>
          <w:rFonts w:ascii="Arial" w:cs="Arial" w:eastAsia="Arial" w:hAnsi="Arial"/>
          <w:sz w:val="21"/>
          <w:szCs w:val="21"/>
          <w:color w:val="000000"/>
        </w:rPr>
        <w:t>The Indenture, as supplemented and amended by this Supplemental Indenture No. 14, is in all respects</w:t>
      </w:r>
      <w:r>
        <w:rPr>
          <w:rFonts w:ascii="Arial" w:cs="Arial" w:eastAsia="Arial" w:hAnsi="Arial"/>
          <w:sz w:val="21"/>
          <w:szCs w:val="21"/>
          <w:color w:val="010000"/>
        </w:rPr>
        <w:t xml:space="preserve"> </w:t>
      </w:r>
      <w:r>
        <w:rPr>
          <w:rFonts w:ascii="Arial" w:cs="Arial" w:eastAsia="Arial" w:hAnsi="Arial"/>
          <w:sz w:val="21"/>
          <w:szCs w:val="21"/>
          <w:color w:val="000000"/>
        </w:rPr>
        <w:t>hereby adopted, ratified and confirmed.</w:t>
      </w:r>
    </w:p>
    <w:p>
      <w:pPr>
        <w:spacing w:after="0" w:line="153" w:lineRule="exact"/>
        <w:rPr>
          <w:sz w:val="20"/>
          <w:szCs w:val="20"/>
          <w:color w:val="auto"/>
        </w:rPr>
      </w:pPr>
    </w:p>
    <w:p>
      <w:pPr>
        <w:jc w:val="both"/>
        <w:ind w:firstLine="638"/>
        <w:spacing w:after="0" w:line="237" w:lineRule="auto"/>
        <w:rPr>
          <w:sz w:val="20"/>
          <w:szCs w:val="20"/>
          <w:color w:val="auto"/>
        </w:rPr>
      </w:pPr>
      <w:r>
        <w:rPr>
          <w:rFonts w:ascii="Arial" w:cs="Arial" w:eastAsia="Arial" w:hAnsi="Arial"/>
          <w:sz w:val="19"/>
          <w:szCs w:val="19"/>
          <w:color w:val="010000"/>
        </w:rPr>
        <w:t xml:space="preserve">Section 102 </w:t>
      </w:r>
      <w:r>
        <w:rPr>
          <w:rFonts w:ascii="Arial" w:cs="Arial" w:eastAsia="Arial" w:hAnsi="Arial"/>
          <w:sz w:val="19"/>
          <w:szCs w:val="19"/>
          <w:color w:val="000000"/>
        </w:rPr>
        <w:t>This Supplemental Indenture No. 14 may be executed in any number of counterparts, each of which shall be</w:t>
      </w:r>
      <w:r>
        <w:rPr>
          <w:rFonts w:ascii="Arial" w:cs="Arial" w:eastAsia="Arial" w:hAnsi="Arial"/>
          <w:sz w:val="19"/>
          <w:szCs w:val="19"/>
          <w:color w:val="010000"/>
        </w:rPr>
        <w:t xml:space="preserve"> </w:t>
      </w:r>
      <w:r>
        <w:rPr>
          <w:rFonts w:ascii="Arial" w:cs="Arial" w:eastAsia="Arial" w:hAnsi="Arial"/>
          <w:sz w:val="19"/>
          <w:szCs w:val="19"/>
          <w:color w:val="000000"/>
        </w:rPr>
        <w:t>an original, but such counterparts shall together constitute but one and the same instrument. The words “execution,” “executed,” “signed,” signature,” and words of like import in this Supplemental Indenture No. 14 shall include images of manually executed signatures transmitted by facsimile, email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 Without limitation to the foregoing, and anything in this Supplemental Indenture No. 14 to the contrary notwithstanding, (a) any Officers’ Certificate, Company Order, Opinion of Counsel, Security, certificate of authentication appearing on or attached to any Security or other certificate, Opinion of Counsel, instrument, agreement or other document delivered pursuant to this Supplemental Indenture No. 14 may be executed, attested and transmitted by any of the foregoing electronic means and formats, (b) all references in Section 303 or elsewhere in the Indenture to the execution, attestation or authentication of any Security or any certificate of authentication appearing on or attached to any Security by means of a manual or facsimile signature shall be deemed to include signatures that are made or transmitted by any of the foregoing electronic means or formats (provided that any electronic signature is a true representation of the signer’s actual signature), and (c) any requirement in Section 303 or elsewhere in the Indenture that any signature be made under a corporate seal (or facsimile thereof) shall not be applicable to the Securities of such series.</w:t>
      </w:r>
    </w:p>
    <w:p>
      <w:pPr>
        <w:spacing w:after="0" w:line="155" w:lineRule="exact"/>
        <w:rPr>
          <w:sz w:val="20"/>
          <w:szCs w:val="20"/>
          <w:color w:val="auto"/>
        </w:rPr>
      </w:pPr>
    </w:p>
    <w:p>
      <w:pPr>
        <w:jc w:val="both"/>
        <w:ind w:firstLine="638"/>
        <w:spacing w:after="0" w:line="230" w:lineRule="auto"/>
        <w:rPr>
          <w:sz w:val="20"/>
          <w:szCs w:val="20"/>
          <w:color w:val="auto"/>
        </w:rPr>
      </w:pPr>
      <w:r>
        <w:rPr>
          <w:rFonts w:ascii="Arial" w:cs="Arial" w:eastAsia="Arial" w:hAnsi="Arial"/>
          <w:sz w:val="21"/>
          <w:szCs w:val="21"/>
          <w:color w:val="010000"/>
        </w:rPr>
        <w:t xml:space="preserve">Section 103 </w:t>
      </w:r>
      <w:r>
        <w:rPr>
          <w:rFonts w:ascii="Arial" w:cs="Arial" w:eastAsia="Arial" w:hAnsi="Arial"/>
          <w:sz w:val="21"/>
          <w:szCs w:val="21"/>
          <w:color w:val="000000"/>
        </w:rPr>
        <w:t>THIS SUPPLEMENTAL INDENTURE NO. 14 AND EACH NOTE SHALL BE DEEMED TO BE A</w:t>
      </w:r>
      <w:r>
        <w:rPr>
          <w:rFonts w:ascii="Arial" w:cs="Arial" w:eastAsia="Arial" w:hAnsi="Arial"/>
          <w:sz w:val="21"/>
          <w:szCs w:val="21"/>
          <w:color w:val="010000"/>
        </w:rPr>
        <w:t xml:space="preserve"> </w:t>
      </w:r>
      <w:r>
        <w:rPr>
          <w:rFonts w:ascii="Arial" w:cs="Arial" w:eastAsia="Arial" w:hAnsi="Arial"/>
          <w:sz w:val="21"/>
          <w:szCs w:val="21"/>
          <w:color w:val="000000"/>
        </w:rPr>
        <w:t>CONTRACT MADE UNDER THE LAWS OF THE STATE OF NEW YORK AND SHALL BE GOVERNED BY AND CONSTRUED IN ACCORDANCE WITH THE LAWS OF THE STATE OF NEW YORK.</w:t>
      </w:r>
    </w:p>
    <w:p>
      <w:pPr>
        <w:spacing w:after="0" w:line="157" w:lineRule="exact"/>
        <w:rPr>
          <w:sz w:val="20"/>
          <w:szCs w:val="20"/>
          <w:color w:val="auto"/>
        </w:rPr>
      </w:pPr>
    </w:p>
    <w:p>
      <w:pPr>
        <w:jc w:val="both"/>
        <w:ind w:firstLine="638"/>
        <w:spacing w:after="0" w:line="291" w:lineRule="auto"/>
        <w:rPr>
          <w:sz w:val="20"/>
          <w:szCs w:val="20"/>
          <w:color w:val="auto"/>
        </w:rPr>
      </w:pPr>
      <w:r>
        <w:rPr>
          <w:rFonts w:ascii="Arial" w:cs="Arial" w:eastAsia="Arial" w:hAnsi="Arial"/>
          <w:sz w:val="19"/>
          <w:szCs w:val="19"/>
          <w:color w:val="010000"/>
        </w:rPr>
        <w:t xml:space="preserve">Section 104 </w:t>
      </w:r>
      <w:r>
        <w:rPr>
          <w:rFonts w:ascii="Arial" w:cs="Arial" w:eastAsia="Arial" w:hAnsi="Arial"/>
          <w:sz w:val="19"/>
          <w:szCs w:val="19"/>
          <w:color w:val="000000"/>
        </w:rPr>
        <w:t>If any provision in this Supplemental Indenture No. 14 limits, qualifies or conflicts with another provision</w:t>
      </w:r>
      <w:r>
        <w:rPr>
          <w:rFonts w:ascii="Arial" w:cs="Arial" w:eastAsia="Arial" w:hAnsi="Arial"/>
          <w:sz w:val="19"/>
          <w:szCs w:val="19"/>
          <w:color w:val="010000"/>
        </w:rPr>
        <w:t xml:space="preserve"> </w:t>
      </w:r>
      <w:r>
        <w:rPr>
          <w:rFonts w:ascii="Arial" w:cs="Arial" w:eastAsia="Arial" w:hAnsi="Arial"/>
          <w:sz w:val="19"/>
          <w:szCs w:val="19"/>
          <w:color w:val="000000"/>
        </w:rPr>
        <w:t>hereof which is required to be included herein by any provisions of the Trust Indenture Act, such required provision shall control.</w:t>
      </w:r>
    </w:p>
    <w:p>
      <w:pPr>
        <w:spacing w:after="0" w:line="108" w:lineRule="exact"/>
        <w:rPr>
          <w:sz w:val="20"/>
          <w:szCs w:val="20"/>
          <w:color w:val="auto"/>
        </w:rPr>
      </w:pPr>
    </w:p>
    <w:p>
      <w:pPr>
        <w:jc w:val="both"/>
        <w:ind w:firstLine="638"/>
        <w:spacing w:after="0" w:line="230" w:lineRule="auto"/>
        <w:rPr>
          <w:sz w:val="20"/>
          <w:szCs w:val="20"/>
          <w:color w:val="auto"/>
        </w:rPr>
      </w:pPr>
      <w:r>
        <w:rPr>
          <w:rFonts w:ascii="Arial" w:cs="Arial" w:eastAsia="Arial" w:hAnsi="Arial"/>
          <w:sz w:val="21"/>
          <w:szCs w:val="21"/>
          <w:color w:val="010000"/>
        </w:rPr>
        <w:t xml:space="preserve">Section 105 </w:t>
      </w:r>
      <w:r>
        <w:rPr>
          <w:rFonts w:ascii="Arial" w:cs="Arial" w:eastAsia="Arial" w:hAnsi="Arial"/>
          <w:sz w:val="21"/>
          <w:szCs w:val="21"/>
          <w:color w:val="000000"/>
        </w:rPr>
        <w:t>In case any provision in this Supplemental Indenture No. 14 or the Notes shall be invalid, illegal or</w:t>
      </w:r>
      <w:r>
        <w:rPr>
          <w:rFonts w:ascii="Arial" w:cs="Arial" w:eastAsia="Arial" w:hAnsi="Arial"/>
          <w:sz w:val="21"/>
          <w:szCs w:val="21"/>
          <w:color w:val="010000"/>
        </w:rPr>
        <w:t xml:space="preserve"> </w:t>
      </w:r>
      <w:r>
        <w:rPr>
          <w:rFonts w:ascii="Arial" w:cs="Arial" w:eastAsia="Arial" w:hAnsi="Arial"/>
          <w:sz w:val="21"/>
          <w:szCs w:val="21"/>
          <w:color w:val="000000"/>
        </w:rPr>
        <w:t>unenforceable, the validity, legality and enforceability of the remaining provisions shall not in any way be affected or impaired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381" w:right="339" w:bottom="1440" w:gutter="0" w:footer="0" w:header="0"/>
        </w:sectPr>
      </w:pPr>
    </w:p>
    <w:bookmarkStart w:id="106" w:name="page107"/>
    <w:bookmarkEnd w:id="106"/>
    <w:p>
      <w:pPr>
        <w:spacing w:after="0" w:line="181" w:lineRule="exact"/>
        <w:rPr>
          <w:sz w:val="20"/>
          <w:szCs w:val="20"/>
          <w:color w:val="auto"/>
        </w:rPr>
      </w:pPr>
    </w:p>
    <w:p>
      <w:pPr>
        <w:ind w:firstLine="638"/>
        <w:spacing w:after="0" w:line="241" w:lineRule="auto"/>
        <w:rPr>
          <w:sz w:val="20"/>
          <w:szCs w:val="20"/>
          <w:color w:val="auto"/>
        </w:rPr>
      </w:pPr>
      <w:r>
        <w:rPr>
          <w:rFonts w:ascii="Arial" w:cs="Arial" w:eastAsia="Arial" w:hAnsi="Arial"/>
          <w:sz w:val="21"/>
          <w:szCs w:val="21"/>
          <w:color w:val="auto"/>
        </w:rPr>
        <w:t>IN WITNESS WHEREOF, the parties hereto have caused this Supplemental Indenture No. 14 to be duly executed, as of the day and year first written above.</w:t>
      </w:r>
    </w:p>
    <w:p>
      <w:pPr>
        <w:spacing w:after="0" w:line="393" w:lineRule="exact"/>
        <w:rPr>
          <w:sz w:val="20"/>
          <w:szCs w:val="20"/>
          <w:color w:val="auto"/>
        </w:rPr>
      </w:pPr>
    </w:p>
    <w:p>
      <w:pPr>
        <w:ind w:left="3840"/>
        <w:spacing w:after="0"/>
        <w:rPr>
          <w:sz w:val="20"/>
          <w:szCs w:val="20"/>
          <w:color w:val="auto"/>
        </w:rPr>
      </w:pPr>
      <w:r>
        <w:rPr>
          <w:rFonts w:ascii="Arial" w:cs="Arial" w:eastAsia="Arial" w:hAnsi="Arial"/>
          <w:sz w:val="21"/>
          <w:szCs w:val="21"/>
          <w:color w:val="auto"/>
        </w:rPr>
        <w:t>CENTERPOINT ENERGY, INC.</w:t>
      </w:r>
    </w:p>
    <w:p>
      <w:pPr>
        <w:spacing w:after="0" w:line="173" w:lineRule="exact"/>
        <w:rPr>
          <w:sz w:val="20"/>
          <w:szCs w:val="20"/>
          <w:color w:val="auto"/>
        </w:rPr>
      </w:pPr>
    </w:p>
    <w:p>
      <w:pPr>
        <w:ind w:left="3840"/>
        <w:spacing w:after="0"/>
        <w:tabs>
          <w:tab w:leader="none" w:pos="43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u w:val="single" w:color="auto"/>
          <w:color w:val="auto"/>
        </w:rPr>
        <w:t>/s/ Christopher A. Foster</w:t>
      </w:r>
    </w:p>
    <w:p>
      <w:pPr>
        <w:ind w:left="4320"/>
        <w:spacing w:after="0" w:line="211" w:lineRule="auto"/>
        <w:rPr>
          <w:sz w:val="20"/>
          <w:szCs w:val="20"/>
          <w:color w:val="auto"/>
        </w:rPr>
      </w:pPr>
      <w:r>
        <w:rPr>
          <w:rFonts w:ascii="Arial" w:cs="Arial" w:eastAsia="Arial" w:hAnsi="Arial"/>
          <w:sz w:val="21"/>
          <w:szCs w:val="21"/>
          <w:color w:val="auto"/>
        </w:rPr>
        <w:t>Name: Christopher A. Foster</w:t>
      </w:r>
    </w:p>
    <w:p>
      <w:pPr>
        <w:ind w:left="4320"/>
        <w:spacing w:after="0" w:line="211" w:lineRule="auto"/>
        <w:rPr>
          <w:sz w:val="20"/>
          <w:szCs w:val="20"/>
          <w:color w:val="auto"/>
        </w:rPr>
      </w:pPr>
      <w:r>
        <w:rPr>
          <w:rFonts w:ascii="Arial" w:cs="Arial" w:eastAsia="Arial" w:hAnsi="Arial"/>
          <w:sz w:val="21"/>
          <w:szCs w:val="21"/>
          <w:color w:val="auto"/>
        </w:rPr>
        <w:t>Title: Executive Vice President and Chief</w:t>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Financial Officer</w:t>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Attest:</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 Vincent A. Mercaldi</w:t>
      </w:r>
    </w:p>
    <w:p>
      <w:pPr>
        <w:spacing w:after="0" w:line="211" w:lineRule="auto"/>
        <w:rPr>
          <w:sz w:val="20"/>
          <w:szCs w:val="20"/>
          <w:color w:val="auto"/>
        </w:rPr>
      </w:pPr>
      <w:r>
        <w:rPr>
          <w:rFonts w:ascii="Arial" w:cs="Arial" w:eastAsia="Arial" w:hAnsi="Arial"/>
          <w:sz w:val="21"/>
          <w:szCs w:val="21"/>
          <w:color w:val="auto"/>
        </w:rPr>
        <w:t>Name: Vincent A. Mercaldi</w:t>
      </w:r>
    </w:p>
    <w:p>
      <w:pPr>
        <w:spacing w:after="0"/>
        <w:rPr>
          <w:sz w:val="20"/>
          <w:szCs w:val="20"/>
          <w:color w:val="auto"/>
        </w:rPr>
      </w:pPr>
      <w:r>
        <w:rPr>
          <w:rFonts w:ascii="Arial" w:cs="Arial" w:eastAsia="Arial" w:hAnsi="Arial"/>
          <w:sz w:val="21"/>
          <w:szCs w:val="21"/>
          <w:color w:val="auto"/>
        </w:rPr>
        <w:t>Title: Secretary</w:t>
      </w:r>
    </w:p>
    <w:p>
      <w:pPr>
        <w:spacing w:after="0" w:line="395" w:lineRule="exact"/>
        <w:rPr>
          <w:sz w:val="20"/>
          <w:szCs w:val="20"/>
          <w:color w:val="auto"/>
        </w:rPr>
      </w:pPr>
    </w:p>
    <w:p>
      <w:pPr>
        <w:ind w:left="3840"/>
        <w:spacing w:after="0"/>
        <w:rPr>
          <w:sz w:val="20"/>
          <w:szCs w:val="20"/>
          <w:color w:val="auto"/>
        </w:rPr>
      </w:pPr>
      <w:r>
        <w:rPr>
          <w:rFonts w:ascii="Arial" w:cs="Arial" w:eastAsia="Arial" w:hAnsi="Arial"/>
          <w:sz w:val="21"/>
          <w:szCs w:val="21"/>
          <w:color w:val="auto"/>
        </w:rPr>
        <w:t>THE BANK OF NEW YORK MELLON TRUST COMPANY, NATIONAL</w:t>
      </w:r>
    </w:p>
    <w:p>
      <w:pPr>
        <w:ind w:left="3840"/>
        <w:spacing w:after="0" w:line="211" w:lineRule="auto"/>
        <w:rPr>
          <w:sz w:val="20"/>
          <w:szCs w:val="20"/>
          <w:color w:val="auto"/>
        </w:rPr>
      </w:pPr>
      <w:r>
        <w:rPr>
          <w:rFonts w:ascii="Arial" w:cs="Arial" w:eastAsia="Arial" w:hAnsi="Arial"/>
          <w:sz w:val="21"/>
          <w:szCs w:val="21"/>
          <w:color w:val="auto"/>
        </w:rPr>
        <w:t>ASSOCIATION,</w:t>
      </w:r>
    </w:p>
    <w:p>
      <w:pPr>
        <w:ind w:left="3840"/>
        <w:spacing w:after="0"/>
        <w:rPr>
          <w:sz w:val="20"/>
          <w:szCs w:val="20"/>
          <w:color w:val="auto"/>
        </w:rPr>
      </w:pPr>
      <w:r>
        <w:rPr>
          <w:rFonts w:ascii="Arial" w:cs="Arial" w:eastAsia="Arial" w:hAnsi="Arial"/>
          <w:sz w:val="21"/>
          <w:szCs w:val="21"/>
          <w:color w:val="auto"/>
        </w:rPr>
        <w:t>As Trustee</w:t>
      </w:r>
    </w:p>
    <w:p>
      <w:pPr>
        <w:spacing w:after="0" w:line="155" w:lineRule="exact"/>
        <w:rPr>
          <w:sz w:val="20"/>
          <w:szCs w:val="20"/>
          <w:color w:val="auto"/>
        </w:rPr>
      </w:pPr>
    </w:p>
    <w:p>
      <w:pPr>
        <w:ind w:left="3840"/>
        <w:spacing w:after="0"/>
        <w:tabs>
          <w:tab w:leader="none" w:pos="43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u w:val="single" w:color="auto"/>
          <w:color w:val="auto"/>
        </w:rPr>
        <w:t>/s/ Terence Rawlins</w:t>
      </w:r>
    </w:p>
    <w:p>
      <w:pPr>
        <w:ind w:left="4320"/>
        <w:spacing w:after="0" w:line="211" w:lineRule="auto"/>
        <w:rPr>
          <w:sz w:val="20"/>
          <w:szCs w:val="20"/>
          <w:color w:val="auto"/>
        </w:rPr>
      </w:pPr>
      <w:r>
        <w:rPr>
          <w:rFonts w:ascii="Arial" w:cs="Arial" w:eastAsia="Arial" w:hAnsi="Arial"/>
          <w:sz w:val="21"/>
          <w:szCs w:val="21"/>
          <w:color w:val="auto"/>
        </w:rPr>
        <w:t>Name: Terence Rawlins</w:t>
      </w:r>
    </w:p>
    <w:p>
      <w:pPr>
        <w:ind w:left="4320"/>
        <w:spacing w:after="0"/>
        <w:rPr>
          <w:sz w:val="20"/>
          <w:szCs w:val="20"/>
          <w:color w:val="auto"/>
        </w:rPr>
      </w:pPr>
      <w:r>
        <w:rPr>
          <w:rFonts w:ascii="Arial" w:cs="Arial" w:eastAsia="Arial" w:hAnsi="Arial"/>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440"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21"/>
          <w:szCs w:val="21"/>
          <w:u w:val="single" w:color="auto"/>
          <w:color w:val="auto"/>
        </w:rPr>
        <w:t>Exhibit 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[FORM OF FACE OF SECURITY]</w:t>
      </w:r>
    </w:p>
    <w:p>
      <w:pPr>
        <w:spacing w:after="0" w:line="184" w:lineRule="exact"/>
        <w:rPr>
          <w:sz w:val="20"/>
          <w:szCs w:val="20"/>
          <w:color w:val="auto"/>
        </w:rPr>
      </w:pPr>
    </w:p>
    <w:p>
      <w:pPr>
        <w:jc w:val="both"/>
        <w:spacing w:after="0" w:line="219" w:lineRule="auto"/>
        <w:rPr>
          <w:sz w:val="20"/>
          <w:szCs w:val="20"/>
          <w:color w:val="auto"/>
        </w:rPr>
      </w:pPr>
      <w:r>
        <w:rPr>
          <w:rFonts w:ascii="Arial" w:cs="Arial" w:eastAsia="Arial" w:hAnsi="Arial"/>
          <w:sz w:val="21"/>
          <w:szCs w:val="21"/>
          <w:color w:val="auto"/>
        </w:rPr>
        <w:t>[IF THIS SECURITY IS TO BE A GLOBAL SECURITY -] THIS SECURITY IS A GLOBAL SECURITY WITHIN THE MEANING OF THE INDENTURE HEREINAFTER REFERRED TO AND IS REGISTERED IN THE NAME OF A DEPOSITARY OR A NOMINEE OF A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OR BY A NOMINEE OF THE DEPOSITARY TO THE DEPOSITARY OR ANOTHER NOMINEE OF THE DEPOSITARY.</w:t>
      </w:r>
    </w:p>
    <w:p>
      <w:pPr>
        <w:spacing w:after="0" w:line="159" w:lineRule="exact"/>
        <w:rPr>
          <w:sz w:val="20"/>
          <w:szCs w:val="20"/>
          <w:color w:val="auto"/>
        </w:rPr>
      </w:pPr>
    </w:p>
    <w:p>
      <w:pPr>
        <w:jc w:val="both"/>
        <w:spacing w:after="0" w:line="217" w:lineRule="auto"/>
        <w:rPr>
          <w:sz w:val="20"/>
          <w:szCs w:val="20"/>
          <w:color w:val="auto"/>
        </w:rPr>
      </w:pPr>
      <w:r>
        <w:rPr>
          <w:rFonts w:ascii="Arial" w:cs="Arial" w:eastAsia="Arial" w:hAnsi="Arial"/>
          <w:sz w:val="21"/>
          <w:szCs w:val="21"/>
          <w:color w:val="auto"/>
        </w:rPr>
        <w:t>[FOR AS LONG AS THIS GLOBAL SECURITY IS DEPOSITED WITH OR ON BEHALF OF THE DEPOSITORY TRUST COMPANY IT SHALL BEAR THE FOLLOWING LEGEND.] UNLESS THIS CERTIFICATE IS PRESENTED BY AN AUTHORIZED REPRESENTATIVE OF THE DEPOSITORY TRUST COMPANY, A NEW YORK CORPORATION (“DTC”), TO CENTERPOINT ENERGY, INC.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52" w:lineRule="exact"/>
        <w:rPr>
          <w:sz w:val="20"/>
          <w:szCs w:val="20"/>
          <w:color w:val="auto"/>
        </w:rPr>
      </w:pPr>
    </w:p>
    <w:p>
      <w:pPr>
        <w:ind w:left="4080"/>
        <w:spacing w:after="0"/>
        <w:rPr>
          <w:sz w:val="20"/>
          <w:szCs w:val="20"/>
          <w:color w:val="auto"/>
        </w:rPr>
      </w:pPr>
      <w:r>
        <w:rPr>
          <w:rFonts w:ascii="Arial" w:cs="Arial" w:eastAsia="Arial" w:hAnsi="Arial"/>
          <w:sz w:val="21"/>
          <w:szCs w:val="21"/>
          <w:b w:val="1"/>
          <w:bCs w:val="1"/>
          <w:color w:val="auto"/>
        </w:rPr>
        <w:t>CENTERPOINT ENERGY, INC.</w:t>
      </w:r>
    </w:p>
    <w:p>
      <w:pPr>
        <w:ind w:left="4360"/>
        <w:spacing w:after="0"/>
        <w:rPr>
          <w:sz w:val="20"/>
          <w:szCs w:val="20"/>
          <w:color w:val="auto"/>
        </w:rPr>
      </w:pPr>
      <w:r>
        <w:rPr>
          <w:rFonts w:ascii="Arial" w:cs="Arial" w:eastAsia="Arial" w:hAnsi="Arial"/>
          <w:sz w:val="21"/>
          <w:szCs w:val="21"/>
          <w:color w:val="auto"/>
        </w:rPr>
        <w:t>5.25% Senior Notes due 2026</w:t>
      </w:r>
    </w:p>
    <w:p>
      <w:pPr>
        <w:sectPr>
          <w:pgSz w:w="11900" w:h="16838" w:orient="portrait"/>
          <w:cols w:equalWidth="0" w:num="1">
            <w:col w:w="11240"/>
          </w:cols>
          <w:pgMar w:left="320" w:top="13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0"/>
        <w:spacing w:after="0"/>
        <w:rPr>
          <w:sz w:val="20"/>
          <w:szCs w:val="20"/>
          <w:color w:val="auto"/>
        </w:rPr>
      </w:pPr>
      <w:r>
        <w:rPr>
          <w:rFonts w:ascii="Arial" w:cs="Arial" w:eastAsia="Arial" w:hAnsi="Arial"/>
          <w:sz w:val="21"/>
          <w:szCs w:val="21"/>
          <w:color w:val="auto"/>
        </w:rPr>
        <w:t>Original Interest Accrual Date: August 10, 2023</w:t>
      </w:r>
    </w:p>
    <w:p>
      <w:pPr>
        <w:ind w:left="80"/>
        <w:spacing w:after="0" w:line="211" w:lineRule="auto"/>
        <w:rPr>
          <w:sz w:val="20"/>
          <w:szCs w:val="20"/>
          <w:color w:val="auto"/>
        </w:rPr>
      </w:pPr>
      <w:r>
        <w:rPr>
          <w:rFonts w:ascii="Arial" w:cs="Arial" w:eastAsia="Arial" w:hAnsi="Arial"/>
          <w:sz w:val="21"/>
          <w:szCs w:val="21"/>
          <w:color w:val="auto"/>
        </w:rPr>
        <w:t>Stated Maturity: August 10, 2026</w:t>
      </w:r>
    </w:p>
    <w:p>
      <w:pPr>
        <w:ind w:left="80"/>
        <w:spacing w:after="0" w:line="211" w:lineRule="auto"/>
        <w:rPr>
          <w:sz w:val="20"/>
          <w:szCs w:val="20"/>
          <w:color w:val="auto"/>
        </w:rPr>
      </w:pPr>
      <w:r>
        <w:rPr>
          <w:rFonts w:ascii="Arial" w:cs="Arial" w:eastAsia="Arial" w:hAnsi="Arial"/>
          <w:sz w:val="21"/>
          <w:szCs w:val="21"/>
          <w:color w:val="auto"/>
        </w:rPr>
        <w:t>Interest Rate: 5.25%</w:t>
      </w:r>
    </w:p>
    <w:p>
      <w:pPr>
        <w:ind w:left="80"/>
        <w:spacing w:after="0" w:line="212" w:lineRule="auto"/>
        <w:rPr>
          <w:sz w:val="20"/>
          <w:szCs w:val="20"/>
          <w:color w:val="auto"/>
        </w:rPr>
      </w:pPr>
      <w:r>
        <w:rPr>
          <w:rFonts w:ascii="Arial" w:cs="Arial" w:eastAsia="Arial" w:hAnsi="Arial"/>
          <w:sz w:val="21"/>
          <w:szCs w:val="21"/>
          <w:color w:val="auto"/>
        </w:rPr>
        <w:t>Interest Payment Dates: February 10 and August 10</w:t>
      </w:r>
    </w:p>
    <w:p>
      <w:pPr>
        <w:ind w:left="80"/>
        <w:spacing w:after="0" w:line="211" w:lineRule="auto"/>
        <w:rPr>
          <w:sz w:val="20"/>
          <w:szCs w:val="20"/>
          <w:color w:val="auto"/>
        </w:rPr>
      </w:pPr>
      <w:r>
        <w:rPr>
          <w:rFonts w:ascii="Arial" w:cs="Arial" w:eastAsia="Arial" w:hAnsi="Arial"/>
          <w:sz w:val="21"/>
          <w:szCs w:val="21"/>
          <w:color w:val="auto"/>
        </w:rPr>
        <w:t>Initial Interest Payment Date: February 10, 2024</w:t>
      </w:r>
    </w:p>
    <w:p>
      <w:pPr>
        <w:spacing w:after="0" w:line="1" w:lineRule="exact"/>
        <w:rPr>
          <w:sz w:val="20"/>
          <w:szCs w:val="20"/>
          <w:color w:val="auto"/>
        </w:rPr>
      </w:pPr>
    </w:p>
    <w:p>
      <w:pPr>
        <w:ind w:left="80"/>
        <w:spacing w:after="0" w:line="246" w:lineRule="auto"/>
        <w:rPr>
          <w:sz w:val="20"/>
          <w:szCs w:val="20"/>
          <w:color w:val="auto"/>
        </w:rPr>
      </w:pPr>
      <w:r>
        <w:rPr>
          <w:rFonts w:ascii="Arial" w:cs="Arial" w:eastAsia="Arial" w:hAnsi="Arial"/>
          <w:sz w:val="20"/>
          <w:szCs w:val="20"/>
          <w:color w:val="auto"/>
        </w:rPr>
        <w:t>Regular Record Dates: January 25 and July 25 immediately preceding the respective Interest Payment Date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color w:val="auto"/>
        </w:rPr>
        <w:t>Redeemable: Yes [X] No [ ]</w:t>
      </w:r>
    </w:p>
    <w:p>
      <w:pPr>
        <w:spacing w:after="0" w:line="211" w:lineRule="auto"/>
        <w:rPr>
          <w:sz w:val="20"/>
          <w:szCs w:val="20"/>
          <w:color w:val="auto"/>
        </w:rPr>
      </w:pPr>
      <w:r>
        <w:rPr>
          <w:rFonts w:ascii="Arial" w:cs="Arial" w:eastAsia="Arial" w:hAnsi="Arial"/>
          <w:sz w:val="21"/>
          <w:szCs w:val="21"/>
          <w:color w:val="auto"/>
        </w:rPr>
        <w:t>Redemption Date: At any time.</w:t>
      </w:r>
    </w:p>
    <w:p>
      <w:pPr>
        <w:jc w:val="both"/>
        <w:ind w:right="60"/>
        <w:spacing w:after="0" w:line="215" w:lineRule="auto"/>
        <w:rPr>
          <w:sz w:val="20"/>
          <w:szCs w:val="20"/>
          <w:color w:val="auto"/>
        </w:rPr>
      </w:pPr>
      <w:r>
        <w:rPr>
          <w:rFonts w:ascii="Arial" w:cs="Arial" w:eastAsia="Arial" w:hAnsi="Arial"/>
          <w:sz w:val="21"/>
          <w:szCs w:val="21"/>
          <w:color w:val="auto"/>
        </w:rPr>
        <w:t>Redemption Price: Greater of (1)(a) the sum of the present values of the remaining scheduled payments of principal and interest on the Notes to be redeemed discounted to the Redemption Date on a semi-annual basis (assuming a 360-day year consisting of twelve 30-day months) at the applicable Treasury Rate plus 15 basis points less (b) interest accrued to the Redemption Date, and (2) 100% of the principal amount of the Notes to be redeemed, plus, in either case, accrued and unpaid interest thereon, if any, to, but excluding, the Redemption Date.</w:t>
      </w:r>
    </w:p>
    <w:p>
      <w:pPr>
        <w:spacing w:after="0" w:line="210" w:lineRule="exact"/>
        <w:rPr>
          <w:sz w:val="20"/>
          <w:szCs w:val="20"/>
          <w:color w:val="auto"/>
        </w:rPr>
      </w:pPr>
    </w:p>
    <w:p>
      <w:pPr>
        <w:sectPr>
          <w:pgSz w:w="11900" w:h="16838" w:orient="portrait"/>
          <w:cols w:equalWidth="0" w:num="2">
            <w:col w:w="5540" w:space="140"/>
            <w:col w:w="5560"/>
          </w:cols>
          <w:pgMar w:left="320" w:top="138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A-1</w:t>
      </w:r>
    </w:p>
    <w:p>
      <w:pPr>
        <w:sectPr>
          <w:pgSz w:w="11900" w:h="16838" w:orient="portrait"/>
          <w:cols w:equalWidth="0" w:num="1">
            <w:col w:w="11240"/>
          </w:cols>
          <w:pgMar w:left="320" w:top="1381" w:right="339" w:bottom="1440" w:gutter="0" w:footer="0" w:header="0"/>
          <w:type w:val="continuous"/>
        </w:sectPr>
      </w:pPr>
    </w:p>
    <w:bookmarkStart w:id="108" w:name="page109"/>
    <w:bookmarkEnd w:id="108"/>
    <w:p>
      <w:pPr>
        <w:spacing w:after="0" w:line="170" w:lineRule="exact"/>
        <w:rPr>
          <w:sz w:val="20"/>
          <w:szCs w:val="20"/>
          <w:color w:val="auto"/>
        </w:rPr>
      </w:pPr>
    </w:p>
    <w:p>
      <w:pPr>
        <w:ind w:left="3220"/>
        <w:spacing w:after="0"/>
        <w:rPr>
          <w:sz w:val="20"/>
          <w:szCs w:val="20"/>
          <w:color w:val="auto"/>
        </w:rPr>
      </w:pPr>
      <w:r>
        <w:rPr>
          <w:rFonts w:ascii="Arial" w:cs="Arial" w:eastAsia="Arial" w:hAnsi="Arial"/>
          <w:sz w:val="21"/>
          <w:szCs w:val="21"/>
          <w:color w:val="auto"/>
        </w:rPr>
        <w:t>This Security is not an Original Issue Discount Security</w:t>
      </w:r>
    </w:p>
    <w:p>
      <w:pPr>
        <w:ind w:left="3280"/>
        <w:spacing w:after="0"/>
        <w:rPr>
          <w:sz w:val="20"/>
          <w:szCs w:val="20"/>
          <w:color w:val="auto"/>
        </w:rPr>
      </w:pPr>
      <w:r>
        <w:rPr>
          <w:rFonts w:ascii="Arial" w:cs="Arial" w:eastAsia="Arial" w:hAnsi="Arial"/>
          <w:sz w:val="21"/>
          <w:szCs w:val="21"/>
          <w:color w:val="auto"/>
        </w:rPr>
        <w:t>within the meaning of the within-mentioned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2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95"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color w:val="auto"/>
        </w:rPr>
        <w:t>Principal Amount</w:t>
      </w:r>
      <w:r>
        <w:rPr>
          <w:sz w:val="20"/>
          <w:szCs w:val="20"/>
          <w:color w:val="auto"/>
        </w:rPr>
        <w:tab/>
      </w:r>
      <w:r>
        <w:rPr>
          <w:rFonts w:ascii="Arial" w:cs="Arial" w:eastAsia="Arial" w:hAnsi="Arial"/>
          <w:sz w:val="19"/>
          <w:szCs w:val="19"/>
          <w:color w:val="auto"/>
        </w:rPr>
        <w:t>Registered No. T-1</w:t>
      </w:r>
    </w:p>
    <w:p>
      <w:pPr>
        <w:ind w:left="320" w:hanging="314"/>
        <w:spacing w:after="0"/>
        <w:tabs>
          <w:tab w:leader="none" w:pos="320" w:val="left"/>
        </w:tabs>
        <w:numPr>
          <w:ilvl w:val="0"/>
          <w:numId w:val="68"/>
        </w:numPr>
        <w:rPr>
          <w:rFonts w:ascii="Arial" w:cs="Arial" w:eastAsia="Arial" w:hAnsi="Arial"/>
          <w:sz w:val="21"/>
          <w:szCs w:val="21"/>
          <w:color w:val="auto"/>
        </w:rPr>
      </w:pPr>
      <w:r>
        <w:rPr>
          <w:rFonts w:ascii="Arial" w:cs="Arial" w:eastAsia="Arial" w:hAnsi="Arial"/>
          <w:sz w:val="27"/>
          <w:szCs w:val="27"/>
          <w:color w:val="auto"/>
          <w:vertAlign w:val="superscript"/>
        </w:rPr>
        <w:t>1</w:t>
      </w:r>
      <w:r>
        <w:rPr>
          <w:rFonts w:ascii="Arial" w:cs="Arial" w:eastAsia="Arial" w:hAnsi="Arial"/>
          <w:sz w:val="21"/>
          <w:szCs w:val="21"/>
          <w:color w:val="auto"/>
        </w:rPr>
        <w:t xml:space="preserve">   CUSIP 15189TBF3</w:t>
      </w:r>
    </w:p>
    <w:p>
      <w:pPr>
        <w:spacing w:after="0" w:line="110" w:lineRule="exact"/>
        <w:rPr>
          <w:sz w:val="20"/>
          <w:szCs w:val="20"/>
          <w:color w:val="auto"/>
        </w:rPr>
      </w:pPr>
    </w:p>
    <w:p>
      <w:pPr>
        <w:jc w:val="both"/>
        <w:spacing w:after="0" w:line="230" w:lineRule="auto"/>
        <w:rPr>
          <w:sz w:val="20"/>
          <w:szCs w:val="20"/>
          <w:color w:val="auto"/>
        </w:rPr>
      </w:pPr>
      <w:r>
        <w:rPr>
          <w:rFonts w:ascii="Arial" w:cs="Arial" w:eastAsia="Arial" w:hAnsi="Arial"/>
          <w:sz w:val="21"/>
          <w:szCs w:val="21"/>
          <w:color w:val="auto"/>
        </w:rPr>
        <w:t>CENTERPOINT ENERGY, INC., a corporation duly organized and existing under the laws of the State of Texas (herein called the “Company,” which term includes any successor Person under the Indenture referred to below), for value received, hereby promises to pay to</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color w:val="auto"/>
        </w:rPr>
        <w:t>CEDE &amp; Co.</w:t>
      </w:r>
      <w:r>
        <w:rPr>
          <w:rFonts w:ascii="Arial" w:cs="Arial" w:eastAsia="Arial" w:hAnsi="Arial"/>
          <w:sz w:val="21"/>
          <w:szCs w:val="21"/>
          <w:b w:val="1"/>
          <w:bCs w:val="1"/>
          <w:color w:val="auto"/>
        </w:rPr>
        <w:t>***</w:t>
      </w:r>
    </w:p>
    <w:p>
      <w:pPr>
        <w:spacing w:after="0" w:line="179" w:lineRule="exact"/>
        <w:rPr>
          <w:sz w:val="20"/>
          <w:szCs w:val="20"/>
          <w:color w:val="auto"/>
        </w:rPr>
      </w:pPr>
    </w:p>
    <w:p>
      <w:pPr>
        <w:spacing w:after="0"/>
        <w:tabs>
          <w:tab w:leader="none" w:pos="4480" w:val="left"/>
        </w:tabs>
        <w:rPr>
          <w:sz w:val="20"/>
          <w:szCs w:val="20"/>
          <w:color w:val="auto"/>
        </w:rPr>
      </w:pPr>
      <w:r>
        <w:rPr>
          <w:rFonts w:ascii="Arial" w:cs="Arial" w:eastAsia="Arial" w:hAnsi="Arial"/>
          <w:sz w:val="21"/>
          <w:szCs w:val="21"/>
          <w:color w:val="auto"/>
        </w:rPr>
        <w:t>, or its registered assigns, the principal sum of</w:t>
      </w:r>
      <w:r>
        <w:rPr>
          <w:sz w:val="20"/>
          <w:szCs w:val="20"/>
          <w:color w:val="auto"/>
        </w:rPr>
        <w:tab/>
      </w:r>
      <w:r>
        <w:rPr>
          <w:rFonts w:ascii="Arial" w:cs="Arial" w:eastAsia="Arial" w:hAnsi="Arial"/>
          <w:sz w:val="19"/>
          <w:szCs w:val="19"/>
          <w:color w:val="auto"/>
        </w:rPr>
        <w:t>DOLLARS on the Stated Maturity specified above, and to pay interest thereon</w:t>
      </w:r>
    </w:p>
    <w:p>
      <w:pPr>
        <w:jc w:val="both"/>
        <w:spacing w:after="0" w:line="235" w:lineRule="auto"/>
        <w:rPr>
          <w:sz w:val="20"/>
          <w:szCs w:val="20"/>
          <w:color w:val="auto"/>
        </w:rPr>
      </w:pPr>
      <w:r>
        <w:rPr>
          <w:rFonts w:ascii="Arial" w:cs="Arial" w:eastAsia="Arial" w:hAnsi="Arial"/>
          <w:sz w:val="19"/>
          <w:szCs w:val="19"/>
          <w:color w:val="auto"/>
        </w:rPr>
        <w:t xml:space="preserve">from the Original Interest Accrual Date specified above or from the most recent Interest Payment Date to which interest has been paid or duly provided for, semi-annually in arrears on the Interest Payment Dates specified above in each year, commencing on February 10, 2024, and at Maturity, at the Interest Rate per annum specified above, until the principal hereof is paid or made available for payment,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principal and premium, and any such installment of interest, which is overdue shall bear interest at the rate of 5.25% per annum (to the extent permitted by applicable law), from the dates such amounts are due until they are paid or made available for payment, and such interest shall be payable on demand. The amount of interest payable for any period shall be computed on the basis of twelve 30-day months and a 360-day year. The amount of interest payable for any partial period shall be computed on the basis of a 360-day year of twelve 30-day months and the days elapsed in any partial month. In the event that any date on which interest is payable on this Security is not a Business Day, then a payment of the interest payable on such date will be made on the next succeeding day which is a Business Day (and without any interest or other payment in respect of any such delay) with the same force and effect as if made on the date the payment was originally payable. A “Business Day” shall mean any day other than a Saturday, a Sunday or a day on which banking institutions in The City of New York are authorized or required by law, regulation or executive order to close.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January 25 and July 25 (whether or not a Business Day), as the case may be, next preceding such Interest Payment Date. Any such interest not so punctually paid or duly provided for shall forthwith cease to be payable to the Holder on such Regular Record Date and shall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or automated quotation system on which the Securities of this series may be listed or traded, and upon such notice as may be required by such exchange or automated quotation system, all as more fully provided in said Indenture.</w:t>
      </w:r>
    </w:p>
    <w:p>
      <w:pPr>
        <w:spacing w:after="0" w:line="167" w:lineRule="exact"/>
        <w:rPr>
          <w:sz w:val="20"/>
          <w:szCs w:val="20"/>
          <w:color w:val="auto"/>
        </w:rPr>
      </w:pPr>
    </w:p>
    <w:p>
      <w:pPr>
        <w:jc w:val="both"/>
        <w:ind w:firstLine="638"/>
        <w:spacing w:after="0" w:line="230" w:lineRule="auto"/>
        <w:rPr>
          <w:sz w:val="20"/>
          <w:szCs w:val="20"/>
          <w:color w:val="auto"/>
        </w:rPr>
      </w:pPr>
      <w:r>
        <w:rPr>
          <w:rFonts w:ascii="Arial" w:cs="Arial" w:eastAsia="Arial" w:hAnsi="Arial"/>
          <w:sz w:val="21"/>
          <w:szCs w:val="21"/>
          <w:color w:val="auto"/>
        </w:rPr>
        <w:t>Payment of the principal of (and premium, if any) and any such interest on this Security will be made at the Corporate Trust Office of the Trustee, in such coin or currency of the United States of America as at the time of payment is legal tender for payment of public and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121285</wp:posOffset>
            </wp:positionV>
            <wp:extent cx="168846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6">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235" w:lineRule="exact"/>
        <w:rPr>
          <w:sz w:val="20"/>
          <w:szCs w:val="20"/>
          <w:color w:val="auto"/>
        </w:rPr>
      </w:pPr>
    </w:p>
    <w:p>
      <w:pPr>
        <w:ind w:left="100" w:hanging="94"/>
        <w:spacing w:after="0"/>
        <w:tabs>
          <w:tab w:leader="none" w:pos="100" w:val="left"/>
        </w:tabs>
        <w:numPr>
          <w:ilvl w:val="0"/>
          <w:numId w:val="69"/>
        </w:numPr>
        <w:rPr>
          <w:rFonts w:ascii="Arial" w:cs="Arial" w:eastAsia="Arial" w:hAnsi="Arial"/>
          <w:sz w:val="21"/>
          <w:szCs w:val="21"/>
          <w:color w:val="auto"/>
          <w:vertAlign w:val="superscript"/>
        </w:rPr>
      </w:pPr>
      <w:r>
        <w:rPr>
          <w:rFonts w:ascii="Arial" w:cs="Arial" w:eastAsia="Arial" w:hAnsi="Arial"/>
          <w:sz w:val="16"/>
          <w:szCs w:val="16"/>
          <w:color w:val="auto"/>
        </w:rPr>
        <w:t>Reference is made to Schedule A attached hereto with respect to decreases and increases in the aggregate principal amount of Securities evidenced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color w:val="auto"/>
        </w:rPr>
        <w:t>A-2</w:t>
      </w:r>
    </w:p>
    <w:p>
      <w:pPr>
        <w:sectPr>
          <w:pgSz w:w="11900" w:h="16838" w:orient="portrait"/>
          <w:cols w:equalWidth="0" w:num="1">
            <w:col w:w="11240"/>
          </w:cols>
          <w:pgMar w:left="320" w:top="1440" w:right="339" w:bottom="1440" w:gutter="0" w:footer="0" w:header="0"/>
        </w:sectPr>
      </w:pPr>
    </w:p>
    <w:bookmarkStart w:id="109" w:name="page110"/>
    <w:bookmarkEnd w:id="109"/>
    <w:p>
      <w:pPr>
        <w:jc w:val="both"/>
        <w:spacing w:after="0" w:line="226" w:lineRule="auto"/>
        <w:rPr>
          <w:sz w:val="20"/>
          <w:szCs w:val="20"/>
          <w:color w:val="auto"/>
        </w:rPr>
      </w:pPr>
      <w:r>
        <w:rPr>
          <w:rFonts w:ascii="Arial" w:cs="Arial" w:eastAsia="Arial" w:hAnsi="Arial"/>
          <w:sz w:val="21"/>
          <w:szCs w:val="21"/>
          <w:color w:val="auto"/>
        </w:rPr>
        <w:t xml:space="preserve">debts;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at the option of the Company payment of interest may be made (i) by check mailed to the address of the Person entitled thereto as such address shall appear in the Security Register or (ii) by wire transfer in immediately available funds at such place and to such account as may be designated in writing by the Person entitled thereto as specified in the Security Register.</w:t>
      </w:r>
    </w:p>
    <w:p>
      <w:pPr>
        <w:spacing w:after="0" w:line="154" w:lineRule="exact"/>
        <w:rPr>
          <w:sz w:val="20"/>
          <w:szCs w:val="20"/>
          <w:color w:val="auto"/>
        </w:rPr>
      </w:pPr>
    </w:p>
    <w:p>
      <w:pPr>
        <w:jc w:val="both"/>
        <w:ind w:firstLine="638"/>
        <w:spacing w:after="0" w:line="241" w:lineRule="auto"/>
        <w:rPr>
          <w:sz w:val="20"/>
          <w:szCs w:val="20"/>
          <w:color w:val="auto"/>
        </w:rPr>
      </w:pPr>
      <w:r>
        <w:rPr>
          <w:rFonts w:ascii="Arial" w:cs="Arial" w:eastAsia="Arial" w:hAnsi="Arial"/>
          <w:sz w:val="21"/>
          <w:szCs w:val="21"/>
          <w:color w:val="auto"/>
        </w:rPr>
        <w:t>Reference is hereby made to the further provisions of this Security set forth on the reverse hereof, which further provisions shall for all purposes have the same effect as if set forth at this place.</w:t>
      </w:r>
    </w:p>
    <w:p>
      <w:pPr>
        <w:spacing w:after="0" w:line="153" w:lineRule="exact"/>
        <w:rPr>
          <w:sz w:val="20"/>
          <w:szCs w:val="20"/>
          <w:color w:val="auto"/>
        </w:rPr>
      </w:pPr>
    </w:p>
    <w:p>
      <w:pPr>
        <w:jc w:val="both"/>
        <w:ind w:firstLine="638"/>
        <w:spacing w:after="0" w:line="243" w:lineRule="auto"/>
        <w:rPr>
          <w:sz w:val="20"/>
          <w:szCs w:val="20"/>
          <w:color w:val="auto"/>
        </w:rPr>
      </w:pPr>
      <w:r>
        <w:rPr>
          <w:rFonts w:ascii="Arial" w:cs="Arial" w:eastAsia="Arial" w:hAnsi="Arial"/>
          <w:sz w:val="20"/>
          <w:szCs w:val="20"/>
          <w:color w:val="auto"/>
        </w:rPr>
        <w:t>Unless the certificate of authentication hereon has been executed by the Trustee referred to on the reverse hereof by manual, facsimile or electronic signature (provided that any electronic signature is a true representation of the signer’s actual signature), this Security shall not be entitled to any benefit under the Indenture or be valid or obligatory for any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1"/>
          <w:szCs w:val="21"/>
          <w:color w:val="auto"/>
        </w:rPr>
        <w:t>A-3</w:t>
      </w:r>
    </w:p>
    <w:p>
      <w:pPr>
        <w:sectPr>
          <w:pgSz w:w="11900" w:h="16838" w:orient="portrait"/>
          <w:cols w:equalWidth="0" w:num="1">
            <w:col w:w="11240"/>
          </w:cols>
          <w:pgMar w:left="320" w:top="1381" w:right="339" w:bottom="1440" w:gutter="0" w:footer="0" w:header="0"/>
        </w:sectPr>
      </w:pPr>
    </w:p>
    <w:bookmarkStart w:id="110" w:name="page111"/>
    <w:bookmarkEnd w:id="110"/>
    <w:p>
      <w:pPr>
        <w:ind w:left="640"/>
        <w:spacing w:after="0"/>
        <w:rPr>
          <w:sz w:val="20"/>
          <w:szCs w:val="20"/>
          <w:color w:val="auto"/>
        </w:rPr>
      </w:pPr>
      <w:r>
        <w:rPr>
          <w:rFonts w:ascii="Arial" w:cs="Arial" w:eastAsia="Arial" w:hAnsi="Arial"/>
          <w:sz w:val="21"/>
          <w:szCs w:val="21"/>
          <w:color w:val="auto"/>
        </w:rPr>
        <w:t>IN WITNESS WHEREOF, the Company has caused this instrument to be duly executed.</w:t>
      </w:r>
    </w:p>
    <w:p>
      <w:pPr>
        <w:spacing w:after="0" w:line="397" w:lineRule="exact"/>
        <w:rPr>
          <w:sz w:val="20"/>
          <w:szCs w:val="20"/>
          <w:color w:val="auto"/>
        </w:rPr>
      </w:pPr>
    </w:p>
    <w:p>
      <w:pPr>
        <w:spacing w:after="0"/>
        <w:tabs>
          <w:tab w:leader="none" w:pos="2240" w:val="left"/>
        </w:tabs>
        <w:rPr>
          <w:sz w:val="20"/>
          <w:szCs w:val="20"/>
          <w:color w:val="auto"/>
        </w:rPr>
      </w:pPr>
      <w:r>
        <w:rPr>
          <w:rFonts w:ascii="Arial" w:cs="Arial" w:eastAsia="Arial" w:hAnsi="Arial"/>
          <w:sz w:val="21"/>
          <w:szCs w:val="21"/>
          <w:color w:val="auto"/>
        </w:rPr>
        <w:t>Dated: August 10, 2023</w:t>
      </w:r>
      <w:r>
        <w:rPr>
          <w:sz w:val="20"/>
          <w:szCs w:val="20"/>
          <w:color w:val="auto"/>
        </w:rPr>
        <w:tab/>
      </w:r>
      <w:r>
        <w:rPr>
          <w:rFonts w:ascii="Arial" w:cs="Arial" w:eastAsia="Arial" w:hAnsi="Arial"/>
          <w:sz w:val="20"/>
          <w:szCs w:val="20"/>
          <w:color w:val="auto"/>
        </w:rPr>
        <w:t>CENTERPOINT ENERGY, INC.</w:t>
      </w:r>
    </w:p>
    <w:p>
      <w:pPr>
        <w:spacing w:after="0" w:line="173" w:lineRule="exact"/>
        <w:rPr>
          <w:sz w:val="20"/>
          <w:szCs w:val="20"/>
          <w:color w:val="auto"/>
        </w:rPr>
      </w:pPr>
    </w:p>
    <w:p>
      <w:pPr>
        <w:ind w:left="384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2766060</wp:posOffset>
            </wp:positionH>
            <wp:positionV relativeFrom="paragraph">
              <wp:posOffset>-5715</wp:posOffset>
            </wp:positionV>
            <wp:extent cx="1352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7">
                      <a:extLst>
                        <a:ext uri="{28A0092B-C50C-407E-A947-70E740481C1C}"/>
                      </a:extLst>
                    </a:blip>
                    <a:srcRect/>
                    <a:stretch>
                      <a:fillRect/>
                    </a:stretch>
                  </pic:blipFill>
                  <pic:spPr bwMode="auto">
                    <a:xfrm>
                      <a:off x="0" y="0"/>
                      <a:ext cx="135255" cy="8255"/>
                    </a:xfrm>
                    <a:prstGeom prst="rect">
                      <a:avLst/>
                    </a:prstGeom>
                    <a:noFill/>
                  </pic:spPr>
                </pic:pic>
              </a:graphicData>
            </a:graphic>
          </wp:anchor>
        </w:drawing>
      </w:r>
    </w:p>
    <w:p>
      <w:pPr>
        <w:ind w:left="3840"/>
        <w:spacing w:after="0" w:line="211" w:lineRule="auto"/>
        <w:rPr>
          <w:sz w:val="20"/>
          <w:szCs w:val="20"/>
          <w:color w:val="auto"/>
        </w:rPr>
      </w:pPr>
      <w:r>
        <w:rPr>
          <w:rFonts w:ascii="Arial" w:cs="Arial" w:eastAsia="Arial" w:hAnsi="Arial"/>
          <w:sz w:val="21"/>
          <w:szCs w:val="21"/>
          <w:color w:val="auto"/>
        </w:rPr>
        <w:t>Name: Christopher A. Foster</w:t>
      </w:r>
    </w:p>
    <w:p>
      <w:pPr>
        <w:ind w:left="3840"/>
        <w:spacing w:after="0" w:line="211" w:lineRule="auto"/>
        <w:rPr>
          <w:sz w:val="20"/>
          <w:szCs w:val="20"/>
          <w:color w:val="auto"/>
        </w:rPr>
      </w:pPr>
      <w:r>
        <w:rPr>
          <w:rFonts w:ascii="Arial" w:cs="Arial" w:eastAsia="Arial" w:hAnsi="Arial"/>
          <w:sz w:val="21"/>
          <w:szCs w:val="21"/>
          <w:color w:val="auto"/>
        </w:rPr>
        <w:t>Title: Executive Vice President and Chief</w:t>
      </w:r>
    </w:p>
    <w:p>
      <w:pPr>
        <w:spacing w:after="0" w:line="1" w:lineRule="exact"/>
        <w:rPr>
          <w:sz w:val="20"/>
          <w:szCs w:val="20"/>
          <w:color w:val="auto"/>
        </w:rPr>
      </w:pPr>
    </w:p>
    <w:p>
      <w:pPr>
        <w:ind w:left="4040"/>
        <w:spacing w:after="0"/>
        <w:rPr>
          <w:sz w:val="20"/>
          <w:szCs w:val="20"/>
          <w:color w:val="auto"/>
        </w:rPr>
      </w:pPr>
      <w:r>
        <w:rPr>
          <w:rFonts w:ascii="Arial" w:cs="Arial" w:eastAsia="Arial" w:hAnsi="Arial"/>
          <w:sz w:val="21"/>
          <w:szCs w:val="21"/>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Attest:</w:t>
      </w:r>
    </w:p>
    <w:p>
      <w:pPr>
        <w:spacing w:after="0" w:line="386" w:lineRule="exact"/>
        <w:rPr>
          <w:sz w:val="20"/>
          <w:szCs w:val="20"/>
          <w:color w:val="auto"/>
        </w:rPr>
      </w:pPr>
    </w:p>
    <w:p>
      <w:pPr>
        <w:spacing w:after="0"/>
        <w:rPr>
          <w:sz w:val="20"/>
          <w:szCs w:val="20"/>
          <w:color w:val="auto"/>
        </w:rPr>
      </w:pPr>
      <w:r>
        <w:rPr>
          <w:rFonts w:ascii="Arial" w:cs="Arial" w:eastAsia="Arial" w:hAnsi="Arial"/>
          <w:sz w:val="21"/>
          <w:szCs w:val="21"/>
          <w:color w:val="auto"/>
        </w:rPr>
        <w:t>Name: Vincent A. Mercaldi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1352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8">
                      <a:extLst>
                        <a:ext uri="{28A0092B-C50C-407E-A947-70E740481C1C}"/>
                      </a:extLst>
                    </a:blip>
                    <a:srcRect/>
                    <a:stretch>
                      <a:fillRect/>
                    </a:stretch>
                  </pic:blipFill>
                  <pic:spPr bwMode="auto">
                    <a:xfrm>
                      <a:off x="0" y="0"/>
                      <a:ext cx="135255" cy="825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Title: Secretary</w:t>
      </w:r>
    </w:p>
    <w:p>
      <w:pPr>
        <w:spacing w:after="0" w:line="200" w:lineRule="exact"/>
        <w:rPr>
          <w:sz w:val="20"/>
          <w:szCs w:val="20"/>
          <w:color w:val="auto"/>
        </w:rPr>
      </w:pPr>
    </w:p>
    <w:p>
      <w:pPr>
        <w:spacing w:after="0" w:line="391" w:lineRule="exact"/>
        <w:rPr>
          <w:sz w:val="20"/>
          <w:szCs w:val="20"/>
          <w:color w:val="auto"/>
        </w:rPr>
      </w:pPr>
    </w:p>
    <w:p>
      <w:pPr>
        <w:ind w:left="3840"/>
        <w:spacing w:after="0"/>
        <w:rPr>
          <w:sz w:val="20"/>
          <w:szCs w:val="20"/>
          <w:color w:val="auto"/>
        </w:rPr>
      </w:pPr>
      <w:r>
        <w:rPr>
          <w:rFonts w:ascii="Arial" w:cs="Arial" w:eastAsia="Arial" w:hAnsi="Arial"/>
          <w:sz w:val="21"/>
          <w:szCs w:val="21"/>
          <w:color w:val="auto"/>
        </w:rPr>
        <w:t>CERTIFICATE OF AUTHENTICATION</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This is one of the Securities of the series designated therein referred to in the within-mentioned Indenture.</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21"/>
          <w:szCs w:val="21"/>
          <w:color w:val="auto"/>
        </w:rPr>
        <w:t>THE BANK OF NEW YORK MELLON TRUST COMPANY, NATIONAL</w:t>
      </w:r>
    </w:p>
    <w:p>
      <w:pPr>
        <w:ind w:left="3840"/>
        <w:spacing w:after="0" w:line="211" w:lineRule="auto"/>
        <w:rPr>
          <w:sz w:val="20"/>
          <w:szCs w:val="20"/>
          <w:color w:val="auto"/>
        </w:rPr>
      </w:pPr>
      <w:r>
        <w:rPr>
          <w:rFonts w:ascii="Arial" w:cs="Arial" w:eastAsia="Arial" w:hAnsi="Arial"/>
          <w:sz w:val="21"/>
          <w:szCs w:val="21"/>
          <w:color w:val="auto"/>
        </w:rPr>
        <w:t>ASSOCIATION</w:t>
      </w:r>
    </w:p>
    <w:p>
      <w:pPr>
        <w:ind w:left="3840"/>
        <w:spacing w:after="0"/>
        <w:rPr>
          <w:sz w:val="20"/>
          <w:szCs w:val="20"/>
          <w:color w:val="auto"/>
        </w:rPr>
      </w:pPr>
      <w:r>
        <w:rPr>
          <w:rFonts w:ascii="Arial" w:cs="Arial" w:eastAsia="Arial" w:hAnsi="Arial"/>
          <w:sz w:val="21"/>
          <w:szCs w:val="21"/>
          <w:color w:val="auto"/>
        </w:rPr>
        <w:t>As Trustee</w:t>
      </w:r>
    </w:p>
    <w:p>
      <w:pPr>
        <w:spacing w:after="0" w:line="155" w:lineRule="exact"/>
        <w:rPr>
          <w:sz w:val="20"/>
          <w:szCs w:val="20"/>
          <w:color w:val="auto"/>
        </w:rPr>
      </w:pPr>
    </w:p>
    <w:p>
      <w:pPr>
        <w:spacing w:after="0"/>
        <w:rPr>
          <w:sz w:val="20"/>
          <w:szCs w:val="20"/>
          <w:color w:val="auto"/>
        </w:rPr>
      </w:pPr>
      <w:r>
        <w:rPr>
          <w:rFonts w:ascii="Arial" w:cs="Arial" w:eastAsia="Arial" w:hAnsi="Arial"/>
          <w:sz w:val="21"/>
          <w:szCs w:val="21"/>
          <w:color w:val="auto"/>
        </w:rPr>
        <w:t>Dated: August 10, 2023</w:t>
      </w:r>
    </w:p>
    <w:p>
      <w:pPr>
        <w:ind w:left="3840"/>
        <w:spacing w:after="0" w:line="211" w:lineRule="auto"/>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2766060</wp:posOffset>
            </wp:positionH>
            <wp:positionV relativeFrom="paragraph">
              <wp:posOffset>-5080</wp:posOffset>
            </wp:positionV>
            <wp:extent cx="1352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9">
                      <a:extLst>
                        <a:ext uri="{28A0092B-C50C-407E-A947-70E740481C1C}"/>
                      </a:extLst>
                    </a:blip>
                    <a:srcRect/>
                    <a:stretch>
                      <a:fillRect/>
                    </a:stretch>
                  </pic:blipFill>
                  <pic:spPr bwMode="auto">
                    <a:xfrm>
                      <a:off x="0" y="0"/>
                      <a:ext cx="135255" cy="8255"/>
                    </a:xfrm>
                    <a:prstGeom prst="rect">
                      <a:avLst/>
                    </a:prstGeom>
                    <a:noFill/>
                  </pic:spPr>
                </pic:pic>
              </a:graphicData>
            </a:graphic>
          </wp:anchor>
        </w:drawing>
      </w:r>
    </w:p>
    <w:p>
      <w:pPr>
        <w:jc w:val="center"/>
        <w:ind w:right="420"/>
        <w:spacing w:after="0"/>
        <w:rPr>
          <w:sz w:val="20"/>
          <w:szCs w:val="20"/>
          <w:color w:val="auto"/>
        </w:rPr>
      </w:pPr>
      <w:r>
        <w:rPr>
          <w:rFonts w:ascii="Arial" w:cs="Arial" w:eastAsia="Arial" w:hAnsi="Arial"/>
          <w:sz w:val="21"/>
          <w:szCs w:val="21"/>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1"/>
          <w:szCs w:val="21"/>
          <w:color w:val="auto"/>
        </w:rPr>
        <w:t>A-4</w:t>
      </w:r>
    </w:p>
    <w:p>
      <w:pPr>
        <w:sectPr>
          <w:pgSz w:w="11900" w:h="16838" w:orient="portrait"/>
          <w:cols w:equalWidth="0" w:num="1">
            <w:col w:w="10340"/>
          </w:cols>
          <w:pgMar w:left="320" w:top="1381" w:right="1239" w:bottom="1440" w:gutter="0" w:footer="0" w:header="0"/>
        </w:sectPr>
      </w:pPr>
    </w:p>
    <w:bookmarkStart w:id="111" w:name="page112"/>
    <w:bookmarkEnd w:id="111"/>
    <w:p>
      <w:pPr>
        <w:ind w:left="4960"/>
        <w:spacing w:after="0"/>
        <w:rPr>
          <w:sz w:val="20"/>
          <w:szCs w:val="20"/>
          <w:color w:val="auto"/>
        </w:rPr>
      </w:pPr>
      <w:r>
        <w:rPr>
          <w:rFonts w:ascii="Arial" w:cs="Arial" w:eastAsia="Arial" w:hAnsi="Arial"/>
          <w:sz w:val="21"/>
          <w:szCs w:val="21"/>
          <w:color w:val="auto"/>
        </w:rPr>
        <w:t>SCHEDULE A</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The initial aggregate principal amount of Securities evidenced by the Certificate to which this Schedule is attached is</w:t>
      </w:r>
    </w:p>
    <w:p>
      <w:pPr>
        <w:spacing w:after="0" w:line="1" w:lineRule="exact"/>
        <w:rPr>
          <w:sz w:val="20"/>
          <w:szCs w:val="20"/>
          <w:color w:val="auto"/>
        </w:rPr>
      </w:pPr>
    </w:p>
    <w:p>
      <w:pPr>
        <w:spacing w:after="0" w:line="231" w:lineRule="auto"/>
        <w:rPr>
          <w:sz w:val="20"/>
          <w:szCs w:val="20"/>
          <w:color w:val="auto"/>
        </w:rPr>
      </w:pPr>
      <w:r>
        <w:rPr>
          <w:rFonts w:ascii="Arial" w:cs="Arial" w:eastAsia="Arial" w:hAnsi="Arial"/>
          <w:sz w:val="21"/>
          <w:szCs w:val="21"/>
          <w:color w:val="auto"/>
        </w:rPr>
        <w:t>$ . The notations on the following table evidence decreases and increases in the aggregate principal amount of Securities evidenced by such Certificate.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60" w:type="dxa"/>
            <w:vAlign w:val="bottom"/>
          </w:tcPr>
          <w:p>
            <w:pPr>
              <w:spacing w:after="0"/>
              <w:rPr>
                <w:sz w:val="17"/>
                <w:szCs w:val="17"/>
                <w:color w:val="auto"/>
              </w:rPr>
            </w:pPr>
          </w:p>
        </w:tc>
        <w:tc>
          <w:tcPr>
            <w:tcW w:w="2460" w:type="dxa"/>
            <w:vAlign w:val="bottom"/>
            <w:vMerge w:val="restart"/>
          </w:tcPr>
          <w:p>
            <w:pPr>
              <w:ind w:left="520"/>
              <w:spacing w:after="0"/>
              <w:rPr>
                <w:sz w:val="20"/>
                <w:szCs w:val="20"/>
                <w:color w:val="auto"/>
              </w:rPr>
            </w:pPr>
            <w:r>
              <w:rPr>
                <w:rFonts w:ascii="Arial" w:cs="Arial" w:eastAsia="Arial" w:hAnsi="Arial"/>
                <w:sz w:val="18"/>
                <w:szCs w:val="18"/>
                <w:color w:val="auto"/>
              </w:rPr>
              <w:t>Decrease in Aggregate</w:t>
            </w:r>
          </w:p>
        </w:tc>
        <w:tc>
          <w:tcPr>
            <w:tcW w:w="2240" w:type="dxa"/>
            <w:vAlign w:val="bottom"/>
            <w:vMerge w:val="restart"/>
          </w:tcPr>
          <w:p>
            <w:pPr>
              <w:ind w:left="320"/>
              <w:spacing w:after="0"/>
              <w:rPr>
                <w:sz w:val="20"/>
                <w:szCs w:val="20"/>
                <w:color w:val="auto"/>
              </w:rPr>
            </w:pPr>
            <w:r>
              <w:rPr>
                <w:rFonts w:ascii="Arial" w:cs="Arial" w:eastAsia="Arial" w:hAnsi="Arial"/>
                <w:sz w:val="18"/>
                <w:szCs w:val="18"/>
                <w:color w:val="auto"/>
              </w:rPr>
              <w:t>Increase in Aggregate</w:t>
            </w:r>
          </w:p>
        </w:tc>
        <w:tc>
          <w:tcPr>
            <w:tcW w:w="4480" w:type="dxa"/>
            <w:vAlign w:val="bottom"/>
          </w:tcPr>
          <w:p>
            <w:pPr>
              <w:jc w:val="center"/>
              <w:ind w:right="2171"/>
              <w:spacing w:after="0"/>
              <w:rPr>
                <w:sz w:val="20"/>
                <w:szCs w:val="20"/>
                <w:color w:val="auto"/>
              </w:rPr>
            </w:pPr>
            <w:r>
              <w:rPr>
                <w:rFonts w:ascii="Arial" w:cs="Arial" w:eastAsia="Arial" w:hAnsi="Arial"/>
                <w:sz w:val="18"/>
                <w:szCs w:val="18"/>
                <w:color w:val="auto"/>
                <w:w w:val="91"/>
              </w:rPr>
              <w:t>Aggregate Principal Amount</w:t>
            </w:r>
          </w:p>
        </w:tc>
        <w:tc>
          <w:tcPr>
            <w:tcW w:w="0" w:type="dxa"/>
            <w:vAlign w:val="bottom"/>
          </w:tcPr>
          <w:p>
            <w:pPr>
              <w:spacing w:after="0"/>
              <w:rPr>
                <w:sz w:val="1"/>
                <w:szCs w:val="1"/>
                <w:color w:val="auto"/>
              </w:rPr>
            </w:pPr>
          </w:p>
        </w:tc>
      </w:tr>
      <w:tr>
        <w:trPr>
          <w:trHeight w:val="173"/>
        </w:trPr>
        <w:tc>
          <w:tcPr>
            <w:tcW w:w="2060" w:type="dxa"/>
            <w:vAlign w:val="bottom"/>
          </w:tcPr>
          <w:p>
            <w:pPr>
              <w:spacing w:after="0"/>
              <w:rPr>
                <w:sz w:val="15"/>
                <w:szCs w:val="15"/>
                <w:color w:val="auto"/>
              </w:rPr>
            </w:pPr>
          </w:p>
        </w:tc>
        <w:tc>
          <w:tcPr>
            <w:tcW w:w="2460" w:type="dxa"/>
            <w:vAlign w:val="bottom"/>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4480" w:type="dxa"/>
            <w:vAlign w:val="bottom"/>
          </w:tcPr>
          <w:p>
            <w:pPr>
              <w:jc w:val="center"/>
              <w:ind w:right="2171"/>
              <w:spacing w:after="0" w:line="173" w:lineRule="exact"/>
              <w:rPr>
                <w:sz w:val="20"/>
                <w:szCs w:val="20"/>
                <w:color w:val="auto"/>
              </w:rPr>
            </w:pPr>
            <w:r>
              <w:rPr>
                <w:rFonts w:ascii="Arial" w:cs="Arial" w:eastAsia="Arial" w:hAnsi="Arial"/>
                <w:sz w:val="18"/>
                <w:szCs w:val="18"/>
                <w:color w:val="auto"/>
                <w:w w:val="91"/>
              </w:rPr>
              <w:t>of Securities Remaining After</w:t>
            </w:r>
          </w:p>
        </w:tc>
        <w:tc>
          <w:tcPr>
            <w:tcW w:w="0" w:type="dxa"/>
            <w:vAlign w:val="bottom"/>
          </w:tcPr>
          <w:p>
            <w:pPr>
              <w:spacing w:after="0"/>
              <w:rPr>
                <w:sz w:val="1"/>
                <w:szCs w:val="1"/>
                <w:color w:val="auto"/>
              </w:rPr>
            </w:pPr>
          </w:p>
        </w:tc>
      </w:tr>
      <w:tr>
        <w:trPr>
          <w:trHeight w:val="238"/>
        </w:trPr>
        <w:tc>
          <w:tcPr>
            <w:tcW w:w="20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Date of Adjustment</w:t>
            </w:r>
          </w:p>
        </w:tc>
        <w:tc>
          <w:tcPr>
            <w:tcW w:w="470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w w:val="91"/>
              </w:rPr>
              <w:t>Principal Amount of Securities Principal Amount of Securities</w:t>
            </w:r>
          </w:p>
        </w:tc>
        <w:tc>
          <w:tcPr>
            <w:tcW w:w="44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0"/>
              </w:rPr>
              <w:t>Such Decrease or Increase   Notation by Security Registrar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color w:val="auto"/>
        </w:rPr>
        <w:t>A-5</w:t>
      </w:r>
    </w:p>
    <w:p>
      <w:pPr>
        <w:sectPr>
          <w:pgSz w:w="11900" w:h="16838" w:orient="portrait"/>
          <w:cols w:equalWidth="0" w:num="1">
            <w:col w:w="11240"/>
          </w:cols>
          <w:pgMar w:left="320" w:top="1381"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21"/>
          <w:szCs w:val="21"/>
          <w:color w:val="auto"/>
        </w:rPr>
        <w:t>[FORM OF REVERSE SIDE OF SECURITY]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CENTERPOINT ENERGY, INC.</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5.25% SENIOR NOTES DUE 2026</w:t>
      </w:r>
    </w:p>
    <w:p>
      <w:pPr>
        <w:spacing w:after="0" w:line="184" w:lineRule="exact"/>
        <w:rPr>
          <w:sz w:val="20"/>
          <w:szCs w:val="20"/>
          <w:color w:val="auto"/>
        </w:rPr>
      </w:pPr>
    </w:p>
    <w:p>
      <w:pPr>
        <w:jc w:val="both"/>
        <w:ind w:firstLine="638"/>
        <w:spacing w:after="0" w:line="228" w:lineRule="auto"/>
        <w:rPr>
          <w:sz w:val="20"/>
          <w:szCs w:val="20"/>
          <w:color w:val="auto"/>
        </w:rPr>
      </w:pPr>
      <w:r>
        <w:rPr>
          <w:rFonts w:ascii="Arial" w:cs="Arial" w:eastAsia="Arial" w:hAnsi="Arial"/>
          <w:sz w:val="20"/>
          <w:szCs w:val="20"/>
          <w:color w:val="auto"/>
        </w:rPr>
        <w:t xml:space="preserve">This Security is one of a duly authorized issue of securities of the Company (herein called the “Securities”), issued and to be issued in one or more series under an Indenture, dated as of May 19, 2003 (herein called the “ Indenture,” which term shall have the meaning assigned to it in such instrument), between the Company and The Bank of New York Mellon Trust Company, National Association (successor to JPMorgan Chase Bank, National Association (formerly JPMorgan Chase Bank)), as Trustee (herein called the “Trustee,” which term includes any successor trustee under the Indenture),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initially limited in aggregate principal amount to $400,000,000;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the authorized aggregate principal amount of the Securities may be increased above such amount by a Board Resolution to such effect.</w:t>
      </w:r>
    </w:p>
    <w:p>
      <w:pPr>
        <w:spacing w:after="0" w:line="155" w:lineRule="exact"/>
        <w:rPr>
          <w:sz w:val="20"/>
          <w:szCs w:val="20"/>
          <w:color w:val="auto"/>
        </w:rPr>
      </w:pPr>
    </w:p>
    <w:p>
      <w:pPr>
        <w:jc w:val="both"/>
        <w:ind w:firstLine="638"/>
        <w:spacing w:after="0" w:line="219" w:lineRule="auto"/>
        <w:rPr>
          <w:sz w:val="20"/>
          <w:szCs w:val="20"/>
          <w:color w:val="auto"/>
        </w:rPr>
      </w:pPr>
      <w:r>
        <w:rPr>
          <w:rFonts w:ascii="Arial" w:cs="Arial" w:eastAsia="Arial" w:hAnsi="Arial"/>
          <w:sz w:val="21"/>
          <w:szCs w:val="21"/>
          <w:color w:val="auto"/>
        </w:rPr>
        <w:t>This Security shall be redeemable at the option of the Company, in whole or in part, at any time and from time to time, at a redemption price (expressed as a percentage of principal amount and rounded to three decimal places) equal to the greater of (1)(a) the sum of the present values of the remaining scheduled payments of principal and interest on the Notes to be redeemed discounted to the Redemption Date on a semi-annual basis (assuming a 360-day year consisting of twelve 30-day months) at the applicable Treasury Rate plus 15 basis points less (b) interest accrued to the Redemption Date, and (2) 100% of the principal amount of the Notes to be redeemed, plus, in either case, accrued and unpaid interest thereon, if any, to, but excluding, the Redemption Date.</w:t>
      </w:r>
    </w:p>
    <w:p>
      <w:pPr>
        <w:spacing w:after="0" w:line="159" w:lineRule="exact"/>
        <w:rPr>
          <w:sz w:val="20"/>
          <w:szCs w:val="20"/>
          <w:color w:val="auto"/>
        </w:rPr>
      </w:pPr>
    </w:p>
    <w:p>
      <w:pPr>
        <w:jc w:val="both"/>
        <w:ind w:firstLine="638"/>
        <w:spacing w:after="0" w:line="241" w:lineRule="auto"/>
        <w:rPr>
          <w:sz w:val="20"/>
          <w:szCs w:val="20"/>
          <w:color w:val="auto"/>
        </w:rPr>
      </w:pPr>
      <w:r>
        <w:rPr>
          <w:rFonts w:ascii="Arial" w:cs="Arial" w:eastAsia="Arial" w:hAnsi="Arial"/>
          <w:sz w:val="21"/>
          <w:szCs w:val="21"/>
          <w:color w:val="auto"/>
        </w:rPr>
        <w:t>“Treasury Rate” means, with respect to any redemption date, the yield determined by the Company in accordance with the following two paragraphs.</w:t>
      </w:r>
    </w:p>
    <w:p>
      <w:pPr>
        <w:spacing w:after="0" w:line="153" w:lineRule="exact"/>
        <w:rPr>
          <w:sz w:val="20"/>
          <w:szCs w:val="20"/>
          <w:color w:val="auto"/>
        </w:rPr>
      </w:pPr>
    </w:p>
    <w:p>
      <w:pPr>
        <w:jc w:val="both"/>
        <w:ind w:firstLine="638"/>
        <w:spacing w:after="0" w:line="225" w:lineRule="auto"/>
        <w:rPr>
          <w:sz w:val="20"/>
          <w:szCs w:val="20"/>
          <w:color w:val="auto"/>
        </w:rPr>
      </w:pPr>
      <w:r>
        <w:rPr>
          <w:rFonts w:ascii="Arial" w:cs="Arial" w:eastAsia="Arial" w:hAnsi="Arial"/>
          <w:sz w:val="20"/>
          <w:szCs w:val="20"/>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Treasury constant maturities–Nominal” (or any successor caption or heading) (“H.15 TCM”). In determining the treasury rate, the Company shall select, as applicable: (1) the yield for the Treasury constant maturity on H.15 exactly equal to the period from the Redemption Date to the maturity date of the Notes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maturity date of the Notes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A-6</w:t>
      </w:r>
    </w:p>
    <w:p>
      <w:pPr>
        <w:sectPr>
          <w:pgSz w:w="11900" w:h="16838" w:orient="portrait"/>
          <w:cols w:equalWidth="0" w:num="1">
            <w:col w:w="11240"/>
          </w:cols>
          <w:pgMar w:left="320" w:top="1381" w:right="339" w:bottom="1440" w:gutter="0" w:footer="0" w:header="0"/>
        </w:sectPr>
      </w:pPr>
    </w:p>
    <w:bookmarkStart w:id="113" w:name="page114"/>
    <w:bookmarkEnd w:id="113"/>
    <w:p>
      <w:pPr>
        <w:jc w:val="both"/>
        <w:ind w:firstLine="638"/>
        <w:spacing w:after="0" w:line="226" w:lineRule="auto"/>
        <w:rPr>
          <w:sz w:val="20"/>
          <w:szCs w:val="20"/>
          <w:color w:val="auto"/>
        </w:rPr>
      </w:pPr>
      <w:r>
        <w:rPr>
          <w:rFonts w:ascii="Arial" w:cs="Arial" w:eastAsia="Arial" w:hAnsi="Arial"/>
          <w:sz w:val="20"/>
          <w:szCs w:val="20"/>
          <w:color w:val="auto"/>
        </w:rPr>
        <w:t>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maturity date of the Notes, as applicable. If there is no United States Treasury security maturing on the maturity date of the Notes but there are two or more United States Treasury securities with a maturity date equally distant from the maturity date of the Notes, one with a maturity date preceding the maturity date of the Notes and one with a maturity date following the maturity date of the Notes, the Company shall select the United States Treasury security with a maturity date preceding the maturity date of the Notes. If there are two or more United States Treasury securities maturing on the maturity date of the Notes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55" w:lineRule="exact"/>
        <w:rPr>
          <w:sz w:val="20"/>
          <w:szCs w:val="20"/>
          <w:color w:val="auto"/>
        </w:rPr>
      </w:pPr>
    </w:p>
    <w:p>
      <w:pPr>
        <w:jc w:val="both"/>
        <w:ind w:right="20" w:firstLine="638"/>
        <w:spacing w:after="0" w:line="241" w:lineRule="auto"/>
        <w:rPr>
          <w:sz w:val="20"/>
          <w:szCs w:val="20"/>
          <w:color w:val="auto"/>
        </w:rPr>
      </w:pPr>
      <w:r>
        <w:rPr>
          <w:rFonts w:ascii="Arial" w:cs="Arial" w:eastAsia="Arial" w:hAnsi="Arial"/>
          <w:sz w:val="21"/>
          <w:szCs w:val="21"/>
          <w:color w:val="auto"/>
        </w:rPr>
        <w:t>The Company’s actions and determinations in determining the Redemption Price shall be conclusive and binding for all purposes, absent manifest error. The Trustee shall have no responsibility for the calculation of such amount.</w:t>
      </w:r>
    </w:p>
    <w:p>
      <w:pPr>
        <w:spacing w:after="0" w:line="153" w:lineRule="exact"/>
        <w:rPr>
          <w:sz w:val="20"/>
          <w:szCs w:val="20"/>
          <w:color w:val="auto"/>
        </w:rPr>
      </w:pPr>
    </w:p>
    <w:p>
      <w:pPr>
        <w:jc w:val="both"/>
        <w:ind w:right="20" w:firstLine="638"/>
        <w:spacing w:after="0" w:line="241" w:lineRule="auto"/>
        <w:rPr>
          <w:sz w:val="20"/>
          <w:szCs w:val="20"/>
          <w:color w:val="auto"/>
        </w:rPr>
      </w:pPr>
      <w:r>
        <w:rPr>
          <w:rFonts w:ascii="Arial" w:cs="Arial" w:eastAsia="Arial" w:hAnsi="Arial"/>
          <w:sz w:val="21"/>
          <w:szCs w:val="21"/>
          <w:color w:val="auto"/>
        </w:rPr>
        <w:t>In the event of redemption of this Security in part only, a new Security or Securities of this series and of like tenor for the unredeemed portion hereof will be issued in the name of the Holder hereof upon the cancellation hereof.</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Securities of this series are not entitled to the benefit of any sinking fund.</w:t>
      </w:r>
    </w:p>
    <w:p>
      <w:pPr>
        <w:spacing w:after="0" w:line="184" w:lineRule="exact"/>
        <w:rPr>
          <w:sz w:val="20"/>
          <w:szCs w:val="20"/>
          <w:color w:val="auto"/>
        </w:rPr>
      </w:pPr>
    </w:p>
    <w:p>
      <w:pPr>
        <w:jc w:val="both"/>
        <w:ind w:firstLine="638"/>
        <w:spacing w:after="0" w:line="241" w:lineRule="auto"/>
        <w:rPr>
          <w:sz w:val="20"/>
          <w:szCs w:val="20"/>
          <w:color w:val="auto"/>
        </w:rPr>
      </w:pPr>
      <w:r>
        <w:rPr>
          <w:rFonts w:ascii="Arial" w:cs="Arial" w:eastAsia="Arial" w:hAnsi="Arial"/>
          <w:sz w:val="21"/>
          <w:szCs w:val="21"/>
          <w:color w:val="auto"/>
        </w:rPr>
        <w:t>The Indenture contains provisions for satisfaction and discharge of the entire indebtedness of this Security upon compliance by the Company with certain conditions set forth in the Indenture.</w:t>
      </w:r>
    </w:p>
    <w:p>
      <w:pPr>
        <w:spacing w:after="0" w:line="153" w:lineRule="exact"/>
        <w:rPr>
          <w:sz w:val="20"/>
          <w:szCs w:val="20"/>
          <w:color w:val="auto"/>
        </w:rPr>
      </w:pPr>
    </w:p>
    <w:p>
      <w:pPr>
        <w:jc w:val="both"/>
        <w:ind w:firstLine="638"/>
        <w:spacing w:after="0" w:line="230" w:lineRule="auto"/>
        <w:rPr>
          <w:sz w:val="20"/>
          <w:szCs w:val="20"/>
          <w:color w:val="auto"/>
        </w:rPr>
      </w:pPr>
      <w:r>
        <w:rPr>
          <w:rFonts w:ascii="Arial" w:cs="Arial" w:eastAsia="Arial" w:hAnsi="Arial"/>
          <w:sz w:val="21"/>
          <w:szCs w:val="21"/>
          <w:color w:val="auto"/>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spacing w:after="0" w:line="157" w:lineRule="exact"/>
        <w:rPr>
          <w:sz w:val="20"/>
          <w:szCs w:val="20"/>
          <w:color w:val="auto"/>
        </w:rPr>
      </w:pPr>
    </w:p>
    <w:p>
      <w:pPr>
        <w:jc w:val="both"/>
        <w:ind w:firstLine="638"/>
        <w:spacing w:after="0" w:line="241" w:lineRule="auto"/>
        <w:rPr>
          <w:sz w:val="20"/>
          <w:szCs w:val="20"/>
          <w:color w:val="auto"/>
        </w:rPr>
      </w:pPr>
      <w:r>
        <w:rPr>
          <w:rFonts w:ascii="Arial" w:cs="Arial" w:eastAsia="Arial" w:hAnsi="Arial"/>
          <w:sz w:val="21"/>
          <w:szCs w:val="21"/>
          <w:color w:val="auto"/>
        </w:rPr>
        <w:t>If an Event of Default with respect to Securities of this series shall occur and be continuing, the principal of the Securities of this series may be declared due and payable in the manner and with the effect provided in the Indenture.</w:t>
      </w:r>
    </w:p>
    <w:p>
      <w:pPr>
        <w:spacing w:after="0" w:line="153" w:lineRule="exact"/>
        <w:rPr>
          <w:sz w:val="20"/>
          <w:szCs w:val="20"/>
          <w:color w:val="auto"/>
        </w:rPr>
      </w:pPr>
    </w:p>
    <w:p>
      <w:pPr>
        <w:jc w:val="both"/>
        <w:ind w:firstLine="638"/>
        <w:spacing w:after="0" w:line="229" w:lineRule="auto"/>
        <w:rPr>
          <w:sz w:val="20"/>
          <w:szCs w:val="20"/>
          <w:color w:val="auto"/>
        </w:rPr>
      </w:pPr>
      <w:r>
        <w:rPr>
          <w:rFonts w:ascii="Arial" w:cs="Arial" w:eastAsia="Arial" w:hAnsi="Arial"/>
          <w:sz w:val="20"/>
          <w:szCs w:val="20"/>
          <w:color w:val="auto"/>
        </w:rPr>
        <w:t>The Indenture permits, with certain exceptions as therein provided, the amendment thereof and the modification of the rights and obligations of the Company and the rights of the Holders of the Securities to be affected under the Indenture at any time by the Company and the Trustee with the consent of the Holders of a majority in principal amount of the Securities at the time Outstanding to be affected. The Indenture also contains provisions permitting the Holders of specified percentages in principal amount of the Securities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color w:val="auto"/>
        </w:rPr>
        <w:t>A-7</w:t>
      </w:r>
    </w:p>
    <w:p>
      <w:pPr>
        <w:sectPr>
          <w:pgSz w:w="11900" w:h="16838" w:orient="portrait"/>
          <w:cols w:equalWidth="0" w:num="1">
            <w:col w:w="11240"/>
          </w:cols>
          <w:pgMar w:left="320" w:top="1381" w:right="339" w:bottom="1440" w:gutter="0" w:footer="0" w:header="0"/>
        </w:sectPr>
      </w:pPr>
    </w:p>
    <w:bookmarkStart w:id="114" w:name="page115"/>
    <w:bookmarkEnd w:id="114"/>
    <w:p>
      <w:pPr>
        <w:jc w:val="both"/>
        <w:spacing w:after="0" w:line="241" w:lineRule="auto"/>
        <w:rPr>
          <w:sz w:val="20"/>
          <w:szCs w:val="20"/>
          <w:color w:val="auto"/>
        </w:rPr>
      </w:pPr>
      <w:r>
        <w:rPr>
          <w:rFonts w:ascii="Arial" w:cs="Arial" w:eastAsia="Arial" w:hAnsi="Arial"/>
          <w:sz w:val="21"/>
          <w:szCs w:val="21"/>
          <w:color w:val="auto"/>
        </w:rPr>
        <w:t>registration of transfer hereof or in exchange herefor or in lieu hereof, whether or not notation of such consent or waiver is made upon this Security.</w:t>
      </w:r>
    </w:p>
    <w:p>
      <w:pPr>
        <w:spacing w:after="0" w:line="153" w:lineRule="exact"/>
        <w:rPr>
          <w:sz w:val="20"/>
          <w:szCs w:val="20"/>
          <w:color w:val="auto"/>
        </w:rPr>
      </w:pPr>
    </w:p>
    <w:p>
      <w:pPr>
        <w:jc w:val="both"/>
        <w:ind w:firstLine="638"/>
        <w:spacing w:after="0" w:line="228" w:lineRule="auto"/>
        <w:rPr>
          <w:sz w:val="20"/>
          <w:szCs w:val="20"/>
          <w:color w:val="auto"/>
        </w:rPr>
      </w:pPr>
      <w:r>
        <w:rPr>
          <w:rFonts w:ascii="Arial" w:cs="Arial" w:eastAsia="Arial" w:hAnsi="Arial"/>
          <w:sz w:val="20"/>
          <w:szCs w:val="20"/>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33% in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155" w:lineRule="exact"/>
        <w:rPr>
          <w:sz w:val="20"/>
          <w:szCs w:val="20"/>
          <w:color w:val="auto"/>
        </w:rPr>
      </w:pPr>
    </w:p>
    <w:p>
      <w:pPr>
        <w:jc w:val="both"/>
        <w:ind w:firstLine="638"/>
        <w:spacing w:after="0" w:line="230" w:lineRule="auto"/>
        <w:rPr>
          <w:sz w:val="20"/>
          <w:szCs w:val="20"/>
          <w:color w:val="auto"/>
        </w:rPr>
      </w:pPr>
      <w:r>
        <w:rPr>
          <w:rFonts w:ascii="Arial" w:cs="Arial" w:eastAsia="Arial" w:hAnsi="Arial"/>
          <w:sz w:val="21"/>
          <w:szCs w:val="21"/>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57" w:lineRule="exact"/>
        <w:rPr>
          <w:sz w:val="20"/>
          <w:szCs w:val="20"/>
          <w:color w:val="auto"/>
        </w:rPr>
      </w:pPr>
    </w:p>
    <w:p>
      <w:pPr>
        <w:jc w:val="both"/>
        <w:ind w:firstLine="638"/>
        <w:spacing w:after="0" w:line="229" w:lineRule="auto"/>
        <w:rPr>
          <w:sz w:val="20"/>
          <w:szCs w:val="20"/>
          <w:color w:val="auto"/>
        </w:rPr>
      </w:pPr>
      <w:r>
        <w:rPr>
          <w:rFonts w:ascii="Arial" w:cs="Arial" w:eastAsia="Arial" w:hAnsi="Arial"/>
          <w:sz w:val="20"/>
          <w:szCs w:val="20"/>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 No service charge shall be made for any such registration of transfer or exchange, but the Company may require payment of a sum sufficient to cover any tax or other governmental charge payable in connection therewith.</w:t>
      </w:r>
    </w:p>
    <w:p>
      <w:pPr>
        <w:spacing w:after="0" w:line="159" w:lineRule="exact"/>
        <w:rPr>
          <w:sz w:val="20"/>
          <w:szCs w:val="20"/>
          <w:color w:val="auto"/>
        </w:rPr>
      </w:pPr>
    </w:p>
    <w:p>
      <w:pPr>
        <w:jc w:val="both"/>
        <w:ind w:firstLine="638"/>
        <w:spacing w:after="0" w:line="226" w:lineRule="auto"/>
        <w:rPr>
          <w:sz w:val="20"/>
          <w:szCs w:val="20"/>
          <w:color w:val="auto"/>
        </w:rPr>
      </w:pPr>
      <w:r>
        <w:rPr>
          <w:rFonts w:ascii="Arial" w:cs="Arial" w:eastAsia="Arial" w:hAnsi="Arial"/>
          <w:sz w:val="21"/>
          <w:szCs w:val="21"/>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54" w:lineRule="exact"/>
        <w:rPr>
          <w:sz w:val="20"/>
          <w:szCs w:val="20"/>
          <w:color w:val="auto"/>
        </w:rPr>
      </w:pPr>
    </w:p>
    <w:p>
      <w:pPr>
        <w:jc w:val="both"/>
        <w:ind w:firstLine="638"/>
        <w:spacing w:after="0" w:line="226" w:lineRule="auto"/>
        <w:rPr>
          <w:sz w:val="20"/>
          <w:szCs w:val="20"/>
          <w:color w:val="auto"/>
        </w:rPr>
      </w:pPr>
      <w:r>
        <w:rPr>
          <w:rFonts w:ascii="Arial" w:cs="Arial" w:eastAsia="Arial" w:hAnsi="Arial"/>
          <w:sz w:val="21"/>
          <w:szCs w:val="21"/>
          <w:color w:val="auto"/>
        </w:rPr>
        <w:t>The Securities of this series are issuable only in registered form without coupons in denominations of $2,000 and integral multiples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All terms used in this Security which are defined in the Indenture shall have the meanings assigned to them in the Indenture.</w:t>
      </w:r>
    </w:p>
    <w:p>
      <w:pPr>
        <w:spacing w:after="0" w:line="207" w:lineRule="exact"/>
        <w:rPr>
          <w:sz w:val="20"/>
          <w:szCs w:val="20"/>
          <w:color w:val="auto"/>
        </w:rPr>
      </w:pPr>
    </w:p>
    <w:p>
      <w:pPr>
        <w:jc w:val="both"/>
        <w:ind w:right="20" w:firstLine="638"/>
        <w:spacing w:after="0" w:line="241" w:lineRule="auto"/>
        <w:rPr>
          <w:sz w:val="20"/>
          <w:szCs w:val="20"/>
          <w:color w:val="auto"/>
        </w:rPr>
      </w:pPr>
      <w:r>
        <w:rPr>
          <w:rFonts w:ascii="Arial" w:cs="Arial" w:eastAsia="Arial" w:hAnsi="Arial"/>
          <w:sz w:val="21"/>
          <w:szCs w:val="21"/>
          <w:color w:val="auto"/>
        </w:rPr>
        <w:t>THE INDENTURE AND THIS SECURITY SHALL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1"/>
          <w:szCs w:val="21"/>
          <w:color w:val="auto"/>
        </w:rPr>
        <w:t>A-8</w:t>
      </w:r>
    </w:p>
    <w:p>
      <w:pPr>
        <w:sectPr>
          <w:pgSz w:w="11900" w:h="16838" w:orient="portrait"/>
          <w:cols w:equalWidth="0" w:num="1">
            <w:col w:w="11240"/>
          </w:cols>
          <w:pgMar w:left="320" w:top="1381"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CENTERPOINT ENERGY HOUSTON ELECTRIC, LLC</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OFFICER’S CERTIFICATE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September 18, 2023</w:t>
      </w:r>
    </w:p>
    <w:p>
      <w:pPr>
        <w:spacing w:after="0" w:line="184" w:lineRule="exact"/>
        <w:rPr>
          <w:sz w:val="20"/>
          <w:szCs w:val="20"/>
          <w:color w:val="auto"/>
        </w:rPr>
      </w:pPr>
    </w:p>
    <w:p>
      <w:pPr>
        <w:jc w:val="both"/>
        <w:ind w:firstLine="1276"/>
        <w:spacing w:after="0" w:line="217" w:lineRule="auto"/>
        <w:rPr>
          <w:sz w:val="20"/>
          <w:szCs w:val="20"/>
          <w:color w:val="auto"/>
        </w:rPr>
      </w:pPr>
      <w:r>
        <w:rPr>
          <w:rFonts w:ascii="Arial" w:cs="Arial" w:eastAsia="Arial" w:hAnsi="Arial"/>
          <w:sz w:val="21"/>
          <w:szCs w:val="21"/>
          <w:color w:val="auto"/>
        </w:rPr>
        <w:t>I, the undersigned officer of CenterPoint Energy Houston Electric, LLC, a Texas limited liability company (the “Company”), do hereby certify that I am an Authorized Officer of the Company as such term is defined in the Indenture (as defined herein). I am delivering this certificate pursuant to the authority granted in the Resolutions adopted by written consent of the sole Manager of the Company dated September 8, 2023, and Sections 105, 201, 301, 401(1), 401(5) and 1403 of the General Mortgage Indenture, dated as of October 10, 2002, as heretofore supplemented to the date hereof (as heretofore supplemented, the “Indenture”), between the Company and The Bank of New York Mellon Trust Company, National Association (successor in trust to JPMorgan Chase Bank), as Trustee (the “Trustee”). Terms used herein and not otherwise defined herein shall have the meanings assigned to them in the Indenture, unless the context clearly requires otherwise. Based upon the foregoing, I hereby certify on behalf of the Company as follows:</w:t>
      </w:r>
    </w:p>
    <w:p>
      <w:pPr>
        <w:spacing w:after="0" w:line="162" w:lineRule="exact"/>
        <w:rPr>
          <w:sz w:val="20"/>
          <w:szCs w:val="20"/>
          <w:color w:val="auto"/>
        </w:rPr>
      </w:pPr>
    </w:p>
    <w:p>
      <w:pPr>
        <w:ind w:firstLine="6"/>
        <w:spacing w:after="0" w:line="291" w:lineRule="auto"/>
        <w:tabs>
          <w:tab w:leader="none" w:pos="638"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terms and conditions of the Securities of the series described in this Officer’s Certificate are as follows (the numbered subdivisions set forth in this Paragraph 1 corresponding to the numbered subdivisions of Section 301 of the Indenture):</w:t>
      </w:r>
    </w:p>
    <w:p>
      <w:pPr>
        <w:spacing w:after="0" w:line="108" w:lineRule="exact"/>
        <w:rPr>
          <w:rFonts w:ascii="Arial" w:cs="Arial" w:eastAsia="Arial" w:hAnsi="Arial"/>
          <w:sz w:val="19"/>
          <w:szCs w:val="19"/>
          <w:color w:val="auto"/>
        </w:rPr>
      </w:pPr>
    </w:p>
    <w:p>
      <w:pPr>
        <w:jc w:val="both"/>
        <w:ind w:left="640" w:firstLine="5"/>
        <w:spacing w:after="0" w:line="230" w:lineRule="auto"/>
        <w:tabs>
          <w:tab w:leader="none" w:pos="1274" w:val="left"/>
        </w:tabs>
        <w:numPr>
          <w:ilvl w:val="1"/>
          <w:numId w:val="70"/>
        </w:numPr>
        <w:rPr>
          <w:rFonts w:ascii="Arial" w:cs="Arial" w:eastAsia="Arial" w:hAnsi="Arial"/>
          <w:sz w:val="21"/>
          <w:szCs w:val="21"/>
          <w:color w:val="010000"/>
        </w:rPr>
      </w:pPr>
      <w:r>
        <w:rPr>
          <w:rFonts w:ascii="Arial" w:cs="Arial" w:eastAsia="Arial" w:hAnsi="Arial"/>
          <w:sz w:val="21"/>
          <w:szCs w:val="21"/>
          <w:color w:val="auto"/>
        </w:rPr>
        <w:t>The Securities of the thirty-ninth series to be issued under the Indenture shall be designated as the “5.20% General Mortgage Bonds, Series AM, due 2028” (the “Bonds”), as set forth in the Thirty-Fourth Supplemental Indenture, dated as of the date hereof, between the Company and the Trustee.</w:t>
      </w:r>
    </w:p>
    <w:p>
      <w:pPr>
        <w:spacing w:after="0" w:line="156" w:lineRule="exact"/>
        <w:rPr>
          <w:rFonts w:ascii="Arial" w:cs="Arial" w:eastAsia="Arial" w:hAnsi="Arial"/>
          <w:sz w:val="21"/>
          <w:szCs w:val="21"/>
          <w:color w:val="010000"/>
        </w:rPr>
      </w:pPr>
    </w:p>
    <w:p>
      <w:pPr>
        <w:jc w:val="both"/>
        <w:ind w:left="640" w:firstLine="5"/>
        <w:spacing w:after="0" w:line="221" w:lineRule="auto"/>
        <w:tabs>
          <w:tab w:leader="none" w:pos="1274" w:val="left"/>
        </w:tabs>
        <w:numPr>
          <w:ilvl w:val="1"/>
          <w:numId w:val="70"/>
        </w:numPr>
        <w:rPr>
          <w:rFonts w:ascii="Arial" w:cs="Arial" w:eastAsia="Arial" w:hAnsi="Arial"/>
          <w:sz w:val="21"/>
          <w:szCs w:val="21"/>
          <w:color w:val="010000"/>
        </w:rPr>
      </w:pPr>
      <w:r>
        <w:rPr>
          <w:rFonts w:ascii="Arial" w:cs="Arial" w:eastAsia="Arial" w:hAnsi="Arial"/>
          <w:sz w:val="21"/>
          <w:szCs w:val="21"/>
          <w:color w:val="auto"/>
        </w:rPr>
        <w:t>The Trustee shall authenticate and deliver the Bonds for original issue on September 18, 2023 (the “Issue Date”) in the aggregate principal amount of $500,000,000, upon a Company Order for the authentication and delivery thereof and satisfaction of Section 401 of the Indenture; provided, however, that, as contemplated in the second paragraph of Section 301 of the Indenture and the definition of “Tranche” in Section 101 of the Indenture, additional Securities of a series or Tranche may be subsequently issued from time to time, without any consent of Holders of the Securities of such series, pursuant to Section 1401(4) of the Indenture.</w:t>
      </w:r>
    </w:p>
    <w:p>
      <w:pPr>
        <w:spacing w:after="0" w:line="154" w:lineRule="exact"/>
        <w:rPr>
          <w:rFonts w:ascii="Arial" w:cs="Arial" w:eastAsia="Arial" w:hAnsi="Arial"/>
          <w:sz w:val="21"/>
          <w:szCs w:val="21"/>
          <w:color w:val="010000"/>
        </w:rPr>
      </w:pPr>
    </w:p>
    <w:p>
      <w:pPr>
        <w:jc w:val="both"/>
        <w:ind w:left="640" w:firstLine="5"/>
        <w:spacing w:after="0" w:line="230" w:lineRule="auto"/>
        <w:tabs>
          <w:tab w:leader="none" w:pos="1274" w:val="left"/>
        </w:tabs>
        <w:numPr>
          <w:ilvl w:val="1"/>
          <w:numId w:val="70"/>
        </w:numPr>
        <w:rPr>
          <w:rFonts w:ascii="Arial" w:cs="Arial" w:eastAsia="Arial" w:hAnsi="Arial"/>
          <w:sz w:val="21"/>
          <w:szCs w:val="21"/>
          <w:color w:val="010000"/>
        </w:rPr>
      </w:pPr>
      <w:r>
        <w:rPr>
          <w:rFonts w:ascii="Arial" w:cs="Arial" w:eastAsia="Arial" w:hAnsi="Arial"/>
          <w:sz w:val="21"/>
          <w:szCs w:val="21"/>
          <w:color w:val="auto"/>
        </w:rPr>
        <w:t xml:space="preserve">Interest on the Bonds shall be payable to the Persons in whose names such Securities are registered at the close of business on the Regular Record Date for such interest (as specified in (5) below), except as otherwise expressly provided in the form of such Securities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w:t>
      </w:r>
    </w:p>
    <w:p>
      <w:pPr>
        <w:spacing w:after="0" w:line="156" w:lineRule="exact"/>
        <w:rPr>
          <w:rFonts w:ascii="Arial" w:cs="Arial" w:eastAsia="Arial" w:hAnsi="Arial"/>
          <w:sz w:val="21"/>
          <w:szCs w:val="21"/>
          <w:color w:val="010000"/>
        </w:rPr>
      </w:pPr>
    </w:p>
    <w:p>
      <w:pPr>
        <w:ind w:left="640" w:firstLine="5"/>
        <w:spacing w:after="0" w:line="241" w:lineRule="auto"/>
        <w:tabs>
          <w:tab w:leader="none" w:pos="1274" w:val="left"/>
        </w:tabs>
        <w:numPr>
          <w:ilvl w:val="1"/>
          <w:numId w:val="70"/>
        </w:numPr>
        <w:rPr>
          <w:rFonts w:ascii="Arial" w:cs="Arial" w:eastAsia="Arial" w:hAnsi="Arial"/>
          <w:sz w:val="21"/>
          <w:szCs w:val="21"/>
          <w:color w:val="010000"/>
        </w:rPr>
      </w:pPr>
      <w:r>
        <w:rPr>
          <w:rFonts w:ascii="Arial" w:cs="Arial" w:eastAsia="Arial" w:hAnsi="Arial"/>
          <w:sz w:val="21"/>
          <w:szCs w:val="21"/>
          <w:color w:val="auto"/>
        </w:rPr>
        <w:t>The Bonds shall mature and the principal thereof shall be due and payable together with all accrued and unpaid interest thereon on October 1, 2028.</w:t>
      </w:r>
    </w:p>
    <w:p>
      <w:pPr>
        <w:spacing w:after="0" w:line="153" w:lineRule="exact"/>
        <w:rPr>
          <w:rFonts w:ascii="Arial" w:cs="Arial" w:eastAsia="Arial" w:hAnsi="Arial"/>
          <w:sz w:val="21"/>
          <w:szCs w:val="21"/>
          <w:color w:val="010000"/>
        </w:rPr>
      </w:pPr>
    </w:p>
    <w:p>
      <w:pPr>
        <w:jc w:val="both"/>
        <w:ind w:left="640" w:firstLine="5"/>
        <w:spacing w:after="0" w:line="245" w:lineRule="auto"/>
        <w:tabs>
          <w:tab w:leader="none" w:pos="1274" w:val="left"/>
        </w:tabs>
        <w:numPr>
          <w:ilvl w:val="1"/>
          <w:numId w:val="70"/>
        </w:numPr>
        <w:rPr>
          <w:rFonts w:ascii="Arial" w:cs="Arial" w:eastAsia="Arial" w:hAnsi="Arial"/>
          <w:sz w:val="19"/>
          <w:szCs w:val="19"/>
          <w:color w:val="010000"/>
        </w:rPr>
      </w:pPr>
      <w:r>
        <w:rPr>
          <w:rFonts w:ascii="Arial" w:cs="Arial" w:eastAsia="Arial" w:hAnsi="Arial"/>
          <w:sz w:val="19"/>
          <w:szCs w:val="19"/>
          <w:color w:val="auto"/>
        </w:rPr>
        <w:t>The Bonds shall bear interest at the rate of 5.20% per annum. Interest shall accrue on the Bonds from the Issue Date, or the most recent date to which interest has been paid or duly provided for. The Interest Payment Dates for the Bonds shall be April 1 and October 1 in each year commencing April 1, 2024, and the Regular Record Dates with respect to the Interest Payment Dates for the Bonds shall be the March 15 and September 15, respectively, immediately preceding each Interest Payment Date (whether or not a Business Day); provided however that interest payable at maturity, upon redemption or when principal is otherwise due will be payable to the Holder to whom principal is payable.</w:t>
      </w:r>
    </w:p>
    <w:p>
      <w:pPr>
        <w:sectPr>
          <w:pgSz w:w="11900" w:h="16838" w:orient="portrait"/>
          <w:cols w:equalWidth="0" w:num="1">
            <w:col w:w="11240"/>
          </w:cols>
          <w:pgMar w:left="320" w:top="108" w:right="339" w:bottom="1440" w:gutter="0" w:footer="0" w:header="0"/>
        </w:sectPr>
      </w:pPr>
    </w:p>
    <w:bookmarkStart w:id="116" w:name="page117"/>
    <w:bookmarkEnd w:id="116"/>
    <w:p>
      <w:pPr>
        <w:jc w:val="both"/>
        <w:ind w:left="640" w:firstLine="5"/>
        <w:spacing w:after="0" w:line="228" w:lineRule="auto"/>
        <w:tabs>
          <w:tab w:leader="none" w:pos="1274" w:val="left"/>
        </w:tabs>
        <w:numPr>
          <w:ilvl w:val="0"/>
          <w:numId w:val="71"/>
        </w:numPr>
        <w:rPr>
          <w:rFonts w:ascii="Arial" w:cs="Arial" w:eastAsia="Arial" w:hAnsi="Arial"/>
          <w:sz w:val="20"/>
          <w:szCs w:val="20"/>
          <w:color w:val="010000"/>
        </w:rPr>
      </w:pPr>
      <w:r>
        <w:rPr>
          <w:rFonts w:ascii="Arial" w:cs="Arial" w:eastAsia="Arial" w:hAnsi="Arial"/>
          <w:sz w:val="20"/>
          <w:szCs w:val="20"/>
          <w:color w:val="auto"/>
        </w:rPr>
        <w:t>The Corporate Trust Office of The Bank of New York Mellon Trust Company, National Association in New York, New York shall be the place at which (i) the principal of and premium, if any, and interest on the Bonds shall be payable, (ii) registration of transfer of the Bonds may be effected, (iii) exchanges of the Bonds may be effected, and (iv) notices and demands to or upon the Company in respect of the Bonds and the Indenture may be served; and The Bank of New York Mellon Trust Company, National Association shall be the Security Registrar and Paying Agent for the Bonds; provided, however, that the Company reserves the right to change, by one or more Officer’s Certificates, any such place or the Security Registrar; and provided, further, that the Company reserves the right to designate, by one or more Officer’s Certificates, its principal office in Houston, Texas as any such place or itself as the Security Registrar; provided, however, that there shall be only a single Security Registrar for the Bonds.</w:t>
      </w:r>
    </w:p>
    <w:p>
      <w:pPr>
        <w:spacing w:after="0" w:line="161" w:lineRule="exact"/>
        <w:rPr>
          <w:rFonts w:ascii="Arial" w:cs="Arial" w:eastAsia="Arial" w:hAnsi="Arial"/>
          <w:sz w:val="20"/>
          <w:szCs w:val="20"/>
          <w:color w:val="010000"/>
        </w:rPr>
      </w:pPr>
    </w:p>
    <w:p>
      <w:pPr>
        <w:jc w:val="both"/>
        <w:ind w:left="640" w:firstLine="5"/>
        <w:spacing w:after="0" w:line="230" w:lineRule="auto"/>
        <w:tabs>
          <w:tab w:leader="none" w:pos="1274" w:val="left"/>
        </w:tabs>
        <w:numPr>
          <w:ilvl w:val="0"/>
          <w:numId w:val="71"/>
        </w:numPr>
        <w:rPr>
          <w:rFonts w:ascii="Arial" w:cs="Arial" w:eastAsia="Arial" w:hAnsi="Arial"/>
          <w:sz w:val="21"/>
          <w:szCs w:val="21"/>
          <w:color w:val="010000"/>
        </w:rPr>
      </w:pPr>
      <w:r>
        <w:rPr>
          <w:rFonts w:ascii="Arial" w:cs="Arial" w:eastAsia="Arial" w:hAnsi="Arial"/>
          <w:sz w:val="21"/>
          <w:szCs w:val="21"/>
          <w:color w:val="auto"/>
        </w:rPr>
        <w:t>Prior to September 1, 2028 (the “Par Call Date”), the Company may redeem the Bonds in whole or in part, at any time and from time to time, at a redemption price (expressed as a percentage of principal amount and rounded to three decimal places) equal to the greater of:</w:t>
      </w:r>
    </w:p>
    <w:p>
      <w:pPr>
        <w:spacing w:after="0" w:line="156" w:lineRule="exact"/>
        <w:rPr>
          <w:rFonts w:ascii="Arial" w:cs="Arial" w:eastAsia="Arial" w:hAnsi="Arial"/>
          <w:sz w:val="21"/>
          <w:szCs w:val="21"/>
          <w:color w:val="010000"/>
        </w:rPr>
      </w:pPr>
    </w:p>
    <w:p>
      <w:pPr>
        <w:jc w:val="both"/>
        <w:ind w:left="1280" w:hanging="316"/>
        <w:spacing w:after="0" w:line="237" w:lineRule="auto"/>
        <w:tabs>
          <w:tab w:leader="none" w:pos="1275" w:val="left"/>
        </w:tabs>
        <w:numPr>
          <w:ilvl w:val="1"/>
          <w:numId w:val="71"/>
        </w:numPr>
        <w:rPr>
          <w:rFonts w:ascii="Arial" w:cs="Arial" w:eastAsia="Arial" w:hAnsi="Arial"/>
          <w:sz w:val="20"/>
          <w:szCs w:val="20"/>
          <w:color w:val="auto"/>
        </w:rPr>
      </w:pPr>
      <w:r>
        <w:rPr>
          <w:rFonts w:ascii="Arial" w:cs="Arial" w:eastAsia="Arial" w:hAnsi="Arial"/>
          <w:sz w:val="20"/>
          <w:szCs w:val="20"/>
          <w:color w:val="auto"/>
        </w:rPr>
        <w:t>(1)(a) the sum of the present values of the remaining scheduled payments of principal and interest on the Bonds of such series to be redeemed discounted to the Redemption Date (assuming the Bonds to be redeemed matured on the Par Call Date) on a semi-annual basis (assuming a 360-day year consisting of twelve 30-day months) at the Treasury Rate plus 15 basis points; less (b) interest accrued to the Redemption Date; and</w:t>
      </w:r>
    </w:p>
    <w:p>
      <w:pPr>
        <w:spacing w:after="0" w:line="155" w:lineRule="exact"/>
        <w:rPr>
          <w:rFonts w:ascii="Arial" w:cs="Arial" w:eastAsia="Arial" w:hAnsi="Arial"/>
          <w:sz w:val="20"/>
          <w:szCs w:val="20"/>
          <w:color w:val="auto"/>
        </w:rPr>
      </w:pPr>
    </w:p>
    <w:p>
      <w:pPr>
        <w:ind w:left="1280" w:hanging="316"/>
        <w:spacing w:after="0"/>
        <w:tabs>
          <w:tab w:leader="none" w:pos="1280" w:val="left"/>
        </w:tabs>
        <w:numPr>
          <w:ilvl w:val="1"/>
          <w:numId w:val="71"/>
        </w:numPr>
        <w:rPr>
          <w:rFonts w:ascii="Arial" w:cs="Arial" w:eastAsia="Arial" w:hAnsi="Arial"/>
          <w:sz w:val="21"/>
          <w:szCs w:val="21"/>
          <w:color w:val="auto"/>
        </w:rPr>
      </w:pPr>
      <w:r>
        <w:rPr>
          <w:rFonts w:ascii="Arial" w:cs="Arial" w:eastAsia="Arial" w:hAnsi="Arial"/>
          <w:sz w:val="21"/>
          <w:szCs w:val="21"/>
          <w:color w:val="auto"/>
        </w:rPr>
        <w:t>(2) 100% of the principal amount of the Bonds to be redeemed;</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plus, in each case, accrued and unpaid interest thereon to, but excluding, the Redemption Date.</w:t>
      </w:r>
    </w:p>
    <w:p>
      <w:pPr>
        <w:spacing w:after="0" w:line="184" w:lineRule="exact"/>
        <w:rPr>
          <w:sz w:val="20"/>
          <w:szCs w:val="20"/>
          <w:color w:val="auto"/>
        </w:rPr>
      </w:pPr>
    </w:p>
    <w:p>
      <w:pPr>
        <w:jc w:val="both"/>
        <w:ind w:left="640"/>
        <w:spacing w:after="0" w:line="230" w:lineRule="auto"/>
        <w:rPr>
          <w:sz w:val="20"/>
          <w:szCs w:val="20"/>
          <w:color w:val="auto"/>
        </w:rPr>
      </w:pPr>
      <w:r>
        <w:rPr>
          <w:rFonts w:ascii="Arial" w:cs="Arial" w:eastAsia="Arial" w:hAnsi="Arial"/>
          <w:sz w:val="21"/>
          <w:szCs w:val="21"/>
          <w:color w:val="auto"/>
        </w:rPr>
        <w:t>On or after the Par Call Date, the Company may redeem the Bonds in whole or in part, at any time and from time to time, at a redemption price equal to 100% of the principal amount of Bonds being redeemed plus, in each case, accrued and unpaid interest thereon to, but excluding, the Redemption Date.</w:t>
      </w:r>
    </w:p>
    <w:p>
      <w:pPr>
        <w:spacing w:after="0" w:line="157" w:lineRule="exact"/>
        <w:rPr>
          <w:sz w:val="20"/>
          <w:szCs w:val="20"/>
          <w:color w:val="auto"/>
        </w:rPr>
      </w:pPr>
    </w:p>
    <w:p>
      <w:pPr>
        <w:jc w:val="both"/>
        <w:ind w:left="640" w:right="20" w:firstLine="638"/>
        <w:spacing w:after="0" w:line="241" w:lineRule="auto"/>
        <w:rPr>
          <w:sz w:val="20"/>
          <w:szCs w:val="20"/>
          <w:color w:val="auto"/>
        </w:rPr>
      </w:pPr>
      <w:r>
        <w:rPr>
          <w:rFonts w:ascii="Arial" w:cs="Arial" w:eastAsia="Arial" w:hAnsi="Arial"/>
          <w:sz w:val="21"/>
          <w:szCs w:val="21"/>
          <w:color w:val="auto"/>
        </w:rPr>
        <w:t>“Treasury Rate” means, with respect to any Redemption Date, the yield determined by the Company in accordance with the following two paragraphs.</w:t>
      </w:r>
    </w:p>
    <w:p>
      <w:pPr>
        <w:spacing w:after="0" w:line="153" w:lineRule="exact"/>
        <w:rPr>
          <w:sz w:val="20"/>
          <w:szCs w:val="20"/>
          <w:color w:val="auto"/>
        </w:rPr>
      </w:pPr>
    </w:p>
    <w:p>
      <w:pPr>
        <w:jc w:val="both"/>
        <w:ind w:left="640" w:firstLine="638"/>
        <w:spacing w:after="0" w:line="227" w:lineRule="auto"/>
        <w:rPr>
          <w:sz w:val="20"/>
          <w:szCs w:val="20"/>
          <w:color w:val="auto"/>
        </w:rPr>
      </w:pPr>
      <w:r>
        <w:rPr>
          <w:rFonts w:ascii="Arial" w:cs="Arial" w:eastAsia="Arial" w:hAnsi="Arial"/>
          <w:sz w:val="20"/>
          <w:szCs w:val="20"/>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381" w:right="339" w:bottom="1440" w:gutter="0" w:footer="0" w:header="0"/>
        </w:sectPr>
      </w:pPr>
    </w:p>
    <w:bookmarkStart w:id="117" w:name="page118"/>
    <w:bookmarkEnd w:id="117"/>
    <w:p>
      <w:pPr>
        <w:jc w:val="both"/>
        <w:ind w:left="640"/>
        <w:spacing w:after="0" w:line="223" w:lineRule="auto"/>
        <w:rPr>
          <w:sz w:val="20"/>
          <w:szCs w:val="20"/>
          <w:color w:val="auto"/>
        </w:rPr>
      </w:pPr>
      <w:r>
        <w:rPr>
          <w:rFonts w:ascii="Arial" w:cs="Arial" w:eastAsia="Arial" w:hAnsi="Arial"/>
          <w:sz w:val="21"/>
          <w:szCs w:val="21"/>
          <w:color w:val="auto"/>
        </w:rPr>
        <w:t>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55" w:lineRule="exact"/>
        <w:rPr>
          <w:sz w:val="20"/>
          <w:szCs w:val="20"/>
          <w:color w:val="auto"/>
        </w:rPr>
      </w:pPr>
    </w:p>
    <w:p>
      <w:pPr>
        <w:jc w:val="both"/>
        <w:ind w:left="640" w:firstLine="638"/>
        <w:spacing w:after="0" w:line="226" w:lineRule="auto"/>
        <w:rPr>
          <w:sz w:val="20"/>
          <w:szCs w:val="20"/>
          <w:color w:val="auto"/>
        </w:rPr>
      </w:pPr>
      <w:r>
        <w:rPr>
          <w:rFonts w:ascii="Arial" w:cs="Arial" w:eastAsia="Arial" w:hAnsi="Arial"/>
          <w:sz w:val="20"/>
          <w:szCs w:val="20"/>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55" w:lineRule="exact"/>
        <w:rPr>
          <w:sz w:val="20"/>
          <w:szCs w:val="20"/>
          <w:color w:val="auto"/>
        </w:rPr>
      </w:pPr>
    </w:p>
    <w:p>
      <w:pPr>
        <w:jc w:val="both"/>
        <w:ind w:left="640" w:firstLine="638"/>
        <w:spacing w:after="0" w:line="241" w:lineRule="auto"/>
        <w:rPr>
          <w:sz w:val="20"/>
          <w:szCs w:val="20"/>
          <w:color w:val="auto"/>
        </w:rPr>
      </w:pPr>
      <w:r>
        <w:rPr>
          <w:rFonts w:ascii="Arial" w:cs="Arial" w:eastAsia="Arial" w:hAnsi="Arial"/>
          <w:sz w:val="21"/>
          <w:szCs w:val="21"/>
          <w:color w:val="auto"/>
        </w:rPr>
        <w:t>The Company’s actions and determinations in determining the redemption price shall be conclusive and binding for all purposes, absent manifest error.</w:t>
      </w:r>
    </w:p>
    <w:p>
      <w:pPr>
        <w:spacing w:after="0" w:line="153" w:lineRule="exact"/>
        <w:rPr>
          <w:sz w:val="20"/>
          <w:szCs w:val="20"/>
          <w:color w:val="auto"/>
        </w:rPr>
      </w:pPr>
    </w:p>
    <w:p>
      <w:pPr>
        <w:jc w:val="both"/>
        <w:ind w:left="640" w:firstLine="638"/>
        <w:spacing w:after="0" w:line="217" w:lineRule="auto"/>
        <w:rPr>
          <w:sz w:val="20"/>
          <w:szCs w:val="20"/>
          <w:color w:val="auto"/>
        </w:rPr>
      </w:pPr>
      <w:r>
        <w:rPr>
          <w:rFonts w:ascii="Arial" w:cs="Arial" w:eastAsia="Arial" w:hAnsi="Arial"/>
          <w:sz w:val="21"/>
          <w:szCs w:val="21"/>
          <w:color w:val="auto"/>
        </w:rPr>
        <w:t>The Trustee, at the written direction of the Company, will send a notice of redemption to each holder of Bonds to be redeemed by first-class mail (or in accordance with the procedures of The Depository Trust Company with respect to Bonds registered in the name of Cede &amp; Co.) at least 10 and not more than 60 days prior to the date fixed for redemption. Unless the Company defaults on payment of the redemption price, interest will cease to accrue on the Bonds or portions thereof called for redemption on the Redemption Date. If fewer than all of the Bonds are to be redeemed, not more than 60 days prior to the Redemption Date, the particular Bonds or portions thereof called for redemption will be selected from the outstanding Bonds not previously called by lot by the Trustee. The Trustee may select for redemption Bonds and portions of Bonds in amounts of $2,000 or whole multiples of $1,000. In the case of a partial redemption of Bonds registered in the name of Cede &amp; Co., the Bonds to be redeemed will be determined in accordance with the procedures of The Depository Trust Company.</w:t>
      </w:r>
    </w:p>
    <w:p>
      <w:pPr>
        <w:spacing w:after="0" w:line="157" w:lineRule="exact"/>
        <w:rPr>
          <w:sz w:val="20"/>
          <w:szCs w:val="20"/>
          <w:color w:val="auto"/>
        </w:rPr>
      </w:pPr>
    </w:p>
    <w:p>
      <w:pPr>
        <w:ind w:left="1280" w:hanging="635"/>
        <w:spacing w:after="0"/>
        <w:tabs>
          <w:tab w:leader="none" w:pos="1280" w:val="left"/>
        </w:tabs>
        <w:numPr>
          <w:ilvl w:val="0"/>
          <w:numId w:val="72"/>
        </w:numPr>
        <w:rPr>
          <w:rFonts w:ascii="Arial" w:cs="Arial" w:eastAsia="Arial" w:hAnsi="Arial"/>
          <w:sz w:val="21"/>
          <w:szCs w:val="21"/>
          <w:color w:val="010000"/>
        </w:rPr>
      </w:pPr>
      <w:r>
        <w:rPr>
          <w:rFonts w:ascii="Arial" w:cs="Arial" w:eastAsia="Arial" w:hAnsi="Arial"/>
          <w:sz w:val="21"/>
          <w:szCs w:val="21"/>
          <w:color w:val="auto"/>
        </w:rPr>
        <w:t>Not applicable.</w:t>
      </w:r>
    </w:p>
    <w:p>
      <w:pPr>
        <w:spacing w:after="0" w:line="183" w:lineRule="exact"/>
        <w:rPr>
          <w:rFonts w:ascii="Arial" w:cs="Arial" w:eastAsia="Arial" w:hAnsi="Arial"/>
          <w:sz w:val="21"/>
          <w:szCs w:val="21"/>
          <w:color w:val="010000"/>
        </w:rPr>
      </w:pPr>
    </w:p>
    <w:p>
      <w:pPr>
        <w:ind w:left="1280" w:hanging="635"/>
        <w:spacing w:after="0"/>
        <w:tabs>
          <w:tab w:leader="none" w:pos="1280" w:val="left"/>
        </w:tabs>
        <w:numPr>
          <w:ilvl w:val="0"/>
          <w:numId w:val="72"/>
        </w:numPr>
        <w:rPr>
          <w:rFonts w:ascii="Arial" w:cs="Arial" w:eastAsia="Arial" w:hAnsi="Arial"/>
          <w:sz w:val="19"/>
          <w:szCs w:val="19"/>
          <w:color w:val="010000"/>
        </w:rPr>
      </w:pPr>
      <w:r>
        <w:rPr>
          <w:rFonts w:ascii="Arial" w:cs="Arial" w:eastAsia="Arial" w:hAnsi="Arial"/>
          <w:sz w:val="19"/>
          <w:szCs w:val="19"/>
          <w:color w:val="auto"/>
        </w:rPr>
        <w:t>The Bonds will be issued in minimum denominations of $2,000 and integral multiples of $1,000 in excess thereof.</w:t>
      </w:r>
    </w:p>
    <w:p>
      <w:pPr>
        <w:spacing w:after="0" w:line="206" w:lineRule="exact"/>
        <w:rPr>
          <w:rFonts w:ascii="Arial" w:cs="Arial" w:eastAsia="Arial" w:hAnsi="Arial"/>
          <w:sz w:val="19"/>
          <w:szCs w:val="19"/>
          <w:color w:val="010000"/>
        </w:rPr>
      </w:pPr>
    </w:p>
    <w:p>
      <w:pPr>
        <w:ind w:left="1280" w:hanging="635"/>
        <w:spacing w:after="0"/>
        <w:tabs>
          <w:tab w:leader="none" w:pos="1280" w:val="left"/>
        </w:tabs>
        <w:numPr>
          <w:ilvl w:val="0"/>
          <w:numId w:val="72"/>
        </w:numPr>
        <w:rPr>
          <w:rFonts w:ascii="Arial" w:cs="Arial" w:eastAsia="Arial" w:hAnsi="Arial"/>
          <w:sz w:val="21"/>
          <w:szCs w:val="21"/>
          <w:color w:val="010000"/>
        </w:rPr>
      </w:pPr>
      <w:r>
        <w:rPr>
          <w:rFonts w:ascii="Arial" w:cs="Arial" w:eastAsia="Arial" w:hAnsi="Arial"/>
          <w:sz w:val="21"/>
          <w:szCs w:val="21"/>
          <w:color w:val="auto"/>
        </w:rPr>
        <w:t>Not applicable.</w:t>
      </w:r>
    </w:p>
    <w:p>
      <w:pPr>
        <w:spacing w:after="0" w:line="183" w:lineRule="exact"/>
        <w:rPr>
          <w:rFonts w:ascii="Arial" w:cs="Arial" w:eastAsia="Arial" w:hAnsi="Arial"/>
          <w:sz w:val="21"/>
          <w:szCs w:val="21"/>
          <w:color w:val="010000"/>
        </w:rPr>
      </w:pPr>
    </w:p>
    <w:p>
      <w:pPr>
        <w:ind w:left="1280" w:hanging="635"/>
        <w:spacing w:after="0"/>
        <w:tabs>
          <w:tab w:leader="none" w:pos="1280" w:val="left"/>
        </w:tabs>
        <w:numPr>
          <w:ilvl w:val="0"/>
          <w:numId w:val="72"/>
        </w:numPr>
        <w:rPr>
          <w:rFonts w:ascii="Arial" w:cs="Arial" w:eastAsia="Arial" w:hAnsi="Arial"/>
          <w:sz w:val="21"/>
          <w:szCs w:val="21"/>
          <w:color w:val="010000"/>
        </w:rPr>
      </w:pPr>
      <w:r>
        <w:rPr>
          <w:rFonts w:ascii="Arial" w:cs="Arial" w:eastAsia="Arial" w:hAnsi="Arial"/>
          <w:sz w:val="21"/>
          <w:szCs w:val="21"/>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381" w:right="339" w:bottom="1440" w:gutter="0" w:footer="0" w:header="0"/>
        </w:sectPr>
      </w:pPr>
    </w:p>
    <w:bookmarkStart w:id="118" w:name="page119"/>
    <w:bookmarkEnd w:id="118"/>
    <w:p>
      <w:pPr>
        <w:ind w:left="1280" w:hanging="635"/>
        <w:spacing w:after="0"/>
        <w:tabs>
          <w:tab w:leader="none" w:pos="1280" w:val="left"/>
        </w:tabs>
        <w:numPr>
          <w:ilvl w:val="0"/>
          <w:numId w:val="73"/>
        </w:numPr>
        <w:rPr>
          <w:rFonts w:ascii="Arial" w:cs="Arial" w:eastAsia="Arial" w:hAnsi="Arial"/>
          <w:sz w:val="21"/>
          <w:szCs w:val="21"/>
          <w:color w:val="010000"/>
        </w:rPr>
      </w:pPr>
      <w:r>
        <w:rPr>
          <w:rFonts w:ascii="Arial" w:cs="Arial" w:eastAsia="Arial" w:hAnsi="Arial"/>
          <w:sz w:val="21"/>
          <w:szCs w:val="21"/>
          <w:color w:val="auto"/>
        </w:rPr>
        <w:t>Not applicable.</w:t>
      </w:r>
    </w:p>
    <w:p>
      <w:pPr>
        <w:spacing w:after="0" w:line="183" w:lineRule="exact"/>
        <w:rPr>
          <w:rFonts w:ascii="Arial" w:cs="Arial" w:eastAsia="Arial" w:hAnsi="Arial"/>
          <w:sz w:val="21"/>
          <w:szCs w:val="21"/>
          <w:color w:val="010000"/>
        </w:rPr>
      </w:pPr>
    </w:p>
    <w:p>
      <w:pPr>
        <w:ind w:left="1280" w:hanging="635"/>
        <w:spacing w:after="0"/>
        <w:tabs>
          <w:tab w:leader="none" w:pos="1280" w:val="left"/>
        </w:tabs>
        <w:numPr>
          <w:ilvl w:val="0"/>
          <w:numId w:val="73"/>
        </w:numPr>
        <w:rPr>
          <w:rFonts w:ascii="Arial" w:cs="Arial" w:eastAsia="Arial" w:hAnsi="Arial"/>
          <w:sz w:val="21"/>
          <w:szCs w:val="21"/>
          <w:color w:val="010000"/>
        </w:rPr>
      </w:pPr>
      <w:r>
        <w:rPr>
          <w:rFonts w:ascii="Arial" w:cs="Arial" w:eastAsia="Arial" w:hAnsi="Arial"/>
          <w:sz w:val="21"/>
          <w:szCs w:val="21"/>
          <w:color w:val="auto"/>
        </w:rPr>
        <w:t>See subsection (7) above.</w:t>
      </w:r>
    </w:p>
    <w:p>
      <w:pPr>
        <w:spacing w:after="0" w:line="183" w:lineRule="exact"/>
        <w:rPr>
          <w:rFonts w:ascii="Arial" w:cs="Arial" w:eastAsia="Arial" w:hAnsi="Arial"/>
          <w:sz w:val="21"/>
          <w:szCs w:val="21"/>
          <w:color w:val="010000"/>
        </w:rPr>
      </w:pPr>
    </w:p>
    <w:p>
      <w:pPr>
        <w:ind w:left="1280" w:hanging="635"/>
        <w:spacing w:after="0"/>
        <w:tabs>
          <w:tab w:leader="none" w:pos="1280" w:val="left"/>
        </w:tabs>
        <w:numPr>
          <w:ilvl w:val="0"/>
          <w:numId w:val="73"/>
        </w:numPr>
        <w:rPr>
          <w:rFonts w:ascii="Arial" w:cs="Arial" w:eastAsia="Arial" w:hAnsi="Arial"/>
          <w:sz w:val="21"/>
          <w:szCs w:val="21"/>
          <w:color w:val="010000"/>
        </w:rPr>
      </w:pPr>
      <w:r>
        <w:rPr>
          <w:rFonts w:ascii="Arial" w:cs="Arial" w:eastAsia="Arial" w:hAnsi="Arial"/>
          <w:sz w:val="21"/>
          <w:szCs w:val="21"/>
          <w:color w:val="auto"/>
        </w:rPr>
        <w:t>Not applicable.</w:t>
      </w:r>
    </w:p>
    <w:p>
      <w:pPr>
        <w:spacing w:after="0" w:line="183" w:lineRule="exact"/>
        <w:rPr>
          <w:rFonts w:ascii="Arial" w:cs="Arial" w:eastAsia="Arial" w:hAnsi="Arial"/>
          <w:sz w:val="21"/>
          <w:szCs w:val="21"/>
          <w:color w:val="010000"/>
        </w:rPr>
      </w:pPr>
    </w:p>
    <w:p>
      <w:pPr>
        <w:ind w:left="1280" w:hanging="635"/>
        <w:spacing w:after="0"/>
        <w:tabs>
          <w:tab w:leader="none" w:pos="1280" w:val="left"/>
        </w:tabs>
        <w:numPr>
          <w:ilvl w:val="0"/>
          <w:numId w:val="73"/>
        </w:numPr>
        <w:rPr>
          <w:rFonts w:ascii="Arial" w:cs="Arial" w:eastAsia="Arial" w:hAnsi="Arial"/>
          <w:sz w:val="21"/>
          <w:szCs w:val="21"/>
          <w:color w:val="010000"/>
        </w:rPr>
      </w:pPr>
      <w:r>
        <w:rPr>
          <w:rFonts w:ascii="Arial" w:cs="Arial" w:eastAsia="Arial" w:hAnsi="Arial"/>
          <w:sz w:val="21"/>
          <w:szCs w:val="21"/>
          <w:color w:val="auto"/>
        </w:rPr>
        <w:t>Not applicable.</w:t>
      </w:r>
    </w:p>
    <w:p>
      <w:pPr>
        <w:spacing w:after="0" w:line="183" w:lineRule="exact"/>
        <w:rPr>
          <w:rFonts w:ascii="Arial" w:cs="Arial" w:eastAsia="Arial" w:hAnsi="Arial"/>
          <w:sz w:val="21"/>
          <w:szCs w:val="21"/>
          <w:color w:val="010000"/>
        </w:rPr>
      </w:pPr>
    </w:p>
    <w:p>
      <w:pPr>
        <w:ind w:left="1280" w:hanging="635"/>
        <w:spacing w:after="0"/>
        <w:tabs>
          <w:tab w:leader="none" w:pos="1280" w:val="left"/>
        </w:tabs>
        <w:numPr>
          <w:ilvl w:val="0"/>
          <w:numId w:val="73"/>
        </w:numPr>
        <w:rPr>
          <w:rFonts w:ascii="Arial" w:cs="Arial" w:eastAsia="Arial" w:hAnsi="Arial"/>
          <w:sz w:val="21"/>
          <w:szCs w:val="21"/>
          <w:color w:val="010000"/>
        </w:rPr>
      </w:pPr>
      <w:r>
        <w:rPr>
          <w:rFonts w:ascii="Arial" w:cs="Arial" w:eastAsia="Arial" w:hAnsi="Arial"/>
          <w:sz w:val="21"/>
          <w:szCs w:val="21"/>
          <w:color w:val="auto"/>
        </w:rPr>
        <w:t>Not applicable.</w:t>
      </w:r>
    </w:p>
    <w:p>
      <w:pPr>
        <w:spacing w:after="0" w:line="183" w:lineRule="exact"/>
        <w:rPr>
          <w:rFonts w:ascii="Arial" w:cs="Arial" w:eastAsia="Arial" w:hAnsi="Arial"/>
          <w:sz w:val="21"/>
          <w:szCs w:val="21"/>
          <w:color w:val="010000"/>
        </w:rPr>
      </w:pPr>
    </w:p>
    <w:p>
      <w:pPr>
        <w:jc w:val="both"/>
        <w:ind w:left="640" w:firstLine="5"/>
        <w:spacing w:after="0" w:line="221" w:lineRule="auto"/>
        <w:tabs>
          <w:tab w:leader="none" w:pos="1274" w:val="left"/>
        </w:tabs>
        <w:numPr>
          <w:ilvl w:val="0"/>
          <w:numId w:val="73"/>
        </w:numPr>
        <w:rPr>
          <w:rFonts w:ascii="Arial" w:cs="Arial" w:eastAsia="Arial" w:hAnsi="Arial"/>
          <w:sz w:val="21"/>
          <w:szCs w:val="21"/>
          <w:color w:val="010000"/>
        </w:rPr>
      </w:pPr>
      <w:r>
        <w:rPr>
          <w:rFonts w:ascii="Arial" w:cs="Arial" w:eastAsia="Arial" w:hAnsi="Arial"/>
          <w:sz w:val="21"/>
          <w:szCs w:val="21"/>
          <w:color w:val="auto"/>
        </w:rPr>
        <w:t>The Bonds shall be issuable in whole or in part in the form of one or more Global Securities (as defined below). The Depository Trust Company shall initially serve as Depositary (as defined below) with respect to the Global Securities. “Depositary” means, with respect to Securities of any series issuable in whole or in part in the form of one or more Global Securities, a clearing agency registered under the Exchange Act that is designated to act as depositary for such Securities. “Global Security” means a Security that evidences all or part of the Securities of a series and bears a legend in substantially the following form:</w:t>
      </w:r>
    </w:p>
    <w:p>
      <w:pPr>
        <w:spacing w:after="0" w:line="155" w:lineRule="exact"/>
        <w:rPr>
          <w:sz w:val="20"/>
          <w:szCs w:val="20"/>
          <w:color w:val="auto"/>
        </w:rPr>
      </w:pPr>
    </w:p>
    <w:p>
      <w:pPr>
        <w:jc w:val="both"/>
        <w:ind w:left="1280" w:right="640"/>
        <w:spacing w:after="0" w:line="219" w:lineRule="auto"/>
        <w:rPr>
          <w:sz w:val="20"/>
          <w:szCs w:val="20"/>
          <w:color w:val="auto"/>
        </w:rPr>
      </w:pPr>
      <w:r>
        <w:rPr>
          <w:rFonts w:ascii="Arial" w:cs="Arial" w:eastAsia="Arial" w:hAnsi="Arial"/>
          <w:sz w:val="21"/>
          <w:szCs w:val="21"/>
          <w:color w:val="auto"/>
        </w:rPr>
        <w:t>THIS SECURITY IS IN GLOBAL FORM AND IS REGISTERED IN THE NAME OF A DEPOSITARY OR A NOMINEE OF A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OR BY A NOMINEE OF THE DEPOSITARY TO THE DEPOSITARY OR ANOTHER NOMINEE OF THE DEPOSITARY.</w:t>
      </w:r>
    </w:p>
    <w:p>
      <w:pPr>
        <w:spacing w:after="0" w:line="15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The provisions of Clauses (1), (2), (3) and (4) below shall apply only to Global Securities:</w:t>
      </w:r>
    </w:p>
    <w:p>
      <w:pPr>
        <w:spacing w:after="0" w:line="184" w:lineRule="exact"/>
        <w:rPr>
          <w:sz w:val="20"/>
          <w:szCs w:val="20"/>
          <w:color w:val="auto"/>
        </w:rPr>
      </w:pPr>
    </w:p>
    <w:p>
      <w:pPr>
        <w:jc w:val="both"/>
        <w:ind w:left="640" w:firstLine="643"/>
        <w:spacing w:after="0" w:line="243" w:lineRule="auto"/>
        <w:tabs>
          <w:tab w:leader="none" w:pos="1912" w:val="left"/>
        </w:tabs>
        <w:numPr>
          <w:ilvl w:val="0"/>
          <w:numId w:val="74"/>
        </w:numPr>
        <w:rPr>
          <w:rFonts w:ascii="Arial" w:cs="Arial" w:eastAsia="Arial" w:hAnsi="Arial"/>
          <w:sz w:val="20"/>
          <w:szCs w:val="20"/>
          <w:color w:val="010000"/>
        </w:rPr>
      </w:pPr>
      <w:r>
        <w:rPr>
          <w:rFonts w:ascii="Arial" w:cs="Arial" w:eastAsia="Arial" w:hAnsi="Arial"/>
          <w:sz w:val="20"/>
          <w:szCs w:val="20"/>
          <w:color w:val="auto"/>
        </w:rPr>
        <w:t>Each Global Security authenticated under the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the Indenture.</w:t>
      </w:r>
    </w:p>
    <w:p>
      <w:pPr>
        <w:spacing w:after="0" w:line="152" w:lineRule="exact"/>
        <w:rPr>
          <w:rFonts w:ascii="Arial" w:cs="Arial" w:eastAsia="Arial" w:hAnsi="Arial"/>
          <w:sz w:val="20"/>
          <w:szCs w:val="20"/>
          <w:color w:val="010000"/>
        </w:rPr>
      </w:pPr>
    </w:p>
    <w:p>
      <w:pPr>
        <w:jc w:val="both"/>
        <w:ind w:left="640" w:firstLine="643"/>
        <w:spacing w:after="0" w:line="228" w:lineRule="auto"/>
        <w:tabs>
          <w:tab w:leader="none" w:pos="1912" w:val="left"/>
        </w:tabs>
        <w:numPr>
          <w:ilvl w:val="0"/>
          <w:numId w:val="74"/>
        </w:numPr>
        <w:rPr>
          <w:rFonts w:ascii="Arial" w:cs="Arial" w:eastAsia="Arial" w:hAnsi="Arial"/>
          <w:sz w:val="20"/>
          <w:szCs w:val="20"/>
          <w:color w:val="010000"/>
        </w:rPr>
      </w:pPr>
      <w:r>
        <w:rPr>
          <w:rFonts w:ascii="Arial" w:cs="Arial" w:eastAsia="Arial" w:hAnsi="Arial"/>
          <w:sz w:val="20"/>
          <w:szCs w:val="20"/>
          <w:color w:val="auto"/>
        </w:rPr>
        <w:t>Notwithstanding any other provision in the Indenture, no Global Security may be exchanged in whole or in part for Securities registered, and no transfer of a Global Security in whole or in part may be registered, in the name of any Person other than the Depositary for such Global Security or a nominee thereof unless (A) the Company has notified the Trustee that the Depositary is unwilling or unable to continue as Depositary for such Global Security, the Depositary defaults in the performance of its duties as Depositary, or the Depositary has ceased to be a clearing agency registered under the Exchange Act, in each case, unless the Company has approved a successor Depositary within 90 days, (B) the Company in its sole discretion determines that such Global Security will be so exchangeable or transferable or (C) there shall exist such circumstances, if any, in addition to or in lieu of the foregoing as have been specified for this purpose as contemplated by the Indenture.</w:t>
      </w:r>
    </w:p>
    <w:p>
      <w:pPr>
        <w:spacing w:after="0" w:line="161" w:lineRule="exact"/>
        <w:rPr>
          <w:rFonts w:ascii="Arial" w:cs="Arial" w:eastAsia="Arial" w:hAnsi="Arial"/>
          <w:sz w:val="20"/>
          <w:szCs w:val="20"/>
          <w:color w:val="010000"/>
        </w:rPr>
      </w:pPr>
    </w:p>
    <w:p>
      <w:pPr>
        <w:ind w:left="640" w:right="20" w:firstLine="643"/>
        <w:spacing w:after="0" w:line="241" w:lineRule="auto"/>
        <w:tabs>
          <w:tab w:leader="none" w:pos="1912" w:val="left"/>
        </w:tabs>
        <w:numPr>
          <w:ilvl w:val="0"/>
          <w:numId w:val="74"/>
        </w:numPr>
        <w:rPr>
          <w:rFonts w:ascii="Arial" w:cs="Arial" w:eastAsia="Arial" w:hAnsi="Arial"/>
          <w:sz w:val="21"/>
          <w:szCs w:val="21"/>
          <w:color w:val="010000"/>
        </w:rPr>
      </w:pPr>
      <w:r>
        <w:rPr>
          <w:rFonts w:ascii="Arial" w:cs="Arial" w:eastAsia="Arial" w:hAnsi="Arial"/>
          <w:sz w:val="21"/>
          <w:szCs w:val="21"/>
          <w:color w:val="auto"/>
        </w:rPr>
        <w:t>Subject to Clause (2) above, any exchange of a Global Security for other Securities may be made in whole or in part, and all Securities issued in exchange for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381" w:right="339" w:bottom="1440" w:gutter="0" w:footer="0" w:header="0"/>
        </w:sectPr>
      </w:pPr>
    </w:p>
    <w:bookmarkStart w:id="119" w:name="page120"/>
    <w:bookmarkEnd w:id="119"/>
    <w:p>
      <w:pPr>
        <w:ind w:left="640" w:right="20"/>
        <w:spacing w:after="0" w:line="241" w:lineRule="auto"/>
        <w:rPr>
          <w:sz w:val="20"/>
          <w:szCs w:val="20"/>
          <w:color w:val="auto"/>
        </w:rPr>
      </w:pPr>
      <w:r>
        <w:rPr>
          <w:rFonts w:ascii="Arial" w:cs="Arial" w:eastAsia="Arial" w:hAnsi="Arial"/>
          <w:sz w:val="21"/>
          <w:szCs w:val="21"/>
          <w:color w:val="auto"/>
        </w:rPr>
        <w:t>Global Security or any portion thereof shall be registered in such names as the Depositary for such Global Security shall direct.</w:t>
      </w:r>
    </w:p>
    <w:p>
      <w:pPr>
        <w:spacing w:after="0" w:line="153" w:lineRule="exact"/>
        <w:rPr>
          <w:sz w:val="20"/>
          <w:szCs w:val="20"/>
          <w:color w:val="auto"/>
        </w:rPr>
      </w:pPr>
    </w:p>
    <w:p>
      <w:pPr>
        <w:jc w:val="both"/>
        <w:ind w:left="640" w:firstLine="643"/>
        <w:spacing w:after="0" w:line="237" w:lineRule="auto"/>
        <w:tabs>
          <w:tab w:leader="none" w:pos="1912" w:val="left"/>
        </w:tabs>
        <w:numPr>
          <w:ilvl w:val="2"/>
          <w:numId w:val="75"/>
        </w:numPr>
        <w:rPr>
          <w:rFonts w:ascii="Arial" w:cs="Arial" w:eastAsia="Arial" w:hAnsi="Arial"/>
          <w:sz w:val="20"/>
          <w:szCs w:val="20"/>
          <w:color w:val="010000"/>
        </w:rPr>
      </w:pPr>
      <w:r>
        <w:rPr>
          <w:rFonts w:ascii="Arial" w:cs="Arial" w:eastAsia="Arial" w:hAnsi="Arial"/>
          <w:sz w:val="20"/>
          <w:szCs w:val="20"/>
          <w:color w:val="auto"/>
        </w:rPr>
        <w:t>Every Security authenticated and delivered upon registration of transfer of, or in exchange for or in lieu of, a Global Security or any portion thereof, whether pursuant to Sections 304, 305, 306, 507 or 1406 of the Indenture or otherwise, shall be authenticated and delivered in the form of, and shall be, a Global Security, unless such Security is registered in the name of a Person other than the Depositary for such Global Security or a nominee thereof.</w:t>
      </w:r>
    </w:p>
    <w:p>
      <w:pPr>
        <w:spacing w:after="0" w:line="155" w:lineRule="exact"/>
        <w:rPr>
          <w:rFonts w:ascii="Arial" w:cs="Arial" w:eastAsia="Arial" w:hAnsi="Arial"/>
          <w:sz w:val="20"/>
          <w:szCs w:val="20"/>
          <w:color w:val="010000"/>
        </w:rPr>
      </w:pPr>
    </w:p>
    <w:p>
      <w:pPr>
        <w:ind w:left="1280" w:hanging="635"/>
        <w:spacing w:after="0"/>
        <w:tabs>
          <w:tab w:leader="none" w:pos="1280" w:val="left"/>
        </w:tabs>
        <w:numPr>
          <w:ilvl w:val="1"/>
          <w:numId w:val="76"/>
        </w:numPr>
        <w:rPr>
          <w:rFonts w:ascii="Arial" w:cs="Arial" w:eastAsia="Arial" w:hAnsi="Arial"/>
          <w:sz w:val="21"/>
          <w:szCs w:val="21"/>
          <w:color w:val="010000"/>
        </w:rPr>
      </w:pPr>
      <w:r>
        <w:rPr>
          <w:rFonts w:ascii="Arial" w:cs="Arial" w:eastAsia="Arial" w:hAnsi="Arial"/>
          <w:sz w:val="21"/>
          <w:szCs w:val="21"/>
          <w:color w:val="auto"/>
        </w:rPr>
        <w:t>Not applicable.</w:t>
      </w:r>
    </w:p>
    <w:p>
      <w:pPr>
        <w:spacing w:after="0" w:line="183" w:lineRule="exact"/>
        <w:rPr>
          <w:rFonts w:ascii="Arial" w:cs="Arial" w:eastAsia="Arial" w:hAnsi="Arial"/>
          <w:sz w:val="21"/>
          <w:szCs w:val="21"/>
          <w:color w:val="010000"/>
        </w:rPr>
      </w:pPr>
    </w:p>
    <w:p>
      <w:pPr>
        <w:ind w:left="1280" w:hanging="635"/>
        <w:spacing w:after="0"/>
        <w:tabs>
          <w:tab w:leader="none" w:pos="1280" w:val="left"/>
        </w:tabs>
        <w:numPr>
          <w:ilvl w:val="1"/>
          <w:numId w:val="76"/>
        </w:numPr>
        <w:rPr>
          <w:rFonts w:ascii="Arial" w:cs="Arial" w:eastAsia="Arial" w:hAnsi="Arial"/>
          <w:sz w:val="21"/>
          <w:szCs w:val="21"/>
          <w:color w:val="010000"/>
        </w:rPr>
      </w:pPr>
      <w:r>
        <w:rPr>
          <w:rFonts w:ascii="Arial" w:cs="Arial" w:eastAsia="Arial" w:hAnsi="Arial"/>
          <w:sz w:val="21"/>
          <w:szCs w:val="21"/>
          <w:color w:val="auto"/>
        </w:rPr>
        <w:t>Not applicable.</w:t>
      </w:r>
    </w:p>
    <w:p>
      <w:pPr>
        <w:spacing w:after="0" w:line="183" w:lineRule="exact"/>
        <w:rPr>
          <w:rFonts w:ascii="Arial" w:cs="Arial" w:eastAsia="Arial" w:hAnsi="Arial"/>
          <w:sz w:val="21"/>
          <w:szCs w:val="21"/>
          <w:color w:val="010000"/>
        </w:rPr>
      </w:pPr>
    </w:p>
    <w:p>
      <w:pPr>
        <w:jc w:val="both"/>
        <w:ind w:left="640" w:firstLine="5"/>
        <w:spacing w:after="0" w:line="230" w:lineRule="auto"/>
        <w:tabs>
          <w:tab w:leader="none" w:pos="1274" w:val="left"/>
        </w:tabs>
        <w:numPr>
          <w:ilvl w:val="1"/>
          <w:numId w:val="76"/>
        </w:numPr>
        <w:rPr>
          <w:rFonts w:ascii="Arial" w:cs="Arial" w:eastAsia="Arial" w:hAnsi="Arial"/>
          <w:sz w:val="21"/>
          <w:szCs w:val="21"/>
          <w:color w:val="010000"/>
        </w:rPr>
      </w:pPr>
      <w:r>
        <w:rPr>
          <w:rFonts w:ascii="Arial" w:cs="Arial" w:eastAsia="Arial" w:hAnsi="Arial"/>
          <w:sz w:val="21"/>
          <w:szCs w:val="21"/>
          <w:color w:val="auto"/>
        </w:rPr>
        <w:t>For purposes of the Bonds, “Business Day” shall mean any day, other than Saturday or Sunday, on which commercial banks and foreign exchange markets are open for business, including dealings in deposits in U.S. dollars, in New York, New York.</w:t>
      </w:r>
    </w:p>
    <w:p>
      <w:pPr>
        <w:spacing w:after="0" w:line="156" w:lineRule="exact"/>
        <w:rPr>
          <w:rFonts w:ascii="Arial" w:cs="Arial" w:eastAsia="Arial" w:hAnsi="Arial"/>
          <w:sz w:val="21"/>
          <w:szCs w:val="21"/>
          <w:color w:val="010000"/>
        </w:rPr>
      </w:pPr>
    </w:p>
    <w:p>
      <w:pPr>
        <w:ind w:left="1280" w:hanging="635"/>
        <w:spacing w:after="0"/>
        <w:tabs>
          <w:tab w:leader="none" w:pos="1280" w:val="left"/>
        </w:tabs>
        <w:numPr>
          <w:ilvl w:val="1"/>
          <w:numId w:val="76"/>
        </w:numPr>
        <w:rPr>
          <w:rFonts w:ascii="Arial" w:cs="Arial" w:eastAsia="Arial" w:hAnsi="Arial"/>
          <w:sz w:val="21"/>
          <w:szCs w:val="21"/>
          <w:color w:val="010000"/>
        </w:rPr>
      </w:pPr>
      <w:r>
        <w:rPr>
          <w:rFonts w:ascii="Arial" w:cs="Arial" w:eastAsia="Arial" w:hAnsi="Arial"/>
          <w:sz w:val="21"/>
          <w:szCs w:val="21"/>
          <w:color w:val="auto"/>
        </w:rPr>
        <w:t>Not applicable.</w:t>
      </w:r>
    </w:p>
    <w:p>
      <w:pPr>
        <w:spacing w:after="0" w:line="183" w:lineRule="exact"/>
        <w:rPr>
          <w:rFonts w:ascii="Arial" w:cs="Arial" w:eastAsia="Arial" w:hAnsi="Arial"/>
          <w:sz w:val="21"/>
          <w:szCs w:val="21"/>
          <w:color w:val="010000"/>
        </w:rPr>
      </w:pPr>
    </w:p>
    <w:p>
      <w:pPr>
        <w:ind w:left="640" w:firstLine="5"/>
        <w:spacing w:after="0" w:line="241" w:lineRule="auto"/>
        <w:tabs>
          <w:tab w:leader="none" w:pos="1274" w:val="left"/>
        </w:tabs>
        <w:numPr>
          <w:ilvl w:val="1"/>
          <w:numId w:val="76"/>
        </w:numPr>
        <w:rPr>
          <w:rFonts w:ascii="Arial" w:cs="Arial" w:eastAsia="Arial" w:hAnsi="Arial"/>
          <w:sz w:val="21"/>
          <w:szCs w:val="21"/>
          <w:color w:val="010000"/>
        </w:rPr>
      </w:pPr>
      <w:r>
        <w:rPr>
          <w:rFonts w:ascii="Arial" w:cs="Arial" w:eastAsia="Arial" w:hAnsi="Arial"/>
          <w:sz w:val="21"/>
          <w:szCs w:val="21"/>
          <w:color w:val="auto"/>
        </w:rPr>
        <w:t xml:space="preserve">The Bonds shall have such other terms and provisions as are provided in the forms thereof attached hereto as </w:t>
      </w:r>
      <w:r>
        <w:rPr>
          <w:rFonts w:ascii="Arial" w:cs="Arial" w:eastAsia="Arial" w:hAnsi="Arial"/>
          <w:sz w:val="21"/>
          <w:szCs w:val="21"/>
          <w:u w:val="single" w:color="auto"/>
          <w:color w:val="auto"/>
        </w:rPr>
        <w:t>Exhibit</w:t>
      </w:r>
      <w:r>
        <w:rPr>
          <w:rFonts w:ascii="Arial" w:cs="Arial" w:eastAsia="Arial" w:hAnsi="Arial"/>
          <w:sz w:val="21"/>
          <w:szCs w:val="21"/>
          <w:color w:val="auto"/>
        </w:rPr>
        <w:t xml:space="preserve"> </w:t>
      </w:r>
      <w:r>
        <w:rPr>
          <w:rFonts w:ascii="Arial" w:cs="Arial" w:eastAsia="Arial" w:hAnsi="Arial"/>
          <w:sz w:val="21"/>
          <w:szCs w:val="21"/>
          <w:u w:val="single" w:color="auto"/>
          <w:color w:val="auto"/>
        </w:rPr>
        <w:t>A</w:t>
      </w:r>
      <w:r>
        <w:rPr>
          <w:rFonts w:ascii="Arial" w:cs="Arial" w:eastAsia="Arial" w:hAnsi="Arial"/>
          <w:sz w:val="21"/>
          <w:szCs w:val="21"/>
          <w:color w:val="auto"/>
        </w:rPr>
        <w:t xml:space="preserve"> and shall be issued in substantially such forms.</w:t>
      </w:r>
    </w:p>
    <w:p>
      <w:pPr>
        <w:spacing w:after="0" w:line="153" w:lineRule="exact"/>
        <w:rPr>
          <w:rFonts w:ascii="Arial" w:cs="Arial" w:eastAsia="Arial" w:hAnsi="Arial"/>
          <w:sz w:val="21"/>
          <w:szCs w:val="21"/>
          <w:color w:val="010000"/>
        </w:rPr>
      </w:pPr>
    </w:p>
    <w:p>
      <w:pPr>
        <w:jc w:val="both"/>
        <w:ind w:firstLine="6"/>
        <w:spacing w:after="0" w:line="230" w:lineRule="auto"/>
        <w:tabs>
          <w:tab w:leader="none" w:pos="638" w:val="left"/>
        </w:tabs>
        <w:numPr>
          <w:ilvl w:val="0"/>
          <w:numId w:val="77"/>
        </w:numPr>
        <w:rPr>
          <w:rFonts w:ascii="Arial" w:cs="Arial" w:eastAsia="Arial" w:hAnsi="Arial"/>
          <w:sz w:val="21"/>
          <w:szCs w:val="21"/>
          <w:color w:val="010000"/>
        </w:rPr>
      </w:pPr>
      <w:r>
        <w:rPr>
          <w:rFonts w:ascii="Arial" w:cs="Arial" w:eastAsia="Arial" w:hAnsi="Arial"/>
          <w:sz w:val="21"/>
          <w:szCs w:val="21"/>
          <w:color w:val="auto"/>
        </w:rPr>
        <w:t>The undersigned has read all of the covenants and conditions contained in the Indenture, and the definitions in the Indenture relating thereto, relating to the authentication, delivery and issuance of the Bonds and the execution and delivery of the Thirty-Fourth Supplemental Indenture and in respect of compliance with which this certificate is made.</w:t>
      </w:r>
    </w:p>
    <w:p>
      <w:pPr>
        <w:spacing w:after="0" w:line="156" w:lineRule="exact"/>
        <w:rPr>
          <w:rFonts w:ascii="Arial" w:cs="Arial" w:eastAsia="Arial" w:hAnsi="Arial"/>
          <w:sz w:val="21"/>
          <w:szCs w:val="21"/>
          <w:color w:val="010000"/>
        </w:rPr>
      </w:pPr>
    </w:p>
    <w:p>
      <w:pPr>
        <w:jc w:val="both"/>
        <w:ind w:right="20" w:firstLine="6"/>
        <w:spacing w:after="0" w:line="230" w:lineRule="auto"/>
        <w:tabs>
          <w:tab w:leader="none" w:pos="638" w:val="left"/>
        </w:tabs>
        <w:numPr>
          <w:ilvl w:val="0"/>
          <w:numId w:val="77"/>
        </w:numPr>
        <w:rPr>
          <w:rFonts w:ascii="Arial" w:cs="Arial" w:eastAsia="Arial" w:hAnsi="Arial"/>
          <w:sz w:val="21"/>
          <w:szCs w:val="21"/>
          <w:color w:val="010000"/>
        </w:rPr>
      </w:pPr>
      <w:r>
        <w:rPr>
          <w:rFonts w:ascii="Arial" w:cs="Arial" w:eastAsia="Arial" w:hAnsi="Arial"/>
          <w:sz w:val="21"/>
          <w:szCs w:val="21"/>
          <w:color w:val="auto"/>
        </w:rPr>
        <w:t>The statements contained in this certificate are based upon the familiarity of the undersigned with the Indenture, the documents accompanying this certificate, and upon discussions by the undersigned with officers and employees of the Company familiar with the matters set forth herein.</w:t>
      </w:r>
    </w:p>
    <w:p>
      <w:pPr>
        <w:spacing w:after="0" w:line="156" w:lineRule="exact"/>
        <w:rPr>
          <w:rFonts w:ascii="Arial" w:cs="Arial" w:eastAsia="Arial" w:hAnsi="Arial"/>
          <w:sz w:val="21"/>
          <w:szCs w:val="21"/>
          <w:color w:val="010000"/>
        </w:rPr>
      </w:pPr>
    </w:p>
    <w:p>
      <w:pPr>
        <w:ind w:firstLine="6"/>
        <w:spacing w:after="0" w:line="241" w:lineRule="auto"/>
        <w:tabs>
          <w:tab w:leader="none" w:pos="638" w:val="left"/>
        </w:tabs>
        <w:numPr>
          <w:ilvl w:val="0"/>
          <w:numId w:val="77"/>
        </w:numPr>
        <w:rPr>
          <w:rFonts w:ascii="Arial" w:cs="Arial" w:eastAsia="Arial" w:hAnsi="Arial"/>
          <w:sz w:val="21"/>
          <w:szCs w:val="21"/>
          <w:color w:val="010000"/>
        </w:rPr>
      </w:pPr>
      <w:r>
        <w:rPr>
          <w:rFonts w:ascii="Arial" w:cs="Arial" w:eastAsia="Arial" w:hAnsi="Arial"/>
          <w:sz w:val="21"/>
          <w:szCs w:val="21"/>
          <w:color w:val="auto"/>
        </w:rPr>
        <w:t>In the opinion of the undersigned, she has made such examination or investigation as is necessary to enable her to express an informed opinion as to whether or not such covenants and conditions have been complied with.</w:t>
      </w:r>
    </w:p>
    <w:p>
      <w:pPr>
        <w:spacing w:after="0" w:line="153" w:lineRule="exact"/>
        <w:rPr>
          <w:rFonts w:ascii="Arial" w:cs="Arial" w:eastAsia="Arial" w:hAnsi="Arial"/>
          <w:sz w:val="21"/>
          <w:szCs w:val="21"/>
          <w:color w:val="010000"/>
        </w:rPr>
      </w:pPr>
    </w:p>
    <w:p>
      <w:pPr>
        <w:ind w:left="640" w:hanging="634"/>
        <w:spacing w:after="0"/>
        <w:tabs>
          <w:tab w:leader="none" w:pos="640" w:val="left"/>
        </w:tabs>
        <w:numPr>
          <w:ilvl w:val="0"/>
          <w:numId w:val="77"/>
        </w:numPr>
        <w:rPr>
          <w:rFonts w:ascii="Arial" w:cs="Arial" w:eastAsia="Arial" w:hAnsi="Arial"/>
          <w:sz w:val="21"/>
          <w:szCs w:val="21"/>
          <w:color w:val="010000"/>
        </w:rPr>
      </w:pPr>
      <w:r>
        <w:rPr>
          <w:rFonts w:ascii="Arial" w:cs="Arial" w:eastAsia="Arial" w:hAnsi="Arial"/>
          <w:sz w:val="21"/>
          <w:szCs w:val="21"/>
          <w:color w:val="auto"/>
        </w:rPr>
        <w:t>In the opinion of the undersigned, such conditions and covenants have been complied with.</w:t>
      </w:r>
    </w:p>
    <w:p>
      <w:pPr>
        <w:spacing w:after="0" w:line="183" w:lineRule="exact"/>
        <w:rPr>
          <w:rFonts w:ascii="Arial" w:cs="Arial" w:eastAsia="Arial" w:hAnsi="Arial"/>
          <w:sz w:val="21"/>
          <w:szCs w:val="21"/>
          <w:color w:val="010000"/>
        </w:rPr>
      </w:pPr>
    </w:p>
    <w:p>
      <w:pPr>
        <w:ind w:left="640" w:hanging="634"/>
        <w:spacing w:after="0"/>
        <w:tabs>
          <w:tab w:leader="none" w:pos="640" w:val="left"/>
        </w:tabs>
        <w:numPr>
          <w:ilvl w:val="0"/>
          <w:numId w:val="77"/>
        </w:numPr>
        <w:rPr>
          <w:rFonts w:ascii="Arial" w:cs="Arial" w:eastAsia="Arial" w:hAnsi="Arial"/>
          <w:sz w:val="21"/>
          <w:szCs w:val="21"/>
          <w:color w:val="010000"/>
        </w:rPr>
      </w:pPr>
      <w:r>
        <w:rPr>
          <w:rFonts w:ascii="Arial" w:cs="Arial" w:eastAsia="Arial" w:hAnsi="Arial"/>
          <w:sz w:val="21"/>
          <w:szCs w:val="21"/>
          <w:color w:val="auto"/>
        </w:rPr>
        <w:t>To my knowledge, no Event of Default has occurred and is continuing.</w:t>
      </w:r>
    </w:p>
    <w:p>
      <w:pPr>
        <w:spacing w:after="0" w:line="183" w:lineRule="exact"/>
        <w:rPr>
          <w:rFonts w:ascii="Arial" w:cs="Arial" w:eastAsia="Arial" w:hAnsi="Arial"/>
          <w:sz w:val="21"/>
          <w:szCs w:val="21"/>
          <w:color w:val="010000"/>
        </w:rPr>
      </w:pPr>
    </w:p>
    <w:p>
      <w:pPr>
        <w:ind w:firstLine="6"/>
        <w:spacing w:after="0" w:line="241" w:lineRule="auto"/>
        <w:tabs>
          <w:tab w:leader="none" w:pos="638" w:val="left"/>
        </w:tabs>
        <w:numPr>
          <w:ilvl w:val="0"/>
          <w:numId w:val="77"/>
        </w:numPr>
        <w:rPr>
          <w:rFonts w:ascii="Arial" w:cs="Arial" w:eastAsia="Arial" w:hAnsi="Arial"/>
          <w:sz w:val="21"/>
          <w:szCs w:val="21"/>
          <w:color w:val="010000"/>
        </w:rPr>
      </w:pPr>
      <w:r>
        <w:rPr>
          <w:rFonts w:ascii="Arial" w:cs="Arial" w:eastAsia="Arial" w:hAnsi="Arial"/>
          <w:sz w:val="21"/>
          <w:szCs w:val="21"/>
          <w:color w:val="auto"/>
        </w:rPr>
        <w:t>The execution of the Thirty-Fourth Supplemental Indenture, dated as of the date hereof, between the Company and the Trustee, is authorized or permitted by the Indenture.</w:t>
      </w:r>
    </w:p>
    <w:p>
      <w:pPr>
        <w:spacing w:after="0" w:line="153" w:lineRule="exact"/>
        <w:rPr>
          <w:rFonts w:ascii="Arial" w:cs="Arial" w:eastAsia="Arial" w:hAnsi="Arial"/>
          <w:sz w:val="21"/>
          <w:szCs w:val="21"/>
          <w:color w:val="010000"/>
        </w:rPr>
      </w:pPr>
    </w:p>
    <w:p>
      <w:pPr>
        <w:ind w:firstLine="6"/>
        <w:spacing w:after="0" w:line="241" w:lineRule="auto"/>
        <w:tabs>
          <w:tab w:leader="none" w:pos="638" w:val="left"/>
        </w:tabs>
        <w:numPr>
          <w:ilvl w:val="0"/>
          <w:numId w:val="77"/>
        </w:numPr>
        <w:rPr>
          <w:rFonts w:ascii="Arial" w:cs="Arial" w:eastAsia="Arial" w:hAnsi="Arial"/>
          <w:sz w:val="21"/>
          <w:szCs w:val="21"/>
          <w:color w:val="010000"/>
        </w:rPr>
      </w:pPr>
      <w:r>
        <w:rPr>
          <w:rFonts w:ascii="Arial" w:cs="Arial" w:eastAsia="Arial" w:hAnsi="Arial"/>
          <w:sz w:val="21"/>
          <w:szCs w:val="21"/>
          <w:color w:val="auto"/>
        </w:rPr>
        <w:t>With respect to Section 402(2)(B) of the Indenture, Property Additions of $6,661,612,020.84 are the basis for authentication and delivery of $500,000,000 aggregate principal amount of the Bonds</w:t>
      </w:r>
    </w:p>
    <w:p>
      <w:pPr>
        <w:spacing w:after="0" w:line="153" w:lineRule="exact"/>
        <w:rPr>
          <w:rFonts w:ascii="Arial" w:cs="Arial" w:eastAsia="Arial" w:hAnsi="Arial"/>
          <w:sz w:val="21"/>
          <w:szCs w:val="21"/>
          <w:color w:val="010000"/>
        </w:rPr>
      </w:pPr>
    </w:p>
    <w:p>
      <w:pPr>
        <w:ind w:left="640" w:hanging="634"/>
        <w:spacing w:after="0"/>
        <w:tabs>
          <w:tab w:leader="none" w:pos="640" w:val="left"/>
        </w:tabs>
        <w:numPr>
          <w:ilvl w:val="0"/>
          <w:numId w:val="77"/>
        </w:numPr>
        <w:rPr>
          <w:rFonts w:ascii="Arial" w:cs="Arial" w:eastAsia="Arial" w:hAnsi="Arial"/>
          <w:sz w:val="21"/>
          <w:szCs w:val="21"/>
          <w:color w:val="010000"/>
        </w:rPr>
      </w:pPr>
      <w:r>
        <w:rPr>
          <w:rFonts w:ascii="Arial" w:cs="Arial" w:eastAsia="Arial" w:hAnsi="Arial"/>
          <w:sz w:val="21"/>
          <w:szCs w:val="21"/>
          <w:color w:val="auto"/>
        </w:rPr>
        <w:t>The First Mortgage Collateralization Date has not occurred.</w:t>
      </w:r>
    </w:p>
    <w:p>
      <w:pPr>
        <w:spacing w:after="0" w:line="183" w:lineRule="exact"/>
        <w:rPr>
          <w:rFonts w:ascii="Arial" w:cs="Arial" w:eastAsia="Arial" w:hAnsi="Arial"/>
          <w:sz w:val="21"/>
          <w:szCs w:val="21"/>
          <w:color w:val="010000"/>
        </w:rPr>
      </w:pPr>
    </w:p>
    <w:p>
      <w:pPr>
        <w:jc w:val="both"/>
        <w:ind w:firstLine="6"/>
        <w:spacing w:after="0" w:line="230" w:lineRule="auto"/>
        <w:tabs>
          <w:tab w:leader="none" w:pos="638" w:val="left"/>
        </w:tabs>
        <w:numPr>
          <w:ilvl w:val="0"/>
          <w:numId w:val="77"/>
        </w:numPr>
        <w:rPr>
          <w:rFonts w:ascii="Arial" w:cs="Arial" w:eastAsia="Arial" w:hAnsi="Arial"/>
          <w:sz w:val="21"/>
          <w:szCs w:val="21"/>
          <w:color w:val="010000"/>
        </w:rPr>
      </w:pPr>
      <w:r>
        <w:rPr>
          <w:rFonts w:ascii="Arial" w:cs="Arial" w:eastAsia="Arial" w:hAnsi="Arial"/>
          <w:sz w:val="21"/>
          <w:szCs w:val="21"/>
          <w:color w:val="auto"/>
        </w:rPr>
        <w:t>No certificate of an Independent Accountant pursuant to Section 104 of the Indenture is required in connection with the authentication and delivery of the Bonds because (i) the Net Earnings Certificate covers a period different from that required to be covered by annual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381" w:right="339" w:bottom="1440" w:gutter="0" w:footer="0" w:header="0"/>
        </w:sectPr>
      </w:pPr>
    </w:p>
    <w:bookmarkStart w:id="120" w:name="page121"/>
    <w:bookmarkEnd w:id="120"/>
    <w:p>
      <w:pPr>
        <w:jc w:val="both"/>
        <w:spacing w:after="0" w:line="230" w:lineRule="auto"/>
        <w:rPr>
          <w:sz w:val="20"/>
          <w:szCs w:val="20"/>
          <w:color w:val="auto"/>
        </w:rPr>
      </w:pPr>
      <w:r>
        <w:rPr>
          <w:rFonts w:ascii="Arial" w:cs="Arial" w:eastAsia="Arial" w:hAnsi="Arial"/>
          <w:sz w:val="21"/>
          <w:szCs w:val="21"/>
          <w:color w:val="auto"/>
        </w:rPr>
        <w:t>required to be filed by the Company and (ii) an Independent Accountant has provided the Company with a letter addressed to the Company containing the results of procedures on financial information included in the Net Earnings Certificate that are agreed upon by the Authorized Officer signing the Net Earnings Certificate.</w:t>
      </w:r>
    </w:p>
    <w:p>
      <w:pPr>
        <w:spacing w:after="0" w:line="157" w:lineRule="exact"/>
        <w:rPr>
          <w:sz w:val="20"/>
          <w:szCs w:val="20"/>
          <w:color w:val="auto"/>
        </w:rPr>
      </w:pPr>
    </w:p>
    <w:p>
      <w:pPr>
        <w:jc w:val="both"/>
        <w:ind w:firstLine="6"/>
        <w:spacing w:after="0" w:line="230" w:lineRule="auto"/>
        <w:tabs>
          <w:tab w:leader="none" w:pos="630" w:val="left"/>
        </w:tabs>
        <w:numPr>
          <w:ilvl w:val="0"/>
          <w:numId w:val="78"/>
        </w:numPr>
        <w:rPr>
          <w:rFonts w:ascii="Arial" w:cs="Arial" w:eastAsia="Arial" w:hAnsi="Arial"/>
          <w:sz w:val="21"/>
          <w:szCs w:val="21"/>
          <w:color w:val="010000"/>
        </w:rPr>
      </w:pPr>
      <w:r>
        <w:rPr>
          <w:rFonts w:ascii="Arial" w:cs="Arial" w:eastAsia="Arial" w:hAnsi="Arial"/>
          <w:sz w:val="21"/>
          <w:szCs w:val="21"/>
          <w:color w:val="auto"/>
        </w:rPr>
        <w:t>Pursuant to the resolutions adopted by the Sole Manager of the Company by written consent on September 8, 2023, Jacqueline M. Richert, Vice President, Investor Relations &amp; Treasurer, has been named an Authorized Officer, as defined under the Indenture, including for purposes of executing the Net Earnings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381"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21"/>
          <w:szCs w:val="21"/>
          <w:color w:val="auto"/>
        </w:rPr>
        <w:t>IN WITNESS WHEREOF, the undersigned has executed this Officer’s Certificate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840"/>
        <w:spacing w:after="0"/>
        <w:rPr>
          <w:sz w:val="20"/>
          <w:szCs w:val="20"/>
          <w:color w:val="auto"/>
        </w:rPr>
      </w:pPr>
      <w:r>
        <w:rPr>
          <w:rFonts w:ascii="Arial" w:cs="Arial" w:eastAsia="Arial" w:hAnsi="Arial"/>
          <w:sz w:val="21"/>
          <w:szCs w:val="21"/>
          <w:color w:val="auto"/>
        </w:rPr>
        <w:t>/s/ Jacqueline M. Richert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2435860</wp:posOffset>
            </wp:positionH>
            <wp:positionV relativeFrom="paragraph">
              <wp:posOffset>-5715</wp:posOffset>
            </wp:positionV>
            <wp:extent cx="14859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0">
                      <a:extLst>
                        <a:ext uri="{28A0092B-C50C-407E-A947-70E740481C1C}"/>
                      </a:extLst>
                    </a:blip>
                    <a:srcRect/>
                    <a:stretch>
                      <a:fillRect/>
                    </a:stretch>
                  </pic:blipFill>
                  <pic:spPr bwMode="auto">
                    <a:xfrm>
                      <a:off x="0" y="0"/>
                      <a:ext cx="1485900" cy="8255"/>
                    </a:xfrm>
                    <a:prstGeom prst="rect">
                      <a:avLst/>
                    </a:prstGeom>
                    <a:noFill/>
                  </pic:spPr>
                </pic:pic>
              </a:graphicData>
            </a:graphic>
          </wp:anchor>
        </w:drawing>
      </w:r>
    </w:p>
    <w:p>
      <w:pPr>
        <w:ind w:left="3840"/>
        <w:spacing w:after="0" w:line="211" w:lineRule="auto"/>
        <w:rPr>
          <w:sz w:val="20"/>
          <w:szCs w:val="20"/>
          <w:color w:val="auto"/>
        </w:rPr>
      </w:pPr>
      <w:r>
        <w:rPr>
          <w:rFonts w:ascii="Arial" w:cs="Arial" w:eastAsia="Arial" w:hAnsi="Arial"/>
          <w:sz w:val="21"/>
          <w:szCs w:val="21"/>
          <w:color w:val="auto"/>
        </w:rPr>
        <w:t>Jacqueline M. Richert</w:t>
      </w:r>
    </w:p>
    <w:p>
      <w:pPr>
        <w:ind w:left="3840"/>
        <w:spacing w:after="0"/>
        <w:rPr>
          <w:sz w:val="20"/>
          <w:szCs w:val="20"/>
          <w:color w:val="auto"/>
        </w:rPr>
      </w:pPr>
      <w:r>
        <w:rPr>
          <w:rFonts w:ascii="Arial" w:cs="Arial" w:eastAsia="Arial" w:hAnsi="Arial"/>
          <w:sz w:val="21"/>
          <w:szCs w:val="21"/>
          <w:color w:val="auto"/>
        </w:rPr>
        <w:t>Vice President, Investor Relations &amp; Treasurer</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1"/>
          <w:szCs w:val="21"/>
          <w:color w:val="auto"/>
        </w:rPr>
        <w:t>Acknowledged and Received as</w:t>
      </w:r>
    </w:p>
    <w:p>
      <w:pPr>
        <w:spacing w:after="0"/>
        <w:rPr>
          <w:sz w:val="20"/>
          <w:szCs w:val="20"/>
          <w:color w:val="auto"/>
        </w:rPr>
      </w:pPr>
      <w:r>
        <w:rPr>
          <w:rFonts w:ascii="Arial" w:cs="Arial" w:eastAsia="Arial" w:hAnsi="Arial"/>
          <w:sz w:val="21"/>
          <w:szCs w:val="21"/>
          <w:color w:val="auto"/>
        </w:rPr>
        <w:t>of the date first written above</w:t>
      </w:r>
    </w:p>
    <w:p>
      <w:pPr>
        <w:spacing w:after="0" w:line="155" w:lineRule="exact"/>
        <w:rPr>
          <w:sz w:val="20"/>
          <w:szCs w:val="20"/>
          <w:color w:val="auto"/>
        </w:rPr>
      </w:pPr>
    </w:p>
    <w:p>
      <w:pPr>
        <w:spacing w:after="0"/>
        <w:rPr>
          <w:sz w:val="20"/>
          <w:szCs w:val="20"/>
          <w:color w:val="auto"/>
        </w:rPr>
      </w:pPr>
      <w:r>
        <w:rPr>
          <w:rFonts w:ascii="Arial" w:cs="Arial" w:eastAsia="Arial" w:hAnsi="Arial"/>
          <w:sz w:val="21"/>
          <w:szCs w:val="21"/>
          <w:color w:val="auto"/>
        </w:rPr>
        <w:t>THE BANK OF NEW YORK MELLON TRUST COMPANY,</w:t>
      </w:r>
    </w:p>
    <w:p>
      <w:pPr>
        <w:spacing w:after="0" w:line="211" w:lineRule="auto"/>
        <w:rPr>
          <w:sz w:val="20"/>
          <w:szCs w:val="20"/>
          <w:color w:val="auto"/>
        </w:rPr>
      </w:pPr>
      <w:r>
        <w:rPr>
          <w:rFonts w:ascii="Arial" w:cs="Arial" w:eastAsia="Arial" w:hAnsi="Arial"/>
          <w:sz w:val="21"/>
          <w:szCs w:val="21"/>
          <w:color w:val="auto"/>
        </w:rPr>
        <w:t>NATIONAL ASSOCIATION,</w:t>
      </w:r>
    </w:p>
    <w:p>
      <w:pPr>
        <w:spacing w:after="0"/>
        <w:rPr>
          <w:sz w:val="20"/>
          <w:szCs w:val="20"/>
          <w:color w:val="auto"/>
        </w:rPr>
      </w:pPr>
      <w:r>
        <w:rPr>
          <w:rFonts w:ascii="Arial" w:cs="Arial" w:eastAsia="Arial" w:hAnsi="Arial"/>
          <w:sz w:val="21"/>
          <w:szCs w:val="21"/>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1"/>
          <w:szCs w:val="21"/>
          <w:color w:val="auto"/>
        </w:rPr>
        <w:t>/s/ Michele R. Shrum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12909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1">
                      <a:extLst>
                        <a:ext uri="{28A0092B-C50C-407E-A947-70E740481C1C}"/>
                      </a:extLst>
                    </a:blip>
                    <a:srcRect/>
                    <a:stretch>
                      <a:fillRect/>
                    </a:stretch>
                  </pic:blipFill>
                  <pic:spPr bwMode="auto">
                    <a:xfrm>
                      <a:off x="0" y="0"/>
                      <a:ext cx="1290955" cy="8255"/>
                    </a:xfrm>
                    <a:prstGeom prst="rect">
                      <a:avLst/>
                    </a:prstGeom>
                    <a:noFill/>
                  </pic:spPr>
                </pic:pic>
              </a:graphicData>
            </a:graphic>
          </wp:anchor>
        </w:drawing>
      </w:r>
    </w:p>
    <w:p>
      <w:pPr>
        <w:spacing w:after="0" w:line="211" w:lineRule="auto"/>
        <w:rPr>
          <w:sz w:val="20"/>
          <w:szCs w:val="20"/>
          <w:color w:val="auto"/>
        </w:rPr>
      </w:pPr>
      <w:r>
        <w:rPr>
          <w:rFonts w:ascii="Arial" w:cs="Arial" w:eastAsia="Arial" w:hAnsi="Arial"/>
          <w:sz w:val="21"/>
          <w:szCs w:val="21"/>
          <w:color w:val="auto"/>
        </w:rPr>
        <w:t>Michele R. Shrum</w:t>
      </w:r>
    </w:p>
    <w:p>
      <w:pPr>
        <w:spacing w:after="0"/>
        <w:rPr>
          <w:sz w:val="20"/>
          <w:szCs w:val="20"/>
          <w:color w:val="auto"/>
        </w:rPr>
      </w:pPr>
      <w:r>
        <w:rPr>
          <w:rFonts w:ascii="Arial" w:cs="Arial" w:eastAsia="Arial" w:hAnsi="Arial"/>
          <w:sz w:val="21"/>
          <w:szCs w:val="21"/>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19"/>
        <w:spacing w:after="0"/>
        <w:rPr>
          <w:sz w:val="20"/>
          <w:szCs w:val="20"/>
          <w:color w:val="auto"/>
        </w:rPr>
      </w:pPr>
      <w:r>
        <w:rPr>
          <w:rFonts w:ascii="Arial" w:cs="Arial" w:eastAsia="Arial" w:hAnsi="Arial"/>
          <w:sz w:val="21"/>
          <w:szCs w:val="21"/>
          <w:color w:val="auto"/>
        </w:rPr>
        <w:t>Signature Page to Officer’s Certificate Under the Indenture</w:t>
      </w:r>
    </w:p>
    <w:p>
      <w:pPr>
        <w:sectPr>
          <w:pgSz w:w="11900" w:h="16838" w:orient="portrait"/>
          <w:cols w:equalWidth="0" w:num="1">
            <w:col w:w="11120"/>
          </w:cols>
          <w:pgMar w:left="320" w:top="1381" w:right="459" w:bottom="1440" w:gutter="0" w:footer="0" w:header="0"/>
        </w:sectPr>
      </w:pPr>
    </w:p>
    <w:bookmarkStart w:id="122" w:name="page123"/>
    <w:bookmarkEnd w:id="122"/>
    <w:p>
      <w:pPr>
        <w:jc w:val="center"/>
        <w:spacing w:after="0"/>
        <w:rPr>
          <w:sz w:val="20"/>
          <w:szCs w:val="20"/>
          <w:color w:val="auto"/>
        </w:rPr>
      </w:pPr>
      <w:r>
        <w:rPr>
          <w:rFonts w:ascii="Arial" w:cs="Arial" w:eastAsia="Arial" w:hAnsi="Arial"/>
          <w:sz w:val="21"/>
          <w:szCs w:val="21"/>
          <w:b w:val="1"/>
          <w:bCs w:val="1"/>
          <w:color w:val="auto"/>
        </w:rPr>
        <w:t>EXHIBIT 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BONDS</w:t>
      </w:r>
    </w:p>
    <w:p>
      <w:pPr>
        <w:sectPr>
          <w:pgSz w:w="11900" w:h="16838" w:orient="portrait"/>
          <w:cols w:equalWidth="0" w:num="1">
            <w:col w:w="9019"/>
          </w:cols>
          <w:pgMar w:left="1440" w:top="1375" w:right="1440" w:bottom="1440" w:gutter="0" w:footer="0" w:header="0"/>
        </w:sectPr>
      </w:pPr>
    </w:p>
    <w:bookmarkStart w:id="123" w:name="page124"/>
    <w:bookmarkEnd w:id="123"/>
    <w:p>
      <w:pPr>
        <w:spacing w:after="0" w:line="394" w:lineRule="exact"/>
        <w:rPr>
          <w:sz w:val="20"/>
          <w:szCs w:val="20"/>
          <w:color w:val="auto"/>
        </w:rPr>
      </w:pPr>
    </w:p>
    <w:p>
      <w:pPr>
        <w:jc w:val="both"/>
        <w:spacing w:after="0" w:line="221" w:lineRule="auto"/>
        <w:rPr>
          <w:sz w:val="20"/>
          <w:szCs w:val="20"/>
          <w:color w:val="auto"/>
        </w:rPr>
      </w:pPr>
      <w:r>
        <w:rPr>
          <w:rFonts w:ascii="Arial" w:cs="Arial" w:eastAsia="Arial" w:hAnsi="Arial"/>
          <w:sz w:val="21"/>
          <w:szCs w:val="21"/>
          <w:color w:val="auto"/>
        </w:rPr>
        <w:t>THIS SECURITY IS IN GLOBAL FORM AND IS REGISTERED IN THE NAME OF A DEPOSITARY OR A NOMINEE OF A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OR BY A NOMINEE OF THE DEPOSITARY TO THE DEPOSITARY OR ANOTHER NOMINEE OF THE DEPOSITARY.</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Unless this certificate is presented by an authorized representative of The Depository Trust Company, a New York corporation (“DTC”), to CenterPoint Energy Houston Electric, LLC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21"/>
          <w:szCs w:val="21"/>
          <w:color w:val="auto"/>
        </w:rPr>
        <w:t>ANY TRANSFER, PLEDGE, OR OTHER USE HEREOF FOR VALUE OR OTHERWISE BY OR TO ANY PERSON IS WRONGFUL inasmuch as the registered owner hereof, Cede &amp; Co., has an interest herein.</w:t>
      </w:r>
    </w:p>
    <w:p>
      <w:pPr>
        <w:spacing w:after="0" w:line="145" w:lineRule="exact"/>
        <w:rPr>
          <w:sz w:val="20"/>
          <w:szCs w:val="20"/>
          <w:color w:val="auto"/>
        </w:rPr>
      </w:pPr>
    </w:p>
    <w:p>
      <w:pPr>
        <w:ind w:left="2920"/>
        <w:spacing w:after="0"/>
        <w:rPr>
          <w:sz w:val="20"/>
          <w:szCs w:val="20"/>
          <w:color w:val="auto"/>
        </w:rPr>
      </w:pPr>
      <w:r>
        <w:rPr>
          <w:rFonts w:ascii="Arial" w:cs="Arial" w:eastAsia="Arial" w:hAnsi="Arial"/>
          <w:sz w:val="21"/>
          <w:szCs w:val="21"/>
          <w:b w:val="1"/>
          <w:bCs w:val="1"/>
          <w:color w:val="auto"/>
        </w:rPr>
        <w:t>CENTERPOINT ENERGY HOUSTON ELECTRIC, LLC</w:t>
      </w:r>
    </w:p>
    <w:p>
      <w:pPr>
        <w:ind w:left="3300"/>
        <w:spacing w:after="0"/>
        <w:rPr>
          <w:sz w:val="20"/>
          <w:szCs w:val="20"/>
          <w:color w:val="auto"/>
        </w:rPr>
      </w:pPr>
      <w:r>
        <w:rPr>
          <w:rFonts w:ascii="Arial" w:cs="Arial" w:eastAsia="Arial" w:hAnsi="Arial"/>
          <w:sz w:val="21"/>
          <w:szCs w:val="21"/>
          <w:color w:val="auto"/>
        </w:rPr>
        <w:t>5.20% General Mortgage Bonds, Series AM, due 2028</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00"/>
        <w:spacing w:after="0"/>
        <w:rPr>
          <w:sz w:val="20"/>
          <w:szCs w:val="20"/>
          <w:color w:val="auto"/>
        </w:rPr>
      </w:pPr>
      <w:r>
        <w:rPr>
          <w:rFonts w:ascii="Arial" w:cs="Arial" w:eastAsia="Arial" w:hAnsi="Arial"/>
          <w:sz w:val="21"/>
          <w:szCs w:val="21"/>
          <w:color w:val="auto"/>
        </w:rPr>
        <w:t>Original Interest Accrual Date: September 18, 2023</w:t>
      </w:r>
    </w:p>
    <w:p>
      <w:pPr>
        <w:ind w:left="100"/>
        <w:spacing w:after="0" w:line="211" w:lineRule="auto"/>
        <w:rPr>
          <w:sz w:val="20"/>
          <w:szCs w:val="20"/>
          <w:color w:val="auto"/>
        </w:rPr>
      </w:pPr>
      <w:r>
        <w:rPr>
          <w:rFonts w:ascii="Arial" w:cs="Arial" w:eastAsia="Arial" w:hAnsi="Arial"/>
          <w:sz w:val="21"/>
          <w:szCs w:val="21"/>
          <w:color w:val="auto"/>
        </w:rPr>
        <w:t>Stated Maturity: October 1, 2028</w:t>
      </w:r>
    </w:p>
    <w:p>
      <w:pPr>
        <w:ind w:left="100"/>
        <w:spacing w:after="0" w:line="211" w:lineRule="auto"/>
        <w:rPr>
          <w:sz w:val="20"/>
          <w:szCs w:val="20"/>
          <w:color w:val="auto"/>
        </w:rPr>
      </w:pPr>
      <w:r>
        <w:rPr>
          <w:rFonts w:ascii="Arial" w:cs="Arial" w:eastAsia="Arial" w:hAnsi="Arial"/>
          <w:sz w:val="21"/>
          <w:szCs w:val="21"/>
          <w:color w:val="auto"/>
        </w:rPr>
        <w:t>Interest Rate: 5.20%</w:t>
      </w:r>
    </w:p>
    <w:p>
      <w:pPr>
        <w:ind w:left="100"/>
        <w:spacing w:after="0" w:line="212" w:lineRule="auto"/>
        <w:rPr>
          <w:sz w:val="20"/>
          <w:szCs w:val="20"/>
          <w:color w:val="auto"/>
        </w:rPr>
      </w:pPr>
      <w:r>
        <w:rPr>
          <w:rFonts w:ascii="Arial" w:cs="Arial" w:eastAsia="Arial" w:hAnsi="Arial"/>
          <w:sz w:val="21"/>
          <w:szCs w:val="21"/>
          <w:color w:val="auto"/>
        </w:rPr>
        <w:t>Interest Payment Dates: April 1 and October 1</w:t>
      </w:r>
    </w:p>
    <w:p>
      <w:pPr>
        <w:jc w:val="both"/>
        <w:ind w:left="340" w:hanging="214"/>
        <w:spacing w:after="0" w:line="224" w:lineRule="auto"/>
        <w:rPr>
          <w:sz w:val="20"/>
          <w:szCs w:val="20"/>
          <w:color w:val="auto"/>
        </w:rPr>
      </w:pPr>
      <w:r>
        <w:rPr>
          <w:rFonts w:ascii="Arial" w:cs="Arial" w:eastAsia="Arial" w:hAnsi="Arial"/>
          <w:sz w:val="21"/>
          <w:szCs w:val="21"/>
          <w:color w:val="auto"/>
        </w:rPr>
        <w:t>Regular</w:t>
      </w:r>
      <w:r>
        <w:rPr>
          <w:sz w:val="20"/>
          <w:szCs w:val="20"/>
          <w:color w:val="auto"/>
        </w:rPr>
        <w:t xml:space="preserve"> </w:t>
      </w:r>
      <w:r>
        <w:rPr>
          <w:rFonts w:ascii="Arial" w:cs="Arial" w:eastAsia="Arial" w:hAnsi="Arial"/>
          <w:sz w:val="21"/>
          <w:szCs w:val="21"/>
          <w:color w:val="auto"/>
        </w:rPr>
        <w:t>Record Dates: March 15 and September 15 immediately preceding the respective Interest Payment Date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color w:val="auto"/>
        </w:rPr>
        <w:t>Redeemable: Yes [X] No [ ]</w:t>
      </w:r>
    </w:p>
    <w:p>
      <w:pPr>
        <w:spacing w:after="0" w:line="211" w:lineRule="auto"/>
        <w:rPr>
          <w:sz w:val="20"/>
          <w:szCs w:val="20"/>
          <w:color w:val="auto"/>
        </w:rPr>
      </w:pPr>
      <w:r>
        <w:rPr>
          <w:rFonts w:ascii="Arial" w:cs="Arial" w:eastAsia="Arial" w:hAnsi="Arial"/>
          <w:sz w:val="21"/>
          <w:szCs w:val="21"/>
          <w:color w:val="auto"/>
        </w:rPr>
        <w:t>Redemption Date: At any time.</w:t>
      </w:r>
    </w:p>
    <w:p>
      <w:pPr>
        <w:jc w:val="both"/>
        <w:ind w:left="180" w:right="120" w:hanging="166"/>
        <w:spacing w:after="0" w:line="236" w:lineRule="auto"/>
        <w:rPr>
          <w:sz w:val="20"/>
          <w:szCs w:val="20"/>
          <w:color w:val="auto"/>
        </w:rPr>
      </w:pPr>
      <w:r>
        <w:rPr>
          <w:rFonts w:ascii="Arial" w:cs="Arial" w:eastAsia="Arial" w:hAnsi="Arial"/>
          <w:sz w:val="19"/>
          <w:szCs w:val="19"/>
          <w:color w:val="auto"/>
        </w:rPr>
        <w:t>Redemption Price: Prior to September 1, 2028 at a redemption price equal to the greater of (i)(a) the sum of the present values of the remaining scheduled payments of principal and interest on this Security or the portion thereof to be redeemed discounted to the Redemption Date (assuming this Security matured on the Par Call Date) on a semiannual basis at the Treasury Rate plus 15 basis points, less (b) interest accrued to the Redemption Date, and (ii) 100% of the principal amount of this Security (or such portion to be redeemed); plus, in each case, accrued and unpaid interest thereon to, but excluding, the Redemption Date; or on or after September 1, 2028, at a redemption price equal to 100% of the principal amount of this Security or the portion thereof to be redeemed plus accrued and unpaid interest thereon to, but excluding, the Redemption Date.</w:t>
      </w:r>
    </w:p>
    <w:p>
      <w:pPr>
        <w:sectPr>
          <w:pgSz w:w="11900" w:h="16838" w:orient="portrait"/>
          <w:cols w:equalWidth="0" w:num="2">
            <w:col w:w="5380" w:space="200"/>
            <w:col w:w="5660"/>
          </w:cols>
          <w:pgMar w:left="320" w:top="1440" w:right="339" w:bottom="1440" w:gutter="0" w:footer="0" w:header="0"/>
          <w:type w:val="continuous"/>
        </w:sectPr>
      </w:pPr>
    </w:p>
    <w:bookmarkStart w:id="124" w:name="page125"/>
    <w:bookmarkEnd w:id="124"/>
    <w:p>
      <w:pPr>
        <w:jc w:val="center"/>
        <w:spacing w:after="0"/>
        <w:rPr>
          <w:sz w:val="20"/>
          <w:szCs w:val="20"/>
          <w:color w:val="auto"/>
        </w:rPr>
      </w:pPr>
      <w:r>
        <w:rPr>
          <w:rFonts w:ascii="Arial" w:cs="Arial" w:eastAsia="Arial" w:hAnsi="Arial"/>
          <w:sz w:val="21"/>
          <w:szCs w:val="21"/>
          <w:color w:val="auto"/>
        </w:rPr>
        <w:t>This Security is not an Original Issue Discount Security within the meaning</w:t>
      </w:r>
    </w:p>
    <w:p>
      <w:pPr>
        <w:jc w:val="center"/>
        <w:spacing w:after="0"/>
        <w:rPr>
          <w:sz w:val="20"/>
          <w:szCs w:val="20"/>
          <w:color w:val="auto"/>
        </w:rPr>
      </w:pPr>
      <w:r>
        <w:rPr>
          <w:rFonts w:ascii="Arial" w:cs="Arial" w:eastAsia="Arial" w:hAnsi="Arial"/>
          <w:sz w:val="21"/>
          <w:szCs w:val="21"/>
          <w:color w:val="auto"/>
        </w:rPr>
        <w:t>of the within-mentioned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71342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68"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color w:val="auto"/>
        </w:rPr>
        <w:t>Principal Amount</w:t>
      </w:r>
      <w:r>
        <w:rPr>
          <w:sz w:val="20"/>
          <w:szCs w:val="20"/>
          <w:color w:val="auto"/>
        </w:rPr>
        <w:tab/>
      </w:r>
      <w:r>
        <w:rPr>
          <w:rFonts w:ascii="Arial" w:cs="Arial" w:eastAsia="Arial" w:hAnsi="Arial"/>
          <w:sz w:val="19"/>
          <w:szCs w:val="19"/>
          <w:color w:val="auto"/>
        </w:rPr>
        <w:t>Registered No. T-1</w:t>
      </w:r>
    </w:p>
    <w:p>
      <w:pPr>
        <w:spacing w:after="0"/>
        <w:tabs>
          <w:tab w:leader="none" w:pos="1440" w:val="left"/>
        </w:tabs>
        <w:rPr>
          <w:sz w:val="20"/>
          <w:szCs w:val="20"/>
          <w:color w:val="auto"/>
        </w:rPr>
      </w:pPr>
      <w:r>
        <w:rPr>
          <w:rFonts w:ascii="Arial" w:cs="Arial" w:eastAsia="Arial" w:hAnsi="Arial"/>
          <w:sz w:val="21"/>
          <w:szCs w:val="21"/>
          <w:color w:val="auto"/>
        </w:rPr>
        <w:t>$500,000,000</w:t>
      </w:r>
      <w:r>
        <w:rPr>
          <w:rFonts w:ascii="Arial" w:cs="Arial" w:eastAsia="Arial" w:hAnsi="Arial"/>
          <w:sz w:val="27"/>
          <w:szCs w:val="27"/>
          <w:color w:val="auto"/>
          <w:vertAlign w:val="superscript"/>
        </w:rPr>
        <w:t>1</w:t>
      </w:r>
      <w:r>
        <w:rPr>
          <w:sz w:val="20"/>
          <w:szCs w:val="20"/>
          <w:color w:val="auto"/>
        </w:rPr>
        <w:tab/>
      </w:r>
      <w:r>
        <w:rPr>
          <w:rFonts w:ascii="Arial" w:cs="Arial" w:eastAsia="Arial" w:hAnsi="Arial"/>
          <w:sz w:val="19"/>
          <w:szCs w:val="19"/>
          <w:color w:val="auto"/>
        </w:rPr>
        <w:t>CUSIP 15189X BD9</w:t>
      </w:r>
    </w:p>
    <w:p>
      <w:pPr>
        <w:spacing w:after="0" w:line="97" w:lineRule="exact"/>
        <w:rPr>
          <w:sz w:val="20"/>
          <w:szCs w:val="20"/>
          <w:color w:val="auto"/>
        </w:rPr>
      </w:pPr>
    </w:p>
    <w:p>
      <w:pPr>
        <w:jc w:val="both"/>
        <w:spacing w:after="0" w:line="230" w:lineRule="auto"/>
        <w:rPr>
          <w:sz w:val="20"/>
          <w:szCs w:val="20"/>
          <w:color w:val="auto"/>
        </w:rPr>
      </w:pPr>
      <w:r>
        <w:rPr>
          <w:rFonts w:ascii="Arial" w:cs="Arial" w:eastAsia="Arial" w:hAnsi="Arial"/>
          <w:sz w:val="21"/>
          <w:szCs w:val="21"/>
          <w:color w:val="auto"/>
        </w:rPr>
        <w:t>CENTERPOINT ENERGY HOUSTON ELECTRIC, LLC, a limited liability company duly organized and existing under the laws of the State of Texas (herein called the “Company,” which term includes any successor under the Indenture referred to below), for value received, hereby promises to pay to</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***CEDE &amp; Co.***</w:t>
      </w:r>
    </w:p>
    <w:p>
      <w:pPr>
        <w:spacing w:after="0" w:line="184" w:lineRule="exact"/>
        <w:rPr>
          <w:sz w:val="20"/>
          <w:szCs w:val="20"/>
          <w:color w:val="auto"/>
        </w:rPr>
      </w:pPr>
    </w:p>
    <w:p>
      <w:pPr>
        <w:jc w:val="both"/>
        <w:ind w:firstLine="6"/>
        <w:spacing w:after="0" w:line="226" w:lineRule="auto"/>
        <w:tabs>
          <w:tab w:leader="none" w:pos="121" w:val="left"/>
        </w:tabs>
        <w:numPr>
          <w:ilvl w:val="0"/>
          <w:numId w:val="79"/>
        </w:numPr>
        <w:rPr>
          <w:rFonts w:ascii="Arial" w:cs="Arial" w:eastAsia="Arial" w:hAnsi="Arial"/>
          <w:sz w:val="20"/>
          <w:szCs w:val="20"/>
          <w:color w:val="auto"/>
        </w:rPr>
      </w:pPr>
      <w:r>
        <w:rPr>
          <w:rFonts w:ascii="Arial" w:cs="Arial" w:eastAsia="Arial" w:hAnsi="Arial"/>
          <w:sz w:val="20"/>
          <w:szCs w:val="20"/>
          <w:color w:val="auto"/>
        </w:rPr>
        <w:t>or its registered assigns, the principal sum of FIVE HUNDRED MILLION DOLLARS, on the Stated Maturity specified above, and to pay interest thereon from the Original Interest Accrual Date specified above or from the most recent Interest Payment Date to which interest has been paid or duly provided for, semi-annually in arrears on the Interest Payment Dates specified above in each year, commencing on April 1, 2024, and at Maturity, at the Interest Rate per annum specified above, until the principal hereof is paid or duly provided for. The interest so payable, and paid or duly provided for, on any Interest Payment Date shall, as provided in such Indenture, be paid to the Person in whose name this Security (or one or more Predecessor Securities) is registered at the close of business on the Regular Record Date specified above (whether or not a Business Day) next preceding such Interest Payment Date. Notwithstanding the foregoing, interest payable at Maturity shall be paid to the Person to whom principal shall be paid. Except as otherwise provided in said Indenture, any such interest not so paid or duly provided for shall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of which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155" w:lineRule="exact"/>
        <w:rPr>
          <w:sz w:val="20"/>
          <w:szCs w:val="20"/>
          <w:color w:val="auto"/>
        </w:rPr>
      </w:pPr>
    </w:p>
    <w:p>
      <w:pPr>
        <w:jc w:val="both"/>
        <w:spacing w:after="0" w:line="217" w:lineRule="auto"/>
        <w:rPr>
          <w:sz w:val="20"/>
          <w:szCs w:val="20"/>
          <w:color w:val="auto"/>
        </w:rPr>
      </w:pPr>
      <w:r>
        <w:rPr>
          <w:rFonts w:ascii="Arial" w:cs="Arial" w:eastAsia="Arial" w:hAnsi="Arial"/>
          <w:sz w:val="21"/>
          <w:szCs w:val="21"/>
          <w:color w:val="auto"/>
        </w:rPr>
        <w:t>Payment of the principal of and premium, if any, on this Security and interest hereon at Maturity shall be made upon presentation of this Security at the office of the Corporate Trust Administration of The Bank of New York Mellon Trust Company, National Association, located in New York, New York or at such other office or agency as may be designated for such purpose by the Company from time to time. Payment of interest on this Security (other than interest at Maturity) shall be made by check mailed to the address of the Person entitled thereto as such address shall appear in the Security Register, except that if such Person shall be a securities depositary, such payment may be made by such other means in lieu of check, as shall be agreed upon by the Company, the Trustee and such Person. Payment of the principal of and premium, if any, and interest on this Security, as aforesaid, shall be made in such coin or currency of the United States of America as at the time of payment shall be legal tender for the payment of public and private debts.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125095</wp:posOffset>
            </wp:positionV>
            <wp:extent cx="168846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3">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240" w:lineRule="exact"/>
        <w:rPr>
          <w:sz w:val="20"/>
          <w:szCs w:val="20"/>
          <w:color w:val="auto"/>
        </w:rPr>
      </w:pPr>
    </w:p>
    <w:p>
      <w:pPr>
        <w:ind w:left="100" w:hanging="94"/>
        <w:spacing w:after="0"/>
        <w:tabs>
          <w:tab w:leader="none" w:pos="100" w:val="left"/>
        </w:tabs>
        <w:numPr>
          <w:ilvl w:val="0"/>
          <w:numId w:val="80"/>
        </w:numPr>
        <w:rPr>
          <w:rFonts w:ascii="Arial" w:cs="Arial" w:eastAsia="Arial" w:hAnsi="Arial"/>
          <w:sz w:val="21"/>
          <w:szCs w:val="21"/>
          <w:color w:val="auto"/>
          <w:vertAlign w:val="superscript"/>
        </w:rPr>
      </w:pPr>
      <w:r>
        <w:rPr>
          <w:rFonts w:ascii="Arial" w:cs="Arial" w:eastAsia="Arial" w:hAnsi="Arial"/>
          <w:sz w:val="16"/>
          <w:szCs w:val="16"/>
          <w:color w:val="auto"/>
        </w:rPr>
        <w:t>Reference is made to Schedule A attached hereto with respect to decreases and increases in the aggregate principal amount of Securities evidenced hereby.</w:t>
      </w:r>
    </w:p>
    <w:p>
      <w:pPr>
        <w:sectPr>
          <w:pgSz w:w="11900" w:h="16838" w:orient="portrait"/>
          <w:cols w:equalWidth="0" w:num="1">
            <w:col w:w="11240"/>
          </w:cols>
          <w:pgMar w:left="320" w:top="1424" w:right="339" w:bottom="1440" w:gutter="0" w:footer="0" w:header="0"/>
        </w:sectPr>
      </w:pPr>
    </w:p>
    <w:bookmarkStart w:id="125" w:name="page126"/>
    <w:bookmarkEnd w:id="125"/>
    <w:p>
      <w:pPr>
        <w:jc w:val="both"/>
        <w:spacing w:after="0" w:line="227" w:lineRule="auto"/>
        <w:rPr>
          <w:sz w:val="20"/>
          <w:szCs w:val="20"/>
          <w:color w:val="auto"/>
        </w:rPr>
      </w:pPr>
      <w:r>
        <w:rPr>
          <w:rFonts w:ascii="Arial" w:cs="Arial" w:eastAsia="Arial" w:hAnsi="Arial"/>
          <w:sz w:val="20"/>
          <w:szCs w:val="20"/>
          <w:color w:val="auto"/>
        </w:rPr>
        <w:t>This Security is one of a duly authorized issue of securities of the Company (herein called the “Securities”), issued and issuable in one or more series under and equally secured by a General Mortgage Indenture, dated as of October 10, 2002, as supplemented and amended (such Indenture as originally executed and delivered and as supplemented or amended from time to time thereafter, together with any constituent instruments establishing the terms of particular Securities, being herein called the “Indenture”), between the Company and The Bank of New York Mellon Trust Company, National Association (successor in trust to JPMorgan Chase Bank), trustee (herein called the “Trustee,” which term includes any successor trustee under the Indenture), to which Indenture and all indentures supplemental thereto reference is hereby made for a description of the property mortgaged, pledged and held in trust, the nature and extent of the security and the respective rights, limitations of rights, duties and immunities of the Company, the Trustee and the Holders of the Securities thereunder and of the terms and conditions upon which the Securities are, and are to be, authenticated and delivered and secured. The acceptance of this Security shall be deemed to constitute the consent and agreement by the Holder hereof to all of the terms and provisions of the Indenture. This Security is one of the series designated above.</w:t>
      </w:r>
    </w:p>
    <w:p>
      <w:pPr>
        <w:spacing w:after="0" w:line="155"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If any Interest Payment Date, any Redemption Date or the Stated Maturity shall not be a Business Day (as hereinafter defined), payment of the amounts due on this Security on such date may be made on the next succeeding Business Day; and, if such payment is made or duly provided for on such Business Day, no interest shall accrue on such amounts for the period from and after such Interest Payment Date, Redemption Date or Stated Maturity, as the case may be, to such Business Day. Interest will be computed on the basis of a 360-day year of twelve 30-day months.</w:t>
      </w:r>
    </w:p>
    <w:p>
      <w:pPr>
        <w:spacing w:after="0" w:line="155" w:lineRule="exact"/>
        <w:rPr>
          <w:sz w:val="20"/>
          <w:szCs w:val="20"/>
          <w:color w:val="auto"/>
        </w:rPr>
      </w:pPr>
    </w:p>
    <w:p>
      <w:pPr>
        <w:jc w:val="both"/>
        <w:spacing w:after="0" w:line="230" w:lineRule="auto"/>
        <w:rPr>
          <w:sz w:val="20"/>
          <w:szCs w:val="20"/>
          <w:color w:val="auto"/>
        </w:rPr>
      </w:pPr>
      <w:r>
        <w:rPr>
          <w:rFonts w:ascii="Arial" w:cs="Arial" w:eastAsia="Arial" w:hAnsi="Arial"/>
          <w:sz w:val="21"/>
          <w:szCs w:val="21"/>
          <w:color w:val="auto"/>
        </w:rPr>
        <w:t>Prior to September 1, 2028 (the “Par Call Date”), the Company may redeem this Security, in whole or in part, at any time and from time to time, at a redemption price (expressed as a percentage of principal amount and rounded to three decimal places) equal to the greater of:</w:t>
      </w:r>
    </w:p>
    <w:p>
      <w:pPr>
        <w:spacing w:after="0" w:line="157" w:lineRule="exact"/>
        <w:rPr>
          <w:sz w:val="20"/>
          <w:szCs w:val="20"/>
          <w:color w:val="auto"/>
        </w:rPr>
      </w:pPr>
    </w:p>
    <w:p>
      <w:pPr>
        <w:jc w:val="both"/>
        <w:ind w:left="960" w:hanging="315"/>
        <w:spacing w:after="0" w:line="226" w:lineRule="auto"/>
        <w:tabs>
          <w:tab w:leader="none" w:pos="955" w:val="left"/>
        </w:tabs>
        <w:numPr>
          <w:ilvl w:val="0"/>
          <w:numId w:val="81"/>
        </w:numPr>
        <w:rPr>
          <w:rFonts w:ascii="Arial" w:cs="Arial" w:eastAsia="Arial" w:hAnsi="Arial"/>
          <w:sz w:val="21"/>
          <w:szCs w:val="21"/>
          <w:color w:val="auto"/>
        </w:rPr>
      </w:pPr>
      <w:r>
        <w:rPr>
          <w:rFonts w:ascii="Arial" w:cs="Arial" w:eastAsia="Arial" w:hAnsi="Arial"/>
          <w:sz w:val="21"/>
          <w:szCs w:val="21"/>
          <w:color w:val="auto"/>
        </w:rPr>
        <w:t>(1)(a) the sum of the present values of the remaining scheduled payments of principal and interest on this Security (or such portion to be redeemed) discounted to the Redemption Date (assuming this Security matured on the Par Call Date) on a semi-annual basis (assuming a 360-day year consisting of twelve 30-day months) at the Treasury Rate plus 15 basis points; less (b) interest accrued to the Redemption Date; and</w:t>
      </w:r>
    </w:p>
    <w:p>
      <w:pPr>
        <w:spacing w:after="0" w:line="154" w:lineRule="exact"/>
        <w:rPr>
          <w:rFonts w:ascii="Arial" w:cs="Arial" w:eastAsia="Arial" w:hAnsi="Arial"/>
          <w:sz w:val="21"/>
          <w:szCs w:val="21"/>
          <w:color w:val="auto"/>
        </w:rPr>
      </w:pPr>
    </w:p>
    <w:p>
      <w:pPr>
        <w:ind w:left="960" w:hanging="315"/>
        <w:spacing w:after="0"/>
        <w:tabs>
          <w:tab w:leader="none" w:pos="960" w:val="left"/>
        </w:tabs>
        <w:numPr>
          <w:ilvl w:val="0"/>
          <w:numId w:val="81"/>
        </w:numPr>
        <w:rPr>
          <w:rFonts w:ascii="Arial" w:cs="Arial" w:eastAsia="Arial" w:hAnsi="Arial"/>
          <w:sz w:val="21"/>
          <w:szCs w:val="21"/>
          <w:color w:val="auto"/>
        </w:rPr>
      </w:pPr>
      <w:r>
        <w:rPr>
          <w:rFonts w:ascii="Arial" w:cs="Arial" w:eastAsia="Arial" w:hAnsi="Arial"/>
          <w:sz w:val="21"/>
          <w:szCs w:val="21"/>
          <w:color w:val="auto"/>
        </w:rPr>
        <w:t>(2) 100% of the principal amount of this Security (or such portion to be redeemed);</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color w:val="auto"/>
        </w:rPr>
        <w:t>plus, in each case, accrued and unpaid interest thereon to, but excluding, the Redemption Date.</w:t>
      </w:r>
    </w:p>
    <w:p>
      <w:pPr>
        <w:spacing w:after="0" w:line="184"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On or after the Par Call Date, the Company may redeem this Security, in whole or in part, at any time and from time to time, at a redemption price equal to 100% of the principal amount of this Security (or such portion to be redeemed) plus accrued and unpaid interest thereon to, but excluding, the Redemption Date. The Trustee shall have no responsibility for the calculation of such amount.</w:t>
      </w:r>
    </w:p>
    <w:p>
      <w:pPr>
        <w:spacing w:after="0" w:line="154" w:lineRule="exact"/>
        <w:rPr>
          <w:sz w:val="20"/>
          <w:szCs w:val="20"/>
          <w:color w:val="auto"/>
        </w:rPr>
      </w:pPr>
    </w:p>
    <w:p>
      <w:pPr>
        <w:jc w:val="both"/>
        <w:ind w:right="20"/>
        <w:spacing w:after="0" w:line="241" w:lineRule="auto"/>
        <w:rPr>
          <w:sz w:val="20"/>
          <w:szCs w:val="20"/>
          <w:color w:val="auto"/>
        </w:rPr>
      </w:pPr>
      <w:r>
        <w:rPr>
          <w:rFonts w:ascii="Arial" w:cs="Arial" w:eastAsia="Arial" w:hAnsi="Arial"/>
          <w:sz w:val="21"/>
          <w:szCs w:val="21"/>
          <w:color w:val="auto"/>
        </w:rPr>
        <w:t>“Treasury Rate” means, with respect to any Redemption Date, the yield determined by the Company in accordance with the following two paragraphs.</w:t>
      </w:r>
    </w:p>
    <w:p>
      <w:pPr>
        <w:spacing w:after="0" w:line="153"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w:t>
      </w:r>
    </w:p>
    <w:p>
      <w:pPr>
        <w:sectPr>
          <w:pgSz w:w="11900" w:h="16838" w:orient="portrait"/>
          <w:cols w:equalWidth="0" w:num="1">
            <w:col w:w="11240"/>
          </w:cols>
          <w:pgMar w:left="320" w:top="1381" w:right="339" w:bottom="1440" w:gutter="0" w:footer="0" w:header="0"/>
        </w:sectPr>
      </w:pPr>
    </w:p>
    <w:bookmarkStart w:id="126" w:name="page127"/>
    <w:bookmarkEnd w:id="126"/>
    <w:p>
      <w:pPr>
        <w:jc w:val="both"/>
        <w:spacing w:after="0" w:line="227" w:lineRule="auto"/>
        <w:rPr>
          <w:sz w:val="20"/>
          <w:szCs w:val="20"/>
          <w:color w:val="auto"/>
        </w:rPr>
      </w:pPr>
      <w:r>
        <w:rPr>
          <w:rFonts w:ascii="Arial" w:cs="Arial" w:eastAsia="Arial" w:hAnsi="Arial"/>
          <w:sz w:val="20"/>
          <w:szCs w:val="20"/>
          <w:color w:val="auto"/>
        </w:rPr>
        <w:t>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55"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59"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The Company’s actions and determinations in determining the redemption price shall be conclusive and binding for all purposes, absent manifest error.</w:t>
      </w:r>
    </w:p>
    <w:p>
      <w:pPr>
        <w:spacing w:after="0" w:line="153"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The Trustee, at the written direction of the Company, will send a notice of redemption to each Holder of Securities to be redeemed by first-class mail (or in accordance with the procedures of The Depository Trust Company with respect to Securities registered in the name of Cede &amp; Co.) at least 10 and not more than 60 days prior to the date fixed for redemption. Unless the Company defaults on payment of the redemption price, interest will cease to accrue on the Securities or portions thereof called for redemption on the Redemption Date. If fewer than all of the Securities of this series are to be redeemed, not more than 60 days prior to the Redemption Date, the particular Securities of this series or portions thereof for redemption will be selected from the outstanding Securities of this series not previously called by lot by the Trustee. The Trustee may select for redemption Securities of this series and portions of Securities of this series in amounts of $2,000 or whole multiples of $1,000. In the case of a partial redemption of Securities registered in the name of Cede &amp; Co, the Securities to be redeemed will be determined in accordance with the procedures of The Depository Trust Company.</w:t>
      </w:r>
    </w:p>
    <w:p>
      <w:pPr>
        <w:sectPr>
          <w:pgSz w:w="11900" w:h="16838" w:orient="portrait"/>
          <w:cols w:equalWidth="0" w:num="1">
            <w:col w:w="11240"/>
          </w:cols>
          <w:pgMar w:left="320" w:top="1381" w:right="339" w:bottom="1440" w:gutter="0" w:footer="0" w:header="0"/>
        </w:sectPr>
      </w:pPr>
    </w:p>
    <w:bookmarkStart w:id="127" w:name="page128"/>
    <w:bookmarkEnd w:id="127"/>
    <w:p>
      <w:pPr>
        <w:jc w:val="both"/>
        <w:spacing w:after="0" w:line="237" w:lineRule="auto"/>
        <w:rPr>
          <w:sz w:val="20"/>
          <w:szCs w:val="20"/>
          <w:color w:val="auto"/>
        </w:rPr>
      </w:pPr>
      <w:r>
        <w:rPr>
          <w:rFonts w:ascii="Arial" w:cs="Arial" w:eastAsia="Arial" w:hAnsi="Arial"/>
          <w:sz w:val="19"/>
          <w:szCs w:val="19"/>
          <w:color w:val="auto"/>
        </w:rPr>
        <w:t xml:space="preserve">The Indenture permits, with certain exceptions as therein provided, the Trustee to enter into one or more supplemental indentures for the purpose of adding any provisions to, or changing in any manner or eliminating any of the provisions of, the Indenture with the consent of the Holders of not less than a majority in aggregate principal amount of the Securities of all series then Outstanding under the Indenture, considered as one class;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if there shall be Securities of more than one series Outstanding under the Indenture and if a proposed supplemental indenture shall directly affect the rights of the Holders of Securities of one or more, but less than all, of such series, then the consent only of the Holders of a majority in aggregate principal amount of the Outstanding Securities of all series so directly affected, considered as one class, shall be required;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if the Securities of any series shall have been issued in more than one Tranche and if the proposed supplemental</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indenture shall directly affect the rights of the Holders of Securities of one or more, but less than all, of such Tranches, then the consent only of the Holders of a majority in aggregate principal amount of the Outstanding Securities of all Tranches so directly affected, considered as one class, shall be required;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the Indenture permits the Trustee to enter into one or more supplemental indentures for limited purposes without the consent of any Holders of Securities. The Indenture also contains provisions permitting the Holders of a majority in principal amount of the Securities then Outstanding, on behalf of the Holders of all Securities,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therefor or in lieu hereof, whether or not notation of such consent or waiver is made upon this Security.</w:t>
      </w:r>
    </w:p>
    <w:p>
      <w:pPr>
        <w:spacing w:after="0" w:line="161" w:lineRule="exact"/>
        <w:rPr>
          <w:sz w:val="20"/>
          <w:szCs w:val="20"/>
          <w:color w:val="auto"/>
        </w:rPr>
      </w:pPr>
    </w:p>
    <w:p>
      <w:pPr>
        <w:jc w:val="both"/>
        <w:spacing w:after="0" w:line="219" w:lineRule="auto"/>
        <w:rPr>
          <w:sz w:val="20"/>
          <w:szCs w:val="20"/>
          <w:color w:val="auto"/>
        </w:rPr>
      </w:pPr>
      <w:r>
        <w:rPr>
          <w:rFonts w:ascii="Arial" w:cs="Arial" w:eastAsia="Arial" w:hAnsi="Arial"/>
          <w:sz w:val="21"/>
          <w:szCs w:val="21"/>
          <w:color w:val="auto"/>
        </w:rPr>
        <w:t>As provided in the Indenture and subject to certain limitations therein set forth, this Security or any portion of the principal amount hereof will be deemed to have been paid for all purposes of the Indenture and to be no longer Outstanding thereunder, and, at the election of the Company, the Company’s entire indebtedness in respect thereof will be satisfied and discharged, if there has been irrevocably deposited with the Trustee or any Paying Agent (other than the Company), in trust, money in an amount which will be sufficient and/or Eligible Obligations, the principal of and interest on which when due, without regard to any reinvestment thereof, will provide moneys which, together with moneys so deposited, will be sufficient to pay when due the principal of and interest on this Security when due.</w:t>
      </w:r>
    </w:p>
    <w:p>
      <w:pPr>
        <w:spacing w:after="0" w:line="159" w:lineRule="exact"/>
        <w:rPr>
          <w:sz w:val="20"/>
          <w:szCs w:val="20"/>
          <w:color w:val="auto"/>
        </w:rPr>
      </w:pPr>
    </w:p>
    <w:p>
      <w:pPr>
        <w:jc w:val="both"/>
        <w:spacing w:after="0" w:line="219" w:lineRule="auto"/>
        <w:rPr>
          <w:sz w:val="20"/>
          <w:szCs w:val="20"/>
          <w:color w:val="auto"/>
        </w:rPr>
      </w:pPr>
      <w:r>
        <w:rPr>
          <w:rFonts w:ascii="Arial" w:cs="Arial" w:eastAsia="Arial" w:hAnsi="Arial"/>
          <w:sz w:val="21"/>
          <w:szCs w:val="21"/>
          <w:color w:val="auto"/>
        </w:rPr>
        <w:t>As provided in the Indenture and subject to certain limitations therein set forth, the transfer of this Security is registrable in the Security Register, upon surrender of this Security for registration of transfer at the Corporate Trust Office of The Bank of New York Mellon Trust Company, National Association in New York, New York, or such other office or agency as may be designated by the Company from time to time, duly endorsed by, or accompanied by a written instrument of transfer in form satisfactory to the Company and the Security Registrar duly executed by, the Holder hereof or his attorney duly authorized in writing, and thereupon one or more new Securities of this series of authorized denominations and of like tenor and aggregate principal amount, will be issued to the designated transferee or transferees.</w:t>
      </w:r>
    </w:p>
    <w:p>
      <w:pPr>
        <w:spacing w:after="0" w:line="159"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Securities of this series are issuable only as registered Securities, without coupons, and in minimum denominations of $2,000 and integral multiples of $1,000 in excess thereof. As provided in the Indenture and subject to certain limitations therein set forth, Securities of this series are exchangeable for a like aggregate principal amount of Securities of the same series and Tranche, of any authorized denominations, as requested by the Holder surrendering the same, and of like tenor upon surrender of the Security or Securities to be exchanged at the office of The Bank of New York Mellon Trust Company, National Association in New York, New York, or such other office or agency as may be designated by the Company from time to time.</w:t>
      </w:r>
    </w:p>
    <w:p>
      <w:pPr>
        <w:sectPr>
          <w:pgSz w:w="11900" w:h="16838" w:orient="portrait"/>
          <w:cols w:equalWidth="0" w:num="1">
            <w:col w:w="11240"/>
          </w:cols>
          <w:pgMar w:left="320" w:top="1381" w:right="339" w:bottom="1440" w:gutter="0" w:footer="0" w:header="0"/>
        </w:sectPr>
      </w:pPr>
    </w:p>
    <w:bookmarkStart w:id="128" w:name="page129"/>
    <w:bookmarkEnd w:id="128"/>
    <w:p>
      <w:pPr>
        <w:jc w:val="both"/>
        <w:spacing w:after="0" w:line="241" w:lineRule="auto"/>
        <w:rPr>
          <w:sz w:val="20"/>
          <w:szCs w:val="20"/>
          <w:color w:val="auto"/>
        </w:rPr>
      </w:pPr>
      <w:r>
        <w:rPr>
          <w:rFonts w:ascii="Arial" w:cs="Arial" w:eastAsia="Arial" w:hAnsi="Arial"/>
          <w:sz w:val="21"/>
          <w:szCs w:val="21"/>
          <w:color w:val="auto"/>
        </w:rPr>
        <w:t>No service charge shall be made for any such registration of transfer or exchange, but the Company may require payment of a sum sufficient to cover any tax or other governmental charge payable in connection therewith.</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Prior to due presentment of this Security for registration of transfer, the Company, the Trustee and any agent of the Company or the Trustee may treat the Person in whose name this Security is registered as the absolute owner hereof for all purposes, whether or not this Security be overdue, and neither the Company, the Trustee nor any such agent shall be affected by notice to the contrary.</w:t>
      </w:r>
    </w:p>
    <w:p>
      <w:pPr>
        <w:spacing w:after="0" w:line="135" w:lineRule="exact"/>
        <w:rPr>
          <w:sz w:val="20"/>
          <w:szCs w:val="20"/>
          <w:color w:val="auto"/>
        </w:rPr>
      </w:pPr>
    </w:p>
    <w:p>
      <w:pPr>
        <w:spacing w:after="0"/>
        <w:rPr>
          <w:sz w:val="20"/>
          <w:szCs w:val="20"/>
          <w:color w:val="auto"/>
        </w:rPr>
      </w:pPr>
      <w:r>
        <w:rPr>
          <w:rFonts w:ascii="Arial" w:cs="Arial" w:eastAsia="Arial" w:hAnsi="Arial"/>
          <w:sz w:val="21"/>
          <w:szCs w:val="21"/>
          <w:color w:val="auto"/>
        </w:rPr>
        <w:t>The Securities are not entitled to the benefit of any sinking fund.</w:t>
      </w:r>
    </w:p>
    <w:p>
      <w:pPr>
        <w:spacing w:after="0" w:line="18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As used herein, “Business Day” shall mean any day, other than Saturday or Sunday, on which commercial banks and foreign exchange markets are open for business, including dealings in deposits in U.S. dollars, in New York, New York. All other terms used in this Security which are defined in the Indenture shall have the meanings assigned to them in the Indenture.</w:t>
      </w:r>
    </w:p>
    <w:p>
      <w:pPr>
        <w:spacing w:after="0" w:line="152" w:lineRule="exact"/>
        <w:rPr>
          <w:sz w:val="20"/>
          <w:szCs w:val="20"/>
          <w:color w:val="auto"/>
        </w:rPr>
      </w:pPr>
    </w:p>
    <w:p>
      <w:pPr>
        <w:jc w:val="both"/>
        <w:spacing w:after="0"/>
        <w:rPr>
          <w:sz w:val="20"/>
          <w:szCs w:val="20"/>
          <w:color w:val="auto"/>
        </w:rPr>
      </w:pPr>
      <w:r>
        <w:rPr>
          <w:rFonts w:ascii="Arial" w:cs="Arial" w:eastAsia="Arial" w:hAnsi="Arial"/>
          <w:sz w:val="19"/>
          <w:szCs w:val="19"/>
          <w:color w:val="auto"/>
        </w:rPr>
        <w:t>As provided in the Indenture, no recourse shall be had for the payment of the principal of or premium, if any, or interest on any Securities, or any part thereof, or for any claim based thereon or otherwise in respect thereof, or of the indebtedness represented thereby, or upon any obligation, covenant or agreement under the Indenture, against, and no personal liability whatsoever shall attach to, or be incurred by, any incorporator, member, manager, stockholder, officer, director or employee, as such, past, present or future of the Company or of any predecessor or successor corporation (either directly or through the Company or a predecessor or successor corporation), whether by virtue of any constitutional provision, statute or rule of law, or by the enforcement of any assessment or penalty or otherwise; it being expressly agreed and understood that the Indenture and all the Securities are solely corporate obligations and that any such personal liability is hereby expressly waived and released as a condition of, and as part of the consideration for, the execution of the Indenture and the issuance of the Securities.</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Unless the certificate of authentication hereon has been executed by the Trustee or an Authenticating Agent by manual or electronic signature, this Security shall not be entitled to any benefit under the Indenture or be valid or obligatory for any purpose.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[The remainder of this page is intentionally left blank.]</w:t>
      </w:r>
    </w:p>
    <w:p>
      <w:pPr>
        <w:sectPr>
          <w:pgSz w:w="11900" w:h="16838" w:orient="portrait"/>
          <w:cols w:equalWidth="0" w:num="1">
            <w:col w:w="11240"/>
          </w:cols>
          <w:pgMar w:left="320" w:top="1381" w:right="339" w:bottom="1440" w:gutter="0" w:footer="0" w:header="0"/>
        </w:sectPr>
      </w:pPr>
    </w:p>
    <w:bookmarkStart w:id="129" w:name="page130"/>
    <w:bookmarkEnd w:id="129"/>
    <w:p>
      <w:pPr>
        <w:spacing w:after="0" w:line="39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IN WITNESS WHEREOF, the Company has caused this instrument to be duly executed.</w:t>
      </w:r>
    </w:p>
    <w:p>
      <w:pPr>
        <w:spacing w:after="0" w:line="231" w:lineRule="exact"/>
        <w:rPr>
          <w:sz w:val="20"/>
          <w:szCs w:val="20"/>
          <w:color w:val="auto"/>
        </w:rPr>
      </w:pPr>
    </w:p>
    <w:tbl>
      <w:tblPr>
        <w:tblLayout w:type="fixed"/>
        <w:tblInd w:w="80" w:type="dxa"/>
        <w:tblCellMar>
          <w:top w:w="0" w:type="dxa"/>
          <w:left w:w="0" w:type="dxa"/>
          <w:bottom w:w="0" w:type="dxa"/>
          <w:right w:w="0" w:type="dxa"/>
        </w:tblCellMar>
      </w:tblPr>
      <w:tr>
        <w:trPr>
          <w:trHeight w:val="272"/>
        </w:trPr>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8040" w:type="dxa"/>
            <w:vAlign w:val="bottom"/>
          </w:tcPr>
          <w:p>
            <w:pPr>
              <w:ind w:left="2700"/>
              <w:spacing w:after="0"/>
              <w:rPr>
                <w:sz w:val="20"/>
                <w:szCs w:val="20"/>
                <w:color w:val="auto"/>
              </w:rPr>
            </w:pPr>
            <w:r>
              <w:rPr>
                <w:rFonts w:ascii="Arial" w:cs="Arial" w:eastAsia="Arial" w:hAnsi="Arial"/>
                <w:sz w:val="21"/>
                <w:szCs w:val="21"/>
                <w:b w:val="1"/>
                <w:bCs w:val="1"/>
                <w:color w:val="auto"/>
              </w:rPr>
              <w:t>CENTERPOINT ENERGY HOUSTON ELECTRIC, LLC</w:t>
            </w:r>
          </w:p>
        </w:tc>
        <w:tc>
          <w:tcPr>
            <w:tcW w:w="0" w:type="dxa"/>
            <w:vAlign w:val="bottom"/>
          </w:tcPr>
          <w:p>
            <w:pPr>
              <w:spacing w:after="0"/>
              <w:rPr>
                <w:sz w:val="1"/>
                <w:szCs w:val="1"/>
                <w:color w:val="auto"/>
              </w:rPr>
            </w:pPr>
          </w:p>
        </w:tc>
      </w:tr>
      <w:tr>
        <w:trPr>
          <w:trHeight w:val="213"/>
        </w:trPr>
        <w:tc>
          <w:tcPr>
            <w:tcW w:w="780" w:type="dxa"/>
            <w:vAlign w:val="bottom"/>
            <w:vMerge w:val="restart"/>
          </w:tcPr>
          <w:p>
            <w:pPr>
              <w:spacing w:after="0"/>
              <w:rPr>
                <w:sz w:val="20"/>
                <w:szCs w:val="20"/>
                <w:color w:val="auto"/>
              </w:rPr>
            </w:pPr>
            <w:r>
              <w:rPr>
                <w:rFonts w:ascii="Arial" w:cs="Arial" w:eastAsia="Arial" w:hAnsi="Arial"/>
                <w:sz w:val="21"/>
                <w:szCs w:val="21"/>
                <w:color w:val="auto"/>
              </w:rPr>
              <w:t>Attest:</w:t>
            </w:r>
          </w:p>
        </w:tc>
        <w:tc>
          <w:tcPr>
            <w:tcW w:w="220" w:type="dxa"/>
            <w:vAlign w:val="bottom"/>
            <w:vMerge w:val="restart"/>
          </w:tcPr>
          <w:p>
            <w:pPr>
              <w:spacing w:after="0"/>
              <w:rPr>
                <w:sz w:val="18"/>
                <w:szCs w:val="18"/>
                <w:color w:val="auto"/>
              </w:rPr>
            </w:pPr>
          </w:p>
        </w:tc>
        <w:tc>
          <w:tcPr>
            <w:tcW w:w="2100" w:type="dxa"/>
            <w:vAlign w:val="bottom"/>
            <w:vMerge w:val="restart"/>
          </w:tcPr>
          <w:p>
            <w:pPr>
              <w:spacing w:after="0"/>
              <w:rPr>
                <w:sz w:val="18"/>
                <w:szCs w:val="18"/>
                <w:color w:val="auto"/>
              </w:rPr>
            </w:pPr>
          </w:p>
        </w:tc>
        <w:tc>
          <w:tcPr>
            <w:tcW w:w="8040" w:type="dxa"/>
            <w:vAlign w:val="bottom"/>
          </w:tcPr>
          <w:p>
            <w:pPr>
              <w:ind w:left="800"/>
              <w:spacing w:after="0" w:line="213" w:lineRule="exact"/>
              <w:rPr>
                <w:sz w:val="20"/>
                <w:szCs w:val="20"/>
                <w:color w:val="auto"/>
              </w:rPr>
            </w:pPr>
            <w:r>
              <w:rPr>
                <w:rFonts w:ascii="Arial" w:cs="Arial" w:eastAsia="Arial" w:hAnsi="Arial"/>
                <w:sz w:val="21"/>
                <w:szCs w:val="21"/>
                <w:color w:val="auto"/>
              </w:rPr>
              <w:t>By: __________________________________</w:t>
            </w:r>
          </w:p>
        </w:tc>
        <w:tc>
          <w:tcPr>
            <w:tcW w:w="0" w:type="dxa"/>
            <w:vAlign w:val="bottom"/>
          </w:tcPr>
          <w:p>
            <w:pPr>
              <w:spacing w:after="0"/>
              <w:rPr>
                <w:sz w:val="1"/>
                <w:szCs w:val="1"/>
                <w:color w:val="auto"/>
              </w:rPr>
            </w:pPr>
          </w:p>
        </w:tc>
      </w:tr>
      <w:tr>
        <w:trPr>
          <w:trHeight w:val="226"/>
        </w:trPr>
        <w:tc>
          <w:tcPr>
            <w:tcW w:w="780" w:type="dxa"/>
            <w:vAlign w:val="bottom"/>
            <w:vMerge w:val="continue"/>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2100" w:type="dxa"/>
            <w:vAlign w:val="bottom"/>
            <w:vMerge w:val="continue"/>
          </w:tcPr>
          <w:p>
            <w:pPr>
              <w:spacing w:after="0"/>
              <w:rPr>
                <w:sz w:val="19"/>
                <w:szCs w:val="19"/>
                <w:color w:val="auto"/>
              </w:rPr>
            </w:pPr>
          </w:p>
        </w:tc>
        <w:tc>
          <w:tcPr>
            <w:tcW w:w="8040" w:type="dxa"/>
            <w:vAlign w:val="bottom"/>
          </w:tcPr>
          <w:p>
            <w:pPr>
              <w:ind w:left="1140"/>
              <w:spacing w:after="0" w:line="221" w:lineRule="exact"/>
              <w:rPr>
                <w:sz w:val="20"/>
                <w:szCs w:val="20"/>
                <w:color w:val="auto"/>
              </w:rPr>
            </w:pPr>
            <w:r>
              <w:rPr>
                <w:rFonts w:ascii="Arial" w:cs="Arial" w:eastAsia="Arial" w:hAnsi="Arial"/>
                <w:sz w:val="21"/>
                <w:szCs w:val="21"/>
                <w:color w:val="auto"/>
              </w:rPr>
              <w:t>Russell K. Wright</w:t>
            </w:r>
          </w:p>
        </w:tc>
        <w:tc>
          <w:tcPr>
            <w:tcW w:w="0" w:type="dxa"/>
            <w:vAlign w:val="bottom"/>
          </w:tcPr>
          <w:p>
            <w:pPr>
              <w:spacing w:after="0"/>
              <w:rPr>
                <w:sz w:val="1"/>
                <w:szCs w:val="1"/>
                <w:color w:val="auto"/>
              </w:rPr>
            </w:pPr>
          </w:p>
        </w:tc>
      </w:tr>
      <w:tr>
        <w:trPr>
          <w:trHeight w:val="185"/>
        </w:trPr>
        <w:tc>
          <w:tcPr>
            <w:tcW w:w="3100" w:type="dxa"/>
            <w:vAlign w:val="bottom"/>
            <w:gridSpan w:val="3"/>
          </w:tcPr>
          <w:p>
            <w:pPr>
              <w:ind w:left="580"/>
              <w:spacing w:after="0" w:line="185" w:lineRule="exact"/>
              <w:rPr>
                <w:sz w:val="20"/>
                <w:szCs w:val="20"/>
                <w:color w:val="auto"/>
              </w:rPr>
            </w:pPr>
            <w:r>
              <w:rPr>
                <w:rFonts w:ascii="Arial" w:cs="Arial" w:eastAsia="Arial" w:hAnsi="Arial"/>
                <w:sz w:val="21"/>
                <w:szCs w:val="21"/>
                <w:color w:val="auto"/>
              </w:rPr>
              <w:t>Vincent A. Mercaldi</w:t>
            </w:r>
          </w:p>
        </w:tc>
        <w:tc>
          <w:tcPr>
            <w:tcW w:w="8040" w:type="dxa"/>
            <w:vAlign w:val="bottom"/>
          </w:tcPr>
          <w:p>
            <w:pPr>
              <w:ind w:left="1140"/>
              <w:spacing w:after="0" w:line="185" w:lineRule="exact"/>
              <w:rPr>
                <w:sz w:val="20"/>
                <w:szCs w:val="20"/>
                <w:color w:val="auto"/>
              </w:rPr>
            </w:pPr>
            <w:r>
              <w:rPr>
                <w:rFonts w:ascii="Arial" w:cs="Arial" w:eastAsia="Arial" w:hAnsi="Arial"/>
                <w:sz w:val="21"/>
                <w:szCs w:val="21"/>
                <w:color w:val="auto"/>
                <w:w w:val="98"/>
              </w:rPr>
              <w:t>Vice President, Financial Planning and Analysis &amp; Interim Chief Accounting</w:t>
            </w:r>
          </w:p>
        </w:tc>
        <w:tc>
          <w:tcPr>
            <w:tcW w:w="0" w:type="dxa"/>
            <w:vAlign w:val="bottom"/>
          </w:tcPr>
          <w:p>
            <w:pPr>
              <w:spacing w:after="0"/>
              <w:rPr>
                <w:sz w:val="1"/>
                <w:szCs w:val="1"/>
                <w:color w:val="auto"/>
              </w:rPr>
            </w:pPr>
          </w:p>
        </w:tc>
      </w:tr>
      <w:tr>
        <w:trPr>
          <w:trHeight w:val="272"/>
        </w:trPr>
        <w:tc>
          <w:tcPr>
            <w:tcW w:w="3100" w:type="dxa"/>
            <w:vAlign w:val="bottom"/>
            <w:gridSpan w:val="3"/>
          </w:tcPr>
          <w:p>
            <w:pPr>
              <w:ind w:left="580"/>
              <w:spacing w:after="0"/>
              <w:rPr>
                <w:sz w:val="20"/>
                <w:szCs w:val="20"/>
                <w:color w:val="auto"/>
              </w:rPr>
            </w:pPr>
            <w:r>
              <w:rPr>
                <w:rFonts w:ascii="Arial" w:cs="Arial" w:eastAsia="Arial" w:hAnsi="Arial"/>
                <w:sz w:val="21"/>
                <w:szCs w:val="21"/>
                <w:color w:val="auto"/>
              </w:rPr>
              <w:t>Secretary</w:t>
            </w:r>
          </w:p>
        </w:tc>
        <w:tc>
          <w:tcPr>
            <w:tcW w:w="8040" w:type="dxa"/>
            <w:vAlign w:val="bottom"/>
          </w:tcPr>
          <w:p>
            <w:pPr>
              <w:ind w:left="1140"/>
              <w:spacing w:after="0"/>
              <w:rPr>
                <w:sz w:val="20"/>
                <w:szCs w:val="20"/>
                <w:color w:val="auto"/>
              </w:rPr>
            </w:pPr>
            <w:r>
              <w:rPr>
                <w:rFonts w:ascii="Arial" w:cs="Arial" w:eastAsia="Arial" w:hAnsi="Arial"/>
                <w:sz w:val="21"/>
                <w:szCs w:val="21"/>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1"/>
          <w:szCs w:val="21"/>
          <w:color w:val="auto"/>
        </w:rPr>
        <w:t>(SEAL)</w:t>
      </w:r>
    </w:p>
    <w:p>
      <w:pPr>
        <w:spacing w:after="0" w:line="178" w:lineRule="exact"/>
        <w:rPr>
          <w:sz w:val="20"/>
          <w:szCs w:val="20"/>
          <w:color w:val="auto"/>
        </w:rPr>
      </w:pPr>
    </w:p>
    <w:p>
      <w:pPr>
        <w:ind w:left="3720"/>
        <w:spacing w:after="0"/>
        <w:rPr>
          <w:sz w:val="20"/>
          <w:szCs w:val="20"/>
          <w:color w:val="auto"/>
        </w:rPr>
      </w:pPr>
      <w:r>
        <w:rPr>
          <w:rFonts w:ascii="Arial" w:cs="Arial" w:eastAsia="Arial" w:hAnsi="Arial"/>
          <w:sz w:val="21"/>
          <w:szCs w:val="21"/>
          <w:b w:val="1"/>
          <w:bCs w:val="1"/>
          <w:color w:val="auto"/>
        </w:rPr>
        <w:t>CERTIFICATE OF AUTHENTICATION</w:t>
      </w:r>
    </w:p>
    <w:p>
      <w:pPr>
        <w:spacing w:after="0" w:line="190" w:lineRule="exact"/>
        <w:rPr>
          <w:sz w:val="20"/>
          <w:szCs w:val="20"/>
          <w:color w:val="auto"/>
        </w:rPr>
      </w:pPr>
    </w:p>
    <w:p>
      <w:pPr>
        <w:spacing w:after="0"/>
        <w:rPr>
          <w:sz w:val="20"/>
          <w:szCs w:val="20"/>
          <w:color w:val="auto"/>
        </w:rPr>
      </w:pPr>
      <w:r>
        <w:rPr>
          <w:rFonts w:ascii="Arial" w:cs="Arial" w:eastAsia="Arial" w:hAnsi="Arial"/>
          <w:sz w:val="21"/>
          <w:szCs w:val="21"/>
          <w:color w:val="auto"/>
        </w:rPr>
        <w:t>This is one of the Securities of the series designated therein referred to in the within-mentioned Indenture.</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color w:val="auto"/>
        </w:rPr>
        <w:t>Date of Authentication: September 18, 2023</w:t>
      </w:r>
    </w:p>
    <w:p>
      <w:pPr>
        <w:spacing w:after="0" w:line="173" w:lineRule="exact"/>
        <w:rPr>
          <w:sz w:val="20"/>
          <w:szCs w:val="20"/>
          <w:color w:val="auto"/>
        </w:rPr>
      </w:pPr>
    </w:p>
    <w:p>
      <w:pPr>
        <w:jc w:val="right"/>
        <w:ind w:right="1180"/>
        <w:spacing w:after="0"/>
        <w:rPr>
          <w:sz w:val="20"/>
          <w:szCs w:val="20"/>
          <w:color w:val="auto"/>
        </w:rPr>
      </w:pPr>
      <w:r>
        <w:rPr>
          <w:rFonts w:ascii="Arial" w:cs="Arial" w:eastAsia="Arial" w:hAnsi="Arial"/>
          <w:sz w:val="21"/>
          <w:szCs w:val="21"/>
          <w:b w:val="1"/>
          <w:bCs w:val="1"/>
          <w:color w:val="auto"/>
        </w:rPr>
        <w:t>THE BANK OF NEW YORK MELLON TRUST COMPANY, NATIONAL</w:t>
      </w:r>
    </w:p>
    <w:p>
      <w:pPr>
        <w:ind w:left="3200"/>
        <w:spacing w:after="0"/>
        <w:rPr>
          <w:sz w:val="20"/>
          <w:szCs w:val="20"/>
          <w:color w:val="auto"/>
        </w:rPr>
      </w:pPr>
      <w:r>
        <w:rPr>
          <w:rFonts w:ascii="Arial" w:cs="Arial" w:eastAsia="Arial" w:hAnsi="Arial"/>
          <w:sz w:val="21"/>
          <w:szCs w:val="21"/>
          <w:b w:val="1"/>
          <w:bCs w:val="1"/>
          <w:color w:val="auto"/>
        </w:rPr>
        <w:t>ASSOCIATION</w:t>
      </w:r>
      <w:r>
        <w:rPr>
          <w:rFonts w:ascii="Arial" w:cs="Arial" w:eastAsia="Arial" w:hAnsi="Arial"/>
          <w:sz w:val="21"/>
          <w:szCs w:val="21"/>
          <w:color w:val="auto"/>
        </w:rPr>
        <w:t>, as Trustee</w:t>
      </w:r>
    </w:p>
    <w:p>
      <w:pPr>
        <w:spacing w:after="0" w:line="200" w:lineRule="exact"/>
        <w:rPr>
          <w:sz w:val="20"/>
          <w:szCs w:val="20"/>
          <w:color w:val="auto"/>
        </w:rPr>
      </w:pPr>
    </w:p>
    <w:p>
      <w:pPr>
        <w:spacing w:after="0" w:line="285" w:lineRule="exact"/>
        <w:rPr>
          <w:sz w:val="20"/>
          <w:szCs w:val="20"/>
          <w:color w:val="auto"/>
        </w:rPr>
      </w:pPr>
    </w:p>
    <w:p>
      <w:pPr>
        <w:ind w:left="3200"/>
        <w:spacing w:after="0"/>
        <w:rPr>
          <w:sz w:val="20"/>
          <w:szCs w:val="20"/>
          <w:color w:val="auto"/>
        </w:rPr>
      </w:pPr>
      <w:r>
        <w:rPr>
          <w:rFonts w:ascii="Arial" w:cs="Arial" w:eastAsia="Arial" w:hAnsi="Arial"/>
          <w:sz w:val="21"/>
          <w:szCs w:val="21"/>
          <w:color w:val="auto"/>
        </w:rPr>
        <w:t>By: ____________________________________________</w:t>
      </w:r>
    </w:p>
    <w:p>
      <w:pPr>
        <w:sectPr>
          <w:pgSz w:w="11900" w:h="16838" w:orient="portrait"/>
          <w:cols w:equalWidth="0" w:num="1">
            <w:col w:w="11220"/>
          </w:cols>
          <w:pgMar w:left="320" w:top="1440" w:right="359" w:bottom="1440" w:gutter="0" w:footer="0" w:header="0"/>
        </w:sectPr>
      </w:pPr>
    </w:p>
    <w:bookmarkStart w:id="130" w:name="page131"/>
    <w:bookmarkEnd w:id="130"/>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SCHEDULE A</w:t>
      </w:r>
    </w:p>
    <w:p>
      <w:pPr>
        <w:spacing w:after="0" w:line="184" w:lineRule="exact"/>
        <w:rPr>
          <w:sz w:val="20"/>
          <w:szCs w:val="20"/>
          <w:color w:val="auto"/>
        </w:rPr>
      </w:pPr>
    </w:p>
    <w:p>
      <w:pPr>
        <w:jc w:val="both"/>
        <w:ind w:firstLine="638"/>
        <w:spacing w:after="0" w:line="230" w:lineRule="auto"/>
        <w:rPr>
          <w:sz w:val="20"/>
          <w:szCs w:val="20"/>
          <w:color w:val="auto"/>
        </w:rPr>
      </w:pPr>
      <w:r>
        <w:rPr>
          <w:rFonts w:ascii="Arial" w:cs="Arial" w:eastAsia="Arial" w:hAnsi="Arial"/>
          <w:sz w:val="21"/>
          <w:szCs w:val="21"/>
          <w:color w:val="auto"/>
        </w:rPr>
        <w:t>The initial aggregate principal amount of Securities evidenced by the Certificate to which this Schedule is attached is $500,000,000. The notations on the following table evidence decreases and increases in the aggregate principal amount of Securities evidenced by such Certificate.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8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86"/>
              </w:rPr>
              <w:t>Decrease in Aggregate</w:t>
            </w:r>
          </w:p>
        </w:tc>
        <w:tc>
          <w:tcPr>
            <w:tcW w:w="246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Increase in Aggregate</w:t>
            </w:r>
          </w:p>
        </w:tc>
        <w:tc>
          <w:tcPr>
            <w:tcW w:w="27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Aggregate Principal Amount of</w:t>
            </w: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92"/>
              </w:rPr>
              <w:t>Notation by</w:t>
            </w:r>
          </w:p>
        </w:tc>
        <w:tc>
          <w:tcPr>
            <w:tcW w:w="0" w:type="dxa"/>
            <w:vAlign w:val="bottom"/>
          </w:tcPr>
          <w:p>
            <w:pPr>
              <w:spacing w:after="0"/>
              <w:rPr>
                <w:sz w:val="1"/>
                <w:szCs w:val="1"/>
                <w:color w:val="auto"/>
              </w:rPr>
            </w:pPr>
          </w:p>
        </w:tc>
      </w:tr>
      <w:tr>
        <w:trPr>
          <w:trHeight w:val="173"/>
        </w:trPr>
        <w:tc>
          <w:tcPr>
            <w:tcW w:w="1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80" w:type="dxa"/>
            <w:vAlign w:val="bottom"/>
            <w:gridSpan w:val="2"/>
            <w:vMerge w:val="continue"/>
          </w:tcPr>
          <w:p>
            <w:pPr>
              <w:spacing w:after="0"/>
              <w:rPr>
                <w:sz w:val="15"/>
                <w:szCs w:val="15"/>
                <w:color w:val="auto"/>
              </w:rPr>
            </w:pPr>
          </w:p>
        </w:tc>
        <w:tc>
          <w:tcPr>
            <w:tcW w:w="2460" w:type="dxa"/>
            <w:vAlign w:val="bottom"/>
            <w:gridSpan w:val="2"/>
          </w:tcPr>
          <w:p>
            <w:pPr>
              <w:jc w:val="center"/>
              <w:ind w:right="360"/>
              <w:spacing w:after="0" w:line="173" w:lineRule="exact"/>
              <w:rPr>
                <w:sz w:val="20"/>
                <w:szCs w:val="20"/>
                <w:color w:val="auto"/>
              </w:rPr>
            </w:pPr>
            <w:r>
              <w:rPr>
                <w:rFonts w:ascii="Arial" w:cs="Arial" w:eastAsia="Arial" w:hAnsi="Arial"/>
                <w:sz w:val="18"/>
                <w:szCs w:val="18"/>
                <w:color w:val="auto"/>
                <w:w w:val="93"/>
              </w:rPr>
              <w:t>Principal Amount of</w:t>
            </w:r>
          </w:p>
        </w:tc>
        <w:tc>
          <w:tcPr>
            <w:tcW w:w="2740" w:type="dxa"/>
            <w:vAlign w:val="bottom"/>
            <w:gridSpan w:val="2"/>
          </w:tcPr>
          <w:p>
            <w:pPr>
              <w:jc w:val="center"/>
              <w:ind w:right="320"/>
              <w:spacing w:after="0" w:line="173" w:lineRule="exact"/>
              <w:rPr>
                <w:sz w:val="20"/>
                <w:szCs w:val="20"/>
                <w:color w:val="auto"/>
              </w:rPr>
            </w:pPr>
            <w:r>
              <w:rPr>
                <w:rFonts w:ascii="Arial" w:cs="Arial" w:eastAsia="Arial" w:hAnsi="Arial"/>
                <w:sz w:val="18"/>
                <w:szCs w:val="18"/>
                <w:color w:val="auto"/>
                <w:w w:val="90"/>
              </w:rPr>
              <w:t>Securities Remaining After Such</w:t>
            </w: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6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7"/>
              </w:rPr>
              <w:t>Date of Adjustment</w:t>
            </w:r>
          </w:p>
        </w:tc>
        <w:tc>
          <w:tcPr>
            <w:tcW w:w="3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Principal Amount of Securities</w:t>
            </w:r>
          </w:p>
        </w:tc>
        <w:tc>
          <w:tcPr>
            <w:tcW w:w="340" w:type="dxa"/>
            <w:vAlign w:val="bottom"/>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Securities</w:t>
            </w:r>
          </w:p>
        </w:tc>
        <w:tc>
          <w:tcPr>
            <w:tcW w:w="360" w:type="dxa"/>
            <w:vAlign w:val="bottom"/>
          </w:tcPr>
          <w:p>
            <w:pPr>
              <w:spacing w:after="0"/>
              <w:rPr>
                <w:sz w:val="20"/>
                <w:szCs w:val="20"/>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Decrease or Increase</w:t>
            </w:r>
          </w:p>
        </w:tc>
        <w:tc>
          <w:tcPr>
            <w:tcW w:w="3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Security Registrar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CENTERPOINT ENERGY 2005 DEFERRED COMPENSATION PLAN</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Amended and Restated Effective January 1, 2009)</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Third Amendment</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CenterPoint Energy, Inc., a Texas corporation (the “Company”), maintains the CenterPoint Energy 2005 Deferred</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Compensation Plan, as amended and restated effective January 1, 2009 (the “Plan”);</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Company desires to amend the Plan in certain respects;</w:t>
      </w:r>
    </w:p>
    <w:p>
      <w:pPr>
        <w:spacing w:after="0" w:line="23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the Company, having reserved the right under Section 7.1 thereof to amend the Plan, does hereby amend</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color w:val="auto"/>
        </w:rPr>
        <w:t>the Plan, effective as of October 1, 2023, as follows:</w:t>
      </w:r>
    </w:p>
    <w:p>
      <w:pPr>
        <w:spacing w:after="0" w:line="102" w:lineRule="exact"/>
        <w:rPr>
          <w:sz w:val="20"/>
          <w:szCs w:val="20"/>
          <w:color w:val="auto"/>
        </w:rPr>
      </w:pPr>
    </w:p>
    <w:p>
      <w:pPr>
        <w:ind w:left="1280" w:hanging="635"/>
        <w:spacing w:after="0"/>
        <w:tabs>
          <w:tab w:leader="none" w:pos="1280" w:val="left"/>
        </w:tabs>
        <w:numPr>
          <w:ilvl w:val="0"/>
          <w:numId w:val="82"/>
        </w:numPr>
        <w:rPr>
          <w:rFonts w:ascii="Arial" w:cs="Arial" w:eastAsia="Arial" w:hAnsi="Arial"/>
          <w:sz w:val="20"/>
          <w:szCs w:val="20"/>
          <w:color w:val="auto"/>
        </w:rPr>
      </w:pPr>
      <w:r>
        <w:rPr>
          <w:rFonts w:ascii="Arial" w:cs="Arial" w:eastAsia="Arial" w:hAnsi="Arial"/>
          <w:sz w:val="20"/>
          <w:szCs w:val="20"/>
          <w:color w:val="auto"/>
        </w:rPr>
        <w:t>A new Section 7.8 shall be added to the Plan to read as follows:</w:t>
      </w:r>
    </w:p>
    <w:p>
      <w:pPr>
        <w:spacing w:after="0" w:line="222" w:lineRule="exact"/>
        <w:rPr>
          <w:sz w:val="20"/>
          <w:szCs w:val="20"/>
          <w:color w:val="auto"/>
        </w:rPr>
      </w:pPr>
    </w:p>
    <w:p>
      <w:pPr>
        <w:jc w:val="both"/>
        <w:ind w:left="640" w:right="640" w:firstLine="638"/>
        <w:spacing w:after="0" w:line="261"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Clawback or Recoupment</w:t>
      </w:r>
      <w:r>
        <w:rPr>
          <w:rFonts w:ascii="Arial" w:cs="Arial" w:eastAsia="Arial" w:hAnsi="Arial"/>
          <w:sz w:val="18"/>
          <w:szCs w:val="18"/>
          <w:color w:val="auto"/>
        </w:rPr>
        <w:t>. Notwithstanding any other provision in this Plan, Compensation deferred under the Plan, including any interest credited thereon, shall be subject to clawback, recovery or recoupment by the Company under any clawback or recoupment policy adopted by the Company, whether before or after distribution under the Plan.”</w:t>
      </w:r>
    </w:p>
    <w:p>
      <w:pPr>
        <w:spacing w:after="0" w:line="200" w:lineRule="exact"/>
        <w:rPr>
          <w:sz w:val="20"/>
          <w:szCs w:val="20"/>
          <w:color w:val="auto"/>
        </w:rPr>
      </w:pPr>
    </w:p>
    <w:p>
      <w:pPr>
        <w:spacing w:after="0" w:line="317"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CenterPoint Energy, Inc. has executed these presents as evidenced by the signature of its officer</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affixed hereto, this 28th day of September, 2023, but effective as set forth above.</w:t>
      </w:r>
    </w:p>
    <w:p>
      <w:pPr>
        <w:spacing w:after="0" w:line="378" w:lineRule="exact"/>
        <w:rPr>
          <w:sz w:val="20"/>
          <w:szCs w:val="20"/>
          <w:color w:val="auto"/>
        </w:rPr>
      </w:pPr>
    </w:p>
    <w:p>
      <w:pPr>
        <w:ind w:left="5400"/>
        <w:spacing w:after="0"/>
        <w:rPr>
          <w:sz w:val="20"/>
          <w:szCs w:val="20"/>
          <w:color w:val="auto"/>
        </w:rPr>
      </w:pPr>
      <w:r>
        <w:rPr>
          <w:rFonts w:ascii="Arial" w:cs="Arial" w:eastAsia="Arial" w:hAnsi="Arial"/>
          <w:sz w:val="20"/>
          <w:szCs w:val="20"/>
          <w:b w:val="1"/>
          <w:bCs w:val="1"/>
          <w:color w:val="auto"/>
        </w:rPr>
        <w:t>CENTERPOINT ENERGY, INC.</w:t>
      </w:r>
    </w:p>
    <w:p>
      <w:pPr>
        <w:spacing w:after="0" w:line="200" w:lineRule="exact"/>
        <w:rPr>
          <w:sz w:val="20"/>
          <w:szCs w:val="20"/>
          <w:color w:val="auto"/>
        </w:rPr>
      </w:pPr>
    </w:p>
    <w:p>
      <w:pPr>
        <w:spacing w:after="0" w:line="305"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By: /s/ David J. Lesar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3642360</wp:posOffset>
            </wp:positionH>
            <wp:positionV relativeFrom="paragraph">
              <wp:posOffset>-10160</wp:posOffset>
            </wp:positionV>
            <wp:extent cx="10350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4">
                      <a:extLst>
                        <a:ext uri="{28A0092B-C50C-407E-A947-70E740481C1C}"/>
                      </a:extLst>
                    </a:blip>
                    <a:srcRect/>
                    <a:stretch>
                      <a:fillRect/>
                    </a:stretch>
                  </pic:blipFill>
                  <pic:spPr bwMode="auto">
                    <a:xfrm>
                      <a:off x="0" y="0"/>
                      <a:ext cx="1035050" cy="8255"/>
                    </a:xfrm>
                    <a:prstGeom prst="rect">
                      <a:avLst/>
                    </a:prstGeom>
                    <a:noFill/>
                  </pic:spPr>
                </pic:pic>
              </a:graphicData>
            </a:graphic>
          </wp:anchor>
        </w:drawing>
      </w:r>
    </w:p>
    <w:p>
      <w:pPr>
        <w:ind w:left="5700"/>
        <w:spacing w:after="0" w:line="208" w:lineRule="auto"/>
        <w:rPr>
          <w:sz w:val="20"/>
          <w:szCs w:val="20"/>
          <w:color w:val="auto"/>
        </w:rPr>
      </w:pPr>
      <w:r>
        <w:rPr>
          <w:rFonts w:ascii="Arial" w:cs="Arial" w:eastAsia="Arial" w:hAnsi="Arial"/>
          <w:sz w:val="20"/>
          <w:szCs w:val="20"/>
          <w:color w:val="auto"/>
        </w:rPr>
        <w:t>David J. Lesar</w:t>
      </w:r>
    </w:p>
    <w:p>
      <w:pPr>
        <w:spacing w:after="0" w:line="1"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Chief Executive Officer</w:t>
      </w: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color w:val="auto"/>
        </w:rPr>
        <w:t>ATTEST:</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color w:val="auto"/>
        </w:rPr>
        <w:t>/s/ Vincent A. Mercaldi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13436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5">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spacing w:after="0" w:line="222" w:lineRule="auto"/>
        <w:rPr>
          <w:sz w:val="20"/>
          <w:szCs w:val="20"/>
          <w:color w:val="auto"/>
        </w:rPr>
      </w:pPr>
      <w:r>
        <w:rPr>
          <w:rFonts w:ascii="Arial" w:cs="Arial" w:eastAsia="Arial" w:hAnsi="Arial"/>
          <w:sz w:val="20"/>
          <w:szCs w:val="20"/>
          <w:color w:val="auto"/>
        </w:rPr>
        <w:t>Vincent A. Mercaldi</w:t>
      </w:r>
    </w:p>
    <w:p>
      <w:pPr>
        <w:spacing w:after="0"/>
        <w:rPr>
          <w:sz w:val="20"/>
          <w:szCs w:val="20"/>
          <w:color w:val="auto"/>
        </w:rPr>
      </w:pPr>
      <w:r>
        <w:rPr>
          <w:rFonts w:ascii="Arial" w:cs="Arial" w:eastAsia="Arial" w:hAnsi="Arial"/>
          <w:sz w:val="20"/>
          <w:szCs w:val="20"/>
          <w:color w:val="auto"/>
        </w:rPr>
        <w:t>Assistant Corporate Secretary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40"/>
          </w:cols>
          <w:pgMar w:left="320" w:top="111"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6"/>
          <w:szCs w:val="16"/>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CENTERPOINT ENERGY BENEFIT RESTORATION PLAN</w:t>
      </w:r>
    </w:p>
    <w:p>
      <w:pPr>
        <w:jc w:val="center"/>
        <w:spacing w:after="0"/>
        <w:rPr>
          <w:sz w:val="20"/>
          <w:szCs w:val="20"/>
          <w:color w:val="auto"/>
        </w:rPr>
      </w:pPr>
      <w:r>
        <w:rPr>
          <w:rFonts w:ascii="Arial" w:cs="Arial" w:eastAsia="Arial" w:hAnsi="Arial"/>
          <w:sz w:val="21"/>
          <w:szCs w:val="21"/>
          <w:color w:val="auto"/>
        </w:rPr>
        <w:t>(Effective as of January 1, 2008)</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Third Amendment</w:t>
      </w:r>
    </w:p>
    <w:p>
      <w:pPr>
        <w:spacing w:after="0" w:line="33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WHEREAS, CenterPoint Energy, Inc. (the “Company”) maintains the CenterPoint Energy Benefit Restoration Plan,</w:t>
      </w:r>
    </w:p>
    <w:p>
      <w:pPr>
        <w:spacing w:after="0" w:line="262" w:lineRule="exact"/>
        <w:rPr>
          <w:sz w:val="20"/>
          <w:szCs w:val="20"/>
          <w:color w:val="auto"/>
        </w:rPr>
      </w:pPr>
    </w:p>
    <w:p>
      <w:pPr>
        <w:jc w:val="center"/>
        <w:ind w:right="3520"/>
        <w:spacing w:after="0"/>
        <w:rPr>
          <w:sz w:val="20"/>
          <w:szCs w:val="20"/>
          <w:color w:val="auto"/>
        </w:rPr>
      </w:pPr>
      <w:r>
        <w:rPr>
          <w:rFonts w:ascii="Arial" w:cs="Arial" w:eastAsia="Arial" w:hAnsi="Arial"/>
          <w:sz w:val="20"/>
          <w:szCs w:val="20"/>
          <w:color w:val="auto"/>
        </w:rPr>
        <w:t>effective as of January 1, 2008 (the “Plan”) for the benefit of its eligible employees; and</w:t>
      </w:r>
    </w:p>
    <w:p>
      <w:pPr>
        <w:spacing w:after="0" w:line="262" w:lineRule="exact"/>
        <w:rPr>
          <w:sz w:val="20"/>
          <w:szCs w:val="20"/>
          <w:color w:val="auto"/>
        </w:rPr>
      </w:pPr>
    </w:p>
    <w:p>
      <w:pPr>
        <w:ind w:left="760"/>
        <w:spacing w:after="0"/>
        <w:rPr>
          <w:sz w:val="20"/>
          <w:szCs w:val="20"/>
          <w:color w:val="auto"/>
        </w:rPr>
      </w:pPr>
      <w:r>
        <w:rPr>
          <w:rFonts w:ascii="Arial" w:cs="Arial" w:eastAsia="Arial" w:hAnsi="Arial"/>
          <w:sz w:val="21"/>
          <w:szCs w:val="21"/>
          <w:color w:val="auto"/>
        </w:rPr>
        <w:t>WHEREAS, the Company desires to amend the Plan in certain respects;</w:t>
      </w:r>
    </w:p>
    <w:p>
      <w:pPr>
        <w:spacing w:after="0" w:line="264" w:lineRule="exact"/>
        <w:rPr>
          <w:sz w:val="20"/>
          <w:szCs w:val="20"/>
          <w:color w:val="auto"/>
        </w:rPr>
      </w:pPr>
    </w:p>
    <w:p>
      <w:pPr>
        <w:ind w:left="760"/>
        <w:spacing w:after="0"/>
        <w:rPr>
          <w:sz w:val="20"/>
          <w:szCs w:val="20"/>
          <w:color w:val="auto"/>
        </w:rPr>
      </w:pPr>
      <w:r>
        <w:rPr>
          <w:rFonts w:ascii="Arial" w:cs="Arial" w:eastAsia="Arial" w:hAnsi="Arial"/>
          <w:sz w:val="19"/>
          <w:szCs w:val="19"/>
          <w:color w:val="auto"/>
        </w:rPr>
        <w:t>NOW, THEREFORE, the Company, having reserved the right under Section 18 thereof to amend the Plan, does hereby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21"/>
          <w:szCs w:val="21"/>
          <w:color w:val="auto"/>
        </w:rPr>
        <w:t>amend the Plan, effective as of October 1, 2023, as follows:</w:t>
      </w:r>
    </w:p>
    <w:p>
      <w:pPr>
        <w:spacing w:after="0" w:line="250" w:lineRule="exact"/>
        <w:rPr>
          <w:sz w:val="20"/>
          <w:szCs w:val="20"/>
          <w:color w:val="auto"/>
        </w:rPr>
      </w:pPr>
    </w:p>
    <w:p>
      <w:pPr>
        <w:ind w:left="1280" w:hanging="635"/>
        <w:spacing w:after="0"/>
        <w:tabs>
          <w:tab w:leader="none" w:pos="1280" w:val="left"/>
        </w:tabs>
        <w:numPr>
          <w:ilvl w:val="0"/>
          <w:numId w:val="83"/>
        </w:numPr>
        <w:rPr>
          <w:rFonts w:ascii="Arial" w:cs="Arial" w:eastAsia="Arial" w:hAnsi="Arial"/>
          <w:sz w:val="21"/>
          <w:szCs w:val="21"/>
          <w:color w:val="auto"/>
        </w:rPr>
      </w:pPr>
      <w:r>
        <w:rPr>
          <w:rFonts w:ascii="Arial" w:cs="Arial" w:eastAsia="Arial" w:hAnsi="Arial"/>
          <w:sz w:val="21"/>
          <w:szCs w:val="21"/>
          <w:color w:val="auto"/>
        </w:rPr>
        <w:t>A new Section 22 shall be added to the Plan to read as follows:</w:t>
      </w:r>
    </w:p>
    <w:p>
      <w:pPr>
        <w:spacing w:after="0" w:line="131" w:lineRule="exact"/>
        <w:rPr>
          <w:sz w:val="20"/>
          <w:szCs w:val="20"/>
          <w:color w:val="auto"/>
        </w:rPr>
      </w:pPr>
    </w:p>
    <w:p>
      <w:pPr>
        <w:jc w:val="both"/>
        <w:ind w:left="640" w:right="640" w:firstLine="636"/>
        <w:spacing w:after="0" w:line="266" w:lineRule="auto"/>
        <w:rPr>
          <w:sz w:val="20"/>
          <w:szCs w:val="20"/>
          <w:color w:val="auto"/>
        </w:rPr>
      </w:pPr>
      <w:r>
        <w:rPr>
          <w:rFonts w:ascii="Arial" w:cs="Arial" w:eastAsia="Arial" w:hAnsi="Arial"/>
          <w:sz w:val="21"/>
          <w:szCs w:val="21"/>
          <w:color w:val="auto"/>
        </w:rPr>
        <w:t xml:space="preserve">“22. </w:t>
      </w:r>
      <w:r>
        <w:rPr>
          <w:rFonts w:ascii="Arial" w:cs="Arial" w:eastAsia="Arial" w:hAnsi="Arial"/>
          <w:sz w:val="21"/>
          <w:szCs w:val="21"/>
          <w:u w:val="single" w:color="auto"/>
          <w:color w:val="auto"/>
        </w:rPr>
        <w:t>Clawback or Recoupment</w:t>
      </w:r>
      <w:r>
        <w:rPr>
          <w:rFonts w:ascii="Arial" w:cs="Arial" w:eastAsia="Arial" w:hAnsi="Arial"/>
          <w:sz w:val="21"/>
          <w:szCs w:val="21"/>
          <w:color w:val="auto"/>
        </w:rPr>
        <w:t>. Notwithstanding any other provision in this Plan, a Participant’s Plan Benefit shall be subject to clawback, recovery or recoupment by the Company under any clawback or recoupment policy adopted by the Company, whether before or after payment of the Plan Benefit.”</w:t>
      </w:r>
    </w:p>
    <w:p>
      <w:pPr>
        <w:spacing w:after="0" w:line="36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IN WITNESS WHEREOF, CenterPoint Energy, Inc. has executed these presents as evidenced by the signature of its officer</w:t>
      </w:r>
    </w:p>
    <w:p>
      <w:pPr>
        <w:spacing w:after="0" w:line="273" w:lineRule="exact"/>
        <w:rPr>
          <w:sz w:val="20"/>
          <w:szCs w:val="20"/>
          <w:color w:val="auto"/>
        </w:rPr>
      </w:pPr>
    </w:p>
    <w:p>
      <w:pPr>
        <w:spacing w:after="0"/>
        <w:rPr>
          <w:sz w:val="20"/>
          <w:szCs w:val="20"/>
          <w:color w:val="auto"/>
        </w:rPr>
      </w:pPr>
      <w:r>
        <w:rPr>
          <w:rFonts w:ascii="Arial" w:cs="Arial" w:eastAsia="Arial" w:hAnsi="Arial"/>
          <w:sz w:val="19"/>
          <w:szCs w:val="19"/>
          <w:color w:val="auto"/>
        </w:rPr>
        <w:t>affixed hereto, which may be sufficiently evidenced by any executed copy hereof, this 28th day of September, 2023, but effective</w:t>
      </w:r>
    </w:p>
    <w:p>
      <w:pPr>
        <w:spacing w:after="0" w:line="273" w:lineRule="exact"/>
        <w:rPr>
          <w:sz w:val="20"/>
          <w:szCs w:val="20"/>
          <w:color w:val="auto"/>
        </w:rPr>
      </w:pPr>
    </w:p>
    <w:p>
      <w:pPr>
        <w:spacing w:after="0"/>
        <w:rPr>
          <w:sz w:val="20"/>
          <w:szCs w:val="20"/>
          <w:color w:val="auto"/>
        </w:rPr>
      </w:pPr>
      <w:r>
        <w:rPr>
          <w:rFonts w:ascii="Arial" w:cs="Arial" w:eastAsia="Arial" w:hAnsi="Arial"/>
          <w:sz w:val="21"/>
          <w:szCs w:val="21"/>
          <w:color w:val="auto"/>
        </w:rPr>
        <w:t>as set forth above.</w:t>
      </w:r>
    </w:p>
    <w:p>
      <w:pPr>
        <w:spacing w:after="0" w:line="98" w:lineRule="exact"/>
        <w:rPr>
          <w:sz w:val="20"/>
          <w:szCs w:val="20"/>
          <w:color w:val="auto"/>
        </w:rPr>
      </w:pPr>
    </w:p>
    <w:p>
      <w:pPr>
        <w:ind w:left="3840"/>
        <w:spacing w:after="0"/>
        <w:rPr>
          <w:sz w:val="20"/>
          <w:szCs w:val="20"/>
          <w:color w:val="auto"/>
        </w:rPr>
      </w:pPr>
      <w:r>
        <w:rPr>
          <w:rFonts w:ascii="Arial" w:cs="Arial" w:eastAsia="Arial" w:hAnsi="Arial"/>
          <w:sz w:val="21"/>
          <w:szCs w:val="21"/>
          <w:b w:val="1"/>
          <w:bCs w:val="1"/>
          <w:color w:val="auto"/>
        </w:rPr>
        <w:t>CENTERPOINT ENERGY, INC.</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840"/>
        <w:spacing w:after="0"/>
        <w:tabs>
          <w:tab w:leader="none" w:pos="43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u w:val="single" w:color="auto"/>
          <w:color w:val="auto"/>
        </w:rPr>
        <w:t>/s/ David J. Lesar</w:t>
      </w:r>
      <w:r>
        <w:rPr>
          <w:rFonts w:ascii="Arial" w:cs="Arial" w:eastAsia="Arial" w:hAnsi="Arial"/>
          <w:sz w:val="19"/>
          <w:szCs w:val="19"/>
          <w:color w:val="auto"/>
        </w:rPr>
        <w:t>________________________</w:t>
      </w:r>
    </w:p>
    <w:p>
      <w:pPr>
        <w:ind w:left="4240"/>
        <w:spacing w:after="0" w:line="211" w:lineRule="auto"/>
        <w:rPr>
          <w:sz w:val="20"/>
          <w:szCs w:val="20"/>
          <w:color w:val="auto"/>
        </w:rPr>
      </w:pPr>
      <w:r>
        <w:rPr>
          <w:rFonts w:ascii="Arial" w:cs="Arial" w:eastAsia="Arial" w:hAnsi="Arial"/>
          <w:sz w:val="21"/>
          <w:szCs w:val="21"/>
          <w:color w:val="auto"/>
        </w:rPr>
        <w:t>David J. Lesar</w:t>
      </w:r>
    </w:p>
    <w:p>
      <w:pPr>
        <w:ind w:left="4240"/>
        <w:spacing w:after="0"/>
        <w:rPr>
          <w:sz w:val="20"/>
          <w:szCs w:val="20"/>
          <w:color w:val="auto"/>
        </w:rPr>
      </w:pPr>
      <w:r>
        <w:rPr>
          <w:rFonts w:ascii="Arial" w:cs="Arial" w:eastAsia="Arial" w:hAnsi="Arial"/>
          <w:sz w:val="21"/>
          <w:szCs w:val="21"/>
          <w:color w:val="auto"/>
        </w:rPr>
        <w:t>Chief Executive Officer</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color w:val="auto"/>
        </w:rPr>
        <w:t>ATTEST:</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 Vincent A. Mercaldi</w:t>
      </w:r>
      <w:r>
        <w:rPr>
          <w:rFonts w:ascii="Arial" w:cs="Arial" w:eastAsia="Arial" w:hAnsi="Arial"/>
          <w:sz w:val="21"/>
          <w:szCs w:val="21"/>
          <w:color w:val="auto"/>
        </w:rPr>
        <w:t>___</w:t>
      </w:r>
    </w:p>
    <w:p>
      <w:pPr>
        <w:spacing w:after="0" w:line="211" w:lineRule="auto"/>
        <w:rPr>
          <w:sz w:val="20"/>
          <w:szCs w:val="20"/>
          <w:color w:val="auto"/>
        </w:rPr>
      </w:pPr>
      <w:r>
        <w:rPr>
          <w:rFonts w:ascii="Arial" w:cs="Arial" w:eastAsia="Arial" w:hAnsi="Arial"/>
          <w:sz w:val="21"/>
          <w:szCs w:val="21"/>
          <w:color w:val="auto"/>
        </w:rPr>
        <w:t>Vincent A. Mercaldi</w:t>
      </w:r>
    </w:p>
    <w:p>
      <w:pPr>
        <w:spacing w:after="0"/>
        <w:rPr>
          <w:sz w:val="20"/>
          <w:szCs w:val="20"/>
          <w:color w:val="auto"/>
        </w:rPr>
      </w:pPr>
      <w:r>
        <w:rPr>
          <w:rFonts w:ascii="Arial" w:cs="Arial" w:eastAsia="Arial" w:hAnsi="Arial"/>
          <w:sz w:val="21"/>
          <w:szCs w:val="21"/>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20"/>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40"/>
          </w:cols>
          <w:pgMar w:left="320" w:top="98"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6"/>
          <w:szCs w:val="16"/>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CENTERPOINT ENERGY SAVINGS RESTORATION PLAN</w:t>
      </w:r>
    </w:p>
    <w:p>
      <w:pPr>
        <w:jc w:val="center"/>
        <w:spacing w:after="0"/>
        <w:rPr>
          <w:sz w:val="20"/>
          <w:szCs w:val="20"/>
          <w:color w:val="auto"/>
        </w:rPr>
      </w:pPr>
      <w:r>
        <w:rPr>
          <w:rFonts w:ascii="Arial" w:cs="Arial" w:eastAsia="Arial" w:hAnsi="Arial"/>
          <w:sz w:val="21"/>
          <w:szCs w:val="21"/>
          <w:color w:val="auto"/>
        </w:rPr>
        <w:t>(Effective as of January 1, 2008)</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Fourth Amendment</w:t>
      </w:r>
    </w:p>
    <w:p>
      <w:pPr>
        <w:spacing w:after="0" w:line="33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WHEREAS, CenterPoint Energy, Inc. (the “Company”) maintains the CenterPoint Energy Savings Restoration Plan,</w:t>
      </w:r>
    </w:p>
    <w:p>
      <w:pPr>
        <w:spacing w:after="0" w:line="262" w:lineRule="exact"/>
        <w:rPr>
          <w:sz w:val="20"/>
          <w:szCs w:val="20"/>
          <w:color w:val="auto"/>
        </w:rPr>
      </w:pPr>
    </w:p>
    <w:p>
      <w:pPr>
        <w:jc w:val="center"/>
        <w:ind w:right="3520"/>
        <w:spacing w:after="0"/>
        <w:rPr>
          <w:sz w:val="20"/>
          <w:szCs w:val="20"/>
          <w:color w:val="auto"/>
        </w:rPr>
      </w:pPr>
      <w:r>
        <w:rPr>
          <w:rFonts w:ascii="Arial" w:cs="Arial" w:eastAsia="Arial" w:hAnsi="Arial"/>
          <w:sz w:val="20"/>
          <w:szCs w:val="20"/>
          <w:color w:val="auto"/>
        </w:rPr>
        <w:t>effective as of January 1, 2008 (the “Plan”) for the benefit of its eligible employees; and</w:t>
      </w:r>
    </w:p>
    <w:p>
      <w:pPr>
        <w:spacing w:after="0" w:line="262" w:lineRule="exact"/>
        <w:rPr>
          <w:sz w:val="20"/>
          <w:szCs w:val="20"/>
          <w:color w:val="auto"/>
        </w:rPr>
      </w:pPr>
    </w:p>
    <w:p>
      <w:pPr>
        <w:ind w:left="760"/>
        <w:spacing w:after="0"/>
        <w:rPr>
          <w:sz w:val="20"/>
          <w:szCs w:val="20"/>
          <w:color w:val="auto"/>
        </w:rPr>
      </w:pPr>
      <w:r>
        <w:rPr>
          <w:rFonts w:ascii="Arial" w:cs="Arial" w:eastAsia="Arial" w:hAnsi="Arial"/>
          <w:sz w:val="21"/>
          <w:szCs w:val="21"/>
          <w:color w:val="auto"/>
        </w:rPr>
        <w:t>WHEREAS, the Company desires to amend the Plan in certain respects;</w:t>
      </w:r>
    </w:p>
    <w:p>
      <w:pPr>
        <w:spacing w:after="0" w:line="264" w:lineRule="exact"/>
        <w:rPr>
          <w:sz w:val="20"/>
          <w:szCs w:val="20"/>
          <w:color w:val="auto"/>
        </w:rPr>
      </w:pPr>
    </w:p>
    <w:p>
      <w:pPr>
        <w:ind w:left="760"/>
        <w:spacing w:after="0"/>
        <w:rPr>
          <w:sz w:val="20"/>
          <w:szCs w:val="20"/>
          <w:color w:val="auto"/>
        </w:rPr>
      </w:pPr>
      <w:r>
        <w:rPr>
          <w:rFonts w:ascii="Arial" w:cs="Arial" w:eastAsia="Arial" w:hAnsi="Arial"/>
          <w:sz w:val="19"/>
          <w:szCs w:val="19"/>
          <w:color w:val="auto"/>
        </w:rPr>
        <w:t>NOW, THEREFORE, the Company, having reserved the right under Section 6.2 thereof to amend the Plan, does hereby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21"/>
          <w:szCs w:val="21"/>
          <w:color w:val="auto"/>
        </w:rPr>
        <w:t>amend the Plan, effective as of October 1, 2023, as follows:</w:t>
      </w:r>
    </w:p>
    <w:p>
      <w:pPr>
        <w:spacing w:after="0" w:line="250" w:lineRule="exact"/>
        <w:rPr>
          <w:sz w:val="20"/>
          <w:szCs w:val="20"/>
          <w:color w:val="auto"/>
        </w:rPr>
      </w:pPr>
    </w:p>
    <w:p>
      <w:pPr>
        <w:ind w:left="1280" w:hanging="635"/>
        <w:spacing w:after="0"/>
        <w:tabs>
          <w:tab w:leader="none" w:pos="1280" w:val="left"/>
        </w:tabs>
        <w:numPr>
          <w:ilvl w:val="0"/>
          <w:numId w:val="84"/>
        </w:numPr>
        <w:rPr>
          <w:rFonts w:ascii="Arial" w:cs="Arial" w:eastAsia="Arial" w:hAnsi="Arial"/>
          <w:sz w:val="21"/>
          <w:szCs w:val="21"/>
          <w:color w:val="auto"/>
        </w:rPr>
      </w:pPr>
      <w:r>
        <w:rPr>
          <w:rFonts w:ascii="Arial" w:cs="Arial" w:eastAsia="Arial" w:hAnsi="Arial"/>
          <w:sz w:val="21"/>
          <w:szCs w:val="21"/>
          <w:color w:val="auto"/>
        </w:rPr>
        <w:t>A new Section 4.10 shall be added to the Plan to read as follows:</w:t>
      </w:r>
    </w:p>
    <w:p>
      <w:pPr>
        <w:spacing w:after="0" w:line="131" w:lineRule="exact"/>
        <w:rPr>
          <w:sz w:val="20"/>
          <w:szCs w:val="20"/>
          <w:color w:val="auto"/>
        </w:rPr>
      </w:pPr>
    </w:p>
    <w:p>
      <w:pPr>
        <w:jc w:val="both"/>
        <w:ind w:left="640" w:right="640" w:firstLine="636"/>
        <w:spacing w:after="0" w:line="285" w:lineRule="auto"/>
        <w:rPr>
          <w:sz w:val="20"/>
          <w:szCs w:val="20"/>
          <w:color w:val="auto"/>
        </w:rPr>
      </w:pPr>
      <w:r>
        <w:rPr>
          <w:rFonts w:ascii="Arial" w:cs="Arial" w:eastAsia="Arial" w:hAnsi="Arial"/>
          <w:sz w:val="20"/>
          <w:szCs w:val="20"/>
          <w:color w:val="auto"/>
        </w:rPr>
        <w:t xml:space="preserve">“4.10 </w:t>
      </w:r>
      <w:r>
        <w:rPr>
          <w:rFonts w:ascii="Arial" w:cs="Arial" w:eastAsia="Arial" w:hAnsi="Arial"/>
          <w:sz w:val="20"/>
          <w:szCs w:val="20"/>
          <w:u w:val="single" w:color="auto"/>
          <w:color w:val="auto"/>
        </w:rPr>
        <w:t>Clawback or Recoupment</w:t>
      </w:r>
      <w:r>
        <w:rPr>
          <w:rFonts w:ascii="Arial" w:cs="Arial" w:eastAsia="Arial" w:hAnsi="Arial"/>
          <w:sz w:val="20"/>
          <w:szCs w:val="20"/>
          <w:color w:val="auto"/>
        </w:rPr>
        <w:t>. Notwithstanding any other provision in this Plan, a Participant’s Total Plan Benefit shall be subject to clawback, recovery or recoupment by the Company under any clawback or recoupment policy adopted by the Company, whether before or after payment of the Total Plan Benefit.”</w:t>
      </w:r>
    </w:p>
    <w:p>
      <w:pPr>
        <w:spacing w:after="0" w:line="35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IN WITNESS WHEREOF, CenterPoint Energy, Inc. has executed these presents as evidenced by the signature of its officer</w:t>
      </w:r>
    </w:p>
    <w:p>
      <w:pPr>
        <w:spacing w:after="0" w:line="273" w:lineRule="exact"/>
        <w:rPr>
          <w:sz w:val="20"/>
          <w:szCs w:val="20"/>
          <w:color w:val="auto"/>
        </w:rPr>
      </w:pPr>
    </w:p>
    <w:p>
      <w:pPr>
        <w:spacing w:after="0"/>
        <w:rPr>
          <w:sz w:val="20"/>
          <w:szCs w:val="20"/>
          <w:color w:val="auto"/>
        </w:rPr>
      </w:pPr>
      <w:r>
        <w:rPr>
          <w:rFonts w:ascii="Arial" w:cs="Arial" w:eastAsia="Arial" w:hAnsi="Arial"/>
          <w:sz w:val="19"/>
          <w:szCs w:val="19"/>
          <w:color w:val="auto"/>
        </w:rPr>
        <w:t>affixed hereto, which may be sufficiently evidenced by any executed copy hereof, this 28th day of September, 2023, but effective</w:t>
      </w:r>
    </w:p>
    <w:p>
      <w:pPr>
        <w:spacing w:after="0" w:line="273" w:lineRule="exact"/>
        <w:rPr>
          <w:sz w:val="20"/>
          <w:szCs w:val="20"/>
          <w:color w:val="auto"/>
        </w:rPr>
      </w:pPr>
    </w:p>
    <w:p>
      <w:pPr>
        <w:spacing w:after="0"/>
        <w:rPr>
          <w:sz w:val="20"/>
          <w:szCs w:val="20"/>
          <w:color w:val="auto"/>
        </w:rPr>
      </w:pPr>
      <w:r>
        <w:rPr>
          <w:rFonts w:ascii="Arial" w:cs="Arial" w:eastAsia="Arial" w:hAnsi="Arial"/>
          <w:sz w:val="21"/>
          <w:szCs w:val="21"/>
          <w:color w:val="auto"/>
        </w:rPr>
        <w:t>as set forth above.</w:t>
      </w:r>
    </w:p>
    <w:p>
      <w:pPr>
        <w:spacing w:after="0" w:line="98" w:lineRule="exact"/>
        <w:rPr>
          <w:sz w:val="20"/>
          <w:szCs w:val="20"/>
          <w:color w:val="auto"/>
        </w:rPr>
      </w:pPr>
    </w:p>
    <w:p>
      <w:pPr>
        <w:ind w:left="3840"/>
        <w:spacing w:after="0"/>
        <w:rPr>
          <w:sz w:val="20"/>
          <w:szCs w:val="20"/>
          <w:color w:val="auto"/>
        </w:rPr>
      </w:pPr>
      <w:r>
        <w:rPr>
          <w:rFonts w:ascii="Arial" w:cs="Arial" w:eastAsia="Arial" w:hAnsi="Arial"/>
          <w:sz w:val="21"/>
          <w:szCs w:val="21"/>
          <w:b w:val="1"/>
          <w:bCs w:val="1"/>
          <w:color w:val="auto"/>
        </w:rPr>
        <w:t>CENTERPOINT ENERGY, INC.</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840"/>
        <w:spacing w:after="0"/>
        <w:tabs>
          <w:tab w:leader="none" w:pos="43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u w:val="single" w:color="auto"/>
          <w:color w:val="auto"/>
        </w:rPr>
        <w:t>/s/ David J. Lesar</w:t>
      </w:r>
      <w:r>
        <w:rPr>
          <w:rFonts w:ascii="Arial" w:cs="Arial" w:eastAsia="Arial" w:hAnsi="Arial"/>
          <w:sz w:val="19"/>
          <w:szCs w:val="19"/>
          <w:color w:val="auto"/>
        </w:rPr>
        <w:t>________________</w:t>
      </w:r>
    </w:p>
    <w:p>
      <w:pPr>
        <w:ind w:left="4240"/>
        <w:spacing w:after="0" w:line="211" w:lineRule="auto"/>
        <w:rPr>
          <w:sz w:val="20"/>
          <w:szCs w:val="20"/>
          <w:color w:val="auto"/>
        </w:rPr>
      </w:pPr>
      <w:r>
        <w:rPr>
          <w:rFonts w:ascii="Arial" w:cs="Arial" w:eastAsia="Arial" w:hAnsi="Arial"/>
          <w:sz w:val="21"/>
          <w:szCs w:val="21"/>
          <w:color w:val="auto"/>
        </w:rPr>
        <w:t>David J. Lesar</w:t>
      </w:r>
    </w:p>
    <w:p>
      <w:pPr>
        <w:ind w:left="4240"/>
        <w:spacing w:after="0"/>
        <w:rPr>
          <w:sz w:val="20"/>
          <w:szCs w:val="20"/>
          <w:color w:val="auto"/>
        </w:rPr>
      </w:pPr>
      <w:r>
        <w:rPr>
          <w:rFonts w:ascii="Arial" w:cs="Arial" w:eastAsia="Arial" w:hAnsi="Arial"/>
          <w:sz w:val="21"/>
          <w:szCs w:val="21"/>
          <w:color w:val="auto"/>
        </w:rPr>
        <w:t>Chief Executive Officer</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color w:val="auto"/>
        </w:rPr>
        <w:t>ATTEST:</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 Vincent A. Mercaldi</w:t>
      </w:r>
      <w:r>
        <w:rPr>
          <w:rFonts w:ascii="Arial" w:cs="Arial" w:eastAsia="Arial" w:hAnsi="Arial"/>
          <w:sz w:val="21"/>
          <w:szCs w:val="21"/>
          <w:color w:val="auto"/>
        </w:rPr>
        <w:t>_</w:t>
      </w:r>
    </w:p>
    <w:p>
      <w:pPr>
        <w:spacing w:after="0" w:line="211" w:lineRule="auto"/>
        <w:rPr>
          <w:sz w:val="20"/>
          <w:szCs w:val="20"/>
          <w:color w:val="auto"/>
        </w:rPr>
      </w:pPr>
      <w:r>
        <w:rPr>
          <w:rFonts w:ascii="Arial" w:cs="Arial" w:eastAsia="Arial" w:hAnsi="Arial"/>
          <w:sz w:val="21"/>
          <w:szCs w:val="21"/>
          <w:color w:val="auto"/>
        </w:rPr>
        <w:t>Vincent A. Mercaldi</w:t>
      </w:r>
    </w:p>
    <w:p>
      <w:pPr>
        <w:spacing w:after="0"/>
        <w:rPr>
          <w:sz w:val="20"/>
          <w:szCs w:val="20"/>
          <w:color w:val="auto"/>
        </w:rPr>
      </w:pPr>
      <w:r>
        <w:rPr>
          <w:rFonts w:ascii="Arial" w:cs="Arial" w:eastAsia="Arial" w:hAnsi="Arial"/>
          <w:sz w:val="21"/>
          <w:szCs w:val="21"/>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0"/>
        <w:spacing w:after="0"/>
        <w:rPr>
          <w:sz w:val="20"/>
          <w:szCs w:val="20"/>
          <w:color w:val="auto"/>
        </w:rPr>
      </w:pPr>
      <w:r>
        <w:rPr>
          <w:rFonts w:ascii="Arial" w:cs="Arial" w:eastAsia="Arial" w:hAnsi="Arial"/>
          <w:sz w:val="19"/>
          <w:szCs w:val="19"/>
          <w:color w:val="auto"/>
        </w:rPr>
        <w:t>- 1 -</w:t>
      </w:r>
    </w:p>
    <w:p>
      <w:pPr>
        <w:sectPr>
          <w:pgSz w:w="11900" w:h="16838" w:orient="portrait"/>
          <w:cols w:equalWidth="0" w:num="1">
            <w:col w:w="11240"/>
          </w:cols>
          <w:pgMar w:left="320" w:top="98"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6"/>
          <w:szCs w:val="16"/>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CENTERPOINT ENERGY SAVINGS PLAN</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(As Amended and Restated Effective January 1, 2021)</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Third Amendment</w:t>
      </w:r>
    </w:p>
    <w:p>
      <w:pPr>
        <w:spacing w:after="0" w:line="25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CenterPoint Energy, Inc., a Texas corporation, having reserved the right under Section 11.3 of the CenterPoint Energy</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color w:val="auto"/>
        </w:rPr>
        <w:t>Savings Plan, as amended and restated effective January 1, 2021, and as thereafter amended (the “Plan”), to amend the Plan, does</w:t>
      </w:r>
    </w:p>
    <w:p>
      <w:pPr>
        <w:spacing w:after="0" w:line="273" w:lineRule="exact"/>
        <w:rPr>
          <w:sz w:val="20"/>
          <w:szCs w:val="20"/>
          <w:color w:val="auto"/>
        </w:rPr>
      </w:pPr>
    </w:p>
    <w:p>
      <w:pPr>
        <w:spacing w:after="0"/>
        <w:rPr>
          <w:sz w:val="20"/>
          <w:szCs w:val="20"/>
          <w:color w:val="auto"/>
        </w:rPr>
      </w:pPr>
      <w:r>
        <w:rPr>
          <w:rFonts w:ascii="Arial" w:cs="Arial" w:eastAsia="Arial" w:hAnsi="Arial"/>
          <w:sz w:val="21"/>
          <w:szCs w:val="21"/>
          <w:color w:val="auto"/>
        </w:rPr>
        <w:t>hereby amend the Plan as follows:</w:t>
      </w:r>
    </w:p>
    <w:p>
      <w:pPr>
        <w:spacing w:after="0" w:line="104" w:lineRule="exact"/>
        <w:rPr>
          <w:sz w:val="20"/>
          <w:szCs w:val="20"/>
          <w:color w:val="auto"/>
        </w:rPr>
      </w:pPr>
    </w:p>
    <w:p>
      <w:pPr>
        <w:jc w:val="both"/>
        <w:ind w:firstLine="6"/>
        <w:spacing w:after="0" w:line="237" w:lineRule="auto"/>
        <w:tabs>
          <w:tab w:leader="none" w:pos="388" w:val="left"/>
        </w:tabs>
        <w:numPr>
          <w:ilvl w:val="0"/>
          <w:numId w:val="85"/>
        </w:numPr>
        <w:rPr>
          <w:rFonts w:ascii="Arial" w:cs="Arial" w:eastAsia="Arial" w:hAnsi="Arial"/>
          <w:sz w:val="20"/>
          <w:szCs w:val="20"/>
          <w:color w:val="auto"/>
        </w:rPr>
      </w:pPr>
      <w:r>
        <w:rPr>
          <w:rFonts w:ascii="Arial" w:cs="Arial" w:eastAsia="Arial" w:hAnsi="Arial"/>
          <w:sz w:val="20"/>
          <w:szCs w:val="20"/>
          <w:color w:val="auto"/>
        </w:rPr>
        <w:t>To reflect the ineligibility of Energy Systems Group, LLC and its subsidiaries to participate in the Plan upon the closing (the “Closing”) of the transactions set forth under that certain Equity Purchase Agreement by and between Vectren Energy Services Corporation and ESG Holdings Group, LLC dated May 21, 2023 and their withdrawals as participating Employers upon the Closing pursuant to Section 11.1 of the Plan, Exhibit A to the Plan is amended as follows:</w:t>
      </w:r>
    </w:p>
    <w:p>
      <w:pPr>
        <w:spacing w:after="0" w:line="155" w:lineRule="exact"/>
        <w:rPr>
          <w:rFonts w:ascii="Arial" w:cs="Arial" w:eastAsia="Arial" w:hAnsi="Arial"/>
          <w:sz w:val="20"/>
          <w:szCs w:val="20"/>
          <w:color w:val="auto"/>
        </w:rPr>
      </w:pPr>
    </w:p>
    <w:p>
      <w:pPr>
        <w:ind w:left="640" w:right="20" w:firstLine="5"/>
        <w:spacing w:after="0" w:line="241" w:lineRule="auto"/>
        <w:tabs>
          <w:tab w:leader="none" w:pos="1170" w:val="left"/>
        </w:tabs>
        <w:numPr>
          <w:ilvl w:val="1"/>
          <w:numId w:val="85"/>
        </w:numPr>
        <w:rPr>
          <w:rFonts w:ascii="Arial" w:cs="Arial" w:eastAsia="Arial" w:hAnsi="Arial"/>
          <w:sz w:val="21"/>
          <w:szCs w:val="21"/>
          <w:color w:val="auto"/>
        </w:rPr>
      </w:pPr>
      <w:r>
        <w:rPr>
          <w:rFonts w:ascii="Arial" w:cs="Arial" w:eastAsia="Arial" w:hAnsi="Arial"/>
          <w:sz w:val="21"/>
          <w:szCs w:val="21"/>
          <w:color w:val="auto"/>
        </w:rPr>
        <w:t>Reference in Exhibit A to “January 1, 2022” shall be deleted and reference to the date of the Closing shall be substituted therefor.</w:t>
      </w:r>
    </w:p>
    <w:p>
      <w:pPr>
        <w:spacing w:after="0" w:line="153" w:lineRule="exact"/>
        <w:rPr>
          <w:rFonts w:ascii="Arial" w:cs="Arial" w:eastAsia="Arial" w:hAnsi="Arial"/>
          <w:sz w:val="21"/>
          <w:szCs w:val="21"/>
          <w:color w:val="auto"/>
        </w:rPr>
      </w:pPr>
    </w:p>
    <w:p>
      <w:pPr>
        <w:ind w:left="1020" w:hanging="375"/>
        <w:spacing w:after="0"/>
        <w:tabs>
          <w:tab w:leader="none" w:pos="1020" w:val="left"/>
        </w:tabs>
        <w:numPr>
          <w:ilvl w:val="1"/>
          <w:numId w:val="85"/>
        </w:numPr>
        <w:rPr>
          <w:rFonts w:ascii="Arial" w:cs="Arial" w:eastAsia="Arial" w:hAnsi="Arial"/>
          <w:sz w:val="19"/>
          <w:szCs w:val="19"/>
          <w:color w:val="auto"/>
        </w:rPr>
      </w:pPr>
      <w:r>
        <w:rPr>
          <w:rFonts w:ascii="Arial" w:cs="Arial" w:eastAsia="Arial" w:hAnsi="Arial"/>
          <w:sz w:val="19"/>
          <w:szCs w:val="19"/>
          <w:color w:val="auto"/>
        </w:rPr>
        <w:t>References in Exhibit A to “Energy Systems Group, LLC” and “Mountain Home Energy Center, LLC” shall be deleted.</w:t>
      </w:r>
    </w:p>
    <w:p>
      <w:pPr>
        <w:spacing w:after="0" w:line="35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IN WITNESS WHEREOF, CenterPoint Energy, Inc. has executed these presents as evidenced by the signature of its officer</w:t>
      </w:r>
    </w:p>
    <w:p>
      <w:pPr>
        <w:spacing w:after="0" w:line="273" w:lineRule="exact"/>
        <w:rPr>
          <w:sz w:val="20"/>
          <w:szCs w:val="20"/>
          <w:color w:val="auto"/>
        </w:rPr>
      </w:pPr>
    </w:p>
    <w:p>
      <w:pPr>
        <w:spacing w:after="0"/>
        <w:rPr>
          <w:sz w:val="20"/>
          <w:szCs w:val="20"/>
          <w:color w:val="auto"/>
        </w:rPr>
      </w:pPr>
      <w:r>
        <w:rPr>
          <w:rFonts w:ascii="Arial" w:cs="Arial" w:eastAsia="Arial" w:hAnsi="Arial"/>
          <w:sz w:val="21"/>
          <w:szCs w:val="21"/>
          <w:color w:val="auto"/>
        </w:rPr>
        <w:t>affixed hereto, this 24th day of July, 2023.</w:t>
      </w:r>
    </w:p>
    <w:p>
      <w:pPr>
        <w:spacing w:after="0" w:line="324" w:lineRule="exact"/>
        <w:rPr>
          <w:sz w:val="20"/>
          <w:szCs w:val="20"/>
          <w:color w:val="auto"/>
        </w:rPr>
      </w:pPr>
    </w:p>
    <w:p>
      <w:pPr>
        <w:jc w:val="center"/>
        <w:ind w:right="-119"/>
        <w:spacing w:after="0"/>
        <w:rPr>
          <w:sz w:val="20"/>
          <w:szCs w:val="20"/>
          <w:color w:val="auto"/>
        </w:rPr>
      </w:pPr>
      <w:r>
        <w:rPr>
          <w:rFonts w:ascii="Arial" w:cs="Arial" w:eastAsia="Arial" w:hAnsi="Arial"/>
          <w:sz w:val="21"/>
          <w:szCs w:val="21"/>
          <w:b w:val="1"/>
          <w:bCs w:val="1"/>
          <w:color w:val="auto"/>
        </w:rPr>
        <w:t>CENTERPOINT ENERGY, INC.</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840"/>
        <w:spacing w:after="0"/>
        <w:tabs>
          <w:tab w:leader="none" w:pos="43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u w:val="single" w:color="auto"/>
          <w:color w:val="auto"/>
        </w:rPr>
        <w:t>/s/ David J. Lesar</w:t>
      </w:r>
      <w:r>
        <w:rPr>
          <w:rFonts w:ascii="Arial" w:cs="Arial" w:eastAsia="Arial" w:hAnsi="Arial"/>
          <w:sz w:val="19"/>
          <w:szCs w:val="19"/>
          <w:color w:val="auto"/>
        </w:rPr>
        <w:t>________________</w:t>
      </w:r>
    </w:p>
    <w:p>
      <w:pPr>
        <w:ind w:left="4160"/>
        <w:spacing w:after="0" w:line="211" w:lineRule="auto"/>
        <w:rPr>
          <w:sz w:val="20"/>
          <w:szCs w:val="20"/>
          <w:color w:val="auto"/>
        </w:rPr>
      </w:pPr>
      <w:r>
        <w:rPr>
          <w:rFonts w:ascii="Arial" w:cs="Arial" w:eastAsia="Arial" w:hAnsi="Arial"/>
          <w:sz w:val="21"/>
          <w:szCs w:val="21"/>
          <w:color w:val="auto"/>
        </w:rPr>
        <w:t>David J. Lesar</w:t>
      </w:r>
    </w:p>
    <w:p>
      <w:pPr>
        <w:ind w:left="4160"/>
        <w:spacing w:after="0"/>
        <w:rPr>
          <w:sz w:val="20"/>
          <w:szCs w:val="20"/>
          <w:color w:val="auto"/>
        </w:rPr>
      </w:pPr>
      <w:r>
        <w:rPr>
          <w:rFonts w:ascii="Arial" w:cs="Arial" w:eastAsia="Arial" w:hAnsi="Arial"/>
          <w:sz w:val="21"/>
          <w:szCs w:val="21"/>
          <w:color w:val="auto"/>
        </w:rPr>
        <w:t>President and Chief Executive Officer</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color w:val="auto"/>
        </w:rPr>
        <w:t>ATTEST:</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1"/>
          <w:szCs w:val="21"/>
          <w:color w:val="auto"/>
        </w:rPr>
        <w:t>/s/ Vincent A. Mercaldi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14027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6">
                      <a:extLst>
                        <a:ext uri="{28A0092B-C50C-407E-A947-70E740481C1C}"/>
                      </a:extLst>
                    </a:blip>
                    <a:srcRect/>
                    <a:stretch>
                      <a:fillRect/>
                    </a:stretch>
                  </pic:blipFill>
                  <pic:spPr bwMode="auto">
                    <a:xfrm>
                      <a:off x="0" y="0"/>
                      <a:ext cx="1402715" cy="8255"/>
                    </a:xfrm>
                    <a:prstGeom prst="rect">
                      <a:avLst/>
                    </a:prstGeom>
                    <a:noFill/>
                  </pic:spPr>
                </pic:pic>
              </a:graphicData>
            </a:graphic>
          </wp:anchor>
        </w:drawing>
      </w:r>
    </w:p>
    <w:p>
      <w:pPr>
        <w:spacing w:after="0" w:line="211" w:lineRule="auto"/>
        <w:rPr>
          <w:sz w:val="20"/>
          <w:szCs w:val="20"/>
          <w:color w:val="auto"/>
        </w:rPr>
      </w:pPr>
      <w:r>
        <w:rPr>
          <w:rFonts w:ascii="Arial" w:cs="Arial" w:eastAsia="Arial" w:hAnsi="Arial"/>
          <w:sz w:val="21"/>
          <w:szCs w:val="21"/>
          <w:color w:val="auto"/>
        </w:rPr>
        <w:t>Vincent A. Mercaldi</w:t>
      </w:r>
    </w:p>
    <w:p>
      <w:pPr>
        <w:spacing w:after="0"/>
        <w:rPr>
          <w:sz w:val="20"/>
          <w:szCs w:val="20"/>
          <w:color w:val="auto"/>
        </w:rPr>
      </w:pPr>
      <w:r>
        <w:rPr>
          <w:rFonts w:ascii="Arial" w:cs="Arial" w:eastAsia="Arial" w:hAnsi="Arial"/>
          <w:sz w:val="21"/>
          <w:szCs w:val="21"/>
          <w:color w:val="auto"/>
        </w:rPr>
        <w:t>Corporate Secretary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40"/>
          </w:cols>
          <w:pgMar w:left="320" w:top="125"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color w:val="auto"/>
        </w:rPr>
        <w:t>Exhibit 31.1.1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David J. Lesar, certify that:</w:t>
      </w:r>
    </w:p>
    <w:p>
      <w:pPr>
        <w:spacing w:after="0" w:line="218" w:lineRule="exact"/>
        <w:rPr>
          <w:sz w:val="20"/>
          <w:szCs w:val="20"/>
          <w:color w:val="auto"/>
        </w:rPr>
      </w:pPr>
    </w:p>
    <w:p>
      <w:pPr>
        <w:ind w:left="1280" w:hanging="635"/>
        <w:spacing w:after="0"/>
        <w:tabs>
          <w:tab w:leader="none" w:pos="12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Inc.;</w:t>
      </w:r>
    </w:p>
    <w:p>
      <w:pPr>
        <w:spacing w:after="0" w:line="245" w:lineRule="exact"/>
        <w:rPr>
          <w:rFonts w:ascii="Arial" w:cs="Arial" w:eastAsia="Arial" w:hAnsi="Arial"/>
          <w:sz w:val="18"/>
          <w:szCs w:val="18"/>
          <w:color w:val="auto"/>
        </w:rPr>
      </w:pPr>
    </w:p>
    <w:p>
      <w:pPr>
        <w:jc w:val="both"/>
        <w:ind w:firstLine="645"/>
        <w:spacing w:after="0" w:line="256" w:lineRule="auto"/>
        <w:tabs>
          <w:tab w:leader="none" w:pos="1276"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5" w:lineRule="exact"/>
        <w:rPr>
          <w:rFonts w:ascii="Arial" w:cs="Arial" w:eastAsia="Arial" w:hAnsi="Arial"/>
          <w:sz w:val="18"/>
          <w:szCs w:val="18"/>
          <w:color w:val="auto"/>
        </w:rPr>
      </w:pPr>
    </w:p>
    <w:p>
      <w:pPr>
        <w:ind w:right="20" w:firstLine="645"/>
        <w:spacing w:after="0" w:line="296" w:lineRule="auto"/>
        <w:tabs>
          <w:tab w:leader="none" w:pos="1276" w:val="left"/>
        </w:tabs>
        <w:numPr>
          <w:ilvl w:val="0"/>
          <w:numId w:val="8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7"/>
          <w:szCs w:val="17"/>
          <w:color w:val="auto"/>
        </w:rPr>
      </w:pPr>
    </w:p>
    <w:p>
      <w:pPr>
        <w:jc w:val="both"/>
        <w:ind w:firstLine="645"/>
        <w:spacing w:after="0" w:line="256" w:lineRule="auto"/>
        <w:tabs>
          <w:tab w:leader="none" w:pos="1276"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sz w:val="20"/>
          <w:szCs w:val="20"/>
          <w:color w:val="auto"/>
        </w:rPr>
      </w:pPr>
    </w:p>
    <w:p>
      <w:pPr>
        <w:jc w:val="both"/>
        <w:ind w:left="1280" w:hanging="635"/>
        <w:spacing w:after="0" w:line="256" w:lineRule="auto"/>
        <w:tabs>
          <w:tab w:leader="none" w:pos="1277"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5" w:lineRule="exact"/>
        <w:rPr>
          <w:rFonts w:ascii="Arial" w:cs="Arial" w:eastAsia="Arial" w:hAnsi="Arial"/>
          <w:sz w:val="18"/>
          <w:szCs w:val="18"/>
          <w:color w:val="auto"/>
        </w:rPr>
      </w:pPr>
    </w:p>
    <w:p>
      <w:pPr>
        <w:jc w:val="both"/>
        <w:ind w:left="1280" w:hanging="635"/>
        <w:spacing w:after="0" w:line="256" w:lineRule="auto"/>
        <w:tabs>
          <w:tab w:leader="none" w:pos="1274"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5" w:lineRule="exact"/>
        <w:rPr>
          <w:rFonts w:ascii="Arial" w:cs="Arial" w:eastAsia="Arial" w:hAnsi="Arial"/>
          <w:sz w:val="18"/>
          <w:szCs w:val="18"/>
          <w:color w:val="auto"/>
        </w:rPr>
      </w:pPr>
    </w:p>
    <w:p>
      <w:pPr>
        <w:ind w:left="1280" w:hanging="635"/>
        <w:spacing w:after="0" w:line="329" w:lineRule="auto"/>
        <w:tabs>
          <w:tab w:leader="none" w:pos="1277" w:val="left"/>
        </w:tabs>
        <w:numPr>
          <w:ilvl w:val="0"/>
          <w:numId w:val="8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Arial" w:cs="Arial" w:eastAsia="Arial" w:hAnsi="Arial"/>
          <w:sz w:val="16"/>
          <w:szCs w:val="16"/>
          <w:color w:val="auto"/>
        </w:rPr>
      </w:pPr>
    </w:p>
    <w:p>
      <w:pPr>
        <w:jc w:val="both"/>
        <w:ind w:left="1280" w:hanging="635"/>
        <w:spacing w:after="0" w:line="256" w:lineRule="auto"/>
        <w:tabs>
          <w:tab w:leader="none" w:pos="1274"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5" w:lineRule="exact"/>
        <w:rPr>
          <w:sz w:val="20"/>
          <w:szCs w:val="20"/>
          <w:color w:val="auto"/>
        </w:rPr>
      </w:pPr>
    </w:p>
    <w:p>
      <w:pPr>
        <w:ind w:firstLine="645"/>
        <w:spacing w:after="0" w:line="296" w:lineRule="auto"/>
        <w:tabs>
          <w:tab w:leader="none" w:pos="1276"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sz w:val="20"/>
          <w:szCs w:val="20"/>
          <w:color w:val="auto"/>
        </w:rPr>
      </w:pPr>
    </w:p>
    <w:p>
      <w:pPr>
        <w:ind w:left="1280" w:hanging="635"/>
        <w:spacing w:after="0" w:line="296" w:lineRule="auto"/>
        <w:tabs>
          <w:tab w:leader="none" w:pos="1277" w:val="left"/>
        </w:tabs>
        <w:numPr>
          <w:ilvl w:val="0"/>
          <w:numId w:val="8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Arial" w:cs="Arial" w:eastAsia="Arial" w:hAnsi="Arial"/>
          <w:sz w:val="17"/>
          <w:szCs w:val="17"/>
          <w:color w:val="auto"/>
        </w:rPr>
      </w:pPr>
    </w:p>
    <w:p>
      <w:pPr>
        <w:ind w:left="1280" w:hanging="635"/>
        <w:spacing w:after="0" w:line="266" w:lineRule="auto"/>
        <w:tabs>
          <w:tab w:leader="none" w:pos="1274"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2023</w:t>
      </w:r>
    </w:p>
    <w:p>
      <w:pPr>
        <w:spacing w:after="0" w:line="3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David J. Lesar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11430</wp:posOffset>
            </wp:positionV>
            <wp:extent cx="355473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7">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David J. Lesar</w:t>
      </w:r>
    </w:p>
    <w:p>
      <w:pPr>
        <w:spacing w:after="0" w:line="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85"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color w:val="auto"/>
        </w:rPr>
        <w:t>Exhibit 31.1.2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Jason P. Wells, certify that:</w:t>
      </w:r>
    </w:p>
    <w:p>
      <w:pPr>
        <w:spacing w:after="0" w:line="218" w:lineRule="exact"/>
        <w:rPr>
          <w:sz w:val="20"/>
          <w:szCs w:val="20"/>
          <w:color w:val="auto"/>
        </w:rPr>
      </w:pPr>
    </w:p>
    <w:p>
      <w:pPr>
        <w:ind w:left="1280" w:hanging="635"/>
        <w:spacing w:after="0"/>
        <w:tabs>
          <w:tab w:leader="none" w:pos="12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Houston Electric, LLC;</w:t>
      </w:r>
    </w:p>
    <w:p>
      <w:pPr>
        <w:spacing w:after="0" w:line="245" w:lineRule="exact"/>
        <w:rPr>
          <w:rFonts w:ascii="Arial" w:cs="Arial" w:eastAsia="Arial" w:hAnsi="Arial"/>
          <w:sz w:val="18"/>
          <w:szCs w:val="18"/>
          <w:color w:val="auto"/>
        </w:rPr>
      </w:pPr>
    </w:p>
    <w:p>
      <w:pPr>
        <w:jc w:val="both"/>
        <w:ind w:firstLine="645"/>
        <w:spacing w:after="0" w:line="256" w:lineRule="auto"/>
        <w:tabs>
          <w:tab w:leader="none" w:pos="1276"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5" w:lineRule="exact"/>
        <w:rPr>
          <w:rFonts w:ascii="Arial" w:cs="Arial" w:eastAsia="Arial" w:hAnsi="Arial"/>
          <w:sz w:val="18"/>
          <w:szCs w:val="18"/>
          <w:color w:val="auto"/>
        </w:rPr>
      </w:pPr>
    </w:p>
    <w:p>
      <w:pPr>
        <w:ind w:right="20" w:firstLine="645"/>
        <w:spacing w:after="0" w:line="296" w:lineRule="auto"/>
        <w:tabs>
          <w:tab w:leader="none" w:pos="1276" w:val="left"/>
        </w:tabs>
        <w:numPr>
          <w:ilvl w:val="0"/>
          <w:numId w:val="9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7"/>
          <w:szCs w:val="17"/>
          <w:color w:val="auto"/>
        </w:rPr>
      </w:pPr>
    </w:p>
    <w:p>
      <w:pPr>
        <w:jc w:val="both"/>
        <w:ind w:firstLine="645"/>
        <w:spacing w:after="0" w:line="256" w:lineRule="auto"/>
        <w:tabs>
          <w:tab w:leader="none" w:pos="1276"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sz w:val="20"/>
          <w:szCs w:val="20"/>
          <w:color w:val="auto"/>
        </w:rPr>
      </w:pPr>
    </w:p>
    <w:p>
      <w:pPr>
        <w:jc w:val="both"/>
        <w:ind w:left="1280" w:hanging="635"/>
        <w:spacing w:after="0" w:line="256" w:lineRule="auto"/>
        <w:tabs>
          <w:tab w:leader="none" w:pos="1277"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5" w:lineRule="exact"/>
        <w:rPr>
          <w:rFonts w:ascii="Arial" w:cs="Arial" w:eastAsia="Arial" w:hAnsi="Arial"/>
          <w:sz w:val="18"/>
          <w:szCs w:val="18"/>
          <w:color w:val="auto"/>
        </w:rPr>
      </w:pPr>
    </w:p>
    <w:p>
      <w:pPr>
        <w:jc w:val="both"/>
        <w:ind w:left="1280" w:hanging="635"/>
        <w:spacing w:after="0" w:line="256" w:lineRule="auto"/>
        <w:tabs>
          <w:tab w:leader="none" w:pos="1274"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5" w:lineRule="exact"/>
        <w:rPr>
          <w:rFonts w:ascii="Arial" w:cs="Arial" w:eastAsia="Arial" w:hAnsi="Arial"/>
          <w:sz w:val="18"/>
          <w:szCs w:val="18"/>
          <w:color w:val="auto"/>
        </w:rPr>
      </w:pPr>
    </w:p>
    <w:p>
      <w:pPr>
        <w:ind w:left="1280" w:hanging="635"/>
        <w:spacing w:after="0" w:line="329" w:lineRule="auto"/>
        <w:tabs>
          <w:tab w:leader="none" w:pos="1277" w:val="left"/>
        </w:tabs>
        <w:numPr>
          <w:ilvl w:val="0"/>
          <w:numId w:val="9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Arial" w:cs="Arial" w:eastAsia="Arial" w:hAnsi="Arial"/>
          <w:sz w:val="16"/>
          <w:szCs w:val="16"/>
          <w:color w:val="auto"/>
        </w:rPr>
      </w:pPr>
    </w:p>
    <w:p>
      <w:pPr>
        <w:jc w:val="both"/>
        <w:ind w:left="1280" w:hanging="635"/>
        <w:spacing w:after="0" w:line="256" w:lineRule="auto"/>
        <w:tabs>
          <w:tab w:leader="none" w:pos="1274"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5" w:lineRule="exact"/>
        <w:rPr>
          <w:sz w:val="20"/>
          <w:szCs w:val="20"/>
          <w:color w:val="auto"/>
        </w:rPr>
      </w:pPr>
    </w:p>
    <w:p>
      <w:pPr>
        <w:ind w:firstLine="645"/>
        <w:spacing w:after="0" w:line="296" w:lineRule="auto"/>
        <w:tabs>
          <w:tab w:leader="none" w:pos="1276"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sz w:val="20"/>
          <w:szCs w:val="20"/>
          <w:color w:val="auto"/>
        </w:rPr>
      </w:pPr>
    </w:p>
    <w:p>
      <w:pPr>
        <w:ind w:left="1280" w:hanging="635"/>
        <w:spacing w:after="0" w:line="296" w:lineRule="auto"/>
        <w:tabs>
          <w:tab w:leader="none" w:pos="1277" w:val="left"/>
        </w:tabs>
        <w:numPr>
          <w:ilvl w:val="0"/>
          <w:numId w:val="9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Arial" w:cs="Arial" w:eastAsia="Arial" w:hAnsi="Arial"/>
          <w:sz w:val="17"/>
          <w:szCs w:val="17"/>
          <w:color w:val="auto"/>
        </w:rPr>
      </w:pPr>
    </w:p>
    <w:p>
      <w:pPr>
        <w:ind w:left="1280" w:hanging="635"/>
        <w:spacing w:after="0" w:line="266" w:lineRule="auto"/>
        <w:tabs>
          <w:tab w:leader="none" w:pos="1274"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2023</w:t>
      </w:r>
    </w:p>
    <w:p>
      <w:pPr>
        <w:spacing w:after="0" w:line="3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11430</wp:posOffset>
            </wp:positionV>
            <wp:extent cx="355473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8">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Jason P. Wells</w:t>
      </w:r>
    </w:p>
    <w:p>
      <w:pPr>
        <w:spacing w:after="0" w:line="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85"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color w:val="auto"/>
        </w:rPr>
        <w:t>Exhibit 31.1.3</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Jason P. Wells, certify that:</w:t>
      </w:r>
    </w:p>
    <w:p>
      <w:pPr>
        <w:spacing w:after="0" w:line="218" w:lineRule="exact"/>
        <w:rPr>
          <w:sz w:val="20"/>
          <w:szCs w:val="20"/>
          <w:color w:val="auto"/>
        </w:rPr>
      </w:pPr>
    </w:p>
    <w:p>
      <w:pPr>
        <w:ind w:left="1260" w:hanging="615"/>
        <w:spacing w:after="0"/>
        <w:tabs>
          <w:tab w:leader="none" w:pos="12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Resources Corp.;</w:t>
      </w:r>
    </w:p>
    <w:p>
      <w:pPr>
        <w:spacing w:after="0" w:line="218" w:lineRule="exact"/>
        <w:rPr>
          <w:rFonts w:ascii="Arial" w:cs="Arial" w:eastAsia="Arial" w:hAnsi="Arial"/>
          <w:sz w:val="18"/>
          <w:szCs w:val="18"/>
          <w:color w:val="auto"/>
        </w:rPr>
      </w:pPr>
    </w:p>
    <w:p>
      <w:pPr>
        <w:ind w:right="260" w:firstLine="645"/>
        <w:spacing w:after="0" w:line="256" w:lineRule="auto"/>
        <w:tabs>
          <w:tab w:leader="none" w:pos="1258"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ind w:right="500" w:firstLine="645"/>
        <w:spacing w:after="0" w:line="329" w:lineRule="auto"/>
        <w:tabs>
          <w:tab w:leader="none" w:pos="1258" w:val="left"/>
        </w:tabs>
        <w:numPr>
          <w:ilvl w:val="0"/>
          <w:numId w:val="9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6"/>
          <w:szCs w:val="16"/>
          <w:color w:val="auto"/>
        </w:rPr>
      </w:pPr>
    </w:p>
    <w:p>
      <w:pPr>
        <w:ind w:right="160" w:firstLine="645"/>
        <w:spacing w:after="0" w:line="256" w:lineRule="auto"/>
        <w:tabs>
          <w:tab w:leader="none" w:pos="1258"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sz w:val="20"/>
          <w:szCs w:val="20"/>
          <w:color w:val="auto"/>
        </w:rPr>
      </w:pPr>
    </w:p>
    <w:p>
      <w:pPr>
        <w:ind w:left="1280" w:right="80" w:hanging="635"/>
        <w:spacing w:after="0" w:line="256" w:lineRule="auto"/>
        <w:tabs>
          <w:tab w:leader="none" w:pos="1277"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5" w:lineRule="exact"/>
        <w:rPr>
          <w:rFonts w:ascii="Arial" w:cs="Arial" w:eastAsia="Arial" w:hAnsi="Arial"/>
          <w:sz w:val="18"/>
          <w:szCs w:val="18"/>
          <w:color w:val="auto"/>
        </w:rPr>
      </w:pPr>
    </w:p>
    <w:p>
      <w:pPr>
        <w:ind w:left="1280" w:right="220" w:hanging="635"/>
        <w:spacing w:after="0" w:line="256" w:lineRule="auto"/>
        <w:tabs>
          <w:tab w:leader="none" w:pos="1274"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5" w:lineRule="exact"/>
        <w:rPr>
          <w:rFonts w:ascii="Arial" w:cs="Arial" w:eastAsia="Arial" w:hAnsi="Arial"/>
          <w:sz w:val="18"/>
          <w:szCs w:val="18"/>
          <w:color w:val="auto"/>
        </w:rPr>
      </w:pPr>
    </w:p>
    <w:p>
      <w:pPr>
        <w:jc w:val="both"/>
        <w:ind w:left="1280" w:right="380" w:hanging="635"/>
        <w:spacing w:after="0" w:line="410" w:lineRule="auto"/>
        <w:tabs>
          <w:tab w:leader="none" w:pos="1277" w:val="left"/>
        </w:tabs>
        <w:numPr>
          <w:ilvl w:val="0"/>
          <w:numId w:val="9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4"/>
          <w:szCs w:val="14"/>
          <w:color w:val="auto"/>
        </w:rPr>
      </w:pPr>
    </w:p>
    <w:p>
      <w:pPr>
        <w:ind w:left="1280" w:right="100" w:hanging="635"/>
        <w:spacing w:after="0" w:line="256" w:lineRule="auto"/>
        <w:tabs>
          <w:tab w:leader="none" w:pos="1274" w:val="left"/>
        </w:tabs>
        <w:numPr>
          <w:ilvl w:val="0"/>
          <w:numId w:val="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sz w:val="20"/>
          <w:szCs w:val="20"/>
          <w:color w:val="auto"/>
        </w:rPr>
      </w:pPr>
    </w:p>
    <w:p>
      <w:pPr>
        <w:ind w:right="560" w:firstLine="645"/>
        <w:spacing w:after="0" w:line="329" w:lineRule="auto"/>
        <w:tabs>
          <w:tab w:leader="none" w:pos="1258"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sz w:val="20"/>
          <w:szCs w:val="20"/>
          <w:color w:val="auto"/>
        </w:rPr>
      </w:pPr>
    </w:p>
    <w:p>
      <w:pPr>
        <w:ind w:left="1280" w:right="620" w:hanging="635"/>
        <w:spacing w:after="0" w:line="329" w:lineRule="auto"/>
        <w:tabs>
          <w:tab w:leader="none" w:pos="1277" w:val="left"/>
        </w:tabs>
        <w:numPr>
          <w:ilvl w:val="0"/>
          <w:numId w:val="9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Arial" w:cs="Arial" w:eastAsia="Arial" w:hAnsi="Arial"/>
          <w:sz w:val="16"/>
          <w:szCs w:val="16"/>
          <w:color w:val="auto"/>
        </w:rPr>
      </w:pPr>
    </w:p>
    <w:p>
      <w:pPr>
        <w:ind w:left="1280" w:right="340" w:hanging="635"/>
        <w:spacing w:after="0" w:line="266" w:lineRule="auto"/>
        <w:tabs>
          <w:tab w:leader="none" w:pos="1274"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2023</w:t>
      </w:r>
    </w:p>
    <w:p>
      <w:pPr>
        <w:spacing w:after="0" w:line="378"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4326890</wp:posOffset>
            </wp:positionH>
            <wp:positionV relativeFrom="paragraph">
              <wp:posOffset>11430</wp:posOffset>
            </wp:positionV>
            <wp:extent cx="28117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9">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Jason P. Wells</w:t>
      </w:r>
    </w:p>
    <w:p>
      <w:pPr>
        <w:spacing w:after="0" w:line="46"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85"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color w:val="auto"/>
        </w:rPr>
        <w:t>Exhibit 31.2.1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 Foster, certify that:</w:t>
      </w:r>
    </w:p>
    <w:p>
      <w:pPr>
        <w:spacing w:after="0" w:line="218" w:lineRule="exact"/>
        <w:rPr>
          <w:sz w:val="20"/>
          <w:szCs w:val="20"/>
          <w:color w:val="auto"/>
        </w:rPr>
      </w:pPr>
    </w:p>
    <w:p>
      <w:pPr>
        <w:ind w:left="1280" w:hanging="635"/>
        <w:spacing w:after="0"/>
        <w:tabs>
          <w:tab w:leader="none" w:pos="12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Inc.;</w:t>
      </w:r>
    </w:p>
    <w:p>
      <w:pPr>
        <w:spacing w:after="0" w:line="245" w:lineRule="exact"/>
        <w:rPr>
          <w:rFonts w:ascii="Arial" w:cs="Arial" w:eastAsia="Arial" w:hAnsi="Arial"/>
          <w:sz w:val="18"/>
          <w:szCs w:val="18"/>
          <w:color w:val="auto"/>
        </w:rPr>
      </w:pPr>
    </w:p>
    <w:p>
      <w:pPr>
        <w:jc w:val="both"/>
        <w:ind w:firstLine="645"/>
        <w:spacing w:after="0" w:line="256" w:lineRule="auto"/>
        <w:tabs>
          <w:tab w:leader="none" w:pos="1276"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5" w:lineRule="exact"/>
        <w:rPr>
          <w:rFonts w:ascii="Arial" w:cs="Arial" w:eastAsia="Arial" w:hAnsi="Arial"/>
          <w:sz w:val="18"/>
          <w:szCs w:val="18"/>
          <w:color w:val="auto"/>
        </w:rPr>
      </w:pPr>
    </w:p>
    <w:p>
      <w:pPr>
        <w:ind w:right="20" w:firstLine="645"/>
        <w:spacing w:after="0" w:line="296" w:lineRule="auto"/>
        <w:tabs>
          <w:tab w:leader="none" w:pos="1276" w:val="left"/>
        </w:tabs>
        <w:numPr>
          <w:ilvl w:val="0"/>
          <w:numId w:val="9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7"/>
          <w:szCs w:val="17"/>
          <w:color w:val="auto"/>
        </w:rPr>
      </w:pPr>
    </w:p>
    <w:p>
      <w:pPr>
        <w:jc w:val="both"/>
        <w:ind w:firstLine="645"/>
        <w:spacing w:after="0" w:line="256" w:lineRule="auto"/>
        <w:tabs>
          <w:tab w:leader="none" w:pos="1276"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sz w:val="20"/>
          <w:szCs w:val="20"/>
          <w:color w:val="auto"/>
        </w:rPr>
      </w:pPr>
    </w:p>
    <w:p>
      <w:pPr>
        <w:jc w:val="both"/>
        <w:ind w:left="1280" w:hanging="635"/>
        <w:spacing w:after="0" w:line="256" w:lineRule="auto"/>
        <w:tabs>
          <w:tab w:leader="none" w:pos="1277"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5" w:lineRule="exact"/>
        <w:rPr>
          <w:rFonts w:ascii="Arial" w:cs="Arial" w:eastAsia="Arial" w:hAnsi="Arial"/>
          <w:sz w:val="18"/>
          <w:szCs w:val="18"/>
          <w:color w:val="auto"/>
        </w:rPr>
      </w:pPr>
    </w:p>
    <w:p>
      <w:pPr>
        <w:jc w:val="both"/>
        <w:ind w:left="1280" w:hanging="635"/>
        <w:spacing w:after="0" w:line="256" w:lineRule="auto"/>
        <w:tabs>
          <w:tab w:leader="none" w:pos="1274"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5" w:lineRule="exact"/>
        <w:rPr>
          <w:rFonts w:ascii="Arial" w:cs="Arial" w:eastAsia="Arial" w:hAnsi="Arial"/>
          <w:sz w:val="18"/>
          <w:szCs w:val="18"/>
          <w:color w:val="auto"/>
        </w:rPr>
      </w:pPr>
    </w:p>
    <w:p>
      <w:pPr>
        <w:ind w:left="1280" w:hanging="635"/>
        <w:spacing w:after="0" w:line="329" w:lineRule="auto"/>
        <w:tabs>
          <w:tab w:leader="none" w:pos="1277" w:val="left"/>
        </w:tabs>
        <w:numPr>
          <w:ilvl w:val="0"/>
          <w:numId w:val="9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Arial" w:cs="Arial" w:eastAsia="Arial" w:hAnsi="Arial"/>
          <w:sz w:val="16"/>
          <w:szCs w:val="16"/>
          <w:color w:val="auto"/>
        </w:rPr>
      </w:pPr>
    </w:p>
    <w:p>
      <w:pPr>
        <w:jc w:val="both"/>
        <w:ind w:left="1280" w:hanging="635"/>
        <w:spacing w:after="0" w:line="256" w:lineRule="auto"/>
        <w:tabs>
          <w:tab w:leader="none" w:pos="1274" w:val="left"/>
        </w:tabs>
        <w:numPr>
          <w:ilvl w:val="0"/>
          <w:numId w:val="9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5" w:lineRule="exact"/>
        <w:rPr>
          <w:sz w:val="20"/>
          <w:szCs w:val="20"/>
          <w:color w:val="auto"/>
        </w:rPr>
      </w:pPr>
    </w:p>
    <w:p>
      <w:pPr>
        <w:ind w:firstLine="645"/>
        <w:spacing w:after="0" w:line="296" w:lineRule="auto"/>
        <w:tabs>
          <w:tab w:leader="none" w:pos="1276"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sz w:val="20"/>
          <w:szCs w:val="20"/>
          <w:color w:val="auto"/>
        </w:rPr>
      </w:pPr>
    </w:p>
    <w:p>
      <w:pPr>
        <w:ind w:left="1280" w:hanging="635"/>
        <w:spacing w:after="0" w:line="296" w:lineRule="auto"/>
        <w:tabs>
          <w:tab w:leader="none" w:pos="1277"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Arial" w:cs="Arial" w:eastAsia="Arial" w:hAnsi="Arial"/>
          <w:sz w:val="17"/>
          <w:szCs w:val="17"/>
          <w:color w:val="auto"/>
        </w:rPr>
      </w:pPr>
    </w:p>
    <w:p>
      <w:pPr>
        <w:ind w:left="1280" w:hanging="635"/>
        <w:spacing w:after="0" w:line="266" w:lineRule="auto"/>
        <w:tabs>
          <w:tab w:leader="none" w:pos="127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2023</w:t>
      </w:r>
    </w:p>
    <w:p>
      <w:pPr>
        <w:spacing w:after="0" w:line="3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11430</wp:posOffset>
            </wp:positionV>
            <wp:extent cx="355473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0">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Christopher A. Foster</w:t>
      </w:r>
    </w:p>
    <w:p>
      <w:pPr>
        <w:spacing w:after="0" w:line="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85"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color w:val="auto"/>
        </w:rPr>
        <w:t>Exhibit 31.2.2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 Foster, certify that:</w:t>
      </w:r>
    </w:p>
    <w:p>
      <w:pPr>
        <w:spacing w:after="0" w:line="218" w:lineRule="exact"/>
        <w:rPr>
          <w:sz w:val="20"/>
          <w:szCs w:val="20"/>
          <w:color w:val="auto"/>
        </w:rPr>
      </w:pPr>
    </w:p>
    <w:p>
      <w:pPr>
        <w:ind w:left="1280" w:hanging="635"/>
        <w:spacing w:after="0"/>
        <w:tabs>
          <w:tab w:leader="none" w:pos="12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Houston Electric, LLC;</w:t>
      </w:r>
    </w:p>
    <w:p>
      <w:pPr>
        <w:spacing w:after="0" w:line="245" w:lineRule="exact"/>
        <w:rPr>
          <w:rFonts w:ascii="Arial" w:cs="Arial" w:eastAsia="Arial" w:hAnsi="Arial"/>
          <w:sz w:val="18"/>
          <w:szCs w:val="18"/>
          <w:color w:val="auto"/>
        </w:rPr>
      </w:pPr>
    </w:p>
    <w:p>
      <w:pPr>
        <w:jc w:val="both"/>
        <w:ind w:firstLine="645"/>
        <w:spacing w:after="0" w:line="256" w:lineRule="auto"/>
        <w:tabs>
          <w:tab w:leader="none" w:pos="127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5" w:lineRule="exact"/>
        <w:rPr>
          <w:rFonts w:ascii="Arial" w:cs="Arial" w:eastAsia="Arial" w:hAnsi="Arial"/>
          <w:sz w:val="18"/>
          <w:szCs w:val="18"/>
          <w:color w:val="auto"/>
        </w:rPr>
      </w:pPr>
    </w:p>
    <w:p>
      <w:pPr>
        <w:ind w:right="20" w:firstLine="645"/>
        <w:spacing w:after="0" w:line="296" w:lineRule="auto"/>
        <w:tabs>
          <w:tab w:leader="none" w:pos="1276" w:val="left"/>
        </w:tabs>
        <w:numPr>
          <w:ilvl w:val="0"/>
          <w:numId w:val="10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7"/>
          <w:szCs w:val="17"/>
          <w:color w:val="auto"/>
        </w:rPr>
      </w:pPr>
    </w:p>
    <w:p>
      <w:pPr>
        <w:jc w:val="both"/>
        <w:ind w:firstLine="645"/>
        <w:spacing w:after="0" w:line="256" w:lineRule="auto"/>
        <w:tabs>
          <w:tab w:leader="none" w:pos="127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sz w:val="20"/>
          <w:szCs w:val="20"/>
          <w:color w:val="auto"/>
        </w:rPr>
      </w:pPr>
    </w:p>
    <w:p>
      <w:pPr>
        <w:jc w:val="both"/>
        <w:ind w:left="1280" w:hanging="635"/>
        <w:spacing w:after="0" w:line="256" w:lineRule="auto"/>
        <w:tabs>
          <w:tab w:leader="none" w:pos="127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5" w:lineRule="exact"/>
        <w:rPr>
          <w:rFonts w:ascii="Arial" w:cs="Arial" w:eastAsia="Arial" w:hAnsi="Arial"/>
          <w:sz w:val="18"/>
          <w:szCs w:val="18"/>
          <w:color w:val="auto"/>
        </w:rPr>
      </w:pPr>
    </w:p>
    <w:p>
      <w:pPr>
        <w:jc w:val="both"/>
        <w:ind w:left="1280" w:hanging="635"/>
        <w:spacing w:after="0" w:line="256" w:lineRule="auto"/>
        <w:tabs>
          <w:tab w:leader="none" w:pos="127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5" w:lineRule="exact"/>
        <w:rPr>
          <w:rFonts w:ascii="Arial" w:cs="Arial" w:eastAsia="Arial" w:hAnsi="Arial"/>
          <w:sz w:val="18"/>
          <w:szCs w:val="18"/>
          <w:color w:val="auto"/>
        </w:rPr>
      </w:pPr>
    </w:p>
    <w:p>
      <w:pPr>
        <w:ind w:left="1280" w:hanging="635"/>
        <w:spacing w:after="0" w:line="329" w:lineRule="auto"/>
        <w:tabs>
          <w:tab w:leader="none" w:pos="1277" w:val="left"/>
        </w:tabs>
        <w:numPr>
          <w:ilvl w:val="0"/>
          <w:numId w:val="10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Arial" w:cs="Arial" w:eastAsia="Arial" w:hAnsi="Arial"/>
          <w:sz w:val="16"/>
          <w:szCs w:val="16"/>
          <w:color w:val="auto"/>
        </w:rPr>
      </w:pPr>
    </w:p>
    <w:p>
      <w:pPr>
        <w:jc w:val="both"/>
        <w:ind w:left="1280" w:hanging="635"/>
        <w:spacing w:after="0" w:line="256" w:lineRule="auto"/>
        <w:tabs>
          <w:tab w:leader="none" w:pos="127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5" w:lineRule="exact"/>
        <w:rPr>
          <w:sz w:val="20"/>
          <w:szCs w:val="20"/>
          <w:color w:val="auto"/>
        </w:rPr>
      </w:pPr>
    </w:p>
    <w:p>
      <w:pPr>
        <w:ind w:firstLine="645"/>
        <w:spacing w:after="0" w:line="296" w:lineRule="auto"/>
        <w:tabs>
          <w:tab w:leader="none" w:pos="1276"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sz w:val="20"/>
          <w:szCs w:val="20"/>
          <w:color w:val="auto"/>
        </w:rPr>
      </w:pPr>
    </w:p>
    <w:p>
      <w:pPr>
        <w:ind w:left="1280" w:hanging="635"/>
        <w:spacing w:after="0" w:line="296" w:lineRule="auto"/>
        <w:tabs>
          <w:tab w:leader="none" w:pos="1277"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Arial" w:cs="Arial" w:eastAsia="Arial" w:hAnsi="Arial"/>
          <w:sz w:val="17"/>
          <w:szCs w:val="17"/>
          <w:color w:val="auto"/>
        </w:rPr>
      </w:pPr>
    </w:p>
    <w:p>
      <w:pPr>
        <w:ind w:left="1280" w:hanging="635"/>
        <w:spacing w:after="0" w:line="266" w:lineRule="auto"/>
        <w:tabs>
          <w:tab w:leader="none" w:pos="127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2023</w:t>
      </w:r>
    </w:p>
    <w:p>
      <w:pPr>
        <w:spacing w:after="0" w:line="3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11430</wp:posOffset>
            </wp:positionV>
            <wp:extent cx="355473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1">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Christopher A. Foster</w:t>
      </w:r>
    </w:p>
    <w:p>
      <w:pPr>
        <w:spacing w:after="0" w:line="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85"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color w:val="auto"/>
        </w:rPr>
        <w:t>Exhibit 31.2.3</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 Foster, certify that:</w:t>
      </w:r>
    </w:p>
    <w:p>
      <w:pPr>
        <w:spacing w:after="0" w:line="218" w:lineRule="exact"/>
        <w:rPr>
          <w:sz w:val="20"/>
          <w:szCs w:val="20"/>
          <w:color w:val="auto"/>
        </w:rPr>
      </w:pPr>
    </w:p>
    <w:p>
      <w:pPr>
        <w:ind w:left="1260" w:hanging="615"/>
        <w:spacing w:after="0"/>
        <w:tabs>
          <w:tab w:leader="none" w:pos="12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Resources Corp.;</w:t>
      </w:r>
    </w:p>
    <w:p>
      <w:pPr>
        <w:spacing w:after="0" w:line="218" w:lineRule="exact"/>
        <w:rPr>
          <w:rFonts w:ascii="Arial" w:cs="Arial" w:eastAsia="Arial" w:hAnsi="Arial"/>
          <w:sz w:val="18"/>
          <w:szCs w:val="18"/>
          <w:color w:val="auto"/>
        </w:rPr>
      </w:pPr>
    </w:p>
    <w:p>
      <w:pPr>
        <w:ind w:right="260" w:firstLine="645"/>
        <w:spacing w:after="0" w:line="256" w:lineRule="auto"/>
        <w:tabs>
          <w:tab w:leader="none" w:pos="125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ind w:right="500" w:firstLine="645"/>
        <w:spacing w:after="0" w:line="329" w:lineRule="auto"/>
        <w:tabs>
          <w:tab w:leader="none" w:pos="125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6"/>
          <w:szCs w:val="16"/>
          <w:color w:val="auto"/>
        </w:rPr>
      </w:pPr>
    </w:p>
    <w:p>
      <w:pPr>
        <w:ind w:right="160" w:firstLine="645"/>
        <w:spacing w:after="0" w:line="256" w:lineRule="auto"/>
        <w:tabs>
          <w:tab w:leader="none" w:pos="125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sz w:val="20"/>
          <w:szCs w:val="20"/>
          <w:color w:val="auto"/>
        </w:rPr>
      </w:pPr>
    </w:p>
    <w:p>
      <w:pPr>
        <w:ind w:left="1280" w:right="80" w:hanging="635"/>
        <w:spacing w:after="0" w:line="256" w:lineRule="auto"/>
        <w:tabs>
          <w:tab w:leader="none" w:pos="127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5" w:lineRule="exact"/>
        <w:rPr>
          <w:rFonts w:ascii="Arial" w:cs="Arial" w:eastAsia="Arial" w:hAnsi="Arial"/>
          <w:sz w:val="18"/>
          <w:szCs w:val="18"/>
          <w:color w:val="auto"/>
        </w:rPr>
      </w:pPr>
    </w:p>
    <w:p>
      <w:pPr>
        <w:ind w:left="1280" w:right="220" w:hanging="635"/>
        <w:spacing w:after="0" w:line="256" w:lineRule="auto"/>
        <w:tabs>
          <w:tab w:leader="none" w:pos="127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5" w:lineRule="exact"/>
        <w:rPr>
          <w:rFonts w:ascii="Arial" w:cs="Arial" w:eastAsia="Arial" w:hAnsi="Arial"/>
          <w:sz w:val="18"/>
          <w:szCs w:val="18"/>
          <w:color w:val="auto"/>
        </w:rPr>
      </w:pPr>
    </w:p>
    <w:p>
      <w:pPr>
        <w:jc w:val="both"/>
        <w:ind w:left="1280" w:right="380" w:hanging="635"/>
        <w:spacing w:after="0" w:line="410" w:lineRule="auto"/>
        <w:tabs>
          <w:tab w:leader="none" w:pos="1277" w:val="left"/>
        </w:tabs>
        <w:numPr>
          <w:ilvl w:val="0"/>
          <w:numId w:val="10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4"/>
          <w:szCs w:val="14"/>
          <w:color w:val="auto"/>
        </w:rPr>
      </w:pPr>
    </w:p>
    <w:p>
      <w:pPr>
        <w:ind w:left="1280" w:right="100" w:hanging="635"/>
        <w:spacing w:after="0" w:line="256" w:lineRule="auto"/>
        <w:tabs>
          <w:tab w:leader="none" w:pos="127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sz w:val="20"/>
          <w:szCs w:val="20"/>
          <w:color w:val="auto"/>
        </w:rPr>
      </w:pPr>
    </w:p>
    <w:p>
      <w:pPr>
        <w:ind w:right="560" w:firstLine="645"/>
        <w:spacing w:after="0" w:line="329" w:lineRule="auto"/>
        <w:tabs>
          <w:tab w:leader="none" w:pos="1258"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sz w:val="20"/>
          <w:szCs w:val="20"/>
          <w:color w:val="auto"/>
        </w:rPr>
      </w:pPr>
    </w:p>
    <w:p>
      <w:pPr>
        <w:ind w:left="1280" w:right="620" w:hanging="635"/>
        <w:spacing w:after="0" w:line="329" w:lineRule="auto"/>
        <w:tabs>
          <w:tab w:leader="none" w:pos="127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Arial" w:cs="Arial" w:eastAsia="Arial" w:hAnsi="Arial"/>
          <w:sz w:val="16"/>
          <w:szCs w:val="16"/>
          <w:color w:val="auto"/>
        </w:rPr>
      </w:pPr>
    </w:p>
    <w:p>
      <w:pPr>
        <w:ind w:left="1280" w:right="340" w:hanging="635"/>
        <w:spacing w:after="0" w:line="266" w:lineRule="auto"/>
        <w:tabs>
          <w:tab w:leader="none" w:pos="127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2023</w:t>
      </w:r>
    </w:p>
    <w:p>
      <w:pPr>
        <w:spacing w:after="0" w:line="378"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4250690</wp:posOffset>
            </wp:positionH>
            <wp:positionV relativeFrom="paragraph">
              <wp:posOffset>11430</wp:posOffset>
            </wp:positionV>
            <wp:extent cx="28873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2">
                      <a:extLst>
                        <a:ext uri="{28A0092B-C50C-407E-A947-70E740481C1C}"/>
                      </a:extLst>
                    </a:blip>
                    <a:srcRect/>
                    <a:stretch>
                      <a:fillRect/>
                    </a:stretch>
                  </pic:blipFill>
                  <pic:spPr bwMode="auto">
                    <a:xfrm>
                      <a:off x="0" y="0"/>
                      <a:ext cx="2887345" cy="8255"/>
                    </a:xfrm>
                    <a:prstGeom prst="rect">
                      <a:avLst/>
                    </a:prstGeom>
                    <a:noFill/>
                  </pic:spPr>
                </pic:pic>
              </a:graphicData>
            </a:graphic>
          </wp:anchor>
        </w:drawing>
      </w:r>
    </w:p>
    <w:p>
      <w:pPr>
        <w:spacing w:after="0" w:line="2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Christopher A. Foster</w:t>
      </w:r>
    </w:p>
    <w:p>
      <w:pPr>
        <w:spacing w:after="0" w:line="5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85"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color w:val="auto"/>
        </w:rPr>
        <w:t>Exhibit 32.1.1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0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 connection with the Quarterly Report of CenterPoint Energy, Inc. (the “Company”) on Form 10-Q for the quarter ended September 30, 2023 (the “Report”), as filed with the Securities and Exchange Commission on the date hereof, I, David J. Lesar, Chief Executive Officer, certify, pursuant to 18 U.S.C. Section 1350, as adopted pursuant to Section 906 of the Sarbanes-Oxley Act of 2002, to the best of my knowledge, that:</w:t>
      </w:r>
    </w:p>
    <w:p>
      <w:pPr>
        <w:spacing w:after="0" w:line="198" w:lineRule="exact"/>
        <w:rPr>
          <w:sz w:val="20"/>
          <w:szCs w:val="20"/>
          <w:color w:val="auto"/>
        </w:rPr>
      </w:pPr>
    </w:p>
    <w:p>
      <w:pPr>
        <w:ind w:left="640" w:hanging="634"/>
        <w:spacing w:after="0"/>
        <w:tabs>
          <w:tab w:leader="none" w:pos="6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5" w:lineRule="exact"/>
        <w:rPr>
          <w:rFonts w:ascii="Arial" w:cs="Arial" w:eastAsia="Arial" w:hAnsi="Arial"/>
          <w:sz w:val="18"/>
          <w:szCs w:val="18"/>
          <w:color w:val="auto"/>
        </w:rPr>
      </w:pPr>
    </w:p>
    <w:p>
      <w:pPr>
        <w:ind w:left="640" w:hanging="634"/>
        <w:spacing w:after="0"/>
        <w:tabs>
          <w:tab w:leader="none" w:pos="64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David J. Lesar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55473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3">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J. Lesar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26, 2023</w:t>
      </w:r>
    </w:p>
    <w:p>
      <w:pPr>
        <w:sectPr>
          <w:pgSz w:w="11900" w:h="16838" w:orient="portrait"/>
          <w:cols w:equalWidth="0" w:num="1">
            <w:col w:w="11240"/>
          </w:cols>
          <w:pgMar w:left="320" w:top="885"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color w:val="auto"/>
        </w:rPr>
        <w:t>Exhibit 32.1.2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00" w:lineRule="exact"/>
        <w:rPr>
          <w:sz w:val="20"/>
          <w:szCs w:val="20"/>
          <w:color w:val="auto"/>
        </w:rPr>
      </w:pPr>
    </w:p>
    <w:p>
      <w:pPr>
        <w:spacing w:after="0" w:line="24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In connection with the Quarterly Report of CenterPoint Energy Houston Electric, LLC (the “Company”) on Form 10-Q for the quarter ended September 30, 2023 (the “Report”), as filed with the Securities and Exchange Commission on the date hereof, I, Jason P. Wells, Chief Executive Officer, certify, pursuant to 18 U.S.C. Section 1350, as adopted pursuant to Section 906 of the Sarbanes-Oxley Act of 2002, to the best of my knowledge, that:</w:t>
      </w:r>
    </w:p>
    <w:p>
      <w:pPr>
        <w:spacing w:after="0" w:line="181" w:lineRule="exact"/>
        <w:rPr>
          <w:sz w:val="20"/>
          <w:szCs w:val="20"/>
          <w:color w:val="auto"/>
        </w:rPr>
      </w:pPr>
    </w:p>
    <w:p>
      <w:pPr>
        <w:ind w:left="640" w:hanging="634"/>
        <w:spacing w:after="0"/>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5" w:lineRule="exact"/>
        <w:rPr>
          <w:rFonts w:ascii="Arial" w:cs="Arial" w:eastAsia="Arial" w:hAnsi="Arial"/>
          <w:sz w:val="18"/>
          <w:szCs w:val="18"/>
          <w:color w:val="auto"/>
        </w:rPr>
      </w:pPr>
    </w:p>
    <w:p>
      <w:pPr>
        <w:ind w:left="640" w:hanging="634"/>
        <w:spacing w:after="0"/>
        <w:tabs>
          <w:tab w:leader="none" w:pos="64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55473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4">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Jason P. Wells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26, 2023</w:t>
      </w:r>
    </w:p>
    <w:p>
      <w:pPr>
        <w:sectPr>
          <w:pgSz w:w="11900" w:h="16838" w:orient="portrait"/>
          <w:cols w:equalWidth="0" w:num="1">
            <w:col w:w="11240"/>
          </w:cols>
          <w:pgMar w:left="320" w:top="885"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color w:val="auto"/>
        </w:rPr>
        <w:t>Exhibit 32.1.3</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34" w:lineRule="exact"/>
        <w:rPr>
          <w:sz w:val="20"/>
          <w:szCs w:val="20"/>
          <w:color w:val="auto"/>
        </w:rPr>
      </w:pPr>
    </w:p>
    <w:p>
      <w:pPr>
        <w:jc w:val="both"/>
        <w:ind w:right="220"/>
        <w:spacing w:after="0" w:line="303" w:lineRule="auto"/>
        <w:rPr>
          <w:sz w:val="20"/>
          <w:szCs w:val="20"/>
          <w:color w:val="auto"/>
        </w:rPr>
      </w:pPr>
      <w:r>
        <w:rPr>
          <w:rFonts w:ascii="Arial" w:cs="Arial" w:eastAsia="Arial" w:hAnsi="Arial"/>
          <w:sz w:val="16"/>
          <w:szCs w:val="16"/>
          <w:color w:val="auto"/>
        </w:rPr>
        <w:t>In connection with the Quarterly Report of CenterPoint Energy Resources Corp. (the “Company”) on Form 10-Q for the quarter ended September 30, 2023 (the “Report”), as filed with the Securities and Exchange Commission on the date hereof, I, Jason P. Wells, Chief Executive Officer, certify, pursuant to 18 U.S.C. Section 1350, as adopted pursuant to Section 906 of the Sarbanes-Oxley Act of 2002, to the best of my knowledge, that:</w:t>
      </w:r>
    </w:p>
    <w:p>
      <w:pPr>
        <w:spacing w:after="0" w:line="181" w:lineRule="exact"/>
        <w:rPr>
          <w:sz w:val="20"/>
          <w:szCs w:val="20"/>
          <w:color w:val="auto"/>
        </w:rPr>
      </w:pPr>
    </w:p>
    <w:p>
      <w:pPr>
        <w:ind w:left="620" w:hanging="614"/>
        <w:spacing w:after="0"/>
        <w:tabs>
          <w:tab w:leader="none" w:pos="6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5" w:lineRule="exact"/>
        <w:rPr>
          <w:rFonts w:ascii="Arial" w:cs="Arial" w:eastAsia="Arial" w:hAnsi="Arial"/>
          <w:sz w:val="18"/>
          <w:szCs w:val="18"/>
          <w:color w:val="auto"/>
        </w:rPr>
      </w:pPr>
    </w:p>
    <w:p>
      <w:pPr>
        <w:ind w:left="620" w:hanging="614"/>
        <w:spacing w:after="0"/>
        <w:tabs>
          <w:tab w:leader="none" w:pos="6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1242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5">
                      <a:extLst>
                        <a:ext uri="{28A0092B-C50C-407E-A947-70E740481C1C}"/>
                      </a:extLst>
                    </a:blip>
                    <a:srcRect/>
                    <a:stretch>
                      <a:fillRect/>
                    </a:stretch>
                  </pic:blipFill>
                  <pic:spPr bwMode="auto">
                    <a:xfrm>
                      <a:off x="0" y="0"/>
                      <a:ext cx="312420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Jason P. Wells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26, 2023</w:t>
      </w:r>
    </w:p>
    <w:p>
      <w:pPr>
        <w:sectPr>
          <w:pgSz w:w="11900" w:h="16838" w:orient="portrait"/>
          <w:cols w:equalWidth="0" w:num="1">
            <w:col w:w="11240"/>
          </w:cols>
          <w:pgMar w:left="320" w:top="885"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color w:val="auto"/>
        </w:rPr>
        <w:t>Exhibit 32.2.1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3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 connection with the Quarterly Report of CenterPoint Energy, Inc. (the “Company”) on Form 10-Q for the quarter ended September 30, 2023 (the “Report”), as filed with the Securities and Exchange Commission on the date hereof, I, Christopher A. Foster, Chief Financial Officer, certify, pursuant to 18 U.S.C. Section 1350, as adopted pursuant to Section 906 of the Sarbanes-Oxley Act of 2002, to the best of my knowledge, that:</w:t>
      </w:r>
    </w:p>
    <w:p>
      <w:pPr>
        <w:spacing w:after="0" w:line="198" w:lineRule="exact"/>
        <w:rPr>
          <w:sz w:val="20"/>
          <w:szCs w:val="20"/>
          <w:color w:val="auto"/>
        </w:rPr>
      </w:pPr>
    </w:p>
    <w:p>
      <w:pPr>
        <w:ind w:left="640" w:hanging="634"/>
        <w:spacing w:after="0"/>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5" w:lineRule="exact"/>
        <w:rPr>
          <w:rFonts w:ascii="Arial" w:cs="Arial" w:eastAsia="Arial" w:hAnsi="Arial"/>
          <w:sz w:val="18"/>
          <w:szCs w:val="18"/>
          <w:color w:val="auto"/>
        </w:rPr>
      </w:pPr>
    </w:p>
    <w:p>
      <w:pPr>
        <w:ind w:left="640" w:hanging="634"/>
        <w:spacing w:after="0"/>
        <w:tabs>
          <w:tab w:leader="none" w:pos="6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55473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6">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Christopher A. Foster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26, 2023</w:t>
      </w:r>
    </w:p>
    <w:p>
      <w:pPr>
        <w:sectPr>
          <w:pgSz w:w="11900" w:h="16838" w:orient="portrait"/>
          <w:cols w:equalWidth="0" w:num="1">
            <w:col w:w="11240"/>
          </w:cols>
          <w:pgMar w:left="320" w:top="885"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color w:val="auto"/>
        </w:rPr>
        <w:t>Exhibit 32.2.2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00" w:lineRule="exact"/>
        <w:rPr>
          <w:sz w:val="20"/>
          <w:szCs w:val="20"/>
          <w:color w:val="auto"/>
        </w:rPr>
      </w:pPr>
    </w:p>
    <w:p>
      <w:pPr>
        <w:spacing w:after="0" w:line="24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In connection with the Quarterly Report of CenterPoint Energy Houston Electric, LLC (the “Company”) on Form 10-Q for the quarter ended September 30, 2023 (the “Report”), as filed with the Securities and Exchange Commission on the date hereof, I, Christopher A. Foster, Chief Financial Officer, certify, pursuant to 18 U.S.C. Section 1350, as adopted pursuant to Section 906 of the Sarbanes-Oxley Act of 2002, to the best of my knowledge, that:</w:t>
      </w:r>
    </w:p>
    <w:p>
      <w:pPr>
        <w:spacing w:after="0" w:line="181" w:lineRule="exact"/>
        <w:rPr>
          <w:sz w:val="20"/>
          <w:szCs w:val="20"/>
          <w:color w:val="auto"/>
        </w:rPr>
      </w:pPr>
    </w:p>
    <w:p>
      <w:pPr>
        <w:ind w:left="640" w:hanging="634"/>
        <w:spacing w:after="0"/>
        <w:tabs>
          <w:tab w:leader="none" w:pos="6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5" w:lineRule="exact"/>
        <w:rPr>
          <w:rFonts w:ascii="Arial" w:cs="Arial" w:eastAsia="Arial" w:hAnsi="Arial"/>
          <w:sz w:val="18"/>
          <w:szCs w:val="18"/>
          <w:color w:val="auto"/>
        </w:rPr>
      </w:pPr>
    </w:p>
    <w:p>
      <w:pPr>
        <w:ind w:left="640" w:hanging="634"/>
        <w:spacing w:after="0"/>
        <w:tabs>
          <w:tab w:leader="none" w:pos="6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55473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7">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Christopher A. Foster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26, 2023</w:t>
      </w:r>
    </w:p>
    <w:p>
      <w:pPr>
        <w:sectPr>
          <w:pgSz w:w="11900" w:h="16838" w:orient="portrait"/>
          <w:cols w:equalWidth="0" w:num="1">
            <w:col w:w="11240"/>
          </w:cols>
          <w:pgMar w:left="320" w:top="885"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color w:val="auto"/>
        </w:rPr>
        <w:t>Exhibit 32.2.3</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34"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In connection with the Quarterly Report of CenterPoint Energy Resources Corp. (the “Company”) on Form 10-Q for the quarter ended September 30, 2023 (the “Report”), as filed with the Securities and Exchange Commission on the date hereof, I, Christopher A. Foster, Chief Financial Officer, certify, pursuant to 18 U.S.C. Section 1350, as adopted pursuant to Section 906 of the Sarbanes-Oxley Act of 2002, to the best of my knowledge, that:</w:t>
      </w:r>
    </w:p>
    <w:p>
      <w:pPr>
        <w:spacing w:after="0" w:line="181" w:lineRule="exact"/>
        <w:rPr>
          <w:sz w:val="20"/>
          <w:szCs w:val="20"/>
          <w:color w:val="auto"/>
        </w:rPr>
      </w:pPr>
    </w:p>
    <w:p>
      <w:pPr>
        <w:ind w:left="620" w:hanging="614"/>
        <w:spacing w:after="0"/>
        <w:tabs>
          <w:tab w:leader="none" w:pos="6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5" w:lineRule="exact"/>
        <w:rPr>
          <w:rFonts w:ascii="Arial" w:cs="Arial" w:eastAsia="Arial" w:hAnsi="Arial"/>
          <w:sz w:val="18"/>
          <w:szCs w:val="18"/>
          <w:color w:val="auto"/>
        </w:rPr>
      </w:pPr>
    </w:p>
    <w:p>
      <w:pPr>
        <w:ind w:left="620" w:hanging="614"/>
        <w:spacing w:after="0"/>
        <w:tabs>
          <w:tab w:leader="none" w:pos="6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55473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8">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Christopher A. Foster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26, 2023</w:t>
      </w:r>
    </w:p>
    <w:sectPr>
      <w:pgSz w:w="11900" w:h="16838" w:orient="portrait"/>
      <w:cols w:equalWidth="0" w:num="1">
        <w:col w:w="11240"/>
      </w:cols>
      <w:pgMar w:left="320" w:top="10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5BA861"/>
    <w:multiLevelType w:val="hybridMultilevel"/>
    <w:lvl w:ilvl="0">
      <w:lvlJc w:val="left"/>
      <w:lvlText w:val="☑"/>
      <w:numFmt w:val="bullet"/>
      <w:start w:val="1"/>
    </w:lvl>
  </w:abstractNum>
  <w:abstractNum w:abstractNumId="1">
    <w:nsid w:val="47398C89"/>
    <w:multiLevelType w:val="hybridMultilevel"/>
    <w:lvl w:ilvl="0">
      <w:lvlJc w:val="left"/>
      <w:lvlText w:val="☐"/>
      <w:numFmt w:val="bullet"/>
      <w:start w:val="1"/>
    </w:lvl>
  </w:abstractNum>
  <w:abstractNum w:abstractNumId="2">
    <w:nsid w:val="354FE9F9"/>
    <w:multiLevelType w:val="hybridMultilevel"/>
    <w:lvl w:ilvl="0">
      <w:lvlJc w:val="left"/>
      <w:lvlText w:val="•"/>
      <w:numFmt w:val="bullet"/>
      <w:start w:val="1"/>
    </w:lvl>
  </w:abstractNum>
  <w:abstractNum w:abstractNumId="3">
    <w:nsid w:val="15B5AF5C"/>
    <w:multiLevelType w:val="hybridMultilevel"/>
    <w:lvl w:ilvl="0">
      <w:lvlJc w:val="left"/>
      <w:lvlText w:val="•"/>
      <w:numFmt w:val="bullet"/>
      <w:start w:val="1"/>
    </w:lvl>
  </w:abstractNum>
  <w:abstractNum w:abstractNumId="4">
    <w:nsid w:val="741226BB"/>
    <w:multiLevelType w:val="hybridMultilevel"/>
    <w:lvl w:ilvl="0">
      <w:lvlJc w:val="left"/>
      <w:lvlText w:val="•"/>
      <w:numFmt w:val="bullet"/>
      <w:start w:val="1"/>
    </w:lvl>
  </w:abstractNum>
  <w:abstractNum w:abstractNumId="5">
    <w:nsid w:val="D34B6A8"/>
    <w:multiLevelType w:val="hybridMultilevel"/>
    <w:lvl w:ilvl="0">
      <w:lvlJc w:val="left"/>
      <w:lvlText w:val="(%1)"/>
      <w:numFmt w:val="decimal"/>
      <w:start w:val="4"/>
    </w:lvl>
  </w:abstractNum>
  <w:abstractNum w:abstractNumId="6">
    <w:nsid w:val="10233C99"/>
    <w:multiLevelType w:val="hybridMultilevel"/>
    <w:lvl w:ilvl="0">
      <w:lvlJc w:val="left"/>
      <w:lvlText w:val="(%1)"/>
      <w:numFmt w:val="decimal"/>
      <w:start w:val="1"/>
    </w:lvl>
  </w:abstractNum>
  <w:abstractNum w:abstractNumId="7">
    <w:nsid w:val="3F6AB60F"/>
    <w:multiLevelType w:val="hybridMultilevel"/>
    <w:lvl w:ilvl="0">
      <w:lvlJc w:val="left"/>
      <w:lvlText w:val="(%1)"/>
      <w:numFmt w:val="decimal"/>
      <w:start w:val="1"/>
    </w:lvl>
  </w:abstractNum>
  <w:abstractNum w:abstractNumId="8">
    <w:nsid w:val="61574095"/>
    <w:multiLevelType w:val="hybridMultilevel"/>
    <w:lvl w:ilvl="0">
      <w:lvlJc w:val="left"/>
      <w:lvlText w:val="(%1)"/>
      <w:numFmt w:val="decimal"/>
      <w:start w:val="1"/>
    </w:lvl>
  </w:abstractNum>
  <w:abstractNum w:abstractNumId="9">
    <w:nsid w:val="7E0C57B1"/>
    <w:multiLevelType w:val="hybridMultilevel"/>
    <w:lvl w:ilvl="0">
      <w:lvlJc w:val="left"/>
      <w:lvlText w:val="(%1)"/>
      <w:numFmt w:val="decimal"/>
      <w:start w:val="1"/>
    </w:lvl>
  </w:abstractNum>
  <w:abstractNum w:abstractNumId="10">
    <w:nsid w:val="77AE35EB"/>
    <w:multiLevelType w:val="hybridMultilevel"/>
    <w:lvl w:ilvl="0">
      <w:lvlJc w:val="left"/>
      <w:lvlText w:val="(%1)"/>
      <w:numFmt w:val="decimal"/>
      <w:start w:val="1"/>
    </w:lvl>
  </w:abstractNum>
  <w:abstractNum w:abstractNumId="11">
    <w:nsid w:val="579BE4F1"/>
    <w:multiLevelType w:val="hybridMultilevel"/>
    <w:lvl w:ilvl="0">
      <w:lvlJc w:val="left"/>
      <w:lvlText w:val="(%1)"/>
      <w:numFmt w:val="decimal"/>
      <w:start w:val="1"/>
    </w:lvl>
  </w:abstractNum>
  <w:abstractNum w:abstractNumId="12">
    <w:nsid w:val="310C50B3"/>
    <w:multiLevelType w:val="hybridMultilevel"/>
    <w:lvl w:ilvl="0">
      <w:lvlJc w:val="left"/>
      <w:lvlText w:val="%1"/>
      <w:numFmt w:val="decimal"/>
      <w:start w:val="1"/>
    </w:lvl>
    <w:lvl w:ilvl="1">
      <w:lvlJc w:val="left"/>
      <w:lvlText w:val="(%2)"/>
      <w:numFmt w:val="decimal"/>
      <w:start w:val="1"/>
    </w:lvl>
  </w:abstractNum>
  <w:abstractNum w:abstractNumId="13">
    <w:nsid w:val="5FF87E05"/>
    <w:multiLevelType w:val="hybridMultilevel"/>
    <w:lvl w:ilvl="0">
      <w:lvlJc w:val="left"/>
      <w:lvlText w:val="(%1)"/>
      <w:numFmt w:val="decimal"/>
      <w:start w:val="6"/>
    </w:lvl>
    <w:lvl w:ilvl="1">
      <w:lvlJc w:val="left"/>
      <w:lvlText w:val="%2"/>
      <w:numFmt w:val="decimal"/>
      <w:start w:val="1"/>
    </w:lvl>
  </w:abstractNum>
  <w:abstractNum w:abstractNumId="14">
    <w:nsid w:val="2F305DEF"/>
    <w:multiLevelType w:val="hybridMultilevel"/>
    <w:lvl w:ilvl="0">
      <w:lvlJc w:val="left"/>
      <w:lvlText w:val="(%1)"/>
      <w:numFmt w:val="decimal"/>
      <w:start w:val="1"/>
    </w:lvl>
  </w:abstractNum>
  <w:abstractNum w:abstractNumId="15">
    <w:nsid w:val="25A70BF7"/>
    <w:multiLevelType w:val="hybridMultilevel"/>
    <w:lvl w:ilvl="0">
      <w:lvlJc w:val="left"/>
      <w:lvlText w:val="(%1)"/>
      <w:numFmt w:val="decimal"/>
      <w:start w:val="1"/>
    </w:lvl>
  </w:abstractNum>
  <w:abstractNum w:abstractNumId="16">
    <w:nsid w:val="1DBABF00"/>
    <w:multiLevelType w:val="hybridMultilevel"/>
    <w:lvl w:ilvl="0">
      <w:lvlJc w:val="left"/>
      <w:lvlText w:val="%1"/>
      <w:numFmt w:val="lowerLetter"/>
      <w:start w:val="1"/>
    </w:lvl>
    <w:lvl w:ilvl="1">
      <w:lvlJc w:val="left"/>
      <w:lvlText w:val="(%2)"/>
      <w:numFmt w:val="decimal"/>
      <w:start w:val="1"/>
    </w:lvl>
  </w:abstractNum>
  <w:abstractNum w:abstractNumId="17">
    <w:nsid w:val="4AD084E9"/>
    <w:multiLevelType w:val="hybridMultilevel"/>
    <w:lvl w:ilvl="0">
      <w:lvlJc w:val="left"/>
      <w:lvlText w:val="(%1)"/>
      <w:numFmt w:val="lowerLetter"/>
      <w:start w:val="3"/>
    </w:lvl>
    <w:lvl w:ilvl="1">
      <w:lvlJc w:val="left"/>
      <w:lvlText w:val="%2"/>
      <w:numFmt w:val="decimal"/>
      <w:start w:val="1"/>
    </w:lvl>
  </w:abstractNum>
  <w:abstractNum w:abstractNumId="18">
    <w:nsid w:val="1F48EAA1"/>
    <w:multiLevelType w:val="hybridMultilevel"/>
    <w:lvl w:ilvl="0">
      <w:lvlJc w:val="left"/>
      <w:lvlText w:val="%1"/>
      <w:numFmt w:val="decimal"/>
      <w:start w:val="1"/>
    </w:lvl>
    <w:lvl w:ilvl="1">
      <w:lvlJc w:val="left"/>
      <w:lvlText w:val="(%2)"/>
      <w:numFmt w:val="decimal"/>
      <w:start w:val="1"/>
    </w:lvl>
  </w:abstractNum>
  <w:abstractNum w:abstractNumId="19">
    <w:nsid w:val="1381823A"/>
    <w:multiLevelType w:val="hybridMultilevel"/>
    <w:lvl w:ilvl="0">
      <w:lvlJc w:val="left"/>
      <w:lvlText w:val="(%1)"/>
      <w:numFmt w:val="decimal"/>
      <w:start w:val="9"/>
    </w:lvl>
    <w:lvl w:ilvl="1">
      <w:lvlJc w:val="left"/>
      <w:lvlText w:val="%2"/>
      <w:numFmt w:val="decimal"/>
      <w:start w:val="1"/>
    </w:lvl>
  </w:abstractNum>
  <w:abstractNum w:abstractNumId="20">
    <w:nsid w:val="5DB70AE5"/>
    <w:multiLevelType w:val="hybridMultilevel"/>
    <w:lvl w:ilvl="0">
      <w:lvlJc w:val="left"/>
      <w:lvlText w:val="(%1)"/>
      <w:numFmt w:val="decimal"/>
      <w:start w:val="1"/>
    </w:lvl>
  </w:abstractNum>
  <w:abstractNum w:abstractNumId="21">
    <w:nsid w:val="100F8FCA"/>
    <w:multiLevelType w:val="hybridMultilevel"/>
    <w:lvl w:ilvl="0">
      <w:lvlJc w:val="left"/>
      <w:lvlText w:val="(%1)"/>
      <w:numFmt w:val="decimal"/>
      <w:start w:val="1"/>
    </w:lvl>
  </w:abstractNum>
  <w:abstractNum w:abstractNumId="22">
    <w:nsid w:val="6590700B"/>
    <w:multiLevelType w:val="hybridMultilevel"/>
    <w:lvl w:ilvl="0">
      <w:lvlJc w:val="left"/>
      <w:lvlText w:val="(%1)"/>
      <w:numFmt w:val="decimal"/>
      <w:start w:val="10"/>
    </w:lvl>
    <w:lvl w:ilvl="1">
      <w:lvlJc w:val="left"/>
      <w:lvlText w:val="(%2)"/>
      <w:numFmt w:val="lowerLetter"/>
      <w:start w:val="1"/>
    </w:lvl>
  </w:abstractNum>
  <w:abstractNum w:abstractNumId="23">
    <w:nsid w:val="15014ACB"/>
    <w:multiLevelType w:val="hybridMultilevel"/>
    <w:lvl w:ilvl="0">
      <w:lvlJc w:val="left"/>
      <w:lvlText w:val="(%1)"/>
      <w:numFmt w:val="decimal"/>
      <w:start w:val="1"/>
    </w:lvl>
  </w:abstractNum>
  <w:abstractNum w:abstractNumId="24">
    <w:nsid w:val="5F5E7FD0"/>
    <w:multiLevelType w:val="hybridMultilevel"/>
    <w:lvl w:ilvl="0">
      <w:lvlJc w:val="left"/>
      <w:lvlText w:val="(%1)"/>
      <w:numFmt w:val="decimal"/>
      <w:start w:val="12"/>
    </w:lvl>
  </w:abstractNum>
  <w:abstractNum w:abstractNumId="25">
    <w:nsid w:val="98A3148"/>
    <w:multiLevelType w:val="hybridMultilevel"/>
    <w:lvl w:ilvl="0">
      <w:lvlJc w:val="left"/>
      <w:lvlText w:val="(%1)"/>
      <w:numFmt w:val="decimal"/>
      <w:start w:val="1"/>
    </w:lvl>
  </w:abstractNum>
  <w:abstractNum w:abstractNumId="26">
    <w:nsid w:val="799D0247"/>
    <w:multiLevelType w:val="hybridMultilevel"/>
    <w:lvl w:ilvl="0">
      <w:lvlJc w:val="left"/>
      <w:lvlText w:val="(%1)"/>
      <w:numFmt w:val="decimal"/>
      <w:start w:val="1"/>
    </w:lvl>
  </w:abstractNum>
  <w:abstractNum w:abstractNumId="27">
    <w:nsid w:val="6B94764"/>
    <w:multiLevelType w:val="hybridMultilevel"/>
    <w:lvl w:ilvl="0">
      <w:lvlJc w:val="left"/>
      <w:lvlText w:val="(%1)"/>
      <w:numFmt w:val="decimal"/>
      <w:start w:val="1"/>
    </w:lvl>
  </w:abstractNum>
  <w:abstractNum w:abstractNumId="28">
    <w:nsid w:val="42C296BD"/>
    <w:multiLevelType w:val="hybridMultilevel"/>
    <w:lvl w:ilvl="0">
      <w:lvlJc w:val="left"/>
      <w:lvlText w:val="(%1)"/>
      <w:numFmt w:val="decimal"/>
      <w:start w:val="1"/>
    </w:lvl>
  </w:abstractNum>
  <w:abstractNum w:abstractNumId="29">
    <w:nsid w:val="168E121F"/>
    <w:multiLevelType w:val="hybridMultilevel"/>
    <w:lvl w:ilvl="0">
      <w:lvlJc w:val="left"/>
      <w:lvlText w:val="(%1)"/>
      <w:numFmt w:val="decimal"/>
      <w:start w:val="2"/>
    </w:lvl>
  </w:abstractNum>
  <w:abstractNum w:abstractNumId="30">
    <w:nsid w:val="1EBA5D23"/>
    <w:multiLevelType w:val="hybridMultilevel"/>
    <w:lvl w:ilvl="0">
      <w:lvlJc w:val="left"/>
      <w:lvlText w:val="(%1)"/>
      <w:numFmt w:val="decimal"/>
      <w:start w:val="13"/>
    </w:lvl>
    <w:lvl w:ilvl="1">
      <w:lvlJc w:val="left"/>
      <w:lvlText w:val="(%2)"/>
      <w:numFmt w:val="lowerLetter"/>
      <w:start w:val="1"/>
    </w:lvl>
  </w:abstractNum>
  <w:abstractNum w:abstractNumId="31">
    <w:nsid w:val="661E3F1E"/>
    <w:multiLevelType w:val="hybridMultilevel"/>
    <w:lvl w:ilvl="0">
      <w:lvlJc w:val="left"/>
      <w:lvlText w:val="(%1)"/>
      <w:numFmt w:val="decimal"/>
      <w:start w:val="1"/>
    </w:lvl>
  </w:abstractNum>
  <w:abstractNum w:abstractNumId="32">
    <w:nsid w:val="5DC79EA8"/>
    <w:multiLevelType w:val="hybridMultilevel"/>
    <w:lvl w:ilvl="0">
      <w:lvlJc w:val="left"/>
      <w:lvlText w:val="(%1)"/>
      <w:numFmt w:val="lowerLetter"/>
      <w:start w:val="3"/>
    </w:lvl>
  </w:abstractNum>
  <w:abstractNum w:abstractNumId="33">
    <w:nsid w:val="540A471C"/>
    <w:multiLevelType w:val="hybridMultilevel"/>
    <w:lvl w:ilvl="0">
      <w:lvlJc w:val="left"/>
      <w:lvlText w:val="(%1)"/>
      <w:numFmt w:val="lowerRoman"/>
      <w:start w:val="1"/>
    </w:lvl>
  </w:abstractNum>
  <w:abstractNum w:abstractNumId="34">
    <w:nsid w:val="7BD3EE7B"/>
    <w:multiLevelType w:val="hybridMultilevel"/>
    <w:lvl w:ilvl="0">
      <w:lvlJc w:val="left"/>
      <w:lvlText w:val="•"/>
      <w:numFmt w:val="bullet"/>
      <w:start w:val="1"/>
    </w:lvl>
  </w:abstractNum>
  <w:abstractNum w:abstractNumId="35">
    <w:nsid w:val="51D9C564"/>
    <w:multiLevelType w:val="hybridMultilevel"/>
    <w:lvl w:ilvl="0">
      <w:lvlJc w:val="left"/>
      <w:lvlText w:val="•"/>
      <w:numFmt w:val="bullet"/>
      <w:start w:val="1"/>
    </w:lvl>
  </w:abstractNum>
  <w:abstractNum w:abstractNumId="36">
    <w:nsid w:val="613EFDC5"/>
    <w:multiLevelType w:val="hybridMultilevel"/>
    <w:lvl w:ilvl="0">
      <w:lvlJc w:val="left"/>
      <w:lvlText w:val="•"/>
      <w:numFmt w:val="bullet"/>
      <w:start w:val="1"/>
    </w:lvl>
  </w:abstractNum>
  <w:abstractNum w:abstractNumId="37">
    <w:nsid w:val="BF72B14"/>
    <w:multiLevelType w:val="hybridMultilevel"/>
    <w:lvl w:ilvl="0">
      <w:lvlJc w:val="left"/>
      <w:lvlText w:val="(%1)"/>
      <w:numFmt w:val="decimal"/>
      <w:start w:val="1"/>
    </w:lvl>
  </w:abstractNum>
  <w:abstractNum w:abstractNumId="38">
    <w:nsid w:val="11447B73"/>
    <w:multiLevelType w:val="hybridMultilevel"/>
    <w:lvl w:ilvl="0">
      <w:lvlJc w:val="left"/>
      <w:lvlText w:val="%1"/>
      <w:numFmt w:val="decimal"/>
      <w:start w:val="1"/>
    </w:lvl>
    <w:lvl w:ilvl="1">
      <w:lvlJc w:val="left"/>
      <w:lvlText w:val="(%2)"/>
      <w:numFmt w:val="decimal"/>
      <w:start w:val="1"/>
    </w:lvl>
  </w:abstractNum>
  <w:abstractNum w:abstractNumId="39">
    <w:nsid w:val="42963E5A"/>
    <w:multiLevelType w:val="hybridMultilevel"/>
    <w:lvl w:ilvl="0">
      <w:lvlJc w:val="left"/>
      <w:lvlText w:val="(%1)"/>
      <w:numFmt w:val="decimal"/>
      <w:start w:val="17"/>
    </w:lvl>
    <w:lvl w:ilvl="1">
      <w:lvlJc w:val="left"/>
      <w:lvlText w:val="%2"/>
      <w:numFmt w:val="decimal"/>
      <w:start w:val="1"/>
    </w:lvl>
  </w:abstractNum>
  <w:abstractNum w:abstractNumId="40">
    <w:nsid w:val="A0382C5"/>
    <w:multiLevelType w:val="hybridMultilevel"/>
    <w:lvl w:ilvl="0">
      <w:lvlJc w:val="left"/>
      <w:lvlText w:val="(%1)"/>
      <w:numFmt w:val="decimal"/>
      <w:start w:val="1"/>
    </w:lvl>
  </w:abstractNum>
  <w:abstractNum w:abstractNumId="41">
    <w:nsid w:val="8F2B15E"/>
    <w:multiLevelType w:val="hybridMultilevel"/>
    <w:lvl w:ilvl="0">
      <w:lvlJc w:val="left"/>
      <w:lvlText w:val="%1"/>
      <w:numFmt w:val="decimal"/>
      <w:start w:val="1"/>
    </w:lvl>
    <w:lvl w:ilvl="1">
      <w:lvlJc w:val="left"/>
      <w:lvlText w:val="(%2)"/>
      <w:numFmt w:val="decimal"/>
      <w:start w:val="1"/>
    </w:lvl>
  </w:abstractNum>
  <w:abstractNum w:abstractNumId="42">
    <w:nsid w:val="1A32234B"/>
    <w:multiLevelType w:val="hybridMultilevel"/>
    <w:lvl w:ilvl="0">
      <w:lvlJc w:val="left"/>
      <w:lvlText w:val="(%1)"/>
      <w:numFmt w:val="decimal"/>
      <w:start w:val="18"/>
    </w:lvl>
    <w:lvl w:ilvl="1">
      <w:lvlJc w:val="left"/>
      <w:lvlText w:val="%2"/>
      <w:numFmt w:val="decimal"/>
      <w:start w:val="1"/>
    </w:lvl>
  </w:abstractNum>
  <w:abstractNum w:abstractNumId="43">
    <w:nsid w:val="3B0FD379"/>
    <w:multiLevelType w:val="hybridMultilevel"/>
    <w:lvl w:ilvl="0">
      <w:lvlJc w:val="left"/>
      <w:lvlText w:val="%1"/>
      <w:numFmt w:val="decimal"/>
      <w:start w:val="1"/>
    </w:lvl>
    <w:lvl w:ilvl="1">
      <w:lvlJc w:val="left"/>
      <w:lvlText w:val="(%2)"/>
      <w:numFmt w:val="decimal"/>
      <w:start w:val="1"/>
    </w:lvl>
  </w:abstractNum>
  <w:abstractNum w:abstractNumId="44">
    <w:nsid w:val="68EB2F63"/>
    <w:multiLevelType w:val="hybridMultilevel"/>
    <w:lvl w:ilvl="0">
      <w:lvlJc w:val="left"/>
      <w:lvlText w:val="(%1)"/>
      <w:numFmt w:val="decimal"/>
      <w:start w:val="19"/>
    </w:lvl>
    <w:lvl w:ilvl="1">
      <w:lvlJc w:val="left"/>
      <w:lvlText w:val="%2"/>
      <w:numFmt w:val="decimal"/>
      <w:start w:val="1"/>
    </w:lvl>
  </w:abstractNum>
  <w:abstractNum w:abstractNumId="45">
    <w:nsid w:val="4962813B"/>
    <w:multiLevelType w:val="hybridMultilevel"/>
    <w:lvl w:ilvl="0">
      <w:lvlJc w:val="left"/>
      <w:lvlText w:val="(%1)"/>
      <w:numFmt w:val="decimal"/>
      <w:start w:val="1"/>
    </w:lvl>
  </w:abstractNum>
  <w:abstractNum w:abstractNumId="46">
    <w:nsid w:val="60B6DF70"/>
    <w:multiLevelType w:val="hybridMultilevel"/>
    <w:lvl w:ilvl="0">
      <w:lvlJc w:val="left"/>
      <w:lvlText w:val="(%1)"/>
      <w:numFmt w:val="decimal"/>
      <w:start w:val="1"/>
    </w:lvl>
  </w:abstractNum>
  <w:abstractNum w:abstractNumId="47">
    <w:nsid w:val="6A5EE64"/>
    <w:multiLevelType w:val="hybridMultilevel"/>
    <w:lvl w:ilvl="0">
      <w:lvlJc w:val="left"/>
      <w:lvlText w:val="(%1)"/>
      <w:numFmt w:val="decimal"/>
      <w:start w:val="1"/>
    </w:lvl>
  </w:abstractNum>
  <w:abstractNum w:abstractNumId="48">
    <w:nsid w:val="14330624"/>
    <w:multiLevelType w:val="hybridMultilevel"/>
    <w:lvl w:ilvl="0">
      <w:lvlJc w:val="left"/>
      <w:lvlText w:val="•"/>
      <w:numFmt w:val="bullet"/>
      <w:start w:val="1"/>
    </w:lvl>
  </w:abstractNum>
  <w:abstractNum w:abstractNumId="49">
    <w:nsid w:val="7FFFCA11"/>
    <w:multiLevelType w:val="hybridMultilevel"/>
    <w:lvl w:ilvl="0">
      <w:lvlJc w:val="left"/>
      <w:lvlText w:val="•"/>
      <w:numFmt w:val="bullet"/>
      <w:start w:val="1"/>
    </w:lvl>
  </w:abstractNum>
  <w:abstractNum w:abstractNumId="50">
    <w:nsid w:val="1A27709E"/>
    <w:multiLevelType w:val="hybridMultilevel"/>
    <w:lvl w:ilvl="0">
      <w:lvlJc w:val="left"/>
      <w:lvlText w:val="(%1)"/>
      <w:numFmt w:val="decimal"/>
      <w:start w:val="1"/>
    </w:lvl>
  </w:abstractNum>
  <w:abstractNum w:abstractNumId="51">
    <w:nsid w:val="71EA1109"/>
    <w:multiLevelType w:val="hybridMultilevel"/>
    <w:lvl w:ilvl="0">
      <w:lvlJc w:val="left"/>
      <w:lvlText w:val="•"/>
      <w:numFmt w:val="bullet"/>
      <w:start w:val="1"/>
    </w:lvl>
  </w:abstractNum>
  <w:abstractNum w:abstractNumId="52">
    <w:nsid w:val="100F59DC"/>
    <w:multiLevelType w:val="hybridMultilevel"/>
    <w:lvl w:ilvl="0">
      <w:lvlJc w:val="left"/>
      <w:lvlText w:val="•"/>
      <w:numFmt w:val="bullet"/>
      <w:start w:val="1"/>
    </w:lvl>
  </w:abstractNum>
  <w:abstractNum w:abstractNumId="53">
    <w:nsid w:val="7FB7E0AA"/>
    <w:multiLevelType w:val="hybridMultilevel"/>
    <w:lvl w:ilvl="0">
      <w:lvlJc w:val="left"/>
      <w:lvlText w:val="(%1)"/>
      <w:numFmt w:val="decimal"/>
      <w:start w:val="1"/>
    </w:lvl>
  </w:abstractNum>
  <w:abstractNum w:abstractNumId="54">
    <w:nsid w:val="6EB5BD4"/>
    <w:multiLevelType w:val="hybridMultilevel"/>
    <w:lvl w:ilvl="0">
      <w:lvlJc w:val="left"/>
      <w:lvlText w:val="(%1)"/>
      <w:numFmt w:val="decimal"/>
      <w:start w:val="1"/>
    </w:lvl>
  </w:abstractNum>
  <w:abstractNum w:abstractNumId="55">
    <w:nsid w:val="6F6DD9AC"/>
    <w:multiLevelType w:val="hybridMultilevel"/>
    <w:lvl w:ilvl="0">
      <w:lvlJc w:val="left"/>
      <w:lvlText w:val="•"/>
      <w:numFmt w:val="bullet"/>
      <w:start w:val="1"/>
    </w:lvl>
  </w:abstractNum>
  <w:abstractNum w:abstractNumId="56">
    <w:nsid w:val="94211F2"/>
    <w:multiLevelType w:val="hybridMultilevel"/>
    <w:lvl w:ilvl="0">
      <w:lvlJc w:val="left"/>
      <w:lvlText w:val="*"/>
      <w:numFmt w:val="bullet"/>
      <w:start w:val="1"/>
    </w:lvl>
  </w:abstractNum>
  <w:abstractNum w:abstractNumId="57">
    <w:nsid w:val="885E1B"/>
    <w:multiLevelType w:val="hybridMultilevel"/>
    <w:lvl w:ilvl="0">
      <w:lvlJc w:val="left"/>
      <w:lvlText w:val="(%1)"/>
      <w:numFmt w:val="lowerLetter"/>
      <w:start w:val="1"/>
    </w:lvl>
  </w:abstractNum>
  <w:abstractNum w:abstractNumId="58">
    <w:nsid w:val="76272110"/>
    <w:multiLevelType w:val="hybridMultilevel"/>
    <w:lvl w:ilvl="0">
      <w:lvlJc w:val="left"/>
      <w:lvlText w:val="(%1)"/>
      <w:numFmt w:val="lowerLetter"/>
      <w:start w:val="2"/>
    </w:lvl>
  </w:abstractNum>
  <w:abstractNum w:abstractNumId="59">
    <w:nsid w:val="4C04A8AF"/>
    <w:multiLevelType w:val="hybridMultilevel"/>
    <w:lvl w:ilvl="0">
      <w:lvlJc w:val="left"/>
      <w:lvlText w:val="(%1)"/>
      <w:numFmt w:val="lowerLetter"/>
      <w:start w:val="1"/>
    </w:lvl>
  </w:abstractNum>
  <w:abstractNum w:abstractNumId="60">
    <w:nsid w:val="1716703B"/>
    <w:multiLevelType w:val="hybridMultilevel"/>
    <w:lvl w:ilvl="0">
      <w:lvlJc w:val="left"/>
      <w:lvlText w:val="(%1)"/>
      <w:numFmt w:val="lowerLetter"/>
      <w:start w:val="1"/>
    </w:lvl>
  </w:abstractNum>
  <w:abstractNum w:abstractNumId="61">
    <w:nsid w:val="14E17E33"/>
    <w:multiLevelType w:val="hybridMultilevel"/>
    <w:lvl w:ilvl="0">
      <w:lvlJc w:val="left"/>
      <w:lvlText w:val="(%1)"/>
      <w:numFmt w:val="lowerLetter"/>
      <w:start w:val="2"/>
    </w:lvl>
  </w:abstractNum>
  <w:abstractNum w:abstractNumId="62">
    <w:nsid w:val="3222E7CD"/>
    <w:multiLevelType w:val="hybridMultilevel"/>
    <w:lvl w:ilvl="0">
      <w:lvlJc w:val="left"/>
      <w:lvlText w:val="(%1)"/>
      <w:numFmt w:val="lowerLetter"/>
      <w:start w:val="1"/>
    </w:lvl>
  </w:abstractNum>
  <w:abstractNum w:abstractNumId="63">
    <w:nsid w:val="74DE0EE3"/>
    <w:multiLevelType w:val="hybridMultilevel"/>
    <w:lvl w:ilvl="0">
      <w:lvlJc w:val="left"/>
      <w:lvlText w:val="%1"/>
      <w:numFmt w:val="lowerLetter"/>
      <w:start w:val="1"/>
    </w:lvl>
    <w:lvl w:ilvl="1">
      <w:lvlJc w:val="left"/>
      <w:lvlText w:val="(%2)"/>
      <w:numFmt w:val="upperLetter"/>
      <w:start w:val="2"/>
    </w:lvl>
  </w:abstractNum>
  <w:abstractNum w:abstractNumId="64">
    <w:nsid w:val="68EBC550"/>
    <w:multiLevelType w:val="hybridMultilevel"/>
    <w:lvl w:ilvl="0">
      <w:lvlJc w:val="left"/>
      <w:lvlText w:val="%1"/>
      <w:numFmt w:val="lowerLetter"/>
      <w:start w:val="1"/>
    </w:lvl>
    <w:lvl w:ilvl="1">
      <w:lvlJc w:val="left"/>
      <w:lvlText w:val="(%2)"/>
      <w:numFmt w:val="upperLetter"/>
      <w:start w:val="2"/>
    </w:lvl>
  </w:abstractNum>
  <w:abstractNum w:abstractNumId="65">
    <w:nsid w:val="2DF6D648"/>
    <w:multiLevelType w:val="hybridMultilevel"/>
    <w:lvl w:ilvl="0">
      <w:lvlJc w:val="left"/>
      <w:lvlText w:val="(%1)"/>
      <w:numFmt w:val="lowerLetter"/>
      <w:start w:val="2"/>
    </w:lvl>
    <w:lvl w:ilvl="1">
      <w:lvlJc w:val="left"/>
      <w:lvlText w:val="%2"/>
      <w:numFmt w:val="upperLetter"/>
      <w:start w:val="1"/>
    </w:lvl>
  </w:abstractNum>
  <w:abstractNum w:abstractNumId="66">
    <w:nsid w:val="46B7D447"/>
    <w:multiLevelType w:val="hybridMultilevel"/>
    <w:lvl w:ilvl="0">
      <w:lvlJc w:val="left"/>
      <w:lvlText w:val="(%1)"/>
      <w:numFmt w:val="lowerLetter"/>
      <w:start w:val="3"/>
    </w:lvl>
  </w:abstractNum>
  <w:abstractNum w:abstractNumId="67">
    <w:nsid w:val="4A2AC315"/>
    <w:multiLevelType w:val="hybridMultilevel"/>
    <w:lvl w:ilvl="0">
      <w:lvlJc w:val="left"/>
      <w:lvlText w:val="$"/>
      <w:numFmt w:val="bullet"/>
      <w:start w:val="1"/>
    </w:lvl>
  </w:abstractNum>
  <w:abstractNum w:abstractNumId="68">
    <w:nsid w:val="39EE015C"/>
    <w:multiLevelType w:val="hybridMultilevel"/>
    <w:lvl w:ilvl="0">
      <w:lvlJc w:val="left"/>
      <w:lvlText w:val="1"/>
      <w:numFmt w:val="bullet"/>
      <w:start w:val="1"/>
    </w:lvl>
  </w:abstractNum>
  <w:abstractNum w:abstractNumId="69">
    <w:nsid w:val="57FC4FBB"/>
    <w:multiLevelType w:val="hybridMultilevel"/>
    <w:lvl w:ilvl="0">
      <w:lvlJc w:val="left"/>
      <w:lvlText w:val="%1."/>
      <w:numFmt w:val="decimal"/>
      <w:start w:val="1"/>
    </w:lvl>
    <w:lvl w:ilvl="1">
      <w:lvlJc w:val="left"/>
      <w:lvlText w:val="(%2)"/>
      <w:numFmt w:val="decimal"/>
      <w:start w:val="1"/>
    </w:lvl>
  </w:abstractNum>
  <w:abstractNum w:abstractNumId="70">
    <w:nsid w:val="CC1016F"/>
    <w:multiLevelType w:val="hybridMultilevel"/>
    <w:lvl w:ilvl="0">
      <w:lvlJc w:val="left"/>
      <w:lvlText w:val="(%1)"/>
      <w:numFmt w:val="decimal"/>
      <w:start w:val="6"/>
    </w:lvl>
    <w:lvl w:ilvl="1">
      <w:lvlJc w:val="left"/>
      <w:lvlText w:val="•"/>
      <w:numFmt w:val="bullet"/>
      <w:start w:val="1"/>
    </w:lvl>
  </w:abstractNum>
  <w:abstractNum w:abstractNumId="71">
    <w:nsid w:val="43F18422"/>
    <w:multiLevelType w:val="hybridMultilevel"/>
    <w:lvl w:ilvl="0">
      <w:lvlJc w:val="left"/>
      <w:lvlText w:val="(%1)"/>
      <w:numFmt w:val="decimal"/>
      <w:start w:val="8"/>
    </w:lvl>
  </w:abstractNum>
  <w:abstractNum w:abstractNumId="72">
    <w:nsid w:val="60EF0119"/>
    <w:multiLevelType w:val="hybridMultilevel"/>
    <w:lvl w:ilvl="0">
      <w:lvlJc w:val="left"/>
      <w:lvlText w:val="(%1)"/>
      <w:numFmt w:val="decimal"/>
      <w:start w:val="12"/>
    </w:lvl>
  </w:abstractNum>
  <w:abstractNum w:abstractNumId="73">
    <w:nsid w:val="26F324BA"/>
    <w:multiLevelType w:val="hybridMultilevel"/>
    <w:lvl w:ilvl="0">
      <w:lvlJc w:val="left"/>
      <w:lvlText w:val="(%1)"/>
      <w:numFmt w:val="decimal"/>
      <w:start w:val="1"/>
    </w:lvl>
  </w:abstractNum>
  <w:abstractNum w:abstractNumId="74">
    <w:nsid w:val="7F01579B"/>
    <w:multiLevelType w:val="hybridMultilevel"/>
    <w:lvl w:ilvl="0">
      <w:lvlJc w:val="left"/>
      <w:lvlText w:val="%1"/>
      <w:numFmt w:val="decimal"/>
      <w:start w:val="1"/>
    </w:lvl>
    <w:lvl w:ilvl="1">
      <w:lvlJc w:val="left"/>
      <w:lvlText w:val="%2"/>
      <w:numFmt w:val="decimal"/>
      <w:start w:val="1"/>
    </w:lvl>
    <w:lvl w:ilvl="2">
      <w:lvlJc w:val="left"/>
      <w:lvlText w:val="(%3)"/>
      <w:numFmt w:val="decimal"/>
      <w:start w:val="4"/>
    </w:lvl>
  </w:abstractNum>
  <w:abstractNum w:abstractNumId="75">
    <w:nsid w:val="49DA307D"/>
    <w:multiLevelType w:val="hybridMultilevel"/>
    <w:lvl w:ilvl="0">
      <w:lvlJc w:val="left"/>
      <w:lvlText w:val="%1"/>
      <w:numFmt w:val="decimal"/>
      <w:start w:val="1"/>
    </w:lvl>
    <w:lvl w:ilvl="1">
      <w:lvlJc w:val="left"/>
      <w:lvlText w:val="(%2)"/>
      <w:numFmt w:val="decimal"/>
      <w:start w:val="18"/>
    </w:lvl>
    <w:lvl w:ilvl="2">
      <w:lvlJc w:val="left"/>
      <w:lvlText w:val="%3"/>
      <w:numFmt w:val="decimal"/>
      <w:start w:val="1"/>
    </w:lvl>
  </w:abstractNum>
  <w:abstractNum w:abstractNumId="76">
    <w:nsid w:val="7055A5F5"/>
    <w:multiLevelType w:val="hybridMultilevel"/>
    <w:lvl w:ilvl="0">
      <w:lvlJc w:val="left"/>
      <w:lvlText w:val="%1."/>
      <w:numFmt w:val="decimal"/>
      <w:start w:val="2"/>
    </w:lvl>
    <w:lvl w:ilvl="1">
      <w:lvlJc w:val="left"/>
      <w:lvlText w:val="%2"/>
      <w:numFmt w:val="decimal"/>
      <w:start w:val="1"/>
    </w:lvl>
    <w:lvl w:ilvl="2">
      <w:lvlJc w:val="left"/>
      <w:lvlText w:val="%3"/>
      <w:numFmt w:val="decimal"/>
      <w:start w:val="1"/>
    </w:lvl>
  </w:abstractNum>
  <w:abstractNum w:abstractNumId="77">
    <w:nsid w:val="5FB8370B"/>
    <w:multiLevelType w:val="hybridMultilevel"/>
    <w:lvl w:ilvl="0">
      <w:lvlJc w:val="left"/>
      <w:lvlText w:val="%1."/>
      <w:numFmt w:val="decimal"/>
      <w:start w:val="11"/>
    </w:lvl>
  </w:abstractNum>
  <w:abstractNum w:abstractNumId="78">
    <w:nsid w:val="50801EE1"/>
    <w:multiLevelType w:val="hybridMultilevel"/>
    <w:lvl w:ilvl="0">
      <w:lvlJc w:val="left"/>
      <w:lvlText w:val=","/>
      <w:numFmt w:val="bullet"/>
      <w:start w:val="1"/>
    </w:lvl>
  </w:abstractNum>
  <w:abstractNum w:abstractNumId="79">
    <w:nsid w:val="488AC1A"/>
    <w:multiLevelType w:val="hybridMultilevel"/>
    <w:lvl w:ilvl="0">
      <w:lvlJc w:val="left"/>
      <w:lvlText w:val="1"/>
      <w:numFmt w:val="bullet"/>
      <w:start w:val="1"/>
    </w:lvl>
  </w:abstractNum>
  <w:abstractNum w:abstractNumId="80">
    <w:nsid w:val="5FB8011C"/>
    <w:multiLevelType w:val="hybridMultilevel"/>
    <w:lvl w:ilvl="0">
      <w:lvlJc w:val="left"/>
      <w:lvlText w:val="•"/>
      <w:numFmt w:val="bullet"/>
      <w:start w:val="1"/>
    </w:lvl>
  </w:abstractNum>
  <w:abstractNum w:abstractNumId="81">
    <w:nsid w:val="6AA78F7F"/>
    <w:multiLevelType w:val="hybridMultilevel"/>
    <w:lvl w:ilvl="0">
      <w:lvlJc w:val="left"/>
      <w:lvlText w:val="%1."/>
      <w:numFmt w:val="decimal"/>
      <w:start w:val="1"/>
    </w:lvl>
  </w:abstractNum>
  <w:abstractNum w:abstractNumId="82">
    <w:nsid w:val="7672BD23"/>
    <w:multiLevelType w:val="hybridMultilevel"/>
    <w:lvl w:ilvl="0">
      <w:lvlJc w:val="left"/>
      <w:lvlText w:val="%1."/>
      <w:numFmt w:val="decimal"/>
      <w:start w:val="1"/>
    </w:lvl>
  </w:abstractNum>
  <w:abstractNum w:abstractNumId="83">
    <w:nsid w:val="6FC75AF8"/>
    <w:multiLevelType w:val="hybridMultilevel"/>
    <w:lvl w:ilvl="0">
      <w:lvlJc w:val="left"/>
      <w:lvlText w:val="%1."/>
      <w:numFmt w:val="decimal"/>
      <w:start w:val="1"/>
    </w:lvl>
  </w:abstractNum>
  <w:abstractNum w:abstractNumId="84">
    <w:nsid w:val="6A5F7029"/>
    <w:multiLevelType w:val="hybridMultilevel"/>
    <w:lvl w:ilvl="0">
      <w:lvlJc w:val="left"/>
      <w:lvlText w:val="%1."/>
      <w:numFmt w:val="upperLetter"/>
      <w:start w:val="9"/>
    </w:lvl>
    <w:lvl w:ilvl="1">
      <w:lvlJc w:val="left"/>
      <w:lvlText w:val="%2."/>
      <w:numFmt w:val="decimal"/>
      <w:start w:val="1"/>
    </w:lvl>
  </w:abstractNum>
  <w:abstractNum w:abstractNumId="85">
    <w:nsid w:val="7D5E18F8"/>
    <w:multiLevelType w:val="hybridMultilevel"/>
    <w:lvl w:ilvl="0">
      <w:lvlJc w:val="left"/>
      <w:lvlText w:val="%1."/>
      <w:numFmt w:val="decimal"/>
      <w:start w:val="1"/>
    </w:lvl>
  </w:abstractNum>
  <w:abstractNum w:abstractNumId="86">
    <w:nsid w:val="5F3534A4"/>
    <w:multiLevelType w:val="hybridMultilevel"/>
    <w:lvl w:ilvl="0">
      <w:lvlJc w:val="left"/>
      <w:lvlText w:val="(%1)"/>
      <w:numFmt w:val="lowerLetter"/>
      <w:start w:val="1"/>
    </w:lvl>
  </w:abstractNum>
  <w:abstractNum w:abstractNumId="87">
    <w:nsid w:val="73A1821B"/>
    <w:multiLevelType w:val="hybridMultilevel"/>
    <w:lvl w:ilvl="0">
      <w:lvlJc w:val="left"/>
      <w:lvlText w:val="%1."/>
      <w:numFmt w:val="decimal"/>
      <w:start w:val="5"/>
    </w:lvl>
  </w:abstractNum>
  <w:abstractNum w:abstractNumId="88">
    <w:nsid w:val="7DE67713"/>
    <w:multiLevelType w:val="hybridMultilevel"/>
    <w:lvl w:ilvl="0">
      <w:lvlJc w:val="left"/>
      <w:lvlText w:val="(%1)"/>
      <w:numFmt w:val="lowerLetter"/>
      <w:start w:val="1"/>
    </w:lvl>
  </w:abstractNum>
  <w:abstractNum w:abstractNumId="89">
    <w:nsid w:val="555C55B5"/>
    <w:multiLevelType w:val="hybridMultilevel"/>
    <w:lvl w:ilvl="0">
      <w:lvlJc w:val="left"/>
      <w:lvlText w:val="%1."/>
      <w:numFmt w:val="decimal"/>
      <w:start w:val="1"/>
    </w:lvl>
  </w:abstractNum>
  <w:abstractNum w:abstractNumId="90">
    <w:nsid w:val="3FA62ACA"/>
    <w:multiLevelType w:val="hybridMultilevel"/>
    <w:lvl w:ilvl="0">
      <w:lvlJc w:val="left"/>
      <w:lvlText w:val="(%1)"/>
      <w:numFmt w:val="lowerLetter"/>
      <w:start w:val="1"/>
    </w:lvl>
  </w:abstractNum>
  <w:abstractNum w:abstractNumId="91">
    <w:nsid w:val="14FCE74E"/>
    <w:multiLevelType w:val="hybridMultilevel"/>
    <w:lvl w:ilvl="0">
      <w:lvlJc w:val="left"/>
      <w:lvlText w:val="%1."/>
      <w:numFmt w:val="decimal"/>
      <w:start w:val="5"/>
    </w:lvl>
  </w:abstractNum>
  <w:abstractNum w:abstractNumId="92">
    <w:nsid w:val="6A3DD3E8"/>
    <w:multiLevelType w:val="hybridMultilevel"/>
    <w:lvl w:ilvl="0">
      <w:lvlJc w:val="left"/>
      <w:lvlText w:val="(%1)"/>
      <w:numFmt w:val="lowerLetter"/>
      <w:start w:val="1"/>
    </w:lvl>
  </w:abstractNum>
  <w:abstractNum w:abstractNumId="93">
    <w:nsid w:val="71C91298"/>
    <w:multiLevelType w:val="hybridMultilevel"/>
    <w:lvl w:ilvl="0">
      <w:lvlJc w:val="left"/>
      <w:lvlText w:val="%1."/>
      <w:numFmt w:val="decimal"/>
      <w:start w:val="1"/>
    </w:lvl>
  </w:abstractNum>
  <w:abstractNum w:abstractNumId="94">
    <w:nsid w:val="9DAF632"/>
    <w:multiLevelType w:val="hybridMultilevel"/>
    <w:lvl w:ilvl="0">
      <w:lvlJc w:val="left"/>
      <w:lvlText w:val="(%1)"/>
      <w:numFmt w:val="lowerLetter"/>
      <w:start w:val="1"/>
    </w:lvl>
  </w:abstractNum>
  <w:abstractNum w:abstractNumId="95">
    <w:nsid w:val="53299938"/>
    <w:multiLevelType w:val="hybridMultilevel"/>
    <w:lvl w:ilvl="0">
      <w:lvlJc w:val="left"/>
      <w:lvlText w:val="%1."/>
      <w:numFmt w:val="decimal"/>
      <w:start w:val="5"/>
    </w:lvl>
  </w:abstractNum>
  <w:abstractNum w:abstractNumId="96">
    <w:nsid w:val="1FBFE8E0"/>
    <w:multiLevelType w:val="hybridMultilevel"/>
    <w:lvl w:ilvl="0">
      <w:lvlJc w:val="left"/>
      <w:lvlText w:val="(%1)"/>
      <w:numFmt w:val="lowerLetter"/>
      <w:start w:val="1"/>
    </w:lvl>
  </w:abstractNum>
  <w:abstractNum w:abstractNumId="97">
    <w:nsid w:val="5092CA79"/>
    <w:multiLevelType w:val="hybridMultilevel"/>
    <w:lvl w:ilvl="0">
      <w:lvlJc w:val="left"/>
      <w:lvlText w:val="%1."/>
      <w:numFmt w:val="decimal"/>
      <w:start w:val="1"/>
    </w:lvl>
  </w:abstractNum>
  <w:abstractNum w:abstractNumId="98">
    <w:nsid w:val="1D545C4D"/>
    <w:multiLevelType w:val="hybridMultilevel"/>
    <w:lvl w:ilvl="0">
      <w:lvlJc w:val="left"/>
      <w:lvlText w:val="(%1)"/>
      <w:numFmt w:val="lowerLetter"/>
      <w:start w:val="1"/>
    </w:lvl>
  </w:abstractNum>
  <w:abstractNum w:abstractNumId="99">
    <w:nsid w:val="59ADEA3D"/>
    <w:multiLevelType w:val="hybridMultilevel"/>
    <w:lvl w:ilvl="0">
      <w:lvlJc w:val="left"/>
      <w:lvlText w:val="%1."/>
      <w:numFmt w:val="decimal"/>
      <w:start w:val="5"/>
    </w:lvl>
  </w:abstractNum>
  <w:abstractNum w:abstractNumId="100">
    <w:nsid w:val="288F1A34"/>
    <w:multiLevelType w:val="hybridMultilevel"/>
    <w:lvl w:ilvl="0">
      <w:lvlJc w:val="left"/>
      <w:lvlText w:val="(%1)"/>
      <w:numFmt w:val="lowerLetter"/>
      <w:start w:val="1"/>
    </w:lvl>
  </w:abstractNum>
  <w:abstractNum w:abstractNumId="101">
    <w:nsid w:val="2A155DBC"/>
    <w:multiLevelType w:val="hybridMultilevel"/>
    <w:lvl w:ilvl="0">
      <w:lvlJc w:val="left"/>
      <w:lvlText w:val="%1."/>
      <w:numFmt w:val="decimal"/>
      <w:start w:val="1"/>
    </w:lvl>
  </w:abstractNum>
  <w:abstractNum w:abstractNumId="102">
    <w:nsid w:val="1D9F6E5F"/>
    <w:multiLevelType w:val="hybridMultilevel"/>
    <w:lvl w:ilvl="0">
      <w:lvlJc w:val="left"/>
      <w:lvlText w:val="(%1)"/>
      <w:numFmt w:val="lowerLetter"/>
      <w:start w:val="1"/>
    </w:lvl>
  </w:abstractNum>
  <w:abstractNum w:abstractNumId="103">
    <w:nsid w:val="97E1B4E"/>
    <w:multiLevelType w:val="hybridMultilevel"/>
    <w:lvl w:ilvl="0">
      <w:lvlJc w:val="left"/>
      <w:lvlText w:val="%1."/>
      <w:numFmt w:val="decimal"/>
      <w:start w:val="5"/>
    </w:lvl>
  </w:abstractNum>
  <w:abstractNum w:abstractNumId="104">
    <w:nsid w:val="51088277"/>
    <w:multiLevelType w:val="hybridMultilevel"/>
    <w:lvl w:ilvl="0">
      <w:lvlJc w:val="left"/>
      <w:lvlText w:val="(%1)"/>
      <w:numFmt w:val="lowerLetter"/>
      <w:start w:val="1"/>
    </w:lvl>
  </w:abstractNum>
  <w:abstractNum w:abstractNumId="105">
    <w:nsid w:val="1CA0C5FA"/>
    <w:multiLevelType w:val="hybridMultilevel"/>
    <w:lvl w:ilvl="0">
      <w:lvlJc w:val="left"/>
      <w:lvlText w:val="%1."/>
      <w:numFmt w:val="decimal"/>
      <w:start w:val="1"/>
    </w:lvl>
  </w:abstractNum>
  <w:abstractNum w:abstractNumId="106">
    <w:nsid w:val="53584BCB"/>
    <w:multiLevelType w:val="hybridMultilevel"/>
    <w:lvl w:ilvl="0">
      <w:lvlJc w:val="left"/>
      <w:lvlText w:val="(%1)"/>
      <w:numFmt w:val="lowerLetter"/>
      <w:start w:val="1"/>
    </w:lvl>
  </w:abstractNum>
  <w:abstractNum w:abstractNumId="107">
    <w:nsid w:val="415E286C"/>
    <w:multiLevelType w:val="hybridMultilevel"/>
    <w:lvl w:ilvl="0">
      <w:lvlJc w:val="left"/>
      <w:lvlText w:val="%1."/>
      <w:numFmt w:val="decimal"/>
      <w:start w:val="5"/>
    </w:lvl>
  </w:abstractNum>
  <w:abstractNum w:abstractNumId="108">
    <w:nsid w:val="7C58FD05"/>
    <w:multiLevelType w:val="hybridMultilevel"/>
    <w:lvl w:ilvl="0">
      <w:lvlJc w:val="left"/>
      <w:lvlText w:val="(%1)"/>
      <w:numFmt w:val="lowerLetter"/>
      <w:start w:val="1"/>
    </w:lvl>
  </w:abstractNum>
  <w:abstractNum w:abstractNumId="109">
    <w:nsid w:val="23D86AAC"/>
    <w:multiLevelType w:val="hybridMultilevel"/>
    <w:lvl w:ilvl="0">
      <w:lvlJc w:val="left"/>
      <w:lvlText w:val="%1."/>
      <w:numFmt w:val="decimal"/>
      <w:start w:val="1"/>
    </w:lvl>
  </w:abstractNum>
  <w:abstractNum w:abstractNumId="110">
    <w:nsid w:val="45E6D486"/>
    <w:multiLevelType w:val="hybridMultilevel"/>
    <w:lvl w:ilvl="0">
      <w:lvlJc w:val="left"/>
      <w:lvlText w:val="%1."/>
      <w:numFmt w:val="decimal"/>
      <w:start w:val="1"/>
    </w:lvl>
  </w:abstractNum>
  <w:abstractNum w:abstractNumId="111">
    <w:nsid w:val="5C10FE21"/>
    <w:multiLevelType w:val="hybridMultilevel"/>
    <w:lvl w:ilvl="0">
      <w:lvlJc w:val="left"/>
      <w:lvlText w:val="%1."/>
      <w:numFmt w:val="decimal"/>
      <w:start w:val="1"/>
    </w:lvl>
  </w:abstractNum>
  <w:abstractNum w:abstractNumId="112">
    <w:nsid w:val="E7FFA2B"/>
    <w:multiLevelType w:val="hybridMultilevel"/>
    <w:lvl w:ilvl="0">
      <w:lvlJc w:val="left"/>
      <w:lvlText w:val="%1."/>
      <w:numFmt w:val="decimal"/>
      <w:start w:val="1"/>
    </w:lvl>
  </w:abstractNum>
  <w:abstractNum w:abstractNumId="113">
    <w:nsid w:val="3C5991AA"/>
    <w:multiLevelType w:val="hybridMultilevel"/>
    <w:lvl w:ilvl="0">
      <w:lvlJc w:val="left"/>
      <w:lvlText w:val="%1."/>
      <w:numFmt w:val="decimal"/>
      <w:start w:val="1"/>
    </w:lvl>
  </w:abstractNum>
  <w:abstractNum w:abstractNumId="114">
    <w:nsid w:val="4BD859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4" Type="http://schemas.openxmlformats.org/officeDocument/2006/relationships/image" Target="media/image124.png"/><Relationship Id="rId142" Type="http://schemas.openxmlformats.org/officeDocument/2006/relationships/image" Target="media/image125.png"/><Relationship Id="rId158" Type="http://schemas.openxmlformats.org/officeDocument/2006/relationships/image" Target="media/image126.png"/><Relationship Id="rId162" Type="http://schemas.openxmlformats.org/officeDocument/2006/relationships/image" Target="media/image127.png"/><Relationship Id="rId163" Type="http://schemas.openxmlformats.org/officeDocument/2006/relationships/image" Target="media/image128.png"/><Relationship Id="rId164" Type="http://schemas.openxmlformats.org/officeDocument/2006/relationships/image" Target="media/image129.png"/><Relationship Id="rId165" Type="http://schemas.openxmlformats.org/officeDocument/2006/relationships/image" Target="media/image130.png"/><Relationship Id="rId166" Type="http://schemas.openxmlformats.org/officeDocument/2006/relationships/image" Target="media/image131.png"/><Relationship Id="rId167" Type="http://schemas.openxmlformats.org/officeDocument/2006/relationships/image" Target="media/image132.png"/><Relationship Id="rId168" Type="http://schemas.openxmlformats.org/officeDocument/2006/relationships/image" Target="media/image133.png"/><Relationship Id="rId169" Type="http://schemas.openxmlformats.org/officeDocument/2006/relationships/image" Target="media/image134.png"/><Relationship Id="rId170" Type="http://schemas.openxmlformats.org/officeDocument/2006/relationships/image" Target="media/image135.png"/><Relationship Id="rId171" Type="http://schemas.openxmlformats.org/officeDocument/2006/relationships/image" Target="media/image136.png"/><Relationship Id="rId172" Type="http://schemas.openxmlformats.org/officeDocument/2006/relationships/image" Target="media/image137.png"/><Relationship Id="rId173" Type="http://schemas.openxmlformats.org/officeDocument/2006/relationships/image" Target="media/image138.png"/><Relationship Id="rId174" Type="http://schemas.openxmlformats.org/officeDocument/2006/relationships/image" Target="media/image139.png"/><Relationship Id="rId175" Type="http://schemas.openxmlformats.org/officeDocument/2006/relationships/image" Target="media/image140.png"/><Relationship Id="rId176" Type="http://schemas.openxmlformats.org/officeDocument/2006/relationships/image" Target="media/image141.png"/><Relationship Id="rId177" Type="http://schemas.openxmlformats.org/officeDocument/2006/relationships/image" Target="media/image142.png"/><Relationship Id="rId178" Type="http://schemas.openxmlformats.org/officeDocument/2006/relationships/image" Target="media/image143.png"/><Relationship Id="rId179" Type="http://schemas.openxmlformats.org/officeDocument/2006/relationships/image" Target="media/image144.png"/><Relationship Id="rId180" Type="http://schemas.openxmlformats.org/officeDocument/2006/relationships/image" Target="media/image145.png"/><Relationship Id="rId181" Type="http://schemas.openxmlformats.org/officeDocument/2006/relationships/image" Target="media/image146.png"/><Relationship Id="rId182" Type="http://schemas.openxmlformats.org/officeDocument/2006/relationships/image" Target="media/image147.png"/><Relationship Id="rId183" Type="http://schemas.openxmlformats.org/officeDocument/2006/relationships/image" Target="media/image148.png"/><Relationship Id="rId184" Type="http://schemas.openxmlformats.org/officeDocument/2006/relationships/image" Target="media/image149.png"/><Relationship Id="rId185" Type="http://schemas.openxmlformats.org/officeDocument/2006/relationships/image" Target="media/image150.png"/><Relationship Id="rId186" Type="http://schemas.openxmlformats.org/officeDocument/2006/relationships/image" Target="media/image151.png"/><Relationship Id="rId187" Type="http://schemas.openxmlformats.org/officeDocument/2006/relationships/image" Target="media/image152.png"/><Relationship Id="rId188" Type="http://schemas.openxmlformats.org/officeDocument/2006/relationships/image" Target="media/image153.png"/><Relationship Id="rId128" Type="http://schemas.openxmlformats.org/officeDocument/2006/relationships/hyperlink" Target="https://www.sec.gov/ix?doc=/Archives/edgar/data/1130310/000113031023000013/cnp-20221231.htm" TargetMode="External"/><Relationship Id="rId132" Type="http://schemas.openxmlformats.org/officeDocument/2006/relationships/hyperlink" Target="http://www.sec.gov/ix?doc=/Archives/edgar/data/48732/000113031020000016/cnp10k12312019.htm#s29CE5F5E2BDE5C749379199663742F59" TargetMode="External"/><Relationship Id="rId133" Type="http://schemas.openxmlformats.org/officeDocument/2006/relationships/hyperlink" Target="http://www.sec.gov/ix?doc=/Archives/edgar/data/48732/000113031020000016/cnp10k12312019.htm#s0E6A8085ACE15900BB7AB519F58ABDD3" TargetMode="External"/><Relationship Id="rId135" Type="http://schemas.openxmlformats.org/officeDocument/2006/relationships/hyperlink" Target="http://www.sec.gov/Archives/edgar/data/1130310/000119312518125804/d561804dex21.htm" TargetMode="External"/><Relationship Id="rId136" Type="http://schemas.openxmlformats.org/officeDocument/2006/relationships/hyperlink" Target="http://www.sec.gov/Archives/edgar/data/1130310/000113031020000006/exhibit21purchaseagreeme.htm" TargetMode="External"/><Relationship Id="rId137" Type="http://schemas.openxmlformats.org/officeDocument/2006/relationships/hyperlink" Target="http://www.sec.gov/Archives/edgar/data/1042773/000113031020000012/exhibit21.htm" TargetMode="External"/><Relationship Id="rId138" Type="http://schemas.openxmlformats.org/officeDocument/2006/relationships/hyperlink" Target="http://www.sec.gov/Archives/edgar/data/48732/000113031021000024/exhibit24cerc-assetpurchas.htm" TargetMode="External"/><Relationship Id="rId139" Type="http://schemas.openxmlformats.org/officeDocument/2006/relationships/hyperlink" Target="http://www.sec.gov/Archives/edgar/data/1130310/000113031008000004/ex3-2.htm" TargetMode="External"/><Relationship Id="rId140" Type="http://schemas.openxmlformats.org/officeDocument/2006/relationships/hyperlink" Target="http://www.sec.gov/Archives/edgar/data/48732/000113031011000048/ex3-1.htm" TargetMode="External"/><Relationship Id="rId141" Type="http://schemas.openxmlformats.org/officeDocument/2006/relationships/hyperlink" Target="http://www.sec.gov/Archives/edgar/data/1042773/0000950129-98-001585.txt" TargetMode="External"/><Relationship Id="rId143" Type="http://schemas.openxmlformats.org/officeDocument/2006/relationships/hyperlink" Target="http://www.sec.gov/Archives/edgar/data/48732/0000950129-99-001059.txt" TargetMode="External"/><Relationship Id="rId144" Type="http://schemas.openxmlformats.org/officeDocument/2006/relationships/hyperlink" Target="http://www.sec.gov/Archives/edgar/data/1042773/000095012903004183/h07971exv3wa4.txt" TargetMode="External"/><Relationship Id="rId145" Type="http://schemas.openxmlformats.org/officeDocument/2006/relationships/hyperlink" Target="http://www.sec.gov/Archives/edgar/data/1130310/000119312517056500/d354129dex31.htm" TargetMode="External"/><Relationship Id="rId146" Type="http://schemas.openxmlformats.org/officeDocument/2006/relationships/hyperlink" Target="http://www.sec.gov/Archives/edgar/data/48732/000113031011000048/ex3-2.htm" TargetMode="External"/><Relationship Id="rId147" Type="http://schemas.openxmlformats.org/officeDocument/2006/relationships/hyperlink" Target="http://www.sec.gov/Archives/edgar/data/1130310/000113031012000011/exhibit3c.htm" TargetMode="External"/><Relationship Id="rId148" Type="http://schemas.openxmlformats.org/officeDocument/2006/relationships/hyperlink" Target="http://www.sec.gov/Archives/edgar/data/1130310/000119312518256372/d601681dex31.htm" TargetMode="External"/><Relationship Id="rId149" Type="http://schemas.openxmlformats.org/officeDocument/2006/relationships/hyperlink" Target="http://www.sec.gov/Archives/edgar/data/1130310/000119312518288531/d589550dex31.htm" TargetMode="External"/><Relationship Id="rId150" Type="http://schemas.openxmlformats.org/officeDocument/2006/relationships/hyperlink" Target="http://www.sec.gov/Archives/edgar/data/1130310/000119312520135744/d926772dex31.htm" TargetMode="External"/><Relationship Id="rId151" Type="http://schemas.openxmlformats.org/officeDocument/2006/relationships/hyperlink" Target="http://www.sec.gov/Archives/edgar/data/1130310/000095012901503771/h90625a1ex4-1.txt" TargetMode="External"/><Relationship Id="rId152" Type="http://schemas.openxmlformats.org/officeDocument/2006/relationships/hyperlink" Target="https://www.sec.gov/Archives/edgar/data/1130310/000119312523203904/d536903dex41.htm" TargetMode="External"/><Relationship Id="rId153" Type="http://schemas.openxmlformats.org/officeDocument/2006/relationships/hyperlink" Target="https://www.sec.gov/Archives/edgar/data/1130310/000095012903003045/h06499exv4w1.txt" TargetMode="External"/><Relationship Id="rId154" Type="http://schemas.openxmlformats.org/officeDocument/2006/relationships/hyperlink" Target="https://www.sec.gov/Archives/edgar/data/48732/000095012902005703/h01010exv4wj1.txt" TargetMode="External"/><Relationship Id="rId155" Type="http://schemas.openxmlformats.org/officeDocument/2006/relationships/hyperlink" Target="https://www.sec.gov/Archives/edgar/data/48732/000095012903001324/h03758exv4wk10.txt" TargetMode="External"/><Relationship Id="rId156" Type="http://schemas.openxmlformats.org/officeDocument/2006/relationships/hyperlink" Target="https://www.sec.gov/Archives/edgar/data/48732/000095013409000323/h65378exv4w2.htm" TargetMode="External"/><Relationship Id="rId157" Type="http://schemas.openxmlformats.org/officeDocument/2006/relationships/hyperlink" Target="https://www.sec.gov/Archives/edgar/data/48732/000119312523235398/d481482dex44.htm" TargetMode="External"/><Relationship Id="rId159" Type="http://schemas.openxmlformats.org/officeDocument/2006/relationships/hyperlink" Target="https://www.sec.gov/Archives/edgar/data/1130310/000113031023000127/exhibit101psuawardagreem.htm" TargetMode="External"/><Relationship Id="rId160" Type="http://schemas.openxmlformats.org/officeDocument/2006/relationships/hyperlink" Target="https://www.sec.gov/Archives/edgar/data/1130310/000113031023000127/exhibit102rsuawardagreem.htm" TargetMode="External"/><Relationship Id="rId161" Type="http://schemas.openxmlformats.org/officeDocument/2006/relationships/hyperlink" Target="https://www.sec.gov/Archives/edgar/data/1130310/000113031023000110/exhibit101-firstamendment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2023-10-26T05:32:35Z</dcterms:created>
  <dcterms:modified xsi:type="dcterms:W3CDTF">2023-10-26T05:32:35Z</dcterms:modified>
</cp:coreProperties>
</file>