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(Mark One)</w:t>
      </w:r>
    </w:p>
    <w:p>
      <w:pPr>
        <w:spacing w:after="0" w:line="67" w:lineRule="exact"/>
        <w:rPr>
          <w:sz w:val="24"/>
          <w:szCs w:val="24"/>
          <w:color w:val="auto"/>
        </w:rPr>
      </w:pPr>
    </w:p>
    <w:p>
      <w:pPr>
        <w:ind w:left="540" w:hanging="357"/>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6" w:lineRule="exact"/>
        <w:rPr>
          <w:sz w:val="24"/>
          <w:szCs w:val="24"/>
          <w:color w:val="auto"/>
        </w:rPr>
      </w:pPr>
    </w:p>
    <w:p>
      <w:pPr>
        <w:ind w:left="500"/>
        <w:spacing w:after="0"/>
        <w:rPr>
          <w:sz w:val="20"/>
          <w:szCs w:val="20"/>
          <w:color w:val="auto"/>
        </w:rPr>
      </w:pPr>
      <w:r>
        <w:rPr>
          <w:rFonts w:ascii="Arial" w:cs="Arial" w:eastAsia="Arial" w:hAnsi="Arial"/>
          <w:sz w:val="14"/>
          <w:szCs w:val="14"/>
          <w:b w:val="1"/>
          <w:bCs w:val="1"/>
          <w:color w:val="auto"/>
        </w:rPr>
        <w:t>For the quarterly period ended March 31, 2021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7" w:lineRule="exact"/>
        <w:rPr>
          <w:sz w:val="24"/>
          <w:szCs w:val="24"/>
          <w:color w:val="auto"/>
        </w:rPr>
      </w:pPr>
    </w:p>
    <w:p>
      <w:pPr>
        <w:ind w:left="540" w:right="3380" w:hanging="357"/>
        <w:spacing w:after="0" w:line="284"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1-31447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CenterPoint Energy,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3"/>
              </w:rPr>
              <w:t>Texas</w:t>
            </w:r>
          </w:p>
        </w:tc>
        <w:tc>
          <w:tcPr>
            <w:tcW w:w="1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40" w:type="dxa"/>
            <w:vAlign w:val="bottom"/>
          </w:tcPr>
          <w:p>
            <w:pPr>
              <w:jc w:val="center"/>
              <w:ind w:right="1144"/>
              <w:spacing w:after="0"/>
              <w:rPr>
                <w:sz w:val="20"/>
                <w:szCs w:val="20"/>
                <w:color w:val="auto"/>
              </w:rPr>
            </w:pPr>
            <w:r>
              <w:rPr>
                <w:rFonts w:ascii="Arial" w:cs="Arial" w:eastAsia="Arial" w:hAnsi="Arial"/>
                <w:sz w:val="16"/>
                <w:szCs w:val="16"/>
                <w:b w:val="1"/>
                <w:bCs w:val="1"/>
                <w:color w:val="auto"/>
                <w:w w:val="91"/>
              </w:rPr>
              <w:t>74-0694415</w:t>
            </w:r>
          </w:p>
        </w:tc>
      </w:tr>
      <w:tr>
        <w:trPr>
          <w:trHeight w:val="196"/>
        </w:trPr>
        <w:tc>
          <w:tcPr>
            <w:tcW w:w="5120" w:type="dxa"/>
            <w:vAlign w:val="bottom"/>
            <w:gridSpan w:val="2"/>
          </w:tcPr>
          <w:p>
            <w:pPr>
              <w:jc w:val="center"/>
              <w:ind w:right="75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8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(I.R.S. Employer Identification No.)</w:t>
            </w:r>
          </w:p>
        </w:tc>
      </w:tr>
      <w:tr>
        <w:trPr>
          <w:trHeight w:val="290"/>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8"/>
              </w:rPr>
              <w:t>1111 Louisiana</w:t>
            </w:r>
          </w:p>
        </w:tc>
        <w:tc>
          <w:tcPr>
            <w:tcW w:w="1780" w:type="dxa"/>
            <w:vAlign w:val="bottom"/>
          </w:tcPr>
          <w:p>
            <w:pPr>
              <w:ind w:left="1180"/>
              <w:spacing w:after="0"/>
              <w:rPr>
                <w:sz w:val="20"/>
                <w:szCs w:val="20"/>
                <w:color w:val="auto"/>
              </w:rPr>
            </w:pPr>
            <w:r>
              <w:rPr>
                <w:rFonts w:ascii="Arial" w:cs="Arial" w:eastAsia="Arial" w:hAnsi="Arial"/>
                <w:sz w:val="16"/>
                <w:szCs w:val="16"/>
                <w:b w:val="1"/>
                <w:bCs w:val="1"/>
                <w:color w:val="auto"/>
                <w:w w:val="89"/>
              </w:rPr>
              <w:t>Houston</w:t>
            </w:r>
          </w:p>
        </w:tc>
        <w:tc>
          <w:tcPr>
            <w:tcW w:w="248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center"/>
              <w:ind w:right="1124"/>
              <w:spacing w:after="0"/>
              <w:rPr>
                <w:sz w:val="20"/>
                <w:szCs w:val="20"/>
                <w:color w:val="auto"/>
              </w:rPr>
            </w:pPr>
            <w:r>
              <w:rPr>
                <w:rFonts w:ascii="Arial" w:cs="Arial" w:eastAsia="Arial" w:hAnsi="Arial"/>
                <w:sz w:val="16"/>
                <w:szCs w:val="16"/>
                <w:b w:val="1"/>
                <w:bCs w:val="1"/>
                <w:color w:val="auto"/>
                <w:w w:val="89"/>
              </w:rPr>
              <w:t>77002</w:t>
            </w:r>
          </w:p>
        </w:tc>
      </w:tr>
      <w:tr>
        <w:trPr>
          <w:trHeight w:val="196"/>
        </w:trPr>
        <w:tc>
          <w:tcPr>
            <w:tcW w:w="3340" w:type="dxa"/>
            <w:vAlign w:val="bottom"/>
          </w:tcPr>
          <w:p>
            <w:pPr>
              <w:jc w:val="center"/>
              <w:ind w:left="878"/>
              <w:spacing w:after="0"/>
              <w:rPr>
                <w:sz w:val="20"/>
                <w:szCs w:val="20"/>
                <w:color w:val="auto"/>
              </w:rPr>
            </w:pPr>
            <w:r>
              <w:rPr>
                <w:rFonts w:ascii="Arial" w:cs="Arial" w:eastAsia="Arial" w:hAnsi="Arial"/>
                <w:sz w:val="14"/>
                <w:szCs w:val="14"/>
                <w:color w:val="auto"/>
                <w:w w:val="95"/>
              </w:rPr>
              <w:t>(Address of Principal Executive Offices)</w:t>
            </w:r>
          </w:p>
        </w:tc>
        <w:tc>
          <w:tcPr>
            <w:tcW w:w="17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(Zip Code)</w:t>
            </w:r>
          </w:p>
        </w:tc>
      </w:tr>
      <w:tr>
        <w:trPr>
          <w:trHeight w:val="317"/>
        </w:trPr>
        <w:tc>
          <w:tcPr>
            <w:tcW w:w="3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80" w:type="dxa"/>
            <w:vAlign w:val="bottom"/>
          </w:tcPr>
          <w:p>
            <w:pPr>
              <w:jc w:val="center"/>
              <w:ind w:right="1379"/>
              <w:spacing w:after="0"/>
              <w:rPr>
                <w:sz w:val="20"/>
                <w:szCs w:val="20"/>
                <w:color w:val="auto"/>
              </w:rPr>
            </w:pPr>
            <w:r>
              <w:rPr>
                <w:rFonts w:ascii="Arial" w:cs="Arial" w:eastAsia="Arial" w:hAnsi="Arial"/>
                <w:sz w:val="16"/>
                <w:szCs w:val="16"/>
                <w:b w:val="1"/>
                <w:bCs w:val="1"/>
                <w:color w:val="auto"/>
                <w:w w:val="89"/>
              </w:rPr>
              <w:t>(713) 207-1111</w:t>
            </w:r>
          </w:p>
        </w:tc>
        <w:tc>
          <w:tcPr>
            <w:tcW w:w="3640" w:type="dxa"/>
            <w:vAlign w:val="bottom"/>
          </w:tcPr>
          <w:p>
            <w:pPr>
              <w:spacing w:after="0"/>
              <w:rPr>
                <w:sz w:val="24"/>
                <w:szCs w:val="24"/>
                <w:color w:val="auto"/>
              </w:rPr>
            </w:pPr>
          </w:p>
        </w:tc>
      </w:tr>
      <w:tr>
        <w:trPr>
          <w:trHeight w:val="183"/>
        </w:trPr>
        <w:tc>
          <w:tcPr>
            <w:tcW w:w="3340" w:type="dxa"/>
            <w:vAlign w:val="bottom"/>
          </w:tcPr>
          <w:p>
            <w:pPr>
              <w:spacing w:after="0"/>
              <w:rPr>
                <w:sz w:val="15"/>
                <w:szCs w:val="15"/>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4"/>
                <w:szCs w:val="14"/>
                <w:color w:val="auto"/>
                <w:w w:val="92"/>
              </w:rPr>
              <w:t>Registrant's telephone number, including area code</w:t>
            </w:r>
          </w:p>
        </w:tc>
        <w:tc>
          <w:tcPr>
            <w:tcW w:w="3640" w:type="dxa"/>
            <w:vAlign w:val="bottom"/>
          </w:tcPr>
          <w:p>
            <w:pPr>
              <w:spacing w:after="0"/>
              <w:rPr>
                <w:sz w:val="15"/>
                <w:szCs w:val="15"/>
                <w:color w:val="auto"/>
              </w:rPr>
            </w:pPr>
          </w:p>
        </w:tc>
      </w:tr>
      <w:tr>
        <w:trPr>
          <w:trHeight w:val="438"/>
        </w:trPr>
        <w:tc>
          <w:tcPr>
            <w:tcW w:w="3340" w:type="dxa"/>
            <w:vAlign w:val="bottom"/>
          </w:tcPr>
          <w:p>
            <w:pPr>
              <w:spacing w:after="0"/>
              <w:rPr>
                <w:sz w:val="24"/>
                <w:szCs w:val="24"/>
                <w:color w:val="auto"/>
              </w:rPr>
            </w:pPr>
          </w:p>
        </w:tc>
        <w:tc>
          <w:tcPr>
            <w:tcW w:w="4260" w:type="dxa"/>
            <w:vAlign w:val="bottom"/>
            <w:gridSpan w:val="2"/>
          </w:tcPr>
          <w:p>
            <w:pPr>
              <w:jc w:val="center"/>
              <w:ind w:left="216"/>
              <w:spacing w:after="0"/>
              <w:rPr>
                <w:sz w:val="20"/>
                <w:szCs w:val="20"/>
                <w:color w:val="auto"/>
              </w:rPr>
            </w:pPr>
            <w:r>
              <w:rPr>
                <w:rFonts w:ascii="Arial" w:cs="Arial" w:eastAsia="Arial" w:hAnsi="Arial"/>
                <w:sz w:val="16"/>
                <w:szCs w:val="16"/>
                <w:b w:val="1"/>
                <w:bCs w:val="1"/>
                <w:color w:val="auto"/>
                <w:w w:val="91"/>
              </w:rPr>
              <w:t>Commission file number 1-3187</w:t>
            </w:r>
          </w:p>
        </w:tc>
        <w:tc>
          <w:tcPr>
            <w:tcW w:w="3640" w:type="dxa"/>
            <w:vAlign w:val="bottom"/>
          </w:tcPr>
          <w:p>
            <w:pPr>
              <w:spacing w:after="0"/>
              <w:rPr>
                <w:sz w:val="24"/>
                <w:szCs w:val="24"/>
                <w:color w:val="auto"/>
              </w:rPr>
            </w:pPr>
          </w:p>
        </w:tc>
      </w:tr>
      <w:tr>
        <w:trPr>
          <w:trHeight w:val="403"/>
        </w:trPr>
        <w:tc>
          <w:tcPr>
            <w:tcW w:w="11240" w:type="dxa"/>
            <w:vAlign w:val="bottom"/>
            <w:gridSpan w:val="4"/>
          </w:tcPr>
          <w:p>
            <w:pPr>
              <w:jc w:val="center"/>
              <w:spacing w:after="0"/>
              <w:rPr>
                <w:sz w:val="20"/>
                <w:szCs w:val="20"/>
                <w:color w:val="auto"/>
              </w:rPr>
            </w:pPr>
            <w:r>
              <w:rPr>
                <w:rFonts w:ascii="Arial" w:cs="Arial" w:eastAsia="Arial" w:hAnsi="Arial"/>
                <w:sz w:val="29"/>
                <w:szCs w:val="29"/>
                <w:b w:val="1"/>
                <w:bCs w:val="1"/>
                <w:color w:val="auto"/>
                <w:w w:val="92"/>
              </w:rPr>
              <w:t>CenterPoint Energy Houston Electric, LLC</w:t>
            </w:r>
          </w:p>
        </w:tc>
      </w:tr>
      <w:tr>
        <w:trPr>
          <w:trHeight w:val="232"/>
        </w:trPr>
        <w:tc>
          <w:tcPr>
            <w:tcW w:w="3340" w:type="dxa"/>
            <w:vAlign w:val="bottom"/>
          </w:tcPr>
          <w:p>
            <w:pPr>
              <w:spacing w:after="0"/>
              <w:rPr>
                <w:sz w:val="20"/>
                <w:szCs w:val="20"/>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640" w:type="dxa"/>
            <w:vAlign w:val="bottom"/>
          </w:tcPr>
          <w:p>
            <w:pPr>
              <w:spacing w:after="0"/>
              <w:rPr>
                <w:sz w:val="20"/>
                <w:szCs w:val="20"/>
                <w:color w:val="auto"/>
              </w:rPr>
            </w:pPr>
          </w:p>
        </w:tc>
      </w:tr>
      <w:tr>
        <w:trPr>
          <w:trHeight w:val="351"/>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3"/>
              </w:rPr>
              <w:t>Texas</w:t>
            </w:r>
          </w:p>
        </w:tc>
        <w:tc>
          <w:tcPr>
            <w:tcW w:w="1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40" w:type="dxa"/>
            <w:vAlign w:val="bottom"/>
          </w:tcPr>
          <w:p>
            <w:pPr>
              <w:jc w:val="center"/>
              <w:ind w:right="1144"/>
              <w:spacing w:after="0"/>
              <w:rPr>
                <w:sz w:val="20"/>
                <w:szCs w:val="20"/>
                <w:color w:val="auto"/>
              </w:rPr>
            </w:pPr>
            <w:r>
              <w:rPr>
                <w:rFonts w:ascii="Arial" w:cs="Arial" w:eastAsia="Arial" w:hAnsi="Arial"/>
                <w:sz w:val="16"/>
                <w:szCs w:val="16"/>
                <w:b w:val="1"/>
                <w:bCs w:val="1"/>
                <w:color w:val="auto"/>
                <w:w w:val="91"/>
              </w:rPr>
              <w:t>22-3865106</w:t>
            </w:r>
          </w:p>
        </w:tc>
      </w:tr>
      <w:tr>
        <w:trPr>
          <w:trHeight w:val="197"/>
        </w:trPr>
        <w:tc>
          <w:tcPr>
            <w:tcW w:w="5120" w:type="dxa"/>
            <w:vAlign w:val="bottom"/>
            <w:gridSpan w:val="2"/>
          </w:tcPr>
          <w:p>
            <w:pPr>
              <w:jc w:val="center"/>
              <w:ind w:right="75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8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(I.R.S. Employer Identification No.)</w:t>
            </w:r>
          </w:p>
        </w:tc>
      </w:tr>
      <w:tr>
        <w:trPr>
          <w:trHeight w:val="289"/>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8"/>
              </w:rPr>
              <w:t>1111 Louisiana</w:t>
            </w:r>
          </w:p>
        </w:tc>
        <w:tc>
          <w:tcPr>
            <w:tcW w:w="1780" w:type="dxa"/>
            <w:vAlign w:val="bottom"/>
          </w:tcPr>
          <w:p>
            <w:pPr>
              <w:ind w:left="1180"/>
              <w:spacing w:after="0"/>
              <w:rPr>
                <w:sz w:val="20"/>
                <w:szCs w:val="20"/>
                <w:color w:val="auto"/>
              </w:rPr>
            </w:pPr>
            <w:r>
              <w:rPr>
                <w:rFonts w:ascii="Arial" w:cs="Arial" w:eastAsia="Arial" w:hAnsi="Arial"/>
                <w:sz w:val="16"/>
                <w:szCs w:val="16"/>
                <w:b w:val="1"/>
                <w:bCs w:val="1"/>
                <w:color w:val="auto"/>
                <w:w w:val="89"/>
              </w:rPr>
              <w:t>Houston</w:t>
            </w:r>
          </w:p>
        </w:tc>
        <w:tc>
          <w:tcPr>
            <w:tcW w:w="248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center"/>
              <w:ind w:right="1124"/>
              <w:spacing w:after="0"/>
              <w:rPr>
                <w:sz w:val="20"/>
                <w:szCs w:val="20"/>
                <w:color w:val="auto"/>
              </w:rPr>
            </w:pPr>
            <w:r>
              <w:rPr>
                <w:rFonts w:ascii="Arial" w:cs="Arial" w:eastAsia="Arial" w:hAnsi="Arial"/>
                <w:sz w:val="16"/>
                <w:szCs w:val="16"/>
                <w:b w:val="1"/>
                <w:bCs w:val="1"/>
                <w:color w:val="auto"/>
                <w:w w:val="89"/>
              </w:rPr>
              <w:t>77002</w:t>
            </w:r>
          </w:p>
        </w:tc>
      </w:tr>
      <w:tr>
        <w:trPr>
          <w:trHeight w:val="197"/>
        </w:trPr>
        <w:tc>
          <w:tcPr>
            <w:tcW w:w="3340" w:type="dxa"/>
            <w:vAlign w:val="bottom"/>
          </w:tcPr>
          <w:p>
            <w:pPr>
              <w:jc w:val="center"/>
              <w:ind w:left="878"/>
              <w:spacing w:after="0"/>
              <w:rPr>
                <w:sz w:val="20"/>
                <w:szCs w:val="20"/>
                <w:color w:val="auto"/>
              </w:rPr>
            </w:pPr>
            <w:r>
              <w:rPr>
                <w:rFonts w:ascii="Arial" w:cs="Arial" w:eastAsia="Arial" w:hAnsi="Arial"/>
                <w:sz w:val="14"/>
                <w:szCs w:val="14"/>
                <w:color w:val="auto"/>
                <w:w w:val="95"/>
              </w:rPr>
              <w:t>(Address of Principal Executive Offices)</w:t>
            </w:r>
          </w:p>
        </w:tc>
        <w:tc>
          <w:tcPr>
            <w:tcW w:w="17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(Zip Code)</w:t>
            </w:r>
          </w:p>
        </w:tc>
      </w:tr>
      <w:tr>
        <w:trPr>
          <w:trHeight w:val="330"/>
        </w:trPr>
        <w:tc>
          <w:tcPr>
            <w:tcW w:w="3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80" w:type="dxa"/>
            <w:vAlign w:val="bottom"/>
          </w:tcPr>
          <w:p>
            <w:pPr>
              <w:jc w:val="center"/>
              <w:ind w:right="1379"/>
              <w:spacing w:after="0"/>
              <w:rPr>
                <w:sz w:val="20"/>
                <w:szCs w:val="20"/>
                <w:color w:val="auto"/>
              </w:rPr>
            </w:pPr>
            <w:r>
              <w:rPr>
                <w:rFonts w:ascii="Arial" w:cs="Arial" w:eastAsia="Arial" w:hAnsi="Arial"/>
                <w:sz w:val="16"/>
                <w:szCs w:val="16"/>
                <w:b w:val="1"/>
                <w:bCs w:val="1"/>
                <w:color w:val="auto"/>
                <w:w w:val="89"/>
              </w:rPr>
              <w:t>(713) 207-1111</w:t>
            </w:r>
          </w:p>
        </w:tc>
        <w:tc>
          <w:tcPr>
            <w:tcW w:w="3640" w:type="dxa"/>
            <w:vAlign w:val="bottom"/>
          </w:tcPr>
          <w:p>
            <w:pPr>
              <w:spacing w:after="0"/>
              <w:rPr>
                <w:sz w:val="24"/>
                <w:szCs w:val="24"/>
                <w:color w:val="auto"/>
              </w:rPr>
            </w:pPr>
          </w:p>
        </w:tc>
      </w:tr>
      <w:tr>
        <w:trPr>
          <w:trHeight w:val="183"/>
        </w:trPr>
        <w:tc>
          <w:tcPr>
            <w:tcW w:w="3340" w:type="dxa"/>
            <w:vAlign w:val="bottom"/>
          </w:tcPr>
          <w:p>
            <w:pPr>
              <w:spacing w:after="0"/>
              <w:rPr>
                <w:sz w:val="15"/>
                <w:szCs w:val="15"/>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4"/>
                <w:szCs w:val="14"/>
                <w:color w:val="auto"/>
                <w:w w:val="92"/>
              </w:rPr>
              <w:t>Registrant's telephone number, including area code</w:t>
            </w:r>
          </w:p>
        </w:tc>
        <w:tc>
          <w:tcPr>
            <w:tcW w:w="3640" w:type="dxa"/>
            <w:vAlign w:val="bottom"/>
          </w:tcPr>
          <w:p>
            <w:pPr>
              <w:spacing w:after="0"/>
              <w:rPr>
                <w:sz w:val="15"/>
                <w:szCs w:val="15"/>
                <w:color w:val="auto"/>
              </w:rPr>
            </w:pPr>
          </w:p>
        </w:tc>
      </w:tr>
      <w:tr>
        <w:trPr>
          <w:trHeight w:val="438"/>
        </w:trPr>
        <w:tc>
          <w:tcPr>
            <w:tcW w:w="3340" w:type="dxa"/>
            <w:vAlign w:val="bottom"/>
          </w:tcPr>
          <w:p>
            <w:pPr>
              <w:spacing w:after="0"/>
              <w:rPr>
                <w:sz w:val="24"/>
                <w:szCs w:val="24"/>
                <w:color w:val="auto"/>
              </w:rPr>
            </w:pPr>
          </w:p>
        </w:tc>
        <w:tc>
          <w:tcPr>
            <w:tcW w:w="4260" w:type="dxa"/>
            <w:vAlign w:val="bottom"/>
            <w:gridSpan w:val="2"/>
          </w:tcPr>
          <w:p>
            <w:pPr>
              <w:jc w:val="center"/>
              <w:ind w:left="216"/>
              <w:spacing w:after="0"/>
              <w:rPr>
                <w:sz w:val="20"/>
                <w:szCs w:val="20"/>
                <w:color w:val="auto"/>
              </w:rPr>
            </w:pPr>
            <w:r>
              <w:rPr>
                <w:rFonts w:ascii="Arial" w:cs="Arial" w:eastAsia="Arial" w:hAnsi="Arial"/>
                <w:sz w:val="16"/>
                <w:szCs w:val="16"/>
                <w:b w:val="1"/>
                <w:bCs w:val="1"/>
                <w:color w:val="auto"/>
                <w:w w:val="91"/>
              </w:rPr>
              <w:t>Commission file number 1-13265</w:t>
            </w:r>
          </w:p>
        </w:tc>
        <w:tc>
          <w:tcPr>
            <w:tcW w:w="3640" w:type="dxa"/>
            <w:vAlign w:val="bottom"/>
          </w:tcPr>
          <w:p>
            <w:pPr>
              <w:spacing w:after="0"/>
              <w:rPr>
                <w:sz w:val="24"/>
                <w:szCs w:val="24"/>
                <w:color w:val="auto"/>
              </w:rPr>
            </w:pPr>
          </w:p>
        </w:tc>
      </w:tr>
      <w:tr>
        <w:trPr>
          <w:trHeight w:val="403"/>
        </w:trPr>
        <w:tc>
          <w:tcPr>
            <w:tcW w:w="3340" w:type="dxa"/>
            <w:vAlign w:val="bottom"/>
          </w:tcPr>
          <w:p>
            <w:pPr>
              <w:spacing w:after="0"/>
              <w:rPr>
                <w:sz w:val="24"/>
                <w:szCs w:val="24"/>
                <w:color w:val="auto"/>
              </w:rPr>
            </w:pPr>
          </w:p>
        </w:tc>
        <w:tc>
          <w:tcPr>
            <w:tcW w:w="7900" w:type="dxa"/>
            <w:vAlign w:val="bottom"/>
            <w:gridSpan w:val="3"/>
          </w:tcPr>
          <w:p>
            <w:pPr>
              <w:jc w:val="center"/>
              <w:ind w:right="3264"/>
              <w:spacing w:after="0"/>
              <w:rPr>
                <w:sz w:val="20"/>
                <w:szCs w:val="20"/>
                <w:color w:val="auto"/>
              </w:rPr>
            </w:pPr>
            <w:r>
              <w:rPr>
                <w:rFonts w:ascii="Arial" w:cs="Arial" w:eastAsia="Arial" w:hAnsi="Arial"/>
                <w:sz w:val="29"/>
                <w:szCs w:val="29"/>
                <w:b w:val="1"/>
                <w:bCs w:val="1"/>
                <w:color w:val="auto"/>
                <w:w w:val="89"/>
              </w:rPr>
              <w:t>CenterPoint Energy Resources Corp.</w:t>
            </w:r>
          </w:p>
        </w:tc>
      </w:tr>
      <w:tr>
        <w:trPr>
          <w:trHeight w:val="232"/>
        </w:trPr>
        <w:tc>
          <w:tcPr>
            <w:tcW w:w="3340" w:type="dxa"/>
            <w:vAlign w:val="bottom"/>
          </w:tcPr>
          <w:p>
            <w:pPr>
              <w:spacing w:after="0"/>
              <w:rPr>
                <w:sz w:val="20"/>
                <w:szCs w:val="20"/>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640" w:type="dxa"/>
            <w:vAlign w:val="bottom"/>
          </w:tcPr>
          <w:p>
            <w:pPr>
              <w:spacing w:after="0"/>
              <w:rPr>
                <w:sz w:val="20"/>
                <w:szCs w:val="20"/>
                <w:color w:val="auto"/>
              </w:rPr>
            </w:pPr>
          </w:p>
        </w:tc>
      </w:tr>
      <w:tr>
        <w:trPr>
          <w:trHeight w:val="338"/>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93"/>
              </w:rPr>
              <w:t>Delaware</w:t>
            </w:r>
          </w:p>
        </w:tc>
        <w:tc>
          <w:tcPr>
            <w:tcW w:w="1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40" w:type="dxa"/>
            <w:vAlign w:val="bottom"/>
          </w:tcPr>
          <w:p>
            <w:pPr>
              <w:jc w:val="center"/>
              <w:ind w:right="1144"/>
              <w:spacing w:after="0"/>
              <w:rPr>
                <w:sz w:val="20"/>
                <w:szCs w:val="20"/>
                <w:color w:val="auto"/>
              </w:rPr>
            </w:pPr>
            <w:r>
              <w:rPr>
                <w:rFonts w:ascii="Arial" w:cs="Arial" w:eastAsia="Arial" w:hAnsi="Arial"/>
                <w:sz w:val="16"/>
                <w:szCs w:val="16"/>
                <w:b w:val="1"/>
                <w:bCs w:val="1"/>
                <w:color w:val="auto"/>
                <w:w w:val="91"/>
              </w:rPr>
              <w:t>76-0511406</w:t>
            </w:r>
          </w:p>
        </w:tc>
      </w:tr>
      <w:tr>
        <w:trPr>
          <w:trHeight w:val="196"/>
        </w:trPr>
        <w:tc>
          <w:tcPr>
            <w:tcW w:w="5120" w:type="dxa"/>
            <w:vAlign w:val="bottom"/>
            <w:gridSpan w:val="2"/>
          </w:tcPr>
          <w:p>
            <w:pPr>
              <w:jc w:val="center"/>
              <w:ind w:right="75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8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(I.R.S. Employer Identification No.)</w:t>
            </w:r>
          </w:p>
        </w:tc>
      </w:tr>
      <w:tr>
        <w:trPr>
          <w:trHeight w:val="290"/>
        </w:trPr>
        <w:tc>
          <w:tcPr>
            <w:tcW w:w="3340" w:type="dxa"/>
            <w:vAlign w:val="bottom"/>
          </w:tcPr>
          <w:p>
            <w:pPr>
              <w:jc w:val="center"/>
              <w:ind w:left="878"/>
              <w:spacing w:after="0"/>
              <w:rPr>
                <w:sz w:val="20"/>
                <w:szCs w:val="20"/>
                <w:color w:val="auto"/>
              </w:rPr>
            </w:pPr>
            <w:r>
              <w:rPr>
                <w:rFonts w:ascii="Arial" w:cs="Arial" w:eastAsia="Arial" w:hAnsi="Arial"/>
                <w:sz w:val="16"/>
                <w:szCs w:val="16"/>
                <w:b w:val="1"/>
                <w:bCs w:val="1"/>
                <w:color w:val="auto"/>
                <w:w w:val="88"/>
              </w:rPr>
              <w:t>1111 Louisiana</w:t>
            </w:r>
          </w:p>
        </w:tc>
        <w:tc>
          <w:tcPr>
            <w:tcW w:w="1780" w:type="dxa"/>
            <w:vAlign w:val="bottom"/>
          </w:tcPr>
          <w:p>
            <w:pPr>
              <w:ind w:left="1180"/>
              <w:spacing w:after="0"/>
              <w:rPr>
                <w:sz w:val="20"/>
                <w:szCs w:val="20"/>
                <w:color w:val="auto"/>
              </w:rPr>
            </w:pPr>
            <w:r>
              <w:rPr>
                <w:rFonts w:ascii="Arial" w:cs="Arial" w:eastAsia="Arial" w:hAnsi="Arial"/>
                <w:sz w:val="16"/>
                <w:szCs w:val="16"/>
                <w:b w:val="1"/>
                <w:bCs w:val="1"/>
                <w:color w:val="auto"/>
                <w:w w:val="89"/>
              </w:rPr>
              <w:t>Houston</w:t>
            </w:r>
          </w:p>
        </w:tc>
        <w:tc>
          <w:tcPr>
            <w:tcW w:w="248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center"/>
              <w:ind w:right="1124"/>
              <w:spacing w:after="0"/>
              <w:rPr>
                <w:sz w:val="20"/>
                <w:szCs w:val="20"/>
                <w:color w:val="auto"/>
              </w:rPr>
            </w:pPr>
            <w:r>
              <w:rPr>
                <w:rFonts w:ascii="Arial" w:cs="Arial" w:eastAsia="Arial" w:hAnsi="Arial"/>
                <w:sz w:val="16"/>
                <w:szCs w:val="16"/>
                <w:b w:val="1"/>
                <w:bCs w:val="1"/>
                <w:color w:val="auto"/>
                <w:w w:val="89"/>
              </w:rPr>
              <w:t>77002</w:t>
            </w:r>
          </w:p>
        </w:tc>
      </w:tr>
      <w:tr>
        <w:trPr>
          <w:trHeight w:val="197"/>
        </w:trPr>
        <w:tc>
          <w:tcPr>
            <w:tcW w:w="3340" w:type="dxa"/>
            <w:vAlign w:val="bottom"/>
          </w:tcPr>
          <w:p>
            <w:pPr>
              <w:jc w:val="center"/>
              <w:ind w:left="878"/>
              <w:spacing w:after="0"/>
              <w:rPr>
                <w:sz w:val="20"/>
                <w:szCs w:val="20"/>
                <w:color w:val="auto"/>
              </w:rPr>
            </w:pPr>
            <w:r>
              <w:rPr>
                <w:rFonts w:ascii="Arial" w:cs="Arial" w:eastAsia="Arial" w:hAnsi="Arial"/>
                <w:sz w:val="14"/>
                <w:szCs w:val="14"/>
                <w:color w:val="auto"/>
                <w:w w:val="95"/>
              </w:rPr>
              <w:t>(Address of Principal Executive Offices)</w:t>
            </w:r>
          </w:p>
        </w:tc>
        <w:tc>
          <w:tcPr>
            <w:tcW w:w="17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640" w:type="dxa"/>
            <w:vAlign w:val="bottom"/>
          </w:tcPr>
          <w:p>
            <w:pPr>
              <w:jc w:val="center"/>
              <w:ind w:right="1124"/>
              <w:spacing w:after="0"/>
              <w:rPr>
                <w:sz w:val="20"/>
                <w:szCs w:val="20"/>
                <w:color w:val="auto"/>
              </w:rPr>
            </w:pPr>
            <w:r>
              <w:rPr>
                <w:rFonts w:ascii="Arial" w:cs="Arial" w:eastAsia="Arial" w:hAnsi="Arial"/>
                <w:sz w:val="14"/>
                <w:szCs w:val="14"/>
                <w:color w:val="auto"/>
                <w:w w:val="96"/>
              </w:rPr>
              <w:t>(Zip Code)</w:t>
            </w:r>
          </w:p>
        </w:tc>
      </w:tr>
      <w:tr>
        <w:trPr>
          <w:trHeight w:val="330"/>
        </w:trPr>
        <w:tc>
          <w:tcPr>
            <w:tcW w:w="3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80" w:type="dxa"/>
            <w:vAlign w:val="bottom"/>
          </w:tcPr>
          <w:p>
            <w:pPr>
              <w:jc w:val="center"/>
              <w:ind w:right="1379"/>
              <w:spacing w:after="0"/>
              <w:rPr>
                <w:sz w:val="20"/>
                <w:szCs w:val="20"/>
                <w:color w:val="auto"/>
              </w:rPr>
            </w:pPr>
            <w:r>
              <w:rPr>
                <w:rFonts w:ascii="Arial" w:cs="Arial" w:eastAsia="Arial" w:hAnsi="Arial"/>
                <w:sz w:val="16"/>
                <w:szCs w:val="16"/>
                <w:b w:val="1"/>
                <w:bCs w:val="1"/>
                <w:color w:val="auto"/>
                <w:w w:val="89"/>
              </w:rPr>
              <w:t>(713) 207-1111</w:t>
            </w:r>
          </w:p>
        </w:tc>
        <w:tc>
          <w:tcPr>
            <w:tcW w:w="3640" w:type="dxa"/>
            <w:vAlign w:val="bottom"/>
          </w:tcPr>
          <w:p>
            <w:pPr>
              <w:spacing w:after="0"/>
              <w:rPr>
                <w:sz w:val="24"/>
                <w:szCs w:val="24"/>
                <w:color w:val="auto"/>
              </w:rPr>
            </w:pPr>
          </w:p>
        </w:tc>
      </w:tr>
      <w:tr>
        <w:trPr>
          <w:trHeight w:val="183"/>
        </w:trPr>
        <w:tc>
          <w:tcPr>
            <w:tcW w:w="3340" w:type="dxa"/>
            <w:vAlign w:val="bottom"/>
          </w:tcPr>
          <w:p>
            <w:pPr>
              <w:spacing w:after="0"/>
              <w:rPr>
                <w:sz w:val="15"/>
                <w:szCs w:val="15"/>
                <w:color w:val="auto"/>
              </w:rPr>
            </w:pPr>
          </w:p>
        </w:tc>
        <w:tc>
          <w:tcPr>
            <w:tcW w:w="4260" w:type="dxa"/>
            <w:vAlign w:val="bottom"/>
            <w:gridSpan w:val="2"/>
          </w:tcPr>
          <w:p>
            <w:pPr>
              <w:jc w:val="center"/>
              <w:ind w:left="236"/>
              <w:spacing w:after="0"/>
              <w:rPr>
                <w:sz w:val="20"/>
                <w:szCs w:val="20"/>
                <w:color w:val="auto"/>
              </w:rPr>
            </w:pPr>
            <w:r>
              <w:rPr>
                <w:rFonts w:ascii="Arial" w:cs="Arial" w:eastAsia="Arial" w:hAnsi="Arial"/>
                <w:sz w:val="14"/>
                <w:szCs w:val="14"/>
                <w:color w:val="auto"/>
                <w:w w:val="92"/>
              </w:rPr>
              <w:t>Registrant's telephone number, including area code</w:t>
            </w:r>
          </w:p>
        </w:tc>
        <w:tc>
          <w:tcPr>
            <w:tcW w:w="3640" w:type="dxa"/>
            <w:vAlign w:val="bottom"/>
          </w:tcPr>
          <w:p>
            <w:pPr>
              <w:spacing w:after="0"/>
              <w:rPr>
                <w:sz w:val="15"/>
                <w:szCs w:val="15"/>
                <w:color w:val="auto"/>
              </w:rPr>
            </w:pPr>
          </w:p>
        </w:tc>
      </w:tr>
      <w:tr>
        <w:trPr>
          <w:trHeight w:val="991"/>
        </w:trPr>
        <w:tc>
          <w:tcPr>
            <w:tcW w:w="3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7"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1"/>
              </w:rPr>
              <w:t>Registrant</w:t>
            </w:r>
          </w:p>
        </w:tc>
        <w:tc>
          <w:tcPr>
            <w:tcW w:w="1340" w:type="dxa"/>
            <w:vAlign w:val="bottom"/>
          </w:tcPr>
          <w:p>
            <w:pPr>
              <w:spacing w:after="0"/>
              <w:rPr>
                <w:sz w:val="10"/>
                <w:szCs w:val="10"/>
                <w:color w:val="auto"/>
              </w:rPr>
            </w:pPr>
          </w:p>
        </w:tc>
        <w:tc>
          <w:tcPr>
            <w:tcW w:w="3920" w:type="dxa"/>
            <w:vAlign w:val="bottom"/>
            <w:gridSpan w:val="3"/>
          </w:tcPr>
          <w:p>
            <w:pPr>
              <w:jc w:val="center"/>
              <w:ind w:left="11"/>
              <w:spacing w:after="0"/>
              <w:rPr>
                <w:sz w:val="20"/>
                <w:szCs w:val="20"/>
                <w:color w:val="auto"/>
              </w:rPr>
            </w:pPr>
            <w:r>
              <w:rPr>
                <w:rFonts w:ascii="Arial" w:cs="Arial" w:eastAsia="Arial" w:hAnsi="Arial"/>
                <w:sz w:val="11"/>
                <w:szCs w:val="11"/>
                <w:b w:val="1"/>
                <w:bCs w:val="1"/>
                <w:color w:val="auto"/>
                <w:w w:val="84"/>
              </w:rPr>
              <w:t>Title of each class</w:t>
            </w:r>
          </w:p>
        </w:tc>
        <w:tc>
          <w:tcPr>
            <w:tcW w:w="172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89"/>
              </w:rPr>
              <w:t>Trading Symbol(s)</w:t>
            </w:r>
          </w:p>
        </w:tc>
        <w:tc>
          <w:tcPr>
            <w:tcW w:w="200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97"/>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CenterPoint Energy, Inc.</w:t>
            </w: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3"/>
              </w:rPr>
              <w:t>Common Stock, $0.01 par value</w:t>
            </w:r>
          </w:p>
        </w:tc>
        <w:tc>
          <w:tcPr>
            <w:tcW w:w="260" w:type="dxa"/>
            <w:vAlign w:val="bottom"/>
          </w:tcPr>
          <w:p>
            <w:pPr>
              <w:spacing w:after="0"/>
              <w:rPr>
                <w:sz w:val="17"/>
                <w:szCs w:val="17"/>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color w:val="auto"/>
                <w:w w:val="94"/>
              </w:rPr>
              <w:t>CNP</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189"/>
        </w:trPr>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Chicago Stock Exchange, Inc.</w:t>
            </w:r>
          </w:p>
        </w:tc>
      </w:tr>
      <w:tr>
        <w:trPr>
          <w:trHeight w:val="147"/>
        </w:trPr>
        <w:tc>
          <w:tcPr>
            <w:tcW w:w="2840" w:type="dxa"/>
            <w:vAlign w:val="bottom"/>
            <w:gridSpan w:val="3"/>
          </w:tcPr>
          <w:p>
            <w:pPr>
              <w:jc w:val="center"/>
              <w:ind w:right="340"/>
              <w:spacing w:after="0" w:line="147" w:lineRule="exact"/>
              <w:rPr>
                <w:sz w:val="20"/>
                <w:szCs w:val="20"/>
                <w:color w:val="auto"/>
              </w:rPr>
            </w:pPr>
            <w:r>
              <w:rPr>
                <w:rFonts w:ascii="Arial" w:cs="Arial" w:eastAsia="Arial" w:hAnsi="Arial"/>
                <w:sz w:val="14"/>
                <w:szCs w:val="14"/>
                <w:color w:val="auto"/>
                <w:w w:val="93"/>
              </w:rPr>
              <w:t>CenterPoint Energy, Inc.</w:t>
            </w:r>
          </w:p>
        </w:tc>
        <w:tc>
          <w:tcPr>
            <w:tcW w:w="3920" w:type="dxa"/>
            <w:vAlign w:val="bottom"/>
            <w:gridSpan w:val="3"/>
          </w:tcPr>
          <w:p>
            <w:pPr>
              <w:jc w:val="center"/>
              <w:ind w:left="11"/>
              <w:spacing w:after="0" w:line="147" w:lineRule="exact"/>
              <w:rPr>
                <w:sz w:val="20"/>
                <w:szCs w:val="20"/>
                <w:color w:val="auto"/>
              </w:rPr>
            </w:pPr>
            <w:r>
              <w:rPr>
                <w:rFonts w:ascii="Arial" w:cs="Arial" w:eastAsia="Arial" w:hAnsi="Arial"/>
                <w:sz w:val="14"/>
                <w:szCs w:val="14"/>
                <w:color w:val="auto"/>
                <w:w w:val="93"/>
              </w:rPr>
              <w:t>Depositary Shares for 1/20 of 7.00% Series B Mandatory</w:t>
            </w:r>
          </w:p>
        </w:tc>
        <w:tc>
          <w:tcPr>
            <w:tcW w:w="260" w:type="dxa"/>
            <w:vAlign w:val="bottom"/>
          </w:tcPr>
          <w:p>
            <w:pPr>
              <w:spacing w:after="0"/>
              <w:rPr>
                <w:sz w:val="12"/>
                <w:szCs w:val="12"/>
                <w:color w:val="auto"/>
              </w:rPr>
            </w:pPr>
          </w:p>
        </w:tc>
        <w:tc>
          <w:tcPr>
            <w:tcW w:w="1460" w:type="dxa"/>
            <w:vAlign w:val="bottom"/>
            <w:gridSpan w:val="2"/>
          </w:tcPr>
          <w:p>
            <w:pPr>
              <w:jc w:val="center"/>
              <w:ind w:right="600"/>
              <w:spacing w:after="0" w:line="147" w:lineRule="exact"/>
              <w:rPr>
                <w:sz w:val="20"/>
                <w:szCs w:val="20"/>
                <w:color w:val="auto"/>
              </w:rPr>
            </w:pPr>
            <w:r>
              <w:rPr>
                <w:rFonts w:ascii="Arial" w:cs="Arial" w:eastAsia="Arial" w:hAnsi="Arial"/>
                <w:sz w:val="14"/>
                <w:szCs w:val="14"/>
                <w:color w:val="auto"/>
                <w:w w:val="95"/>
              </w:rPr>
              <w:t>CNP/PB</w:t>
            </w:r>
          </w:p>
        </w:tc>
        <w:tc>
          <w:tcPr>
            <w:tcW w:w="2000" w:type="dxa"/>
            <w:vAlign w:val="bottom"/>
          </w:tcPr>
          <w:p>
            <w:pPr>
              <w:jc w:val="center"/>
              <w:spacing w:after="0" w:line="147" w:lineRule="exact"/>
              <w:rPr>
                <w:sz w:val="20"/>
                <w:szCs w:val="20"/>
                <w:color w:val="auto"/>
              </w:rPr>
            </w:pPr>
            <w:r>
              <w:rPr>
                <w:rFonts w:ascii="Arial" w:cs="Arial" w:eastAsia="Arial" w:hAnsi="Arial"/>
                <w:sz w:val="14"/>
                <w:szCs w:val="14"/>
                <w:color w:val="auto"/>
                <w:w w:val="93"/>
              </w:rPr>
              <w:t>The New York Stock Exchange</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2"/>
              </w:rPr>
              <w:t>Convertible Preferred Stock, $0.01 par value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4"/>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5"/>
              </w:rPr>
              <w:t>CenterPoint Energy Houston Electric, LLC</w:t>
            </w: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3"/>
              </w:rPr>
              <w:t>9.15% First Mortgage Bonds due 2021</w:t>
            </w:r>
          </w:p>
        </w:tc>
        <w:tc>
          <w:tcPr>
            <w:tcW w:w="260" w:type="dxa"/>
            <w:vAlign w:val="bottom"/>
          </w:tcPr>
          <w:p>
            <w:pPr>
              <w:spacing w:after="0"/>
              <w:rPr>
                <w:sz w:val="15"/>
                <w:szCs w:val="15"/>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n/a</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189"/>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5"/>
              </w:rPr>
              <w:t>CenterPoint Energy Houston Electric, LLC</w:t>
            </w: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3"/>
              </w:rPr>
              <w:t>6.95% General Mortgage Bonds due 2033</w:t>
            </w:r>
          </w:p>
        </w:tc>
        <w:tc>
          <w:tcPr>
            <w:tcW w:w="260" w:type="dxa"/>
            <w:vAlign w:val="bottom"/>
          </w:tcPr>
          <w:p>
            <w:pPr>
              <w:spacing w:after="0"/>
              <w:rPr>
                <w:sz w:val="16"/>
                <w:szCs w:val="16"/>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n/a</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189"/>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CenterPoint Energy Resources Corp.</w:t>
            </w:r>
          </w:p>
        </w:tc>
        <w:tc>
          <w:tcPr>
            <w:tcW w:w="3920" w:type="dxa"/>
            <w:vAlign w:val="bottom"/>
            <w:gridSpan w:val="3"/>
          </w:tcPr>
          <w:p>
            <w:pPr>
              <w:jc w:val="center"/>
              <w:ind w:left="11"/>
              <w:spacing w:after="0"/>
              <w:rPr>
                <w:sz w:val="20"/>
                <w:szCs w:val="20"/>
                <w:color w:val="auto"/>
              </w:rPr>
            </w:pPr>
            <w:r>
              <w:rPr>
                <w:rFonts w:ascii="Arial" w:cs="Arial" w:eastAsia="Arial" w:hAnsi="Arial"/>
                <w:sz w:val="14"/>
                <w:szCs w:val="14"/>
                <w:color w:val="auto"/>
                <w:w w:val="92"/>
              </w:rPr>
              <w:t>6.625% Senior Notes due 2037</w:t>
            </w:r>
          </w:p>
        </w:tc>
        <w:tc>
          <w:tcPr>
            <w:tcW w:w="260" w:type="dxa"/>
            <w:vAlign w:val="bottom"/>
          </w:tcPr>
          <w:p>
            <w:pPr>
              <w:spacing w:after="0"/>
              <w:rPr>
                <w:sz w:val="16"/>
                <w:szCs w:val="16"/>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n/a</w:t>
            </w: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326"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9"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6"/>
        </w:trPr>
        <w:tc>
          <w:tcPr>
            <w:tcW w:w="45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6"/>
        </w:trPr>
        <w:tc>
          <w:tcPr>
            <w:tcW w:w="45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6"/>
        </w:trPr>
        <w:tc>
          <w:tcPr>
            <w:tcW w:w="45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60" w:type="dxa"/>
            <w:vAlign w:val="bottom"/>
          </w:tcPr>
          <w:p>
            <w:pPr>
              <w:ind w:left="2040"/>
              <w:spacing w:after="0"/>
              <w:rPr>
                <w:sz w:val="20"/>
                <w:szCs w:val="20"/>
                <w:color w:val="auto"/>
              </w:rPr>
            </w:pPr>
            <w:r>
              <w:rPr>
                <w:rFonts w:ascii="Arial" w:cs="Arial" w:eastAsia="Arial" w:hAnsi="Arial"/>
                <w:sz w:val="14"/>
                <w:szCs w:val="14"/>
                <w:color w:val="auto"/>
              </w:rPr>
              <w:t>Yes</w:t>
            </w:r>
          </w:p>
        </w:tc>
        <w:tc>
          <w:tcPr>
            <w:tcW w:w="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10"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60" w:type="dxa"/>
            <w:vAlign w:val="bottom"/>
          </w:tcPr>
          <w:p>
            <w:pPr>
              <w:jc w:val="center"/>
              <w:ind w:left="1088"/>
              <w:spacing w:after="0"/>
              <w:rPr>
                <w:sz w:val="20"/>
                <w:szCs w:val="20"/>
                <w:color w:val="auto"/>
              </w:rPr>
            </w:pPr>
            <w:r>
              <w:rPr>
                <w:rFonts w:ascii="Arial" w:cs="Arial" w:eastAsia="Arial" w:hAnsi="Arial"/>
                <w:sz w:val="14"/>
                <w:szCs w:val="14"/>
                <w:b w:val="1"/>
                <w:bCs w:val="1"/>
                <w:color w:val="auto"/>
                <w:w w:val="92"/>
              </w:rPr>
              <w:t>Large accelerated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Accelerated filer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Non-accelerated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Smaller reporting</w:t>
            </w:r>
          </w:p>
        </w:tc>
        <w:tc>
          <w:tcPr>
            <w:tcW w:w="118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Emerging growth</w:t>
            </w: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460" w:type="dxa"/>
            <w:vAlign w:val="bottom"/>
          </w:tcPr>
          <w:p>
            <w:pPr>
              <w:jc w:val="center"/>
              <w:ind w:left="1088"/>
              <w:spacing w:after="0"/>
              <w:rPr>
                <w:sz w:val="20"/>
                <w:szCs w:val="20"/>
                <w:color w:val="auto"/>
              </w:rPr>
            </w:pPr>
            <w:r>
              <w:rPr>
                <w:rFonts w:ascii="Arial" w:cs="Arial" w:eastAsia="Arial" w:hAnsi="Arial"/>
                <w:sz w:val="14"/>
                <w:szCs w:val="14"/>
                <w:b w:val="1"/>
                <w:bCs w:val="1"/>
                <w:color w:val="auto"/>
              </w:rPr>
              <w:t>filer</w:t>
            </w:r>
          </w:p>
        </w:tc>
        <w:tc>
          <w:tcPr>
            <w:tcW w:w="124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filer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118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17"/>
        </w:trPr>
        <w:tc>
          <w:tcPr>
            <w:tcW w:w="37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460" w:type="dxa"/>
            <w:vAlign w:val="bottom"/>
          </w:tcPr>
          <w:p>
            <w:pPr>
              <w:jc w:val="center"/>
              <w:ind w:left="1088"/>
              <w:spacing w:after="0" w:line="141" w:lineRule="exact"/>
              <w:rPr>
                <w:sz w:val="20"/>
                <w:szCs w:val="20"/>
                <w:color w:val="auto"/>
              </w:rPr>
            </w:pPr>
            <w:r>
              <w:rPr>
                <w:rFonts w:ascii="MS PGothic" w:cs="MS PGothic" w:eastAsia="MS PGothic" w:hAnsi="MS PGothic"/>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rPr>
                <w:sz w:val="20"/>
                <w:szCs w:val="20"/>
                <w:color w:val="auto"/>
              </w:rPr>
            </w:pPr>
            <w:r>
              <w:rPr>
                <w:rFonts w:ascii="Arial" w:cs="Arial" w:eastAsia="Arial" w:hAnsi="Arial"/>
                <w:sz w:val="14"/>
                <w:szCs w:val="14"/>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37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460" w:type="dxa"/>
            <w:vAlign w:val="bottom"/>
          </w:tcPr>
          <w:p>
            <w:pPr>
              <w:jc w:val="center"/>
              <w:ind w:left="1108"/>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7"/>
        </w:trPr>
        <w:tc>
          <w:tcPr>
            <w:tcW w:w="37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460" w:type="dxa"/>
            <w:vAlign w:val="bottom"/>
          </w:tcPr>
          <w:p>
            <w:pPr>
              <w:jc w:val="center"/>
              <w:ind w:left="1108"/>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60" w:type="dxa"/>
            <w:vAlign w:val="bottom"/>
          </w:tcPr>
          <w:p>
            <w:pPr>
              <w:ind w:left="206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No</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45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60" w:type="dxa"/>
            <w:vAlign w:val="bottom"/>
          </w:tcPr>
          <w:p>
            <w:pPr>
              <w:ind w:left="206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No</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0"/>
        </w:trPr>
        <w:tc>
          <w:tcPr>
            <w:tcW w:w="45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60" w:type="dxa"/>
            <w:vAlign w:val="bottom"/>
          </w:tcPr>
          <w:p>
            <w:pPr>
              <w:ind w:left="206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No</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April 29, 2021:</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CenterPoint Energy, Inc.</w:t>
            </w:r>
          </w:p>
        </w:tc>
        <w:tc>
          <w:tcPr>
            <w:tcW w:w="1500" w:type="dxa"/>
            <w:vAlign w:val="bottom"/>
          </w:tcPr>
          <w:p>
            <w:pPr>
              <w:jc w:val="center"/>
              <w:ind w:left="279"/>
              <w:spacing w:after="0"/>
              <w:rPr>
                <w:sz w:val="20"/>
                <w:szCs w:val="20"/>
                <w:color w:val="auto"/>
              </w:rPr>
            </w:pPr>
            <w:r>
              <w:rPr>
                <w:rFonts w:ascii="Arial" w:cs="Arial" w:eastAsia="Arial" w:hAnsi="Arial"/>
                <w:sz w:val="16"/>
                <w:szCs w:val="16"/>
                <w:color w:val="auto"/>
                <w:w w:val="92"/>
              </w:rPr>
              <w:t>580,495,853</w:t>
            </w:r>
          </w:p>
        </w:tc>
        <w:tc>
          <w:tcPr>
            <w:tcW w:w="6160" w:type="dxa"/>
            <w:vAlign w:val="bottom"/>
          </w:tcPr>
          <w:p>
            <w:pPr>
              <w:ind w:left="160"/>
              <w:spacing w:after="0"/>
              <w:rPr>
                <w:sz w:val="20"/>
                <w:szCs w:val="20"/>
                <w:color w:val="auto"/>
              </w:rPr>
            </w:pPr>
            <w:r>
              <w:rPr>
                <w:rFonts w:ascii="Arial" w:cs="Arial" w:eastAsia="Arial" w:hAnsi="Arial"/>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72"/>
        </w:trPr>
        <w:tc>
          <w:tcPr>
            <w:tcW w:w="3340" w:type="dxa"/>
            <w:vAlign w:val="bottom"/>
            <w:vMerge w:val="restart"/>
          </w:tcPr>
          <w:p>
            <w:pPr>
              <w:spacing w:after="0"/>
              <w:rPr>
                <w:sz w:val="20"/>
                <w:szCs w:val="20"/>
                <w:color w:val="auto"/>
              </w:rPr>
            </w:pPr>
            <w:r>
              <w:rPr>
                <w:rFonts w:ascii="Arial" w:cs="Arial" w:eastAsia="Arial" w:hAnsi="Arial"/>
                <w:sz w:val="16"/>
                <w:szCs w:val="16"/>
                <w:color w:val="auto"/>
              </w:rPr>
              <w:t>CenterPoint Energy Houston Electric, LLC</w:t>
            </w:r>
          </w:p>
        </w:tc>
        <w:tc>
          <w:tcPr>
            <w:tcW w:w="1500" w:type="dxa"/>
            <w:vAlign w:val="bottom"/>
            <w:vMerge w:val="restart"/>
          </w:tcPr>
          <w:p>
            <w:pPr>
              <w:jc w:val="center"/>
              <w:ind w:left="299"/>
              <w:spacing w:after="0"/>
              <w:rPr>
                <w:sz w:val="20"/>
                <w:szCs w:val="20"/>
                <w:color w:val="auto"/>
              </w:rPr>
            </w:pPr>
            <w:r>
              <w:rPr>
                <w:rFonts w:ascii="Arial" w:cs="Arial" w:eastAsia="Arial" w:hAnsi="Arial"/>
                <w:sz w:val="16"/>
                <w:szCs w:val="16"/>
                <w:color w:val="auto"/>
                <w:w w:val="89"/>
              </w:rPr>
              <w:t>1,000</w:t>
            </w:r>
          </w:p>
        </w:tc>
        <w:tc>
          <w:tcPr>
            <w:tcW w:w="6160" w:type="dxa"/>
            <w:vAlign w:val="bottom"/>
          </w:tcPr>
          <w:p>
            <w:pPr>
              <w:ind w:left="160"/>
              <w:spacing w:after="0" w:line="171" w:lineRule="exact"/>
              <w:rPr>
                <w:sz w:val="20"/>
                <w:szCs w:val="20"/>
                <w:color w:val="auto"/>
              </w:rPr>
            </w:pPr>
            <w:r>
              <w:rPr>
                <w:rFonts w:ascii="Arial" w:cs="Arial" w:eastAsia="Arial" w:hAnsi="Arial"/>
                <w:sz w:val="16"/>
                <w:szCs w:val="16"/>
                <w:color w:val="auto"/>
                <w:w w:val="94"/>
              </w:rPr>
              <w:t>common shares outstanding, all held by Utility Holding, LLC, a wholly-owned subsidiary of</w:t>
            </w:r>
          </w:p>
        </w:tc>
        <w:tc>
          <w:tcPr>
            <w:tcW w:w="0" w:type="dxa"/>
            <w:vAlign w:val="bottom"/>
          </w:tcPr>
          <w:p>
            <w:pPr>
              <w:spacing w:after="0"/>
              <w:rPr>
                <w:sz w:val="1"/>
                <w:szCs w:val="1"/>
                <w:color w:val="auto"/>
              </w:rPr>
            </w:pPr>
          </w:p>
        </w:tc>
      </w:tr>
      <w:tr>
        <w:trPr>
          <w:trHeight w:val="206"/>
        </w:trPr>
        <w:tc>
          <w:tcPr>
            <w:tcW w:w="334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CenterPoint Energy, Inc.</w:t>
            </w:r>
          </w:p>
        </w:tc>
        <w:tc>
          <w:tcPr>
            <w:tcW w:w="0" w:type="dxa"/>
            <w:vAlign w:val="bottom"/>
          </w:tcPr>
          <w:p>
            <w:pPr>
              <w:spacing w:after="0"/>
              <w:rPr>
                <w:sz w:val="1"/>
                <w:szCs w:val="1"/>
                <w:color w:val="auto"/>
              </w:rPr>
            </w:pPr>
          </w:p>
        </w:tc>
      </w:tr>
      <w:tr>
        <w:trPr>
          <w:trHeight w:val="172"/>
        </w:trPr>
        <w:tc>
          <w:tcPr>
            <w:tcW w:w="3340" w:type="dxa"/>
            <w:vAlign w:val="bottom"/>
            <w:vMerge w:val="restart"/>
          </w:tcPr>
          <w:p>
            <w:pPr>
              <w:spacing w:after="0"/>
              <w:rPr>
                <w:sz w:val="20"/>
                <w:szCs w:val="20"/>
                <w:color w:val="auto"/>
              </w:rPr>
            </w:pPr>
            <w:r>
              <w:rPr>
                <w:rFonts w:ascii="Arial" w:cs="Arial" w:eastAsia="Arial" w:hAnsi="Arial"/>
                <w:sz w:val="16"/>
                <w:szCs w:val="16"/>
                <w:color w:val="auto"/>
              </w:rPr>
              <w:t>CenterPoint Energy Resources Corp.</w:t>
            </w:r>
          </w:p>
        </w:tc>
        <w:tc>
          <w:tcPr>
            <w:tcW w:w="1500" w:type="dxa"/>
            <w:vAlign w:val="bottom"/>
            <w:vMerge w:val="restart"/>
          </w:tcPr>
          <w:p>
            <w:pPr>
              <w:jc w:val="center"/>
              <w:ind w:left="299"/>
              <w:spacing w:after="0"/>
              <w:rPr>
                <w:sz w:val="20"/>
                <w:szCs w:val="20"/>
                <w:color w:val="auto"/>
              </w:rPr>
            </w:pPr>
            <w:r>
              <w:rPr>
                <w:rFonts w:ascii="Arial" w:cs="Arial" w:eastAsia="Arial" w:hAnsi="Arial"/>
                <w:sz w:val="16"/>
                <w:szCs w:val="16"/>
                <w:color w:val="auto"/>
                <w:w w:val="89"/>
              </w:rPr>
              <w:t>1,000</w:t>
            </w:r>
          </w:p>
        </w:tc>
        <w:tc>
          <w:tcPr>
            <w:tcW w:w="6160" w:type="dxa"/>
            <w:vAlign w:val="bottom"/>
          </w:tcPr>
          <w:p>
            <w:pPr>
              <w:ind w:left="160"/>
              <w:spacing w:after="0" w:line="171" w:lineRule="exact"/>
              <w:rPr>
                <w:sz w:val="20"/>
                <w:szCs w:val="20"/>
                <w:color w:val="auto"/>
              </w:rPr>
            </w:pPr>
            <w:r>
              <w:rPr>
                <w:rFonts w:ascii="Arial" w:cs="Arial" w:eastAsia="Arial" w:hAnsi="Arial"/>
                <w:sz w:val="16"/>
                <w:szCs w:val="16"/>
                <w:color w:val="auto"/>
                <w:w w:val="99"/>
              </w:rPr>
              <w:t>shares of common stock outstanding, all held by Utility Holding, LLC, a wholly-owned</w:t>
            </w:r>
          </w:p>
        </w:tc>
        <w:tc>
          <w:tcPr>
            <w:tcW w:w="0" w:type="dxa"/>
            <w:vAlign w:val="bottom"/>
          </w:tcPr>
          <w:p>
            <w:pPr>
              <w:spacing w:after="0"/>
              <w:rPr>
                <w:sz w:val="1"/>
                <w:szCs w:val="1"/>
                <w:color w:val="auto"/>
              </w:rPr>
            </w:pPr>
          </w:p>
        </w:tc>
      </w:tr>
      <w:tr>
        <w:trPr>
          <w:trHeight w:val="206"/>
        </w:trPr>
        <w:tc>
          <w:tcPr>
            <w:tcW w:w="334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20" w:type="dxa"/>
            <w:vAlign w:val="bottom"/>
            <w:gridSpan w:val="9"/>
          </w:tcPr>
          <w:p>
            <w:pPr>
              <w:ind w:left="10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51"/>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880" w:type="dxa"/>
            <w:vAlign w:val="bottom"/>
            <w:gridSpan w:val="38"/>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9"/>
        </w:trPr>
        <w:tc>
          <w:tcPr>
            <w:tcW w:w="10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Item 1.</w:t>
            </w:r>
          </w:p>
        </w:tc>
        <w:tc>
          <w:tcPr>
            <w:tcW w:w="220" w:type="dxa"/>
            <w:vAlign w:val="bottom"/>
            <w:shd w:val="clear" w:color="auto" w:fill="CCEEFF"/>
          </w:tcPr>
          <w:p>
            <w:pPr>
              <w:spacing w:after="0"/>
              <w:rPr>
                <w:sz w:val="16"/>
                <w:szCs w:val="16"/>
                <w:color w:val="auto"/>
              </w:rPr>
            </w:pPr>
          </w:p>
        </w:tc>
        <w:tc>
          <w:tcPr>
            <w:tcW w:w="1520" w:type="dxa"/>
            <w:vAlign w:val="bottom"/>
            <w:gridSpan w:val="7"/>
            <w:shd w:val="clear" w:color="auto" w:fill="CCEEFF"/>
          </w:tcPr>
          <w:p>
            <w:pPr>
              <w:spacing w:after="0" w:line="189" w:lineRule="exact"/>
              <w:rPr>
                <w:rFonts w:ascii="Arial" w:cs="Arial" w:eastAsia="Arial" w:hAnsi="Arial"/>
                <w:sz w:val="18"/>
                <w:szCs w:val="18"/>
                <w:color w:val="0000FF"/>
                <w:w w:val="89"/>
              </w:rPr>
            </w:pPr>
            <w:hyperlink w:anchor="page12">
              <w:r>
                <w:rPr>
                  <w:rFonts w:ascii="Arial" w:cs="Arial" w:eastAsia="Arial" w:hAnsi="Arial"/>
                  <w:sz w:val="18"/>
                  <w:szCs w:val="18"/>
                  <w:color w:val="0000FF"/>
                  <w:w w:val="89"/>
                </w:rPr>
                <w:t>Financial Statements</w:t>
              </w:r>
            </w:hyperlink>
          </w:p>
        </w:tc>
        <w:tc>
          <w:tcPr>
            <w:tcW w:w="8140" w:type="dxa"/>
            <w:vAlign w:val="bottom"/>
            <w:gridSpan w:val="30"/>
            <w:shd w:val="clear" w:color="auto" w:fill="CCEEFF"/>
          </w:tcPr>
          <w:p>
            <w:pPr>
              <w:spacing w:after="0"/>
              <w:rPr>
                <w:sz w:val="16"/>
                <w:szCs w:val="16"/>
                <w:color w:val="auto"/>
              </w:rPr>
            </w:pPr>
          </w:p>
        </w:tc>
        <w:tc>
          <w:tcPr>
            <w:tcW w:w="180" w:type="dxa"/>
            <w:vAlign w:val="bottom"/>
            <w:gridSpan w:val="3"/>
            <w:shd w:val="clear" w:color="auto" w:fill="CCEEFF"/>
          </w:tcPr>
          <w:p>
            <w:pPr>
              <w:jc w:val="center"/>
              <w:ind w:right="20"/>
              <w:spacing w:after="0" w:line="189"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w:t>
              </w:r>
            </w:hyperlink>
          </w:p>
        </w:tc>
        <w:tc>
          <w:tcPr>
            <w:tcW w:w="180" w:type="dxa"/>
            <w:vAlign w:val="bottom"/>
            <w:shd w:val="clear" w:color="auto" w:fill="CCEEFF"/>
          </w:tcPr>
          <w:p>
            <w:pPr>
              <w:spacing w:after="0"/>
              <w:rPr>
                <w:sz w:val="16"/>
                <w:szCs w:val="16"/>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60" w:type="dxa"/>
            <w:vAlign w:val="bottom"/>
            <w:gridSpan w:val="37"/>
          </w:tcPr>
          <w:p>
            <w:pPr>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 xml:space="preserve">CenterPoint Energy, Inc. Financial Statements </w:t>
              </w:r>
            </w:hyperlink>
            <w:r>
              <w:rPr>
                <w:rFonts w:ascii="Arial" w:cs="Arial" w:eastAsia="Arial" w:hAnsi="Arial"/>
                <w:sz w:val="18"/>
                <w:szCs w:val="18"/>
                <w:color w:val="000000"/>
              </w:rPr>
              <w:t>(unaudited)</w:t>
            </w:r>
          </w:p>
        </w:tc>
        <w:tc>
          <w:tcPr>
            <w:tcW w:w="180" w:type="dxa"/>
            <w:vAlign w:val="bottom"/>
            <w:gridSpan w:val="3"/>
          </w:tcPr>
          <w:p>
            <w:pPr>
              <w:jc w:val="center"/>
              <w:ind w:right="20"/>
              <w:spacing w:after="0" w:line="189"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w:t>
              </w:r>
            </w:hyperlink>
          </w:p>
        </w:tc>
        <w:tc>
          <w:tcPr>
            <w:tcW w:w="18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60" w:type="dxa"/>
            <w:vAlign w:val="bottom"/>
            <w:gridSpan w:val="37"/>
            <w:shd w:val="clear" w:color="auto" w:fill="CCEEFF"/>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 xml:space="preserve">CenterPoint Energy Houston Electric, LLC Financial Statements </w:t>
              </w:r>
            </w:hyperlink>
            <w:r>
              <w:rPr>
                <w:rFonts w:ascii="Arial" w:cs="Arial" w:eastAsia="Arial" w:hAnsi="Arial"/>
                <w:sz w:val="18"/>
                <w:szCs w:val="18"/>
                <w:color w:val="000000"/>
              </w:rPr>
              <w:t>(unaudited)</w:t>
            </w:r>
          </w:p>
        </w:tc>
        <w:tc>
          <w:tcPr>
            <w:tcW w:w="180" w:type="dxa"/>
            <w:vAlign w:val="bottom"/>
            <w:gridSpan w:val="3"/>
            <w:shd w:val="clear" w:color="auto" w:fill="CCEEFF"/>
          </w:tcPr>
          <w:p>
            <w:pPr>
              <w:jc w:val="center"/>
              <w:ind w:right="20"/>
              <w:spacing w:after="0" w:line="189"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7</w:t>
              </w:r>
            </w:hyperlink>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60" w:type="dxa"/>
            <w:vAlign w:val="bottom"/>
            <w:gridSpan w:val="37"/>
          </w:tcPr>
          <w:p>
            <w:pPr>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 xml:space="preserve">CenterPoint Energy Resources Corp. Financial Statements </w:t>
              </w:r>
            </w:hyperlink>
            <w:r>
              <w:rPr>
                <w:rFonts w:ascii="Arial" w:cs="Arial" w:eastAsia="Arial" w:hAnsi="Arial"/>
                <w:sz w:val="18"/>
                <w:szCs w:val="18"/>
                <w:color w:val="000000"/>
              </w:rPr>
              <w:t>(unaudited)</w:t>
            </w:r>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13</w:t>
              </w:r>
            </w:hyperlink>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60" w:type="dxa"/>
            <w:vAlign w:val="bottom"/>
            <w:gridSpan w:val="37"/>
            <w:shd w:val="clear" w:color="auto" w:fill="CCEEFF"/>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 xml:space="preserve">Combined Notes to Interim Condensed Financial Statements </w:t>
              </w:r>
            </w:hyperlink>
            <w:r>
              <w:rPr>
                <w:rFonts w:ascii="Arial" w:cs="Arial" w:eastAsia="Arial" w:hAnsi="Arial"/>
                <w:sz w:val="18"/>
                <w:szCs w:val="18"/>
                <w:color w:val="000000"/>
              </w:rPr>
              <w:t>(unaudited)</w:t>
            </w:r>
          </w:p>
        </w:tc>
        <w:tc>
          <w:tcPr>
            <w:tcW w:w="360" w:type="dxa"/>
            <w:vAlign w:val="bottom"/>
            <w:gridSpan w:val="4"/>
            <w:shd w:val="clear" w:color="auto" w:fill="CCEEFF"/>
          </w:tcPr>
          <w:p>
            <w:pPr>
              <w:jc w:val="center"/>
              <w:ind w:right="180"/>
              <w:spacing w:after="0" w:line="189"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19</w:t>
              </w:r>
            </w:hyperlink>
          </w:p>
        </w:tc>
      </w:tr>
      <w:tr>
        <w:trPr>
          <w:trHeight w:val="189"/>
        </w:trPr>
        <w:tc>
          <w:tcPr>
            <w:tcW w:w="10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0000FF"/>
            </w:tcBorders>
            <w:gridSpan w:val="2"/>
          </w:tcPr>
          <w:p>
            <w:pPr>
              <w:ind w:left="220"/>
              <w:spacing w:after="0" w:line="189" w:lineRule="exact"/>
              <w:rPr>
                <w:rFonts w:ascii="Arial" w:cs="Arial" w:eastAsia="Arial" w:hAnsi="Arial"/>
                <w:sz w:val="18"/>
                <w:szCs w:val="18"/>
                <w:color w:val="0000FF"/>
                <w:w w:val="90"/>
              </w:rPr>
            </w:pPr>
            <w:hyperlink w:anchor="page30">
              <w:r>
                <w:rPr>
                  <w:rFonts w:ascii="Arial" w:cs="Arial" w:eastAsia="Arial" w:hAnsi="Arial"/>
                  <w:sz w:val="18"/>
                  <w:szCs w:val="18"/>
                  <w:color w:val="0000FF"/>
                  <w:w w:val="90"/>
                </w:rPr>
                <w:t>(1)</w:t>
              </w:r>
            </w:hyperlink>
          </w:p>
        </w:tc>
        <w:tc>
          <w:tcPr>
            <w:tcW w:w="3940" w:type="dxa"/>
            <w:vAlign w:val="bottom"/>
            <w:tcBorders>
              <w:top w:val="single" w:sz="8" w:color="0000FF"/>
            </w:tcBorders>
            <w:gridSpan w:val="31"/>
          </w:tcPr>
          <w:p>
            <w:pPr>
              <w:ind w:left="2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Background and Basis of Presentation</w:t>
              </w:r>
            </w:hyperlink>
          </w:p>
        </w:tc>
        <w:tc>
          <w:tcPr>
            <w:tcW w:w="528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19</w:t>
              </w:r>
            </w:hyperlink>
          </w:p>
        </w:tc>
        <w:tc>
          <w:tcPr>
            <w:tcW w:w="180" w:type="dxa"/>
            <w:vAlign w:val="bottom"/>
            <w:tcBorders>
              <w:top w:val="single" w:sz="8" w:color="CCEEFF"/>
            </w:tcBorders>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ind w:left="20"/>
              <w:spacing w:after="0" w:line="189"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(2)</w:t>
              </w:r>
            </w:hyperlink>
          </w:p>
        </w:tc>
        <w:tc>
          <w:tcPr>
            <w:tcW w:w="2500" w:type="dxa"/>
            <w:vAlign w:val="bottom"/>
            <w:tcBorders>
              <w:bottom w:val="single" w:sz="8" w:color="0000FF"/>
            </w:tcBorders>
            <w:gridSpan w:val="22"/>
            <w:shd w:val="clear" w:color="auto" w:fill="CCEEFF"/>
          </w:tcPr>
          <w:p>
            <w:pPr>
              <w:ind w:left="20"/>
              <w:spacing w:after="0" w:line="189"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New Accounting Pronouncements</w:t>
              </w:r>
            </w:hyperlink>
          </w:p>
        </w:tc>
        <w:tc>
          <w:tcPr>
            <w:tcW w:w="6720" w:type="dxa"/>
            <w:vAlign w:val="bottom"/>
            <w:tcBorders>
              <w:bottom w:val="single" w:sz="8" w:color="CCEEFF"/>
            </w:tcBorders>
            <w:gridSpan w:val="13"/>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20</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spacing w:after="0"/>
              <w:rPr>
                <w:sz w:val="16"/>
                <w:szCs w:val="16"/>
                <w:color w:val="auto"/>
              </w:rPr>
            </w:pPr>
          </w:p>
        </w:tc>
        <w:tc>
          <w:tcPr>
            <w:tcW w:w="660" w:type="dxa"/>
            <w:vAlign w:val="bottom"/>
            <w:gridSpan w:val="3"/>
          </w:tcPr>
          <w:p>
            <w:pPr>
              <w:ind w:left="440"/>
              <w:spacing w:after="0" w:line="189"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(3)</w:t>
              </w:r>
            </w:hyperlink>
          </w:p>
        </w:tc>
        <w:tc>
          <w:tcPr>
            <w:tcW w:w="9220" w:type="dxa"/>
            <w:vAlign w:val="bottom"/>
            <w:gridSpan w:val="35"/>
          </w:tcPr>
          <w:p>
            <w:pPr>
              <w:ind w:left="20"/>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Divestitures</w:t>
              </w:r>
            </w:hyperlink>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20</w:t>
              </w:r>
            </w:hyperlink>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ind w:left="20"/>
              <w:spacing w:after="0" w:line="189" w:lineRule="exact"/>
              <w:rPr>
                <w:rFonts w:ascii="Arial" w:cs="Arial" w:eastAsia="Arial" w:hAnsi="Arial"/>
                <w:sz w:val="18"/>
                <w:szCs w:val="18"/>
                <w:color w:val="0000FF"/>
                <w:w w:val="90"/>
              </w:rPr>
            </w:pPr>
            <w:hyperlink w:anchor="page33">
              <w:r>
                <w:rPr>
                  <w:rFonts w:ascii="Arial" w:cs="Arial" w:eastAsia="Arial" w:hAnsi="Arial"/>
                  <w:sz w:val="18"/>
                  <w:szCs w:val="18"/>
                  <w:color w:val="0000FF"/>
                  <w:w w:val="90"/>
                </w:rPr>
                <w:t>(4)</w:t>
              </w:r>
            </w:hyperlink>
          </w:p>
        </w:tc>
        <w:tc>
          <w:tcPr>
            <w:tcW w:w="1580" w:type="dxa"/>
            <w:vAlign w:val="bottom"/>
            <w:tcBorders>
              <w:bottom w:val="single" w:sz="8" w:color="0000FF"/>
            </w:tcBorders>
            <w:gridSpan w:val="11"/>
            <w:shd w:val="clear" w:color="auto" w:fill="CCEEFF"/>
          </w:tcPr>
          <w:p>
            <w:pPr>
              <w:ind w:left="20"/>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Revenue Recognition</w:t>
              </w:r>
            </w:hyperlink>
          </w:p>
        </w:tc>
        <w:tc>
          <w:tcPr>
            <w:tcW w:w="7640" w:type="dxa"/>
            <w:vAlign w:val="bottom"/>
            <w:tcBorders>
              <w:bottom w:val="single" w:sz="8" w:color="CCEEFF"/>
            </w:tcBorders>
            <w:gridSpan w:val="24"/>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22</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spacing w:after="0"/>
              <w:rPr>
                <w:sz w:val="16"/>
                <w:szCs w:val="16"/>
                <w:color w:val="auto"/>
              </w:rPr>
            </w:pPr>
          </w:p>
        </w:tc>
        <w:tc>
          <w:tcPr>
            <w:tcW w:w="660" w:type="dxa"/>
            <w:vAlign w:val="bottom"/>
            <w:gridSpan w:val="3"/>
          </w:tcPr>
          <w:p>
            <w:pPr>
              <w:ind w:left="440"/>
              <w:spacing w:after="0" w:line="189"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(5)</w:t>
              </w:r>
            </w:hyperlink>
          </w:p>
        </w:tc>
        <w:tc>
          <w:tcPr>
            <w:tcW w:w="9220" w:type="dxa"/>
            <w:vAlign w:val="bottom"/>
            <w:gridSpan w:val="35"/>
          </w:tcPr>
          <w:p>
            <w:pPr>
              <w:ind w:left="2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Employee Benefit Plans</w:t>
              </w:r>
            </w:hyperlink>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25</w:t>
              </w:r>
            </w:hyperlink>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ind w:left="20"/>
              <w:spacing w:after="0" w:line="189" w:lineRule="exact"/>
              <w:rPr>
                <w:rFonts w:ascii="Arial" w:cs="Arial" w:eastAsia="Arial" w:hAnsi="Arial"/>
                <w:sz w:val="18"/>
                <w:szCs w:val="18"/>
                <w:color w:val="0000FF"/>
                <w:w w:val="90"/>
              </w:rPr>
            </w:pPr>
            <w:hyperlink w:anchor="page37">
              <w:r>
                <w:rPr>
                  <w:rFonts w:ascii="Arial" w:cs="Arial" w:eastAsia="Arial" w:hAnsi="Arial"/>
                  <w:sz w:val="18"/>
                  <w:szCs w:val="18"/>
                  <w:color w:val="0000FF"/>
                  <w:w w:val="90"/>
                </w:rPr>
                <w:t>(6)</w:t>
              </w:r>
            </w:hyperlink>
          </w:p>
        </w:tc>
        <w:tc>
          <w:tcPr>
            <w:tcW w:w="9220" w:type="dxa"/>
            <w:vAlign w:val="bottom"/>
            <w:gridSpan w:val="35"/>
            <w:shd w:val="clear" w:color="auto" w:fill="CCEEFF"/>
          </w:tcPr>
          <w:p>
            <w:pPr>
              <w:ind w:left="20"/>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Regulatory Accounting</w:t>
              </w:r>
            </w:hyperlink>
          </w:p>
        </w:tc>
        <w:tc>
          <w:tcPr>
            <w:tcW w:w="360" w:type="dxa"/>
            <w:vAlign w:val="bottom"/>
            <w:gridSpan w:val="4"/>
            <w:shd w:val="clear" w:color="auto" w:fill="CCEEFF"/>
          </w:tcPr>
          <w:p>
            <w:pPr>
              <w:jc w:val="center"/>
              <w:ind w:right="180"/>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26</w:t>
              </w:r>
            </w:hyperlink>
          </w:p>
        </w:tc>
      </w:tr>
      <w:tr>
        <w:trPr>
          <w:trHeight w:val="189"/>
        </w:trPr>
        <w:tc>
          <w:tcPr>
            <w:tcW w:w="100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0000FF"/>
            </w:tcBorders>
          </w:tcPr>
          <w:p>
            <w:pPr>
              <w:ind w:left="20"/>
              <w:spacing w:after="0" w:line="189" w:lineRule="exact"/>
              <w:rPr>
                <w:rFonts w:ascii="Arial" w:cs="Arial" w:eastAsia="Arial" w:hAnsi="Arial"/>
                <w:sz w:val="18"/>
                <w:szCs w:val="18"/>
                <w:color w:val="0000FF"/>
                <w:w w:val="90"/>
              </w:rPr>
            </w:pPr>
            <w:hyperlink w:anchor="page39">
              <w:r>
                <w:rPr>
                  <w:rFonts w:ascii="Arial" w:cs="Arial" w:eastAsia="Arial" w:hAnsi="Arial"/>
                  <w:sz w:val="18"/>
                  <w:szCs w:val="18"/>
                  <w:color w:val="0000FF"/>
                  <w:w w:val="90"/>
                </w:rPr>
                <w:t>(7)</w:t>
              </w:r>
            </w:hyperlink>
          </w:p>
        </w:tc>
        <w:tc>
          <w:tcPr>
            <w:tcW w:w="1700" w:type="dxa"/>
            <w:vAlign w:val="bottom"/>
            <w:tcBorders>
              <w:top w:val="single" w:sz="8" w:color="0000FF"/>
            </w:tcBorders>
            <w:gridSpan w:val="14"/>
          </w:tcPr>
          <w:p>
            <w:pPr>
              <w:ind w:left="20"/>
              <w:spacing w:after="0" w:line="189" w:lineRule="exact"/>
              <w:rPr>
                <w:rFonts w:ascii="Arial" w:cs="Arial" w:eastAsia="Arial" w:hAnsi="Arial"/>
                <w:sz w:val="18"/>
                <w:szCs w:val="18"/>
                <w:color w:val="0000FF"/>
                <w:w w:val="92"/>
              </w:rPr>
            </w:pPr>
            <w:hyperlink w:anchor="page39">
              <w:r>
                <w:rPr>
                  <w:rFonts w:ascii="Arial" w:cs="Arial" w:eastAsia="Arial" w:hAnsi="Arial"/>
                  <w:sz w:val="18"/>
                  <w:szCs w:val="18"/>
                  <w:color w:val="0000FF"/>
                  <w:w w:val="92"/>
                </w:rPr>
                <w:t>Derivative Instruments</w:t>
              </w:r>
            </w:hyperlink>
          </w:p>
        </w:tc>
        <w:tc>
          <w:tcPr>
            <w:tcW w:w="7520" w:type="dxa"/>
            <w:vAlign w:val="bottom"/>
            <w:tcBorders>
              <w:top w:val="single" w:sz="8" w:color="CCEEFF"/>
            </w:tcBorders>
            <w:gridSpan w:val="21"/>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28</w:t>
              </w:r>
            </w:hyperlink>
          </w:p>
        </w:tc>
        <w:tc>
          <w:tcPr>
            <w:tcW w:w="180" w:type="dxa"/>
            <w:vAlign w:val="bottom"/>
            <w:tcBorders>
              <w:top w:val="single" w:sz="8" w:color="CCEEFF"/>
            </w:tcBorders>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rPr>
                <w:sz w:val="16"/>
                <w:szCs w:val="16"/>
                <w:color w:val="auto"/>
              </w:rPr>
            </w:pPr>
          </w:p>
        </w:tc>
        <w:tc>
          <w:tcPr>
            <w:tcW w:w="240" w:type="dxa"/>
            <w:vAlign w:val="bottom"/>
            <w:shd w:val="clear" w:color="auto" w:fill="CCEEFF"/>
          </w:tcPr>
          <w:p>
            <w:pPr>
              <w:ind w:left="20"/>
              <w:spacing w:after="0" w:line="189"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(8)</w:t>
              </w:r>
            </w:hyperlink>
          </w:p>
        </w:tc>
        <w:tc>
          <w:tcPr>
            <w:tcW w:w="9220" w:type="dxa"/>
            <w:vAlign w:val="bottom"/>
            <w:gridSpan w:val="35"/>
            <w:shd w:val="clear" w:color="auto" w:fill="CCEEFF"/>
          </w:tcPr>
          <w:p>
            <w:pPr>
              <w:ind w:left="20"/>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Fair Value Measurements</w:t>
              </w:r>
            </w:hyperlink>
          </w:p>
        </w:tc>
        <w:tc>
          <w:tcPr>
            <w:tcW w:w="360" w:type="dxa"/>
            <w:vAlign w:val="bottom"/>
            <w:gridSpan w:val="4"/>
            <w:shd w:val="clear" w:color="auto" w:fill="CCEEFF"/>
          </w:tcPr>
          <w:p>
            <w:pPr>
              <w:jc w:val="center"/>
              <w:ind w:right="180"/>
              <w:spacing w:after="0" w:line="18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30</w:t>
              </w:r>
            </w:hyperlink>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240" w:type="dxa"/>
            <w:vAlign w:val="bottom"/>
          </w:tcPr>
          <w:p>
            <w:pPr>
              <w:ind w:left="20"/>
              <w:spacing w:after="0" w:line="189"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(9)</w:t>
              </w:r>
            </w:hyperlink>
          </w:p>
        </w:tc>
        <w:tc>
          <w:tcPr>
            <w:tcW w:w="9220" w:type="dxa"/>
            <w:vAlign w:val="bottom"/>
            <w:gridSpan w:val="35"/>
          </w:tcPr>
          <w:p>
            <w:pPr>
              <w:ind w:left="2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Unconsolidated Affiliates</w:t>
              </w:r>
            </w:hyperlink>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31</w:t>
              </w:r>
            </w:hyperlink>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0000FF"/>
            </w:tcBorders>
            <w:gridSpan w:val="2"/>
            <w:shd w:val="clear" w:color="auto" w:fill="CCEEFF"/>
          </w:tcPr>
          <w:p>
            <w:pPr>
              <w:ind w:left="20"/>
              <w:spacing w:after="0" w:line="189"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(10)</w:t>
              </w:r>
            </w:hyperlink>
          </w:p>
        </w:tc>
        <w:tc>
          <w:tcPr>
            <w:tcW w:w="2300" w:type="dxa"/>
            <w:vAlign w:val="bottom"/>
            <w:tcBorders>
              <w:bottom w:val="single" w:sz="8" w:color="0000FF"/>
            </w:tcBorders>
            <w:gridSpan w:val="20"/>
            <w:shd w:val="clear" w:color="auto" w:fill="CCEEFF"/>
          </w:tcPr>
          <w:p>
            <w:pPr>
              <w:ind w:left="20"/>
              <w:spacing w:after="0" w:line="189" w:lineRule="exact"/>
              <w:rPr>
                <w:rFonts w:ascii="Arial" w:cs="Arial" w:eastAsia="Arial" w:hAnsi="Arial"/>
                <w:sz w:val="18"/>
                <w:szCs w:val="18"/>
                <w:color w:val="0000FF"/>
                <w:w w:val="91"/>
              </w:rPr>
            </w:pPr>
            <w:hyperlink w:anchor="page45">
              <w:r>
                <w:rPr>
                  <w:rFonts w:ascii="Arial" w:cs="Arial" w:eastAsia="Arial" w:hAnsi="Arial"/>
                  <w:sz w:val="18"/>
                  <w:szCs w:val="18"/>
                  <w:color w:val="0000FF"/>
                  <w:w w:val="91"/>
                </w:rPr>
                <w:t>Goodwill and Other Intangibles</w:t>
              </w:r>
            </w:hyperlink>
          </w:p>
        </w:tc>
        <w:tc>
          <w:tcPr>
            <w:tcW w:w="6820" w:type="dxa"/>
            <w:vAlign w:val="bottom"/>
            <w:tcBorders>
              <w:bottom w:val="single" w:sz="8" w:color="CCEEFF"/>
            </w:tcBorders>
            <w:gridSpan w:val="14"/>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34</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60" w:type="dxa"/>
            <w:vAlign w:val="bottom"/>
            <w:gridSpan w:val="36"/>
          </w:tcPr>
          <w:p>
            <w:pPr>
              <w:ind w:lef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(11) Indexed Debt Securities (ZENS) and Securities Related to ZENS</w:t>
              </w:r>
            </w:hyperlink>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35</w:t>
              </w:r>
            </w:hyperlink>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0000FF"/>
            </w:tcBorders>
            <w:gridSpan w:val="2"/>
            <w:shd w:val="clear" w:color="auto" w:fill="CCEEFF"/>
          </w:tcPr>
          <w:p>
            <w:pPr>
              <w:ind w:left="20"/>
              <w:spacing w:after="0" w:line="189"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(12)</w:t>
              </w:r>
            </w:hyperlink>
          </w:p>
        </w:tc>
        <w:tc>
          <w:tcPr>
            <w:tcW w:w="1180" w:type="dxa"/>
            <w:vAlign w:val="bottom"/>
            <w:tcBorders>
              <w:bottom w:val="single" w:sz="8" w:color="0000FF"/>
            </w:tcBorders>
            <w:gridSpan w:val="6"/>
            <w:shd w:val="clear" w:color="auto" w:fill="CCEEFF"/>
          </w:tcPr>
          <w:p>
            <w:pPr>
              <w:ind w:left="20"/>
              <w:spacing w:after="0" w:line="189"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Long-term Debt</w:t>
              </w:r>
            </w:hyperlink>
          </w:p>
        </w:tc>
        <w:tc>
          <w:tcPr>
            <w:tcW w:w="7940" w:type="dxa"/>
            <w:vAlign w:val="bottom"/>
            <w:tcBorders>
              <w:bottom w:val="single" w:sz="8" w:color="CCEEFF"/>
            </w:tcBorders>
            <w:gridSpan w:val="28"/>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36</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spacing w:after="0"/>
              <w:rPr>
                <w:sz w:val="16"/>
                <w:szCs w:val="16"/>
                <w:color w:val="auto"/>
              </w:rPr>
            </w:pPr>
          </w:p>
        </w:tc>
        <w:tc>
          <w:tcPr>
            <w:tcW w:w="760" w:type="dxa"/>
            <w:vAlign w:val="bottom"/>
            <w:gridSpan w:val="4"/>
          </w:tcPr>
          <w:p>
            <w:pPr>
              <w:ind w:left="440"/>
              <w:spacing w:after="0" w:line="189"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(13)</w:t>
              </w:r>
            </w:hyperlink>
          </w:p>
        </w:tc>
        <w:tc>
          <w:tcPr>
            <w:tcW w:w="9120" w:type="dxa"/>
            <w:vAlign w:val="bottom"/>
            <w:gridSpan w:val="34"/>
          </w:tcPr>
          <w:p>
            <w:pPr>
              <w:ind w:lef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Income Taxes</w:t>
              </w:r>
            </w:hyperlink>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38</w:t>
              </w:r>
            </w:hyperlink>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0000FF"/>
            </w:tcBorders>
            <w:gridSpan w:val="2"/>
            <w:shd w:val="clear" w:color="auto" w:fill="CCEEFF"/>
          </w:tcPr>
          <w:p>
            <w:pPr>
              <w:ind w:left="20"/>
              <w:spacing w:after="0" w:line="189"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(14)</w:t>
              </w:r>
            </w:hyperlink>
          </w:p>
        </w:tc>
        <w:tc>
          <w:tcPr>
            <w:tcW w:w="2420" w:type="dxa"/>
            <w:vAlign w:val="bottom"/>
            <w:tcBorders>
              <w:bottom w:val="single" w:sz="8" w:color="0000FF"/>
            </w:tcBorders>
            <w:gridSpan w:val="22"/>
            <w:shd w:val="clear" w:color="auto" w:fill="CCEEFF"/>
          </w:tcPr>
          <w:p>
            <w:pPr>
              <w:ind w:left="20"/>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Commitments and Contingencies</w:t>
              </w:r>
            </w:hyperlink>
          </w:p>
        </w:tc>
        <w:tc>
          <w:tcPr>
            <w:tcW w:w="6700" w:type="dxa"/>
            <w:vAlign w:val="bottom"/>
            <w:tcBorders>
              <w:bottom w:val="single" w:sz="8" w:color="CCEEFF"/>
            </w:tcBorders>
            <w:gridSpan w:val="1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39</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spacing w:after="0"/>
              <w:rPr>
                <w:sz w:val="16"/>
                <w:szCs w:val="16"/>
                <w:color w:val="auto"/>
              </w:rPr>
            </w:pPr>
          </w:p>
        </w:tc>
        <w:tc>
          <w:tcPr>
            <w:tcW w:w="760" w:type="dxa"/>
            <w:vAlign w:val="bottom"/>
            <w:gridSpan w:val="4"/>
          </w:tcPr>
          <w:p>
            <w:pPr>
              <w:ind w:left="440"/>
              <w:spacing w:after="0" w:line="189" w:lineRule="exact"/>
              <w:rPr>
                <w:rFonts w:ascii="Arial" w:cs="Arial" w:eastAsia="Arial" w:hAnsi="Arial"/>
                <w:sz w:val="18"/>
                <w:szCs w:val="18"/>
                <w:color w:val="0000FF"/>
                <w:w w:val="93"/>
              </w:rPr>
            </w:pPr>
            <w:hyperlink w:anchor="page55">
              <w:r>
                <w:rPr>
                  <w:rFonts w:ascii="Arial" w:cs="Arial" w:eastAsia="Arial" w:hAnsi="Arial"/>
                  <w:sz w:val="18"/>
                  <w:szCs w:val="18"/>
                  <w:color w:val="0000FF"/>
                  <w:w w:val="93"/>
                </w:rPr>
                <w:t>(15)</w:t>
              </w:r>
            </w:hyperlink>
          </w:p>
        </w:tc>
        <w:tc>
          <w:tcPr>
            <w:tcW w:w="9120" w:type="dxa"/>
            <w:vAlign w:val="bottom"/>
            <w:gridSpan w:val="34"/>
          </w:tcPr>
          <w:p>
            <w:pPr>
              <w:ind w:left="20"/>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Earnings Per Share</w:t>
              </w:r>
            </w:hyperlink>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44</w:t>
              </w:r>
            </w:hyperlink>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line="189" w:lineRule="exact"/>
              <w:rPr>
                <w:rFonts w:ascii="Arial" w:cs="Arial" w:eastAsia="Arial" w:hAnsi="Arial"/>
                <w:sz w:val="18"/>
                <w:szCs w:val="18"/>
                <w:color w:val="0000FF"/>
                <w:w w:val="93"/>
              </w:rPr>
            </w:pPr>
            <w:hyperlink w:anchor="page56">
              <w:r>
                <w:rPr>
                  <w:rFonts w:ascii="Arial" w:cs="Arial" w:eastAsia="Arial" w:hAnsi="Arial"/>
                  <w:sz w:val="18"/>
                  <w:szCs w:val="18"/>
                  <w:color w:val="0000FF"/>
                  <w:w w:val="93"/>
                </w:rPr>
                <w:t>(16)</w:t>
              </w:r>
            </w:hyperlink>
          </w:p>
        </w:tc>
        <w:tc>
          <w:tcPr>
            <w:tcW w:w="9120" w:type="dxa"/>
            <w:vAlign w:val="bottom"/>
            <w:gridSpan w:val="34"/>
            <w:shd w:val="clear" w:color="auto" w:fill="CCEEFF"/>
          </w:tcPr>
          <w:p>
            <w:pPr>
              <w:ind w:left="20"/>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Reportable Segments</w:t>
              </w:r>
            </w:hyperlink>
          </w:p>
        </w:tc>
        <w:tc>
          <w:tcPr>
            <w:tcW w:w="360" w:type="dxa"/>
            <w:vAlign w:val="bottom"/>
            <w:gridSpan w:val="4"/>
            <w:shd w:val="clear" w:color="auto" w:fill="CCEEFF"/>
          </w:tcPr>
          <w:p>
            <w:pPr>
              <w:jc w:val="center"/>
              <w:ind w:right="180"/>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45</w:t>
              </w:r>
            </w:hyperlink>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340" w:type="dxa"/>
            <w:vAlign w:val="bottom"/>
            <w:gridSpan w:val="2"/>
          </w:tcPr>
          <w:p>
            <w:pPr>
              <w:ind w:left="20"/>
              <w:spacing w:after="0" w:line="189" w:lineRule="exact"/>
              <w:rPr>
                <w:rFonts w:ascii="Arial" w:cs="Arial" w:eastAsia="Arial" w:hAnsi="Arial"/>
                <w:sz w:val="18"/>
                <w:szCs w:val="18"/>
                <w:color w:val="0000FF"/>
                <w:w w:val="93"/>
              </w:rPr>
            </w:pPr>
            <w:hyperlink w:anchor="page58">
              <w:r>
                <w:rPr>
                  <w:rFonts w:ascii="Arial" w:cs="Arial" w:eastAsia="Arial" w:hAnsi="Arial"/>
                  <w:sz w:val="18"/>
                  <w:szCs w:val="18"/>
                  <w:color w:val="0000FF"/>
                  <w:w w:val="93"/>
                </w:rPr>
                <w:t>(17)</w:t>
              </w:r>
            </w:hyperlink>
          </w:p>
        </w:tc>
        <w:tc>
          <w:tcPr>
            <w:tcW w:w="9120" w:type="dxa"/>
            <w:vAlign w:val="bottom"/>
            <w:gridSpan w:val="34"/>
          </w:tcPr>
          <w:p>
            <w:pPr>
              <w:ind w:left="20"/>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Supplemental Disclosure of Cash Flow Information</w:t>
              </w:r>
            </w:hyperlink>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47</w:t>
              </w:r>
            </w:hyperlink>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line="189" w:lineRule="exact"/>
              <w:rPr>
                <w:rFonts w:ascii="Arial" w:cs="Arial" w:eastAsia="Arial" w:hAnsi="Arial"/>
                <w:sz w:val="18"/>
                <w:szCs w:val="18"/>
                <w:color w:val="0000FF"/>
                <w:w w:val="93"/>
              </w:rPr>
            </w:pPr>
            <w:hyperlink w:anchor="page58">
              <w:r>
                <w:rPr>
                  <w:rFonts w:ascii="Arial" w:cs="Arial" w:eastAsia="Arial" w:hAnsi="Arial"/>
                  <w:sz w:val="18"/>
                  <w:szCs w:val="18"/>
                  <w:color w:val="0000FF"/>
                  <w:w w:val="93"/>
                </w:rPr>
                <w:t>(18)</w:t>
              </w:r>
            </w:hyperlink>
          </w:p>
        </w:tc>
        <w:tc>
          <w:tcPr>
            <w:tcW w:w="9120" w:type="dxa"/>
            <w:vAlign w:val="bottom"/>
            <w:gridSpan w:val="34"/>
            <w:shd w:val="clear" w:color="auto" w:fill="CCEEFF"/>
          </w:tcPr>
          <w:p>
            <w:pPr>
              <w:ind w:left="20"/>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Related Party Transactions</w:t>
              </w:r>
            </w:hyperlink>
          </w:p>
        </w:tc>
        <w:tc>
          <w:tcPr>
            <w:tcW w:w="360" w:type="dxa"/>
            <w:vAlign w:val="bottom"/>
            <w:gridSpan w:val="4"/>
            <w:shd w:val="clear" w:color="auto" w:fill="CCEEFF"/>
          </w:tcPr>
          <w:p>
            <w:pPr>
              <w:jc w:val="center"/>
              <w:ind w:right="180"/>
              <w:spacing w:after="0" w:line="189"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48</w:t>
              </w:r>
            </w:hyperlink>
          </w:p>
        </w:tc>
      </w:tr>
      <w:tr>
        <w:trPr>
          <w:trHeight w:val="189"/>
        </w:trPr>
        <w:tc>
          <w:tcPr>
            <w:tcW w:w="100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gridSpan w:val="2"/>
          </w:tcPr>
          <w:p>
            <w:pPr>
              <w:spacing w:after="0"/>
              <w:rPr>
                <w:sz w:val="16"/>
                <w:szCs w:val="16"/>
                <w:color w:val="auto"/>
              </w:rPr>
            </w:pPr>
          </w:p>
        </w:tc>
        <w:tc>
          <w:tcPr>
            <w:tcW w:w="340" w:type="dxa"/>
            <w:vAlign w:val="bottom"/>
            <w:tcBorders>
              <w:top w:val="single" w:sz="8" w:color="0000FF"/>
            </w:tcBorders>
            <w:gridSpan w:val="2"/>
          </w:tcPr>
          <w:p>
            <w:pPr>
              <w:ind w:left="20"/>
              <w:spacing w:after="0" w:line="189" w:lineRule="exact"/>
              <w:rPr>
                <w:rFonts w:ascii="Arial" w:cs="Arial" w:eastAsia="Arial" w:hAnsi="Arial"/>
                <w:sz w:val="18"/>
                <w:szCs w:val="18"/>
                <w:color w:val="0000FF"/>
                <w:w w:val="93"/>
              </w:rPr>
            </w:pPr>
            <w:hyperlink w:anchor="page59">
              <w:r>
                <w:rPr>
                  <w:rFonts w:ascii="Arial" w:cs="Arial" w:eastAsia="Arial" w:hAnsi="Arial"/>
                  <w:sz w:val="18"/>
                  <w:szCs w:val="18"/>
                  <w:color w:val="0000FF"/>
                  <w:w w:val="93"/>
                </w:rPr>
                <w:t>(19)</w:t>
              </w:r>
            </w:hyperlink>
          </w:p>
        </w:tc>
        <w:tc>
          <w:tcPr>
            <w:tcW w:w="1940" w:type="dxa"/>
            <w:vAlign w:val="bottom"/>
            <w:tcBorders>
              <w:top w:val="single" w:sz="8" w:color="0000FF"/>
            </w:tcBorders>
            <w:gridSpan w:val="17"/>
          </w:tcPr>
          <w:p>
            <w:pPr>
              <w:ind w:left="20"/>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Equity</w:t>
              </w:r>
            </w:hyperlink>
          </w:p>
        </w:tc>
        <w:tc>
          <w:tcPr>
            <w:tcW w:w="7180" w:type="dxa"/>
            <w:vAlign w:val="bottom"/>
            <w:tcBorders>
              <w:top w:val="single" w:sz="8" w:color="CCEEFF"/>
            </w:tcBorders>
            <w:gridSpan w:val="17"/>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49</w:t>
              </w:r>
            </w:hyperlink>
          </w:p>
        </w:tc>
        <w:tc>
          <w:tcPr>
            <w:tcW w:w="180" w:type="dxa"/>
            <w:vAlign w:val="bottom"/>
            <w:tcBorders>
              <w:top w:val="single" w:sz="8" w:color="CCEEFF"/>
            </w:tcBorders>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0000FF"/>
            </w:tcBorders>
            <w:gridSpan w:val="2"/>
            <w:shd w:val="clear" w:color="auto" w:fill="CCEEFF"/>
          </w:tcPr>
          <w:p>
            <w:pPr>
              <w:ind w:left="20"/>
              <w:spacing w:after="0" w:line="189" w:lineRule="exact"/>
              <w:rPr>
                <w:rFonts w:ascii="Arial" w:cs="Arial" w:eastAsia="Arial" w:hAnsi="Arial"/>
                <w:sz w:val="18"/>
                <w:szCs w:val="18"/>
                <w:color w:val="0000FF"/>
                <w:w w:val="93"/>
              </w:rPr>
            </w:pPr>
            <w:hyperlink w:anchor="page61">
              <w:r>
                <w:rPr>
                  <w:rFonts w:ascii="Arial" w:cs="Arial" w:eastAsia="Arial" w:hAnsi="Arial"/>
                  <w:sz w:val="18"/>
                  <w:szCs w:val="18"/>
                  <w:color w:val="0000FF"/>
                  <w:w w:val="93"/>
                </w:rPr>
                <w:t>(20)</w:t>
              </w:r>
            </w:hyperlink>
          </w:p>
        </w:tc>
        <w:tc>
          <w:tcPr>
            <w:tcW w:w="1380" w:type="dxa"/>
            <w:vAlign w:val="bottom"/>
            <w:tcBorders>
              <w:bottom w:val="single" w:sz="8" w:color="0000FF"/>
            </w:tcBorders>
            <w:gridSpan w:val="8"/>
            <w:shd w:val="clear" w:color="auto" w:fill="CCEEFF"/>
          </w:tcPr>
          <w:p>
            <w:pPr>
              <w:ind w:left="20"/>
              <w:spacing w:after="0" w:line="189" w:lineRule="exact"/>
              <w:rPr>
                <w:rFonts w:ascii="Arial" w:cs="Arial" w:eastAsia="Arial" w:hAnsi="Arial"/>
                <w:sz w:val="18"/>
                <w:szCs w:val="18"/>
                <w:color w:val="0000FF"/>
                <w:w w:val="85"/>
              </w:rPr>
            </w:pPr>
            <w:hyperlink w:anchor="page61">
              <w:r>
                <w:rPr>
                  <w:rFonts w:ascii="Arial" w:cs="Arial" w:eastAsia="Arial" w:hAnsi="Arial"/>
                  <w:sz w:val="18"/>
                  <w:szCs w:val="18"/>
                  <w:color w:val="0000FF"/>
                  <w:w w:val="85"/>
                </w:rPr>
                <w:t>Subsequent Events</w:t>
              </w:r>
            </w:hyperlink>
          </w:p>
        </w:tc>
        <w:tc>
          <w:tcPr>
            <w:tcW w:w="7740" w:type="dxa"/>
            <w:vAlign w:val="bottom"/>
            <w:tcBorders>
              <w:bottom w:val="single" w:sz="8" w:color="CCEEFF"/>
            </w:tcBorders>
            <w:gridSpan w:val="26"/>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50</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80"/>
              <w:spacing w:after="0" w:line="189" w:lineRule="exact"/>
              <w:rPr>
                <w:sz w:val="20"/>
                <w:szCs w:val="20"/>
                <w:color w:val="auto"/>
              </w:rPr>
            </w:pPr>
            <w:r>
              <w:rPr>
                <w:rFonts w:ascii="Arial" w:cs="Arial" w:eastAsia="Arial" w:hAnsi="Arial"/>
                <w:sz w:val="18"/>
                <w:szCs w:val="18"/>
                <w:color w:val="auto"/>
              </w:rPr>
              <w:t>Item 2.</w:t>
            </w:r>
          </w:p>
        </w:tc>
        <w:tc>
          <w:tcPr>
            <w:tcW w:w="9880" w:type="dxa"/>
            <w:vAlign w:val="bottom"/>
            <w:gridSpan w:val="38"/>
          </w:tcPr>
          <w:p>
            <w:pPr>
              <w:ind w:left="220"/>
              <w:spacing w:after="0" w:line="189" w:lineRule="exact"/>
              <w:rPr>
                <w:rFonts w:ascii="Arial" w:cs="Arial" w:eastAsia="Arial" w:hAnsi="Arial"/>
                <w:sz w:val="18"/>
                <w:szCs w:val="18"/>
                <w:color w:val="0000FF"/>
              </w:rPr>
            </w:pPr>
            <w:hyperlink w:anchor="page61">
              <w:r>
                <w:rPr>
                  <w:rFonts w:ascii="Arial" w:cs="Arial" w:eastAsia="Arial" w:hAnsi="Arial"/>
                  <w:sz w:val="18"/>
                  <w:szCs w:val="18"/>
                  <w:color w:val="0000FF"/>
                </w:rPr>
                <w:t>Management’s Discussion and Analysis of Financial Condition and Results of Operations</w:t>
              </w:r>
            </w:hyperlink>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51</w:t>
              </w:r>
            </w:hyperlink>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60" w:type="dxa"/>
            <w:vAlign w:val="bottom"/>
            <w:gridSpan w:val="36"/>
            <w:shd w:val="clear" w:color="auto" w:fill="CCEEFF"/>
          </w:tcPr>
          <w:p>
            <w:pPr>
              <w:ind w:left="20"/>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Recent Events</w:t>
              </w:r>
            </w:hyperlink>
          </w:p>
        </w:tc>
        <w:tc>
          <w:tcPr>
            <w:tcW w:w="360" w:type="dxa"/>
            <w:vAlign w:val="bottom"/>
            <w:gridSpan w:val="4"/>
            <w:shd w:val="clear" w:color="auto" w:fill="CCEEFF"/>
          </w:tcPr>
          <w:p>
            <w:pPr>
              <w:jc w:val="center"/>
              <w:ind w:right="180"/>
              <w:spacing w:after="0" w:line="189"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51</w:t>
              </w:r>
            </w:hyperlink>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60" w:type="dxa"/>
            <w:vAlign w:val="bottom"/>
            <w:gridSpan w:val="36"/>
          </w:tcPr>
          <w:p>
            <w:pPr>
              <w:ind w:left="20"/>
              <w:spacing w:after="0" w:line="189" w:lineRule="exact"/>
              <w:rPr>
                <w:sz w:val="20"/>
                <w:szCs w:val="20"/>
                <w:color w:val="auto"/>
              </w:rPr>
            </w:pPr>
            <w:r>
              <w:rPr>
                <w:rFonts w:ascii="Arial" w:cs="Arial" w:eastAsia="Arial" w:hAnsi="Arial"/>
                <w:sz w:val="18"/>
                <w:szCs w:val="18"/>
                <w:color w:val="0000FF"/>
              </w:rPr>
              <w:t>Consolidated Results of Operations</w:t>
            </w:r>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52</w:t>
              </w:r>
            </w:hyperlink>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60" w:type="dxa"/>
            <w:vAlign w:val="bottom"/>
            <w:gridSpan w:val="36"/>
            <w:shd w:val="clear" w:color="auto" w:fill="CCEEFF"/>
          </w:tcPr>
          <w:p>
            <w:pPr>
              <w:ind w:left="20"/>
              <w:spacing w:after="0" w:line="189" w:lineRule="exact"/>
              <w:rPr>
                <w:sz w:val="20"/>
                <w:szCs w:val="20"/>
                <w:color w:val="auto"/>
              </w:rPr>
            </w:pPr>
            <w:r>
              <w:rPr>
                <w:rFonts w:ascii="Arial" w:cs="Arial" w:eastAsia="Arial" w:hAnsi="Arial"/>
                <w:sz w:val="18"/>
                <w:szCs w:val="18"/>
                <w:color w:val="0000FF"/>
              </w:rPr>
              <w:t>Results of Operations by Reportable Segment</w:t>
            </w:r>
          </w:p>
        </w:tc>
        <w:tc>
          <w:tcPr>
            <w:tcW w:w="360" w:type="dxa"/>
            <w:vAlign w:val="bottom"/>
            <w:gridSpan w:val="4"/>
            <w:shd w:val="clear" w:color="auto" w:fill="CCEEFF"/>
          </w:tcPr>
          <w:p>
            <w:pPr>
              <w:jc w:val="center"/>
              <w:ind w:right="180"/>
              <w:spacing w:after="0" w:line="189"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53</w:t>
              </w:r>
            </w:hyperlink>
          </w:p>
        </w:tc>
      </w:tr>
      <w:tr>
        <w:trPr>
          <w:trHeight w:val="189"/>
        </w:trPr>
        <w:tc>
          <w:tcPr>
            <w:tcW w:w="10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300" w:type="dxa"/>
            <w:vAlign w:val="bottom"/>
            <w:tcBorders>
              <w:top w:val="single" w:sz="8" w:color="0000FF"/>
            </w:tcBorders>
            <w:gridSpan w:val="28"/>
          </w:tcPr>
          <w:p>
            <w:pPr>
              <w:ind w:left="20"/>
              <w:spacing w:after="0" w:line="189" w:lineRule="exact"/>
              <w:rPr>
                <w:rFonts w:ascii="Arial" w:cs="Arial" w:eastAsia="Arial" w:hAnsi="Arial"/>
                <w:sz w:val="18"/>
                <w:szCs w:val="18"/>
                <w:color w:val="0000FF"/>
                <w:w w:val="98"/>
              </w:rPr>
            </w:pPr>
            <w:hyperlink w:anchor="page71">
              <w:r>
                <w:rPr>
                  <w:rFonts w:ascii="Arial" w:cs="Arial" w:eastAsia="Arial" w:hAnsi="Arial"/>
                  <w:sz w:val="18"/>
                  <w:szCs w:val="18"/>
                  <w:color w:val="0000FF"/>
                  <w:w w:val="98"/>
                </w:rPr>
                <w:t>Certain Factors Affecting Future Earnings</w:t>
              </w:r>
            </w:hyperlink>
          </w:p>
        </w:tc>
        <w:tc>
          <w:tcPr>
            <w:tcW w:w="6160" w:type="dxa"/>
            <w:vAlign w:val="bottom"/>
            <w:tcBorders>
              <w:top w:val="single" w:sz="8" w:color="CCEEFF"/>
            </w:tcBorders>
            <w:gridSpan w:val="8"/>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60</w:t>
              </w:r>
            </w:hyperlink>
          </w:p>
        </w:tc>
        <w:tc>
          <w:tcPr>
            <w:tcW w:w="180" w:type="dxa"/>
            <w:vAlign w:val="bottom"/>
            <w:tcBorders>
              <w:top w:val="single" w:sz="8" w:color="CCEEFF"/>
            </w:tcBorders>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0000FF"/>
            </w:tcBorders>
            <w:gridSpan w:val="20"/>
            <w:shd w:val="clear" w:color="auto" w:fill="CCEEFF"/>
          </w:tcPr>
          <w:p>
            <w:pPr>
              <w:ind w:left="20"/>
              <w:spacing w:after="0" w:line="189"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Liquidity and Capital Resources</w:t>
              </w:r>
            </w:hyperlink>
          </w:p>
        </w:tc>
        <w:tc>
          <w:tcPr>
            <w:tcW w:w="7120" w:type="dxa"/>
            <w:vAlign w:val="bottom"/>
            <w:tcBorders>
              <w:bottom w:val="single" w:sz="8" w:color="CCEEFF"/>
            </w:tcBorders>
            <w:gridSpan w:val="16"/>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61</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80"/>
              <w:spacing w:after="0" w:line="189" w:lineRule="exact"/>
              <w:rPr>
                <w:sz w:val="20"/>
                <w:szCs w:val="20"/>
                <w:color w:val="auto"/>
              </w:rPr>
            </w:pPr>
            <w:r>
              <w:rPr>
                <w:rFonts w:ascii="Arial" w:cs="Arial" w:eastAsia="Arial" w:hAnsi="Arial"/>
                <w:sz w:val="18"/>
                <w:szCs w:val="18"/>
                <w:color w:val="auto"/>
              </w:rPr>
              <w:t>Item 3.</w:t>
            </w:r>
          </w:p>
        </w:tc>
        <w:tc>
          <w:tcPr>
            <w:tcW w:w="9880" w:type="dxa"/>
            <w:vAlign w:val="bottom"/>
            <w:gridSpan w:val="38"/>
          </w:tcPr>
          <w:p>
            <w:pPr>
              <w:ind w:left="220"/>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Quantitative and Qualitative Disclosures about Market Risk</w:t>
              </w:r>
            </w:hyperlink>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72</w:t>
              </w:r>
            </w:hyperlink>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Item 4.</w:t>
            </w:r>
          </w:p>
        </w:tc>
        <w:tc>
          <w:tcPr>
            <w:tcW w:w="9880" w:type="dxa"/>
            <w:vAlign w:val="bottom"/>
            <w:gridSpan w:val="38"/>
            <w:shd w:val="clear" w:color="auto" w:fill="CCEEFF"/>
          </w:tcPr>
          <w:p>
            <w:pPr>
              <w:ind w:left="22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Controls and Procedures</w:t>
              </w:r>
            </w:hyperlink>
          </w:p>
        </w:tc>
        <w:tc>
          <w:tcPr>
            <w:tcW w:w="360" w:type="dxa"/>
            <w:vAlign w:val="bottom"/>
            <w:gridSpan w:val="4"/>
            <w:shd w:val="clear" w:color="auto" w:fill="CCEEFF"/>
          </w:tcPr>
          <w:p>
            <w:pPr>
              <w:jc w:val="center"/>
              <w:ind w:right="180"/>
              <w:spacing w:after="0" w:line="189"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73</w:t>
              </w:r>
            </w:hyperlink>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9840" w:type="dxa"/>
            <w:vAlign w:val="bottom"/>
            <w:gridSpan w:val="6"/>
            <w:shd w:val="clear" w:color="auto" w:fill="CCEEFF"/>
          </w:tcPr>
          <w:p>
            <w:pPr>
              <w:ind w:left="180"/>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0"/>
              </w:rPr>
              <w:t>Item 1.</w:t>
            </w:r>
          </w:p>
        </w:tc>
        <w:tc>
          <w:tcPr>
            <w:tcW w:w="9840" w:type="dxa"/>
            <w:vAlign w:val="bottom"/>
            <w:gridSpan w:val="6"/>
          </w:tcPr>
          <w:p>
            <w:pPr>
              <w:ind w:left="18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Legal Proceedings</w:t>
              </w:r>
            </w:hyperlink>
          </w:p>
        </w:tc>
        <w:tc>
          <w:tcPr>
            <w:tcW w:w="360" w:type="dxa"/>
            <w:vAlign w:val="bottom"/>
            <w:gridSpan w:val="2"/>
          </w:tcPr>
          <w:p>
            <w:pPr>
              <w:jc w:val="right"/>
              <w:ind w:right="180"/>
              <w:spacing w:after="0" w:line="189" w:lineRule="exact"/>
              <w:rPr>
                <w:rFonts w:ascii="Arial" w:cs="Arial" w:eastAsia="Arial" w:hAnsi="Arial"/>
                <w:sz w:val="18"/>
                <w:szCs w:val="18"/>
                <w:color w:val="0000FF"/>
                <w:w w:val="79"/>
              </w:rPr>
            </w:pPr>
            <w:hyperlink w:anchor="page84">
              <w:r>
                <w:rPr>
                  <w:rFonts w:ascii="Arial" w:cs="Arial" w:eastAsia="Arial" w:hAnsi="Arial"/>
                  <w:sz w:val="18"/>
                  <w:szCs w:val="18"/>
                  <w:color w:val="0000FF"/>
                  <w:w w:val="79"/>
                </w:rPr>
                <w:t>73</w:t>
              </w:r>
            </w:hyperlink>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Item 1A.</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Risk Factors</w:t>
              </w:r>
            </w:hyperlink>
          </w:p>
        </w:tc>
        <w:tc>
          <w:tcPr>
            <w:tcW w:w="87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84">
              <w:r>
                <w:rPr>
                  <w:rFonts w:ascii="Arial" w:cs="Arial" w:eastAsia="Arial" w:hAnsi="Arial"/>
                  <w:sz w:val="18"/>
                  <w:szCs w:val="18"/>
                  <w:color w:val="0000FF"/>
                  <w:w w:val="79"/>
                </w:rPr>
                <w:t>73</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0"/>
              </w:rPr>
              <w:t>Item 6.</w:t>
            </w:r>
          </w:p>
        </w:tc>
        <w:tc>
          <w:tcPr>
            <w:tcW w:w="9840" w:type="dxa"/>
            <w:vAlign w:val="bottom"/>
            <w:gridSpan w:val="6"/>
          </w:tcPr>
          <w:p>
            <w:pPr>
              <w:ind w:left="180"/>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Exhibits</w:t>
              </w:r>
            </w:hyperlink>
          </w:p>
        </w:tc>
        <w:tc>
          <w:tcPr>
            <w:tcW w:w="360" w:type="dxa"/>
            <w:vAlign w:val="bottom"/>
            <w:gridSpan w:val="2"/>
          </w:tcPr>
          <w:p>
            <w:pPr>
              <w:jc w:val="right"/>
              <w:ind w:right="180"/>
              <w:spacing w:after="0" w:line="189" w:lineRule="exact"/>
              <w:rPr>
                <w:rFonts w:ascii="Arial" w:cs="Arial" w:eastAsia="Arial" w:hAnsi="Arial"/>
                <w:sz w:val="18"/>
                <w:szCs w:val="18"/>
                <w:color w:val="0000FF"/>
                <w:w w:val="79"/>
              </w:rPr>
            </w:pPr>
            <w:hyperlink w:anchor="page85">
              <w:r>
                <w:rPr>
                  <w:rFonts w:ascii="Arial" w:cs="Arial" w:eastAsia="Arial" w:hAnsi="Arial"/>
                  <w:sz w:val="18"/>
                  <w:szCs w:val="18"/>
                  <w:color w:val="0000FF"/>
                  <w:w w:val="79"/>
                </w:rPr>
                <w:t>74</w:t>
              </w:r>
            </w:hyperlink>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9840" w:type="dxa"/>
            <w:vAlign w:val="bottom"/>
            <w:gridSpan w:val="6"/>
            <w:shd w:val="clear" w:color="auto" w:fill="CCEEFF"/>
          </w:tcPr>
          <w:p>
            <w:pPr>
              <w:ind w:left="180"/>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Signatures</w:t>
              </w:r>
            </w:hyperlink>
          </w:p>
        </w:tc>
        <w:tc>
          <w:tcPr>
            <w:tcW w:w="360" w:type="dxa"/>
            <w:vAlign w:val="bottom"/>
            <w:gridSpan w:val="2"/>
            <w:shd w:val="clear" w:color="auto" w:fill="CCEEFF"/>
          </w:tcPr>
          <w:p>
            <w:pPr>
              <w:jc w:val="right"/>
              <w:ind w:right="180"/>
              <w:spacing w:after="0" w:line="189" w:lineRule="exact"/>
              <w:rPr>
                <w:rFonts w:ascii="Arial" w:cs="Arial" w:eastAsia="Arial" w:hAnsi="Arial"/>
                <w:sz w:val="18"/>
                <w:szCs w:val="18"/>
                <w:color w:val="0000FF"/>
                <w:w w:val="79"/>
              </w:rPr>
            </w:pPr>
            <w:hyperlink w:anchor="page89">
              <w:r>
                <w:rPr>
                  <w:rFonts w:ascii="Arial" w:cs="Arial" w:eastAsia="Arial" w:hAnsi="Arial"/>
                  <w:sz w:val="18"/>
                  <w:szCs w:val="18"/>
                  <w:color w:val="0000FF"/>
                  <w:w w:val="79"/>
                </w:rPr>
                <w:t>79</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880" w:type="dxa"/>
            <w:vAlign w:val="bottom"/>
            <w:gridSpan w:val="2"/>
          </w:tcPr>
          <w:p>
            <w:pPr>
              <w:ind w:left="1800"/>
              <w:spacing w:after="0"/>
              <w:rPr>
                <w:sz w:val="20"/>
                <w:szCs w:val="20"/>
                <w:color w:val="auto"/>
              </w:rPr>
            </w:pPr>
            <w:r>
              <w:rPr>
                <w:rFonts w:ascii="Arial" w:cs="Arial" w:eastAsia="Arial" w:hAnsi="Arial"/>
                <w:sz w:val="18"/>
                <w:szCs w:val="18"/>
                <w:b w:val="1"/>
                <w:bCs w:val="1"/>
                <w:i w:val="1"/>
                <w:iCs w:val="1"/>
                <w:color w:val="auto"/>
              </w:rPr>
              <w:t>GLOSSARY</w:t>
            </w:r>
          </w:p>
        </w:tc>
      </w:tr>
      <w:tr>
        <w:trPr>
          <w:trHeight w:val="223"/>
        </w:trPr>
        <w:tc>
          <w:tcPr>
            <w:tcW w:w="40" w:type="dxa"/>
            <w:vAlign w:val="bottom"/>
          </w:tcPr>
          <w:p>
            <w:pPr>
              <w:spacing w:after="0"/>
              <w:rPr>
                <w:sz w:val="19"/>
                <w:szCs w:val="19"/>
                <w:color w:val="auto"/>
              </w:rPr>
            </w:pPr>
          </w:p>
        </w:tc>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8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Affordable Clean Energy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860" w:type="dxa"/>
            <w:vAlign w:val="bottom"/>
          </w:tcPr>
          <w:p>
            <w:pPr>
              <w:ind w:left="1300"/>
              <w:spacing w:after="0"/>
              <w:rPr>
                <w:sz w:val="20"/>
                <w:szCs w:val="20"/>
                <w:color w:val="auto"/>
              </w:rPr>
            </w:pPr>
            <w:r>
              <w:rPr>
                <w:rFonts w:ascii="Arial" w:cs="Arial" w:eastAsia="Arial" w:hAnsi="Arial"/>
                <w:sz w:val="18"/>
                <w:szCs w:val="18"/>
                <w:color w:val="auto"/>
              </w:rPr>
              <w:t>Asset Management Agreement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AMS</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Advanced Metering System</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APSC</w:t>
            </w:r>
          </w:p>
        </w:tc>
        <w:tc>
          <w:tcPr>
            <w:tcW w:w="7860" w:type="dxa"/>
            <w:vAlign w:val="bottom"/>
          </w:tcPr>
          <w:p>
            <w:pPr>
              <w:ind w:left="1300"/>
              <w:spacing w:after="0"/>
              <w:rPr>
                <w:sz w:val="20"/>
                <w:szCs w:val="20"/>
                <w:color w:val="auto"/>
              </w:rPr>
            </w:pPr>
            <w:r>
              <w:rPr>
                <w:rFonts w:ascii="Arial" w:cs="Arial" w:eastAsia="Arial" w:hAnsi="Arial"/>
                <w:sz w:val="18"/>
                <w:szCs w:val="18"/>
                <w:color w:val="auto"/>
              </w:rPr>
              <w:t>Arkansas Public Service Commission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ARAM</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Average rate assumption method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860" w:type="dxa"/>
            <w:vAlign w:val="bottom"/>
          </w:tcPr>
          <w:p>
            <w:pPr>
              <w:ind w:left="1300"/>
              <w:spacing w:after="0"/>
              <w:rPr>
                <w:sz w:val="20"/>
                <w:szCs w:val="20"/>
                <w:color w:val="auto"/>
              </w:rPr>
            </w:pPr>
            <w:r>
              <w:rPr>
                <w:rFonts w:ascii="Arial" w:cs="Arial" w:eastAsia="Arial" w:hAnsi="Arial"/>
                <w:sz w:val="18"/>
                <w:szCs w:val="18"/>
                <w:color w:val="auto"/>
              </w:rPr>
              <w:t>Asset retirement obligation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Alternative revenue program</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ARPA</w:t>
            </w:r>
          </w:p>
        </w:tc>
        <w:tc>
          <w:tcPr>
            <w:tcW w:w="7860" w:type="dxa"/>
            <w:vAlign w:val="bottom"/>
          </w:tcPr>
          <w:p>
            <w:pPr>
              <w:ind w:left="1300"/>
              <w:spacing w:after="0"/>
              <w:rPr>
                <w:sz w:val="20"/>
                <w:szCs w:val="20"/>
                <w:color w:val="auto"/>
              </w:rPr>
            </w:pPr>
            <w:r>
              <w:rPr>
                <w:rFonts w:ascii="Arial" w:cs="Arial" w:eastAsia="Arial" w:hAnsi="Arial"/>
                <w:sz w:val="18"/>
                <w:szCs w:val="18"/>
                <w:color w:val="auto"/>
              </w:rPr>
              <w:t>American Rescue Plan Act of 2021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Accounting Standards Codification</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32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Asset Purchase Agreement</w:t>
            </w:r>
          </w:p>
        </w:tc>
        <w:tc>
          <w:tcPr>
            <w:tcW w:w="7860" w:type="dxa"/>
            <w:vAlign w:val="bottom"/>
          </w:tcPr>
          <w:p>
            <w:pPr>
              <w:ind w:left="1300"/>
              <w:spacing w:after="0" w:line="176" w:lineRule="exact"/>
              <w:rPr>
                <w:sz w:val="20"/>
                <w:szCs w:val="20"/>
                <w:color w:val="auto"/>
              </w:rPr>
            </w:pPr>
            <w:r>
              <w:rPr>
                <w:rFonts w:ascii="Arial" w:cs="Arial" w:eastAsia="Arial" w:hAnsi="Arial"/>
                <w:sz w:val="18"/>
                <w:szCs w:val="18"/>
                <w:color w:val="auto"/>
                <w:w w:val="91"/>
              </w:rPr>
              <w:t>Asset Purchase Agreement, dated as of April 29, 2021, by and between CERC Corp. and</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880" w:type="dxa"/>
            <w:vAlign w:val="bottom"/>
            <w:gridSpan w:val="2"/>
          </w:tcPr>
          <w:p>
            <w:pPr>
              <w:ind w:left="1300"/>
              <w:spacing w:after="0" w:line="176" w:lineRule="exact"/>
              <w:rPr>
                <w:sz w:val="20"/>
                <w:szCs w:val="20"/>
                <w:color w:val="auto"/>
              </w:rPr>
            </w:pPr>
            <w:r>
              <w:rPr>
                <w:rFonts w:ascii="Arial" w:cs="Arial" w:eastAsia="Arial" w:hAnsi="Arial"/>
                <w:sz w:val="18"/>
                <w:szCs w:val="18"/>
                <w:color w:val="auto"/>
              </w:rPr>
              <w:t>Southern Col Midco, LLC, a Delaware limited liability company and an affiliate of</w:t>
            </w:r>
          </w:p>
        </w:tc>
      </w:tr>
      <w:tr>
        <w:trPr>
          <w:trHeight w:val="229"/>
        </w:trPr>
        <w:tc>
          <w:tcPr>
            <w:tcW w:w="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880" w:type="dxa"/>
            <w:vAlign w:val="bottom"/>
            <w:gridSpan w:val="2"/>
          </w:tcPr>
          <w:p>
            <w:pPr>
              <w:ind w:left="1300"/>
              <w:spacing w:after="0"/>
              <w:rPr>
                <w:sz w:val="20"/>
                <w:szCs w:val="20"/>
                <w:color w:val="auto"/>
              </w:rPr>
            </w:pPr>
            <w:r>
              <w:rPr>
                <w:rFonts w:ascii="Arial" w:cs="Arial" w:eastAsia="Arial" w:hAnsi="Arial"/>
                <w:sz w:val="18"/>
                <w:szCs w:val="18"/>
                <w:color w:val="auto"/>
              </w:rPr>
              <w:t>Summit Utilities, Inc.</w:t>
            </w: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ASU</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Accounting Standards Update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860" w:type="dxa"/>
            <w:vAlign w:val="bottom"/>
          </w:tcPr>
          <w:p>
            <w:pPr>
              <w:ind w:left="1300"/>
              <w:spacing w:after="0"/>
              <w:rPr>
                <w:sz w:val="20"/>
                <w:szCs w:val="20"/>
                <w:color w:val="auto"/>
              </w:rPr>
            </w:pPr>
            <w:r>
              <w:rPr>
                <w:rFonts w:ascii="Arial" w:cs="Arial" w:eastAsia="Arial" w:hAnsi="Arial"/>
                <w:sz w:val="18"/>
                <w:szCs w:val="18"/>
                <w:color w:val="auto"/>
              </w:rPr>
              <w:t>AT&amp;T Inc. common stock</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Billion cubic feet</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32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Bond Companies</w:t>
            </w:r>
          </w:p>
        </w:tc>
        <w:tc>
          <w:tcPr>
            <w:tcW w:w="7860" w:type="dxa"/>
            <w:vAlign w:val="bottom"/>
          </w:tcPr>
          <w:p>
            <w:pPr>
              <w:ind w:left="1300"/>
              <w:spacing w:after="0" w:line="176" w:lineRule="exact"/>
              <w:rPr>
                <w:sz w:val="20"/>
                <w:szCs w:val="20"/>
                <w:color w:val="auto"/>
              </w:rPr>
            </w:pPr>
            <w:r>
              <w:rPr>
                <w:rFonts w:ascii="Arial" w:cs="Arial" w:eastAsia="Arial" w:hAnsi="Arial"/>
                <w:sz w:val="18"/>
                <w:szCs w:val="18"/>
                <w:color w:val="auto"/>
                <w:w w:val="95"/>
              </w:rPr>
              <w:t>Bond Company III, Bond Company IV and Restoration Bond Company, each a wholly-</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880" w:type="dxa"/>
            <w:vAlign w:val="bottom"/>
            <w:gridSpan w:val="2"/>
          </w:tcPr>
          <w:p>
            <w:pPr>
              <w:ind w:left="1300"/>
              <w:spacing w:after="0" w:line="176" w:lineRule="exact"/>
              <w:rPr>
                <w:sz w:val="20"/>
                <w:szCs w:val="20"/>
                <w:color w:val="auto"/>
              </w:rPr>
            </w:pPr>
            <w:r>
              <w:rPr>
                <w:rFonts w:ascii="Arial" w:cs="Arial" w:eastAsia="Arial" w:hAnsi="Arial"/>
                <w:sz w:val="18"/>
                <w:szCs w:val="18"/>
                <w:color w:val="auto"/>
                <w:w w:val="92"/>
              </w:rPr>
              <w:t>owned, bankruptcy remote entity formed solely for the purpose of purchasing and owning</w:t>
            </w:r>
          </w:p>
        </w:tc>
      </w:tr>
      <w:tr>
        <w:trPr>
          <w:trHeight w:val="229"/>
        </w:trPr>
        <w:tc>
          <w:tcPr>
            <w:tcW w:w="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880" w:type="dxa"/>
            <w:vAlign w:val="bottom"/>
            <w:gridSpan w:val="2"/>
          </w:tcPr>
          <w:p>
            <w:pPr>
              <w:ind w:left="1300"/>
              <w:spacing w:after="0"/>
              <w:rPr>
                <w:sz w:val="20"/>
                <w:szCs w:val="20"/>
                <w:color w:val="auto"/>
              </w:rPr>
            </w:pPr>
            <w:r>
              <w:rPr>
                <w:rFonts w:ascii="Arial" w:cs="Arial" w:eastAsia="Arial" w:hAnsi="Arial"/>
                <w:sz w:val="18"/>
                <w:szCs w:val="18"/>
                <w:color w:val="auto"/>
                <w:w w:val="96"/>
              </w:rPr>
              <w:t>transition or system restoration property through the issuance of Securitization Bonds</w:t>
            </w:r>
          </w:p>
        </w:tc>
      </w:tr>
      <w:tr>
        <w:trPr>
          <w:trHeight w:val="176"/>
        </w:trPr>
        <w:tc>
          <w:tcPr>
            <w:tcW w:w="40" w:type="dxa"/>
            <w:vAlign w:val="bottom"/>
          </w:tcPr>
          <w:p>
            <w:pPr>
              <w:spacing w:after="0"/>
              <w:rPr>
                <w:sz w:val="15"/>
                <w:szCs w:val="15"/>
                <w:color w:val="auto"/>
              </w:rPr>
            </w:pPr>
          </w:p>
        </w:tc>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Bond Company III</w:t>
            </w:r>
          </w:p>
        </w:tc>
        <w:tc>
          <w:tcPr>
            <w:tcW w:w="7860" w:type="dxa"/>
            <w:vAlign w:val="bottom"/>
            <w:shd w:val="clear" w:color="auto" w:fill="CCEEFF"/>
          </w:tcPr>
          <w:p>
            <w:pPr>
              <w:ind w:left="1300"/>
              <w:spacing w:after="0" w:line="176" w:lineRule="exact"/>
              <w:rPr>
                <w:sz w:val="20"/>
                <w:szCs w:val="20"/>
                <w:color w:val="auto"/>
              </w:rPr>
            </w:pPr>
            <w:r>
              <w:rPr>
                <w:rFonts w:ascii="Arial" w:cs="Arial" w:eastAsia="Arial" w:hAnsi="Arial"/>
                <w:sz w:val="18"/>
                <w:szCs w:val="18"/>
                <w:color w:val="auto"/>
                <w:w w:val="97"/>
              </w:rPr>
              <w:t>CenterPoint Energy Transition Bond Company III, LLC, a wholly-owned subsidiary of</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32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Bond Company IV</w:t>
            </w:r>
          </w:p>
        </w:tc>
        <w:tc>
          <w:tcPr>
            <w:tcW w:w="7860" w:type="dxa"/>
            <w:vAlign w:val="bottom"/>
          </w:tcPr>
          <w:p>
            <w:pPr>
              <w:ind w:left="1300"/>
              <w:spacing w:after="0" w:line="176" w:lineRule="exact"/>
              <w:rPr>
                <w:sz w:val="20"/>
                <w:szCs w:val="20"/>
                <w:color w:val="auto"/>
              </w:rPr>
            </w:pPr>
            <w:r>
              <w:rPr>
                <w:rFonts w:ascii="Arial" w:cs="Arial" w:eastAsia="Arial" w:hAnsi="Arial"/>
                <w:sz w:val="18"/>
                <w:szCs w:val="18"/>
                <w:color w:val="auto"/>
                <w:w w:val="96"/>
              </w:rPr>
              <w:t>CenterPoint Energy Transition Bond Company IV, LLC, a wholly-owned subsidiary of</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880" w:type="dxa"/>
            <w:vAlign w:val="bottom"/>
            <w:gridSpan w:val="2"/>
          </w:tcPr>
          <w:p>
            <w:pPr>
              <w:ind w:left="1300"/>
              <w:spacing w:after="0"/>
              <w:rPr>
                <w:sz w:val="20"/>
                <w:szCs w:val="20"/>
                <w:color w:val="auto"/>
              </w:rPr>
            </w:pPr>
            <w:r>
              <w:rPr>
                <w:rFonts w:ascii="Arial" w:cs="Arial" w:eastAsia="Arial" w:hAnsi="Arial"/>
                <w:sz w:val="18"/>
                <w:szCs w:val="18"/>
                <w:color w:val="auto"/>
              </w:rPr>
              <w:t>Houston Electric</w:t>
            </w:r>
          </w:p>
        </w:tc>
      </w:tr>
      <w:tr>
        <w:trPr>
          <w:trHeight w:val="229"/>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BTA</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Build Transfer Agreement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Capital Dynamics</w:t>
            </w:r>
          </w:p>
        </w:tc>
        <w:tc>
          <w:tcPr>
            <w:tcW w:w="7860" w:type="dxa"/>
            <w:vAlign w:val="bottom"/>
          </w:tcPr>
          <w:p>
            <w:pPr>
              <w:ind w:left="1300"/>
              <w:spacing w:after="0"/>
              <w:rPr>
                <w:sz w:val="20"/>
                <w:szCs w:val="20"/>
                <w:color w:val="auto"/>
              </w:rPr>
            </w:pPr>
            <w:r>
              <w:rPr>
                <w:rFonts w:ascii="Arial" w:cs="Arial" w:eastAsia="Arial" w:hAnsi="Arial"/>
                <w:sz w:val="18"/>
                <w:szCs w:val="18"/>
                <w:color w:val="auto"/>
              </w:rPr>
              <w:t>Capital Dynamics, Inc.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Coronavirus Aid, Relief, and Economic Security Act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860" w:type="dxa"/>
            <w:vAlign w:val="bottom"/>
          </w:tcPr>
          <w:p>
            <w:pPr>
              <w:ind w:left="1300"/>
              <w:spacing w:after="0"/>
              <w:rPr>
                <w:sz w:val="20"/>
                <w:szCs w:val="20"/>
                <w:color w:val="auto"/>
              </w:rPr>
            </w:pPr>
            <w:r>
              <w:rPr>
                <w:rFonts w:ascii="Arial" w:cs="Arial" w:eastAsia="Arial" w:hAnsi="Arial"/>
                <w:sz w:val="18"/>
                <w:szCs w:val="18"/>
                <w:color w:val="auto"/>
              </w:rPr>
              <w:t>Coal Combustion Residuals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860" w:type="dxa"/>
            <w:vAlign w:val="bottom"/>
          </w:tcPr>
          <w:p>
            <w:pPr>
              <w:ind w:left="1300"/>
              <w:spacing w:after="0"/>
              <w:rPr>
                <w:sz w:val="20"/>
                <w:szCs w:val="20"/>
                <w:color w:val="auto"/>
              </w:rPr>
            </w:pPr>
            <w:r>
              <w:rPr>
                <w:rFonts w:ascii="Arial" w:cs="Arial" w:eastAsia="Arial" w:hAnsi="Arial"/>
                <w:sz w:val="18"/>
                <w:szCs w:val="18"/>
                <w:color w:val="auto"/>
              </w:rPr>
              <w:t>CenterPoint Energy, Inc., and its subsidiaries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CERC Corp., together with its subsidiaries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860" w:type="dxa"/>
            <w:vAlign w:val="bottom"/>
          </w:tcPr>
          <w:p>
            <w:pPr>
              <w:ind w:left="1300"/>
              <w:spacing w:after="0"/>
              <w:rPr>
                <w:sz w:val="20"/>
                <w:szCs w:val="20"/>
                <w:color w:val="auto"/>
              </w:rPr>
            </w:pPr>
            <w:r>
              <w:rPr>
                <w:rFonts w:ascii="Arial" w:cs="Arial" w:eastAsia="Arial" w:hAnsi="Arial"/>
                <w:sz w:val="18"/>
                <w:szCs w:val="18"/>
                <w:color w:val="auto"/>
              </w:rPr>
              <w:t>CenterPoint Energy Resources Corp.</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CES</w:t>
            </w:r>
          </w:p>
        </w:tc>
        <w:tc>
          <w:tcPr>
            <w:tcW w:w="7860" w:type="dxa"/>
            <w:vAlign w:val="bottom"/>
            <w:shd w:val="clear" w:color="auto" w:fill="CCEEFF"/>
          </w:tcPr>
          <w:p>
            <w:pPr>
              <w:ind w:left="1300"/>
              <w:spacing w:after="0" w:line="176" w:lineRule="exact"/>
              <w:rPr>
                <w:sz w:val="20"/>
                <w:szCs w:val="20"/>
                <w:color w:val="auto"/>
              </w:rPr>
            </w:pPr>
            <w:r>
              <w:rPr>
                <w:rFonts w:ascii="Arial" w:cs="Arial" w:eastAsia="Arial" w:hAnsi="Arial"/>
                <w:sz w:val="18"/>
                <w:szCs w:val="18"/>
                <w:color w:val="auto"/>
                <w:w w:val="96"/>
              </w:rPr>
              <w:t>CenterPoint Energy Services, Inc. (now known as Symmetry Energy Solutions, LLC),</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previously a wholly-owned subsidiary of CERC Corp.</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860" w:type="dxa"/>
            <w:vAlign w:val="bottom"/>
          </w:tcPr>
          <w:p>
            <w:pPr>
              <w:ind w:left="1300"/>
              <w:spacing w:after="0"/>
              <w:rPr>
                <w:sz w:val="20"/>
                <w:szCs w:val="20"/>
                <w:color w:val="auto"/>
              </w:rPr>
            </w:pPr>
            <w:r>
              <w:rPr>
                <w:rFonts w:ascii="Arial" w:cs="Arial" w:eastAsia="Arial" w:hAnsi="Arial"/>
                <w:sz w:val="18"/>
                <w:szCs w:val="18"/>
                <w:color w:val="auto"/>
              </w:rPr>
              <w:t>Charter Communications, Inc. common stock</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Conservation Improvement Program</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CNG</w:t>
            </w:r>
          </w:p>
        </w:tc>
        <w:tc>
          <w:tcPr>
            <w:tcW w:w="7860" w:type="dxa"/>
            <w:vAlign w:val="bottom"/>
          </w:tcPr>
          <w:p>
            <w:pPr>
              <w:ind w:left="1300"/>
              <w:spacing w:after="0"/>
              <w:rPr>
                <w:sz w:val="20"/>
                <w:szCs w:val="20"/>
                <w:color w:val="auto"/>
              </w:rPr>
            </w:pPr>
            <w:r>
              <w:rPr>
                <w:rFonts w:ascii="Arial" w:cs="Arial" w:eastAsia="Arial" w:hAnsi="Arial"/>
                <w:sz w:val="18"/>
                <w:szCs w:val="18"/>
                <w:color w:val="auto"/>
              </w:rPr>
              <w:t>Compressed Natural Gas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CNP Midstream</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5"/>
              </w:rPr>
              <w:t>CenterPoint Energy Midstream, Inc., a wholly-owned subsidiary of CenterPoint Energy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860" w:type="dxa"/>
            <w:vAlign w:val="bottom"/>
          </w:tcPr>
          <w:p>
            <w:pPr>
              <w:ind w:left="1300"/>
              <w:spacing w:after="0"/>
              <w:rPr>
                <w:sz w:val="20"/>
                <w:szCs w:val="20"/>
                <w:color w:val="auto"/>
              </w:rPr>
            </w:pPr>
            <w:r>
              <w:rPr>
                <w:rFonts w:ascii="Arial" w:cs="Arial" w:eastAsia="Arial" w:hAnsi="Arial"/>
                <w:sz w:val="18"/>
                <w:szCs w:val="18"/>
                <w:color w:val="auto"/>
                <w:w w:val="96"/>
              </w:rPr>
              <w:t>Chief Operating Decision Maker, who is each Registrant’s Chief Operating Executive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CenterPoint Energy, Inc. common stock, par value $0.01 per share</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32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COVID-19</w:t>
            </w:r>
          </w:p>
        </w:tc>
        <w:tc>
          <w:tcPr>
            <w:tcW w:w="7860" w:type="dxa"/>
            <w:vAlign w:val="bottom"/>
          </w:tcPr>
          <w:p>
            <w:pPr>
              <w:ind w:left="1300"/>
              <w:spacing w:after="0" w:line="176" w:lineRule="exact"/>
              <w:rPr>
                <w:sz w:val="20"/>
                <w:szCs w:val="20"/>
                <w:color w:val="auto"/>
              </w:rPr>
            </w:pPr>
            <w:r>
              <w:rPr>
                <w:rFonts w:ascii="Arial" w:cs="Arial" w:eastAsia="Arial" w:hAnsi="Arial"/>
                <w:sz w:val="18"/>
                <w:szCs w:val="18"/>
                <w:color w:val="auto"/>
                <w:w w:val="98"/>
              </w:rPr>
              <w:t>Novel coronavirus disease 2019 and related global outbreak that was subsequently</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880" w:type="dxa"/>
            <w:vAlign w:val="bottom"/>
            <w:gridSpan w:val="2"/>
          </w:tcPr>
          <w:p>
            <w:pPr>
              <w:ind w:left="1300"/>
              <w:spacing w:after="0"/>
              <w:rPr>
                <w:sz w:val="20"/>
                <w:szCs w:val="20"/>
                <w:color w:val="auto"/>
              </w:rPr>
            </w:pPr>
            <w:r>
              <w:rPr>
                <w:rFonts w:ascii="Arial" w:cs="Arial" w:eastAsia="Arial" w:hAnsi="Arial"/>
                <w:sz w:val="18"/>
                <w:szCs w:val="18"/>
                <w:color w:val="auto"/>
              </w:rPr>
              <w:t>declared a pandemic by the World Health Organization</w:t>
            </w: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COVID-19 ERP</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COVID-19 Electricity Relief Program</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CPCN</w:t>
            </w:r>
          </w:p>
        </w:tc>
        <w:tc>
          <w:tcPr>
            <w:tcW w:w="7860" w:type="dxa"/>
            <w:vAlign w:val="bottom"/>
          </w:tcPr>
          <w:p>
            <w:pPr>
              <w:ind w:left="1300"/>
              <w:spacing w:after="0"/>
              <w:rPr>
                <w:sz w:val="20"/>
                <w:szCs w:val="20"/>
                <w:color w:val="auto"/>
              </w:rPr>
            </w:pPr>
            <w:r>
              <w:rPr>
                <w:rFonts w:ascii="Arial" w:cs="Arial" w:eastAsia="Arial" w:hAnsi="Arial"/>
                <w:sz w:val="18"/>
                <w:szCs w:val="18"/>
                <w:color w:val="auto"/>
              </w:rPr>
              <w:t>Certificate of Public Convenience and Necessity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Clean Power Plan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860" w:type="dxa"/>
            <w:vAlign w:val="bottom"/>
          </w:tcPr>
          <w:p>
            <w:pPr>
              <w:ind w:left="1300"/>
              <w:spacing w:after="0"/>
              <w:rPr>
                <w:sz w:val="20"/>
                <w:szCs w:val="20"/>
                <w:color w:val="auto"/>
              </w:rPr>
            </w:pPr>
            <w:r>
              <w:rPr>
                <w:rFonts w:ascii="Arial" w:cs="Arial" w:eastAsia="Arial" w:hAnsi="Arial"/>
                <w:sz w:val="18"/>
                <w:szCs w:val="18"/>
                <w:color w:val="auto"/>
              </w:rPr>
              <w:t>Compliance and System Improvement Adjustment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Distribution Cost Recovery Factor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860" w:type="dxa"/>
            <w:vAlign w:val="bottom"/>
          </w:tcPr>
          <w:p>
            <w:pPr>
              <w:ind w:left="1300"/>
              <w:spacing w:after="0"/>
              <w:rPr>
                <w:sz w:val="20"/>
                <w:szCs w:val="20"/>
                <w:color w:val="auto"/>
              </w:rPr>
            </w:pPr>
            <w:r>
              <w:rPr>
                <w:rFonts w:ascii="Arial" w:cs="Arial" w:eastAsia="Arial" w:hAnsi="Arial"/>
                <w:sz w:val="18"/>
                <w:szCs w:val="18"/>
                <w:color w:val="auto"/>
              </w:rPr>
              <w:t>Distribution Replacement Rider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8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Demand Side Management Adjustment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7860" w:type="dxa"/>
            <w:vAlign w:val="bottom"/>
          </w:tcPr>
          <w:p>
            <w:pPr>
              <w:ind w:left="1300"/>
              <w:spacing w:after="0"/>
              <w:rPr>
                <w:sz w:val="20"/>
                <w:szCs w:val="20"/>
                <w:color w:val="auto"/>
              </w:rPr>
            </w:pPr>
            <w:r>
              <w:rPr>
                <w:rFonts w:ascii="Arial" w:cs="Arial" w:eastAsia="Arial" w:hAnsi="Arial"/>
                <w:sz w:val="18"/>
                <w:szCs w:val="18"/>
                <w:color w:val="auto"/>
              </w:rPr>
              <w:t>Environmental Cost Adjustment</w:t>
            </w:r>
          </w:p>
        </w:tc>
        <w:tc>
          <w:tcPr>
            <w:tcW w:w="20" w:type="dxa"/>
            <w:vAlign w:val="bottom"/>
          </w:tcPr>
          <w:p>
            <w:pPr>
              <w:spacing w:after="0"/>
              <w:rPr>
                <w:sz w:val="20"/>
                <w:szCs w:val="20"/>
                <w:color w:val="auto"/>
              </w:rPr>
            </w:pPr>
          </w:p>
        </w:tc>
      </w:tr>
      <w:tr>
        <w:trPr>
          <w:trHeight w:val="728"/>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880" w:type="dxa"/>
            <w:vAlign w:val="bottom"/>
            <w:gridSpan w:val="2"/>
          </w:tcPr>
          <w:p>
            <w:pPr>
              <w:ind w:left="2220"/>
              <w:spacing w:after="0"/>
              <w:rPr>
                <w:sz w:val="20"/>
                <w:szCs w:val="20"/>
                <w:color w:val="auto"/>
              </w:rPr>
            </w:pPr>
            <w:r>
              <w:rPr>
                <w:rFonts w:ascii="Arial" w:cs="Arial" w:eastAsia="Arial" w:hAnsi="Arial"/>
                <w:sz w:val="18"/>
                <w:szCs w:val="18"/>
                <w:color w:val="auto"/>
              </w:rPr>
              <w:t>ii</w:t>
            </w:r>
          </w:p>
        </w:tc>
      </w:tr>
      <w:tr>
        <w:trPr>
          <w:trHeight w:val="115"/>
        </w:trPr>
        <w:tc>
          <w:tcPr>
            <w:tcW w:w="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7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gridSpan w:val="2"/>
          </w:tcPr>
          <w:p>
            <w:pPr>
              <w:ind w:left="1260"/>
              <w:spacing w:after="0"/>
              <w:rPr>
                <w:sz w:val="20"/>
                <w:szCs w:val="20"/>
                <w:color w:val="auto"/>
              </w:rPr>
            </w:pPr>
            <w:r>
              <w:rPr>
                <w:rFonts w:ascii="Arial" w:cs="Arial" w:eastAsia="Arial" w:hAnsi="Arial"/>
                <w:sz w:val="18"/>
                <w:szCs w:val="18"/>
                <w:b w:val="1"/>
                <w:bCs w:val="1"/>
                <w:i w:val="1"/>
                <w:iCs w:val="1"/>
                <w:color w:val="auto"/>
              </w:rPr>
              <w:t>GLOSSARY</w:t>
            </w:r>
          </w:p>
        </w:tc>
      </w:tr>
      <w:tr>
        <w:trPr>
          <w:trHeight w:val="223"/>
        </w:trPr>
        <w:tc>
          <w:tcPr>
            <w:tcW w:w="40" w:type="dxa"/>
            <w:vAlign w:val="bottom"/>
          </w:tcPr>
          <w:p>
            <w:pPr>
              <w:spacing w:after="0"/>
              <w:rPr>
                <w:sz w:val="19"/>
                <w:szCs w:val="19"/>
                <w:color w:val="auto"/>
              </w:rPr>
            </w:pPr>
          </w:p>
        </w:tc>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3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Excess deferred income taxes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320" w:type="dxa"/>
            <w:vAlign w:val="bottom"/>
          </w:tcPr>
          <w:p>
            <w:pPr>
              <w:ind w:left="760"/>
              <w:spacing w:after="0"/>
              <w:rPr>
                <w:sz w:val="20"/>
                <w:szCs w:val="20"/>
                <w:color w:val="auto"/>
              </w:rPr>
            </w:pPr>
            <w:r>
              <w:rPr>
                <w:rFonts w:ascii="Arial" w:cs="Arial" w:eastAsia="Arial" w:hAnsi="Arial"/>
                <w:sz w:val="18"/>
                <w:szCs w:val="18"/>
                <w:color w:val="auto"/>
              </w:rPr>
              <w:t>Energy Efficiency Cost Recovery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Energy Efficiency Cost Recovery Factor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320" w:type="dxa"/>
            <w:vAlign w:val="bottom"/>
          </w:tcPr>
          <w:p>
            <w:pPr>
              <w:ind w:left="760"/>
              <w:spacing w:after="0"/>
              <w:rPr>
                <w:sz w:val="20"/>
                <w:szCs w:val="20"/>
                <w:color w:val="auto"/>
              </w:rPr>
            </w:pPr>
            <w:r>
              <w:rPr>
                <w:rFonts w:ascii="Arial" w:cs="Arial" w:eastAsia="Arial" w:hAnsi="Arial"/>
                <w:sz w:val="18"/>
                <w:szCs w:val="18"/>
                <w:color w:val="auto"/>
              </w:rPr>
              <w:t>Energy Efficiency Funding Component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Energy Efficiency Funding Rider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ELG</w:t>
            </w:r>
          </w:p>
        </w:tc>
        <w:tc>
          <w:tcPr>
            <w:tcW w:w="7320" w:type="dxa"/>
            <w:vAlign w:val="bottom"/>
          </w:tcPr>
          <w:p>
            <w:pPr>
              <w:ind w:left="760"/>
              <w:spacing w:after="0"/>
              <w:rPr>
                <w:sz w:val="20"/>
                <w:szCs w:val="20"/>
                <w:color w:val="auto"/>
              </w:rPr>
            </w:pPr>
            <w:r>
              <w:rPr>
                <w:rFonts w:ascii="Arial" w:cs="Arial" w:eastAsia="Arial" w:hAnsi="Arial"/>
                <w:sz w:val="18"/>
                <w:szCs w:val="18"/>
                <w:color w:val="auto"/>
              </w:rPr>
              <w:t>Effluent Limitation Guidelines</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Elk GP Merger Sub</w:t>
            </w:r>
          </w:p>
        </w:tc>
        <w:tc>
          <w:tcPr>
            <w:tcW w:w="732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rPr>
              <w:t>Elk GP Merger Sub LLC, a Delaware limited liability company and a direct wholly-</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owned subsidiary of Energy Transfer</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6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Elk Merger Sub</w:t>
            </w:r>
          </w:p>
        </w:tc>
        <w:tc>
          <w:tcPr>
            <w:tcW w:w="7320" w:type="dxa"/>
            <w:vAlign w:val="bottom"/>
          </w:tcPr>
          <w:p>
            <w:pPr>
              <w:ind w:left="760"/>
              <w:spacing w:after="0" w:line="176" w:lineRule="exact"/>
              <w:rPr>
                <w:sz w:val="20"/>
                <w:szCs w:val="20"/>
                <w:color w:val="auto"/>
              </w:rPr>
            </w:pPr>
            <w:r>
              <w:rPr>
                <w:rFonts w:ascii="Arial" w:cs="Arial" w:eastAsia="Arial" w:hAnsi="Arial"/>
                <w:sz w:val="18"/>
                <w:szCs w:val="18"/>
                <w:color w:val="auto"/>
                <w:w w:val="97"/>
              </w:rPr>
              <w:t>Elk Merger Sub LLC, a Delaware limited liability company and a direct wholly-owned</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340" w:type="dxa"/>
            <w:vAlign w:val="bottom"/>
            <w:gridSpan w:val="2"/>
          </w:tcPr>
          <w:p>
            <w:pPr>
              <w:ind w:left="760"/>
              <w:spacing w:after="0"/>
              <w:rPr>
                <w:sz w:val="20"/>
                <w:szCs w:val="20"/>
                <w:color w:val="auto"/>
              </w:rPr>
            </w:pPr>
            <w:r>
              <w:rPr>
                <w:rFonts w:ascii="Arial" w:cs="Arial" w:eastAsia="Arial" w:hAnsi="Arial"/>
                <w:sz w:val="18"/>
                <w:szCs w:val="18"/>
                <w:color w:val="auto"/>
              </w:rPr>
              <w:t>subsidiary of Energy Transfer</w:t>
            </w: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Enable Midstream Partners, LP</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 GP</w:t>
            </w:r>
          </w:p>
        </w:tc>
        <w:tc>
          <w:tcPr>
            <w:tcW w:w="7320" w:type="dxa"/>
            <w:vAlign w:val="bottom"/>
          </w:tcPr>
          <w:p>
            <w:pPr>
              <w:ind w:left="760"/>
              <w:spacing w:after="0"/>
              <w:rPr>
                <w:sz w:val="20"/>
                <w:szCs w:val="20"/>
                <w:color w:val="auto"/>
              </w:rPr>
            </w:pPr>
            <w:r>
              <w:rPr>
                <w:rFonts w:ascii="Arial" w:cs="Arial" w:eastAsia="Arial" w:hAnsi="Arial"/>
                <w:sz w:val="18"/>
                <w:szCs w:val="18"/>
                <w:color w:val="auto"/>
              </w:rPr>
              <w:t>Enable GP, LLC, Enable’s general partner</w:t>
            </w:r>
          </w:p>
        </w:tc>
        <w:tc>
          <w:tcPr>
            <w:tcW w:w="20" w:type="dxa"/>
            <w:vAlign w:val="bottom"/>
          </w:tcPr>
          <w:p>
            <w:pPr>
              <w:spacing w:after="0"/>
              <w:rPr>
                <w:sz w:val="19"/>
                <w:szCs w:val="19"/>
                <w:color w:val="auto"/>
              </w:rPr>
            </w:pPr>
          </w:p>
        </w:tc>
      </w:tr>
      <w:tr>
        <w:trPr>
          <w:trHeight w:val="188"/>
        </w:trPr>
        <w:tc>
          <w:tcPr>
            <w:tcW w:w="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i w:val="1"/>
                <w:iCs w:val="1"/>
                <w:color w:val="auto"/>
              </w:rPr>
              <w:t>Enable Merger</w:t>
            </w:r>
          </w:p>
        </w:tc>
        <w:tc>
          <w:tcPr>
            <w:tcW w:w="7320" w:type="dxa"/>
            <w:vAlign w:val="bottom"/>
            <w:shd w:val="clear" w:color="auto" w:fill="CCEEFF"/>
          </w:tcPr>
          <w:p>
            <w:pPr>
              <w:ind w:left="760"/>
              <w:spacing w:after="0" w:line="189" w:lineRule="exact"/>
              <w:rPr>
                <w:sz w:val="20"/>
                <w:szCs w:val="20"/>
                <w:color w:val="auto"/>
              </w:rPr>
            </w:pPr>
            <w:r>
              <w:rPr>
                <w:rFonts w:ascii="Arial" w:cs="Arial" w:eastAsia="Arial" w:hAnsi="Arial"/>
                <w:sz w:val="18"/>
                <w:szCs w:val="18"/>
                <w:color w:val="auto"/>
                <w:w w:val="93"/>
              </w:rPr>
              <w:t>The proposed merger of Elk Merger Sub with and into Enable and the merger of Elk GP</w:t>
            </w:r>
          </w:p>
        </w:tc>
        <w:tc>
          <w:tcPr>
            <w:tcW w:w="2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320" w:type="dxa"/>
            <w:vAlign w:val="bottom"/>
            <w:shd w:val="clear" w:color="auto" w:fill="CCEEFF"/>
          </w:tcPr>
          <w:p>
            <w:pPr>
              <w:ind w:left="760"/>
              <w:spacing w:after="0" w:line="189" w:lineRule="exact"/>
              <w:rPr>
                <w:sz w:val="20"/>
                <w:szCs w:val="20"/>
                <w:color w:val="auto"/>
              </w:rPr>
            </w:pPr>
            <w:r>
              <w:rPr>
                <w:rFonts w:ascii="Arial" w:cs="Arial" w:eastAsia="Arial" w:hAnsi="Arial"/>
                <w:sz w:val="18"/>
                <w:szCs w:val="18"/>
                <w:color w:val="auto"/>
                <w:w w:val="99"/>
              </w:rPr>
              <w:t>Merger Sub with and into Enable GP, in each case on the terms and subject to the</w:t>
            </w:r>
          </w:p>
        </w:tc>
        <w:tc>
          <w:tcPr>
            <w:tcW w:w="2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7320" w:type="dxa"/>
            <w:vAlign w:val="bottom"/>
            <w:shd w:val="clear" w:color="auto" w:fill="CCEEFF"/>
          </w:tcPr>
          <w:p>
            <w:pPr>
              <w:ind w:left="760"/>
              <w:spacing w:after="0" w:line="189" w:lineRule="exact"/>
              <w:rPr>
                <w:sz w:val="20"/>
                <w:szCs w:val="20"/>
                <w:color w:val="auto"/>
              </w:rPr>
            </w:pPr>
            <w:r>
              <w:rPr>
                <w:rFonts w:ascii="Arial" w:cs="Arial" w:eastAsia="Arial" w:hAnsi="Arial"/>
                <w:sz w:val="18"/>
                <w:szCs w:val="18"/>
                <w:color w:val="auto"/>
              </w:rPr>
              <w:t>conditions set forth in the Enable Merger Agreement, with Enable and Enable GP</w:t>
            </w:r>
          </w:p>
        </w:tc>
        <w:tc>
          <w:tcPr>
            <w:tcW w:w="20" w:type="dxa"/>
            <w:vAlign w:val="bottom"/>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surviving as wholly-owned subsidiaries of Energy Transfer</w:t>
            </w:r>
          </w:p>
        </w:tc>
        <w:tc>
          <w:tcPr>
            <w:tcW w:w="20" w:type="dxa"/>
            <w:vAlign w:val="bottom"/>
          </w:tcPr>
          <w:p>
            <w:pPr>
              <w:spacing w:after="0"/>
              <w:rPr>
                <w:sz w:val="21"/>
                <w:szCs w:val="21"/>
                <w:color w:val="auto"/>
              </w:rPr>
            </w:pPr>
          </w:p>
        </w:tc>
      </w:tr>
      <w:tr>
        <w:trPr>
          <w:trHeight w:val="188"/>
        </w:trPr>
        <w:tc>
          <w:tcPr>
            <w:tcW w:w="40" w:type="dxa"/>
            <w:vAlign w:val="bottom"/>
          </w:tcPr>
          <w:p>
            <w:pPr>
              <w:spacing w:after="0"/>
              <w:rPr>
                <w:sz w:val="16"/>
                <w:szCs w:val="16"/>
                <w:color w:val="auto"/>
              </w:rPr>
            </w:pPr>
          </w:p>
        </w:tc>
        <w:tc>
          <w:tcPr>
            <w:tcW w:w="3860" w:type="dxa"/>
            <w:vAlign w:val="bottom"/>
          </w:tcPr>
          <w:p>
            <w:pPr>
              <w:ind w:left="20"/>
              <w:spacing w:after="0" w:line="189" w:lineRule="exact"/>
              <w:rPr>
                <w:sz w:val="20"/>
                <w:szCs w:val="20"/>
                <w:color w:val="auto"/>
              </w:rPr>
            </w:pPr>
            <w:r>
              <w:rPr>
                <w:rFonts w:ascii="Arial" w:cs="Arial" w:eastAsia="Arial" w:hAnsi="Arial"/>
                <w:sz w:val="18"/>
                <w:szCs w:val="18"/>
                <w:b w:val="1"/>
                <w:bCs w:val="1"/>
                <w:i w:val="1"/>
                <w:iCs w:val="1"/>
                <w:color w:val="auto"/>
              </w:rPr>
              <w:t>Enable Merger Agreement</w:t>
            </w:r>
          </w:p>
        </w:tc>
        <w:tc>
          <w:tcPr>
            <w:tcW w:w="7320" w:type="dxa"/>
            <w:vAlign w:val="bottom"/>
          </w:tcPr>
          <w:p>
            <w:pPr>
              <w:ind w:left="760"/>
              <w:spacing w:after="0" w:line="189" w:lineRule="exact"/>
              <w:rPr>
                <w:sz w:val="20"/>
                <w:szCs w:val="20"/>
                <w:color w:val="auto"/>
              </w:rPr>
            </w:pPr>
            <w:r>
              <w:rPr>
                <w:rFonts w:ascii="Arial" w:cs="Arial" w:eastAsia="Arial" w:hAnsi="Arial"/>
                <w:sz w:val="18"/>
                <w:szCs w:val="18"/>
                <w:color w:val="auto"/>
                <w:w w:val="92"/>
              </w:rPr>
              <w:t>Agreement and Plan of Merger by and among Energy Transfer, Elk Merger Sub LLC, Elk</w:t>
            </w:r>
          </w:p>
        </w:tc>
        <w:tc>
          <w:tcPr>
            <w:tcW w:w="2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340" w:type="dxa"/>
            <w:vAlign w:val="bottom"/>
            <w:gridSpan w:val="2"/>
          </w:tcPr>
          <w:p>
            <w:pPr>
              <w:ind w:left="760"/>
              <w:spacing w:after="0" w:line="189" w:lineRule="exact"/>
              <w:rPr>
                <w:sz w:val="20"/>
                <w:szCs w:val="20"/>
                <w:color w:val="auto"/>
              </w:rPr>
            </w:pPr>
            <w:r>
              <w:rPr>
                <w:rFonts w:ascii="Arial" w:cs="Arial" w:eastAsia="Arial" w:hAnsi="Arial"/>
                <w:sz w:val="18"/>
                <w:szCs w:val="18"/>
                <w:color w:val="auto"/>
                <w:w w:val="98"/>
              </w:rPr>
              <w:t>GP Merger Sub, Enable, Enable GP and, solely for the purposes of Section 2.1(a)(i)</w:t>
            </w:r>
          </w:p>
        </w:tc>
      </w:tr>
      <w:tr>
        <w:trPr>
          <w:trHeight w:val="189"/>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340" w:type="dxa"/>
            <w:vAlign w:val="bottom"/>
            <w:gridSpan w:val="2"/>
          </w:tcPr>
          <w:p>
            <w:pPr>
              <w:ind w:left="760"/>
              <w:spacing w:after="0" w:line="189" w:lineRule="exact"/>
              <w:rPr>
                <w:sz w:val="20"/>
                <w:szCs w:val="20"/>
                <w:color w:val="auto"/>
              </w:rPr>
            </w:pPr>
            <w:r>
              <w:rPr>
                <w:rFonts w:ascii="Arial" w:cs="Arial" w:eastAsia="Arial" w:hAnsi="Arial"/>
                <w:sz w:val="18"/>
                <w:szCs w:val="18"/>
                <w:color w:val="auto"/>
                <w:w w:val="98"/>
              </w:rPr>
              <w:t>therein, Energy Transfer GP, and solely for the purposes of Section 1.1(b)(i) therein,</w:t>
            </w:r>
          </w:p>
        </w:tc>
      </w:tr>
      <w:tr>
        <w:trPr>
          <w:trHeight w:val="230"/>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340" w:type="dxa"/>
            <w:vAlign w:val="bottom"/>
            <w:gridSpan w:val="2"/>
          </w:tcPr>
          <w:p>
            <w:pPr>
              <w:ind w:left="760"/>
              <w:spacing w:after="0"/>
              <w:rPr>
                <w:sz w:val="20"/>
                <w:szCs w:val="20"/>
                <w:color w:val="auto"/>
              </w:rPr>
            </w:pPr>
            <w:r>
              <w:rPr>
                <w:rFonts w:ascii="Arial" w:cs="Arial" w:eastAsia="Arial" w:hAnsi="Arial"/>
                <w:sz w:val="18"/>
                <w:szCs w:val="18"/>
                <w:color w:val="auto"/>
              </w:rPr>
              <w:t>CenterPoint Energy</w:t>
            </w:r>
          </w:p>
        </w:tc>
      </w:tr>
      <w:tr>
        <w:trPr>
          <w:trHeight w:val="189"/>
        </w:trPr>
        <w:tc>
          <w:tcPr>
            <w:tcW w:w="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i w:val="1"/>
                <w:iCs w:val="1"/>
                <w:color w:val="auto"/>
              </w:rPr>
              <w:t>Enable Series A Preferred Units</w:t>
            </w:r>
          </w:p>
        </w:tc>
        <w:tc>
          <w:tcPr>
            <w:tcW w:w="7320" w:type="dxa"/>
            <w:vAlign w:val="bottom"/>
            <w:shd w:val="clear" w:color="auto" w:fill="CCEEFF"/>
          </w:tcPr>
          <w:p>
            <w:pPr>
              <w:ind w:left="760"/>
              <w:spacing w:after="0" w:line="189" w:lineRule="exact"/>
              <w:rPr>
                <w:sz w:val="20"/>
                <w:szCs w:val="20"/>
                <w:color w:val="auto"/>
              </w:rPr>
            </w:pPr>
            <w:r>
              <w:rPr>
                <w:rFonts w:ascii="Arial" w:cs="Arial" w:eastAsia="Arial" w:hAnsi="Arial"/>
                <w:sz w:val="18"/>
                <w:szCs w:val="18"/>
                <w:color w:val="auto"/>
              </w:rPr>
              <w:t>Enable’s 10% Series A Fixed-to-Floating Non-Cumulative Redeemable Perpetual</w:t>
            </w:r>
          </w:p>
        </w:tc>
        <w:tc>
          <w:tcPr>
            <w:tcW w:w="20" w:type="dxa"/>
            <w:vAlign w:val="bottom"/>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Preferred Units, representing limited partner interests in Enable</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6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Energy Services</w:t>
            </w:r>
          </w:p>
        </w:tc>
        <w:tc>
          <w:tcPr>
            <w:tcW w:w="7320" w:type="dxa"/>
            <w:vAlign w:val="bottom"/>
          </w:tcPr>
          <w:p>
            <w:pPr>
              <w:ind w:left="760"/>
              <w:spacing w:after="0" w:line="176" w:lineRule="exact"/>
              <w:rPr>
                <w:sz w:val="20"/>
                <w:szCs w:val="20"/>
                <w:color w:val="auto"/>
              </w:rPr>
            </w:pPr>
            <w:r>
              <w:rPr>
                <w:rFonts w:ascii="Arial" w:cs="Arial" w:eastAsia="Arial" w:hAnsi="Arial"/>
                <w:sz w:val="18"/>
                <w:szCs w:val="18"/>
                <w:color w:val="auto"/>
                <w:w w:val="95"/>
              </w:rPr>
              <w:t>Offered competitive variable and fixed-priced physical natural gas supplies primarily to</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7340" w:type="dxa"/>
            <w:vAlign w:val="bottom"/>
            <w:gridSpan w:val="2"/>
          </w:tcPr>
          <w:p>
            <w:pPr>
              <w:ind w:left="760"/>
              <w:spacing w:after="0" w:line="176" w:lineRule="exact"/>
              <w:rPr>
                <w:sz w:val="20"/>
                <w:szCs w:val="20"/>
                <w:color w:val="auto"/>
              </w:rPr>
            </w:pPr>
            <w:r>
              <w:rPr>
                <w:rFonts w:ascii="Arial" w:cs="Arial" w:eastAsia="Arial" w:hAnsi="Arial"/>
                <w:sz w:val="18"/>
                <w:szCs w:val="18"/>
                <w:color w:val="auto"/>
                <w:w w:val="95"/>
              </w:rPr>
              <w:t>commercial and industrial customers and electric and natural gas utilities through CES</w:t>
            </w:r>
          </w:p>
        </w:tc>
      </w:tr>
      <w:tr>
        <w:trPr>
          <w:trHeight w:val="230"/>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340" w:type="dxa"/>
            <w:vAlign w:val="bottom"/>
            <w:gridSpan w:val="2"/>
          </w:tcPr>
          <w:p>
            <w:pPr>
              <w:ind w:left="760"/>
              <w:spacing w:after="0"/>
              <w:rPr>
                <w:sz w:val="20"/>
                <w:szCs w:val="20"/>
                <w:color w:val="auto"/>
              </w:rPr>
            </w:pPr>
            <w:r>
              <w:rPr>
                <w:rFonts w:ascii="Arial" w:cs="Arial" w:eastAsia="Arial" w:hAnsi="Arial"/>
                <w:sz w:val="18"/>
                <w:szCs w:val="18"/>
                <w:color w:val="auto"/>
              </w:rPr>
              <w:t>and CEIP</w:t>
            </w:r>
          </w:p>
        </w:tc>
      </w:tr>
      <w:tr>
        <w:trPr>
          <w:trHeight w:val="175"/>
        </w:trPr>
        <w:tc>
          <w:tcPr>
            <w:tcW w:w="40" w:type="dxa"/>
            <w:vAlign w:val="bottom"/>
          </w:tcPr>
          <w:p>
            <w:pPr>
              <w:spacing w:after="0"/>
              <w:rPr>
                <w:sz w:val="15"/>
                <w:szCs w:val="15"/>
                <w:color w:val="auto"/>
              </w:rPr>
            </w:pPr>
          </w:p>
        </w:tc>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Energy Services Disposal Group</w:t>
            </w:r>
          </w:p>
        </w:tc>
        <w:tc>
          <w:tcPr>
            <w:tcW w:w="732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w w:val="98"/>
              </w:rPr>
              <w:t>Substantially all of the businesses within CenterPoint Energy’s and CERC’s Energy</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Services reporting unit that were sold under the Equity Purchase Agreement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Transfer</w:t>
            </w:r>
          </w:p>
        </w:tc>
        <w:tc>
          <w:tcPr>
            <w:tcW w:w="7320" w:type="dxa"/>
            <w:vAlign w:val="bottom"/>
          </w:tcPr>
          <w:p>
            <w:pPr>
              <w:ind w:left="760"/>
              <w:spacing w:after="0"/>
              <w:rPr>
                <w:sz w:val="20"/>
                <w:szCs w:val="20"/>
                <w:color w:val="auto"/>
              </w:rPr>
            </w:pPr>
            <w:r>
              <w:rPr>
                <w:rFonts w:ascii="Arial" w:cs="Arial" w:eastAsia="Arial" w:hAnsi="Arial"/>
                <w:sz w:val="18"/>
                <w:szCs w:val="18"/>
                <w:color w:val="auto"/>
              </w:rPr>
              <w:t>Energy Transfer LP, a Delaware limited partnership</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Energy Transfer GP</w:t>
            </w:r>
          </w:p>
        </w:tc>
        <w:tc>
          <w:tcPr>
            <w:tcW w:w="732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w w:val="97"/>
              </w:rPr>
              <w:t>LE GP, LLC, a Delaware limited liability company and sole general partner of Energy</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Transfer</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6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Energy Transfer Series G Preferred Units</w:t>
            </w:r>
          </w:p>
        </w:tc>
        <w:tc>
          <w:tcPr>
            <w:tcW w:w="7320" w:type="dxa"/>
            <w:vAlign w:val="bottom"/>
          </w:tcPr>
          <w:p>
            <w:pPr>
              <w:ind w:left="760"/>
              <w:spacing w:after="0" w:line="176" w:lineRule="exact"/>
              <w:rPr>
                <w:sz w:val="20"/>
                <w:szCs w:val="20"/>
                <w:color w:val="auto"/>
              </w:rPr>
            </w:pPr>
            <w:r>
              <w:rPr>
                <w:rFonts w:ascii="Arial" w:cs="Arial" w:eastAsia="Arial" w:hAnsi="Arial"/>
                <w:sz w:val="18"/>
                <w:szCs w:val="18"/>
                <w:color w:val="auto"/>
                <w:w w:val="91"/>
              </w:rPr>
              <w:t>Energy Transfer Series G Fixed-Rate Reset Cumulative Redeemable Perpetual Preferred</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340" w:type="dxa"/>
            <w:vAlign w:val="bottom"/>
            <w:gridSpan w:val="2"/>
          </w:tcPr>
          <w:p>
            <w:pPr>
              <w:ind w:left="760"/>
              <w:spacing w:after="0"/>
              <w:rPr>
                <w:sz w:val="20"/>
                <w:szCs w:val="20"/>
                <w:color w:val="auto"/>
              </w:rPr>
            </w:pPr>
            <w:r>
              <w:rPr>
                <w:rFonts w:ascii="Arial" w:cs="Arial" w:eastAsia="Arial" w:hAnsi="Arial"/>
                <w:sz w:val="18"/>
                <w:szCs w:val="18"/>
                <w:color w:val="auto"/>
              </w:rPr>
              <w:t>Units</w:t>
            </w: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Environmental Protection Agency</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6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Equity Purchase Agreement</w:t>
            </w:r>
          </w:p>
        </w:tc>
        <w:tc>
          <w:tcPr>
            <w:tcW w:w="7320" w:type="dxa"/>
            <w:vAlign w:val="bottom"/>
          </w:tcPr>
          <w:p>
            <w:pPr>
              <w:ind w:left="760"/>
              <w:spacing w:after="0" w:line="176" w:lineRule="exact"/>
              <w:rPr>
                <w:sz w:val="20"/>
                <w:szCs w:val="20"/>
                <w:color w:val="auto"/>
              </w:rPr>
            </w:pPr>
            <w:r>
              <w:rPr>
                <w:rFonts w:ascii="Arial" w:cs="Arial" w:eastAsia="Arial" w:hAnsi="Arial"/>
                <w:sz w:val="18"/>
                <w:szCs w:val="18"/>
                <w:color w:val="auto"/>
                <w:w w:val="91"/>
              </w:rPr>
              <w:t>Equity Purchase Agreement, dated as of February 24, 2020, by and between CERC Corp.</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7340" w:type="dxa"/>
            <w:vAlign w:val="bottom"/>
            <w:gridSpan w:val="2"/>
          </w:tcPr>
          <w:p>
            <w:pPr>
              <w:ind w:left="760"/>
              <w:spacing w:after="0" w:line="176" w:lineRule="exact"/>
              <w:rPr>
                <w:sz w:val="20"/>
                <w:szCs w:val="20"/>
                <w:color w:val="auto"/>
              </w:rPr>
            </w:pPr>
            <w:r>
              <w:rPr>
                <w:rFonts w:ascii="Arial" w:cs="Arial" w:eastAsia="Arial" w:hAnsi="Arial"/>
                <w:sz w:val="18"/>
                <w:szCs w:val="18"/>
                <w:color w:val="auto"/>
                <w:w w:val="94"/>
              </w:rPr>
              <w:t>and Symmetry Energy Solutions Acquisition, LLC (f/k/a Athena Energy Services Buyer,</w:t>
            </w:r>
          </w:p>
        </w:tc>
      </w:tr>
      <w:tr>
        <w:trPr>
          <w:trHeight w:val="230"/>
        </w:trPr>
        <w:tc>
          <w:tcPr>
            <w:tcW w:w="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340" w:type="dxa"/>
            <w:vAlign w:val="bottom"/>
            <w:gridSpan w:val="2"/>
          </w:tcPr>
          <w:p>
            <w:pPr>
              <w:ind w:left="760"/>
              <w:spacing w:after="0"/>
              <w:rPr>
                <w:sz w:val="20"/>
                <w:szCs w:val="20"/>
                <w:color w:val="auto"/>
              </w:rPr>
            </w:pPr>
            <w:r>
              <w:rPr>
                <w:rFonts w:ascii="Arial" w:cs="Arial" w:eastAsia="Arial" w:hAnsi="Arial"/>
                <w:sz w:val="18"/>
                <w:szCs w:val="18"/>
                <w:color w:val="auto"/>
              </w:rPr>
              <w:t>LLC)</w:t>
            </w: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Electric Reliability Council of Texas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ESG</w:t>
            </w:r>
          </w:p>
        </w:tc>
        <w:tc>
          <w:tcPr>
            <w:tcW w:w="7320" w:type="dxa"/>
            <w:vAlign w:val="bottom"/>
          </w:tcPr>
          <w:p>
            <w:pPr>
              <w:ind w:left="760"/>
              <w:spacing w:after="0"/>
              <w:rPr>
                <w:sz w:val="20"/>
                <w:szCs w:val="20"/>
                <w:color w:val="auto"/>
              </w:rPr>
            </w:pPr>
            <w:r>
              <w:rPr>
                <w:rFonts w:ascii="Arial" w:cs="Arial" w:eastAsia="Arial" w:hAnsi="Arial"/>
                <w:sz w:val="18"/>
                <w:szCs w:val="18"/>
                <w:color w:val="auto"/>
              </w:rPr>
              <w:t>Energy Systems Group, LLC, a wholly-owned subsidiary of Vectren</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February 2021 Winter Storm Event</w:t>
            </w:r>
          </w:p>
        </w:tc>
        <w:tc>
          <w:tcPr>
            <w:tcW w:w="732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w w:val="94"/>
              </w:rPr>
              <w:t>The extreme and unprecedented winter weather event in February 2021 (Winter Storm</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732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w w:val="95"/>
              </w:rPr>
              <w:t>Uri) resulting in electricity generation supply shortages, including in Texas, and natural</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732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w w:val="92"/>
              </w:rPr>
              <w:t>gas supply shortages and increased wholesale prices of natural gas in the United States,</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primarily due to prolonged freezing temperatures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20" w:type="dxa"/>
            <w:vAlign w:val="bottom"/>
          </w:tcPr>
          <w:p>
            <w:pPr>
              <w:ind w:left="760"/>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Fitch Ratings, Inc.</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20" w:type="dxa"/>
            <w:vAlign w:val="bottom"/>
          </w:tcPr>
          <w:p>
            <w:pPr>
              <w:ind w:left="760"/>
              <w:spacing w:after="0"/>
              <w:rPr>
                <w:sz w:val="20"/>
                <w:szCs w:val="20"/>
                <w:color w:val="auto"/>
              </w:rPr>
            </w:pPr>
            <w:r>
              <w:rPr>
                <w:rFonts w:ascii="Arial" w:cs="Arial" w:eastAsia="Arial" w:hAnsi="Arial"/>
                <w:sz w:val="18"/>
                <w:szCs w:val="18"/>
                <w:color w:val="auto"/>
              </w:rPr>
              <w:t>Quarterly Report on Form 10-Q</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FRP</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Formula Rate Plan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20" w:type="dxa"/>
            <w:vAlign w:val="bottom"/>
          </w:tcPr>
          <w:p>
            <w:pPr>
              <w:ind w:left="760"/>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Gas Reliability Infrastructure Program</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GSR</w:t>
            </w:r>
          </w:p>
        </w:tc>
        <w:tc>
          <w:tcPr>
            <w:tcW w:w="7320" w:type="dxa"/>
            <w:vAlign w:val="bottom"/>
          </w:tcPr>
          <w:p>
            <w:pPr>
              <w:ind w:left="760"/>
              <w:spacing w:after="0"/>
              <w:rPr>
                <w:sz w:val="20"/>
                <w:szCs w:val="20"/>
                <w:color w:val="auto"/>
              </w:rPr>
            </w:pPr>
            <w:r>
              <w:rPr>
                <w:rFonts w:ascii="Arial" w:cs="Arial" w:eastAsia="Arial" w:hAnsi="Arial"/>
                <w:sz w:val="18"/>
                <w:szCs w:val="18"/>
                <w:color w:val="auto"/>
              </w:rPr>
              <w:t>Gas Supply Rate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Gigawatt-hours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20" w:type="dxa"/>
            <w:vAlign w:val="bottom"/>
          </w:tcPr>
          <w:p>
            <w:pPr>
              <w:ind w:left="760"/>
              <w:spacing w:after="0"/>
              <w:rPr>
                <w:sz w:val="20"/>
                <w:szCs w:val="20"/>
                <w:color w:val="auto"/>
              </w:rPr>
            </w:pPr>
            <w:r>
              <w:rPr>
                <w:rFonts w:ascii="Arial" w:cs="Arial" w:eastAsia="Arial" w:hAnsi="Arial"/>
                <w:sz w:val="18"/>
                <w:szCs w:val="18"/>
                <w:color w:val="auto"/>
              </w:rPr>
              <w:t>CenterPoint Energy Houston Electric, LLC and its subsidiaries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Indiana Department of Environmental Management</w:t>
            </w:r>
          </w:p>
        </w:tc>
        <w:tc>
          <w:tcPr>
            <w:tcW w:w="20" w:type="dxa"/>
            <w:vAlign w:val="bottom"/>
          </w:tcPr>
          <w:p>
            <w:pPr>
              <w:spacing w:after="0"/>
              <w:rPr>
                <w:sz w:val="19"/>
                <w:szCs w:val="19"/>
                <w:color w:val="auto"/>
              </w:rPr>
            </w:pPr>
          </w:p>
        </w:tc>
      </w:tr>
      <w:tr>
        <w:trPr>
          <w:trHeight w:val="729"/>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340" w:type="dxa"/>
            <w:vAlign w:val="bottom"/>
            <w:gridSpan w:val="2"/>
          </w:tcPr>
          <w:p>
            <w:pPr>
              <w:ind w:left="1640"/>
              <w:spacing w:after="0"/>
              <w:rPr>
                <w:sz w:val="20"/>
                <w:szCs w:val="20"/>
                <w:color w:val="auto"/>
              </w:rPr>
            </w:pPr>
            <w:r>
              <w:rPr>
                <w:rFonts w:ascii="Arial" w:cs="Arial" w:eastAsia="Arial" w:hAnsi="Arial"/>
                <w:sz w:val="18"/>
                <w:szCs w:val="18"/>
                <w:color w:val="auto"/>
              </w:rPr>
              <w:t>iii</w:t>
            </w:r>
          </w:p>
        </w:tc>
      </w:tr>
      <w:tr>
        <w:trPr>
          <w:trHeight w:val="115"/>
        </w:trPr>
        <w:tc>
          <w:tcPr>
            <w:tcW w:w="4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7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1280"/>
              <w:spacing w:after="0"/>
              <w:rPr>
                <w:sz w:val="20"/>
                <w:szCs w:val="20"/>
                <w:color w:val="auto"/>
              </w:rPr>
            </w:pPr>
            <w:r>
              <w:rPr>
                <w:rFonts w:ascii="Arial" w:cs="Arial" w:eastAsia="Arial" w:hAnsi="Arial"/>
                <w:sz w:val="18"/>
                <w:szCs w:val="18"/>
                <w:b w:val="1"/>
                <w:bCs w:val="1"/>
                <w:i w:val="1"/>
                <w:iCs w:val="1"/>
                <w:color w:val="auto"/>
              </w:rPr>
              <w:t>GLOSSARY</w:t>
            </w:r>
          </w:p>
        </w:tc>
      </w:tr>
      <w:tr>
        <w:trPr>
          <w:trHeight w:val="169"/>
        </w:trPr>
        <w:tc>
          <w:tcPr>
            <w:tcW w:w="40" w:type="dxa"/>
            <w:vAlign w:val="bottom"/>
          </w:tcPr>
          <w:p>
            <w:pPr>
              <w:spacing w:after="0"/>
              <w:rPr>
                <w:sz w:val="14"/>
                <w:szCs w:val="14"/>
                <w:color w:val="auto"/>
              </w:rPr>
            </w:pPr>
          </w:p>
        </w:tc>
        <w:tc>
          <w:tcPr>
            <w:tcW w:w="38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i w:val="1"/>
                <w:iCs w:val="1"/>
                <w:color w:val="auto"/>
              </w:rPr>
              <w:t>Indiana Electric</w:t>
            </w:r>
          </w:p>
        </w:tc>
        <w:tc>
          <w:tcPr>
            <w:tcW w:w="7340" w:type="dxa"/>
            <w:vAlign w:val="bottom"/>
            <w:tcBorders>
              <w:top w:val="single" w:sz="8" w:color="auto"/>
            </w:tcBorders>
          </w:tcPr>
          <w:p>
            <w:pPr>
              <w:ind w:left="780"/>
              <w:spacing w:after="0" w:line="169" w:lineRule="exact"/>
              <w:rPr>
                <w:sz w:val="20"/>
                <w:szCs w:val="20"/>
                <w:color w:val="auto"/>
              </w:rPr>
            </w:pPr>
            <w:r>
              <w:rPr>
                <w:rFonts w:ascii="Arial" w:cs="Arial" w:eastAsia="Arial" w:hAnsi="Arial"/>
                <w:sz w:val="18"/>
                <w:szCs w:val="18"/>
                <w:color w:val="auto"/>
                <w:w w:val="93"/>
              </w:rPr>
              <w:t>Operations of SIGECO’s electric transmission and distribution services, and includes its</w:t>
            </w:r>
          </w:p>
        </w:tc>
        <w:tc>
          <w:tcPr>
            <w:tcW w:w="20" w:type="dxa"/>
            <w:vAlign w:val="bottom"/>
          </w:tcPr>
          <w:p>
            <w:pPr>
              <w:spacing w:after="0"/>
              <w:rPr>
                <w:sz w:val="14"/>
                <w:szCs w:val="14"/>
                <w:color w:val="auto"/>
              </w:rPr>
            </w:pPr>
          </w:p>
        </w:tc>
      </w:tr>
      <w:tr>
        <w:trPr>
          <w:trHeight w:val="229"/>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power generating and wholesale power operations</w:t>
            </w: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Gas</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Indiana Gas Company, Inc., a wholly-owned subsidiary of Vectren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40" w:type="dxa"/>
            <w:vAlign w:val="bottom"/>
          </w:tcPr>
          <w:p>
            <w:pPr>
              <w:ind w:left="780"/>
              <w:spacing w:after="0"/>
              <w:rPr>
                <w:sz w:val="20"/>
                <w:szCs w:val="20"/>
                <w:color w:val="auto"/>
              </w:rPr>
            </w:pPr>
            <w:r>
              <w:rPr>
                <w:rFonts w:ascii="Arial" w:cs="Arial" w:eastAsia="Arial" w:hAnsi="Arial"/>
                <w:sz w:val="18"/>
                <w:szCs w:val="18"/>
                <w:color w:val="auto"/>
              </w:rPr>
              <w:t>Gas operations of Indiana Gas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Gas operations of SIGECO</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40" w:type="dxa"/>
            <w:vAlign w:val="bottom"/>
          </w:tcPr>
          <w:p>
            <w:pPr>
              <w:ind w:left="780"/>
              <w:spacing w:after="0"/>
              <w:rPr>
                <w:sz w:val="20"/>
                <w:szCs w:val="20"/>
                <w:color w:val="auto"/>
              </w:rPr>
            </w:pPr>
            <w:r>
              <w:rPr>
                <w:rFonts w:ascii="Arial" w:cs="Arial" w:eastAsia="Arial" w:hAnsi="Arial"/>
                <w:sz w:val="18"/>
                <w:szCs w:val="18"/>
                <w:color w:val="auto"/>
              </w:rPr>
              <w:t>The combination of Indiana Electric, Indiana North and Indiana South</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Infrastructure Services</w:t>
            </w: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Provided underground pipeline construction and repair services through VISCO and its</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wholly-owned subsidiaries, Miller Pipeline, LLC and Minnesota Limited, LLC</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Infrastructure Services Disposal Group</w:t>
            </w:r>
          </w:p>
        </w:tc>
        <w:tc>
          <w:tcPr>
            <w:tcW w:w="7340" w:type="dxa"/>
            <w:vAlign w:val="bottom"/>
          </w:tcPr>
          <w:p>
            <w:pPr>
              <w:ind w:left="780"/>
              <w:spacing w:after="0" w:line="176" w:lineRule="exact"/>
              <w:rPr>
                <w:sz w:val="20"/>
                <w:szCs w:val="20"/>
                <w:color w:val="auto"/>
              </w:rPr>
            </w:pPr>
            <w:r>
              <w:rPr>
                <w:rFonts w:ascii="Arial" w:cs="Arial" w:eastAsia="Arial" w:hAnsi="Arial"/>
                <w:sz w:val="18"/>
                <w:szCs w:val="18"/>
                <w:color w:val="auto"/>
                <w:w w:val="98"/>
              </w:rPr>
              <w:t>Businesses within the Infrastructure Services reporting unit that were sold under the</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Securities Purchase Agreement</w:t>
            </w: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40" w:type="dxa"/>
            <w:vAlign w:val="bottom"/>
          </w:tcPr>
          <w:p>
            <w:pPr>
              <w:ind w:left="780"/>
              <w:spacing w:after="0"/>
              <w:rPr>
                <w:sz w:val="20"/>
                <w:szCs w:val="20"/>
                <w:color w:val="auto"/>
              </w:rPr>
            </w:pPr>
            <w:r>
              <w:rPr>
                <w:rFonts w:ascii="Arial" w:cs="Arial" w:eastAsia="Arial" w:hAnsi="Arial"/>
                <w:sz w:val="18"/>
                <w:szCs w:val="18"/>
                <w:color w:val="auto"/>
              </w:rPr>
              <w:t>Integrated Resource Plan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Internal Revenue Service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340" w:type="dxa"/>
            <w:vAlign w:val="bottom"/>
          </w:tcPr>
          <w:p>
            <w:pPr>
              <w:ind w:left="780"/>
              <w:spacing w:after="0"/>
              <w:rPr>
                <w:sz w:val="20"/>
                <w:szCs w:val="20"/>
                <w:color w:val="auto"/>
              </w:rPr>
            </w:pPr>
            <w:r>
              <w:rPr>
                <w:rFonts w:ascii="Arial" w:cs="Arial" w:eastAsia="Arial" w:hAnsi="Arial"/>
                <w:sz w:val="18"/>
                <w:szCs w:val="18"/>
                <w:color w:val="auto"/>
              </w:rPr>
              <w:t>Indiana Utility Regulatory Commission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kV</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Kilovolt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340" w:type="dxa"/>
            <w:vAlign w:val="bottom"/>
          </w:tcPr>
          <w:p>
            <w:pPr>
              <w:ind w:left="780"/>
              <w:spacing w:after="0"/>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LNG</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Liquefied Natural Gas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LPSC</w:t>
            </w:r>
          </w:p>
        </w:tc>
        <w:tc>
          <w:tcPr>
            <w:tcW w:w="7340" w:type="dxa"/>
            <w:vAlign w:val="bottom"/>
          </w:tcPr>
          <w:p>
            <w:pPr>
              <w:ind w:left="780"/>
              <w:spacing w:after="0"/>
              <w:rPr>
                <w:sz w:val="20"/>
                <w:szCs w:val="20"/>
                <w:color w:val="auto"/>
              </w:rPr>
            </w:pPr>
            <w:r>
              <w:rPr>
                <w:rFonts w:ascii="Arial" w:cs="Arial" w:eastAsia="Arial" w:hAnsi="Arial"/>
                <w:sz w:val="18"/>
                <w:szCs w:val="18"/>
                <w:color w:val="auto"/>
              </w:rPr>
              <w:t>Louisiana Public Service Commission</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Merger</w:t>
            </w: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The merger of Merger Sub with and into Vectren on the terms and subject to the</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5"/>
              </w:rPr>
              <w:t>conditions set forth in the Merger Agreement, with Vectren continuing as the surviving</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corporation and as a wholly-owned subsidiary of CenterPoint Energy, Inc.</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Merger Agreement</w:t>
            </w:r>
          </w:p>
        </w:tc>
        <w:tc>
          <w:tcPr>
            <w:tcW w:w="7340" w:type="dxa"/>
            <w:vAlign w:val="bottom"/>
          </w:tcPr>
          <w:p>
            <w:pPr>
              <w:ind w:left="780"/>
              <w:spacing w:after="0" w:line="176" w:lineRule="exact"/>
              <w:rPr>
                <w:sz w:val="20"/>
                <w:szCs w:val="20"/>
                <w:color w:val="auto"/>
              </w:rPr>
            </w:pPr>
            <w:r>
              <w:rPr>
                <w:rFonts w:ascii="Arial" w:cs="Arial" w:eastAsia="Arial" w:hAnsi="Arial"/>
                <w:sz w:val="18"/>
                <w:szCs w:val="18"/>
                <w:color w:val="auto"/>
                <w:w w:val="94"/>
              </w:rPr>
              <w:t>Agreement and Plan of Merger, dated as of April 21, 2018, among CenterPoint Energy,</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Vectren and Merger Sub</w:t>
            </w:r>
          </w:p>
        </w:tc>
      </w:tr>
      <w:tr>
        <w:trPr>
          <w:trHeight w:val="176"/>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Merger Sub</w:t>
            </w: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Pacer Merger Sub, Inc., an Indiana corporation and wholly-owned subsidiary of</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CenterPoint Energy</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MES</w:t>
            </w:r>
          </w:p>
        </w:tc>
        <w:tc>
          <w:tcPr>
            <w:tcW w:w="7340" w:type="dxa"/>
            <w:vAlign w:val="bottom"/>
          </w:tcPr>
          <w:p>
            <w:pPr>
              <w:ind w:left="780"/>
              <w:spacing w:after="0" w:line="176" w:lineRule="exact"/>
              <w:rPr>
                <w:sz w:val="20"/>
                <w:szCs w:val="20"/>
                <w:color w:val="auto"/>
              </w:rPr>
            </w:pPr>
            <w:r>
              <w:rPr>
                <w:rFonts w:ascii="Arial" w:cs="Arial" w:eastAsia="Arial" w:hAnsi="Arial"/>
                <w:sz w:val="18"/>
                <w:szCs w:val="18"/>
                <w:color w:val="auto"/>
                <w:w w:val="94"/>
              </w:rPr>
              <w:t>CenterPoint Energy Mobile Energy Solutions, Inc., a wholly-owned subsidiary of CERC</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Corp.</w:t>
            </w: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Manufactured gas plant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MLP</w:t>
            </w:r>
          </w:p>
        </w:tc>
        <w:tc>
          <w:tcPr>
            <w:tcW w:w="7340" w:type="dxa"/>
            <w:vAlign w:val="bottom"/>
          </w:tcPr>
          <w:p>
            <w:pPr>
              <w:ind w:left="780"/>
              <w:spacing w:after="0"/>
              <w:rPr>
                <w:sz w:val="20"/>
                <w:szCs w:val="20"/>
                <w:color w:val="auto"/>
              </w:rPr>
            </w:pPr>
            <w:r>
              <w:rPr>
                <w:rFonts w:ascii="Arial" w:cs="Arial" w:eastAsia="Arial" w:hAnsi="Arial"/>
                <w:sz w:val="18"/>
                <w:szCs w:val="18"/>
                <w:color w:val="auto"/>
              </w:rPr>
              <w:t>Master Limited Partnership</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MPSC</w:t>
            </w:r>
          </w:p>
        </w:tc>
        <w:tc>
          <w:tcPr>
            <w:tcW w:w="7340" w:type="dxa"/>
            <w:vAlign w:val="bottom"/>
          </w:tcPr>
          <w:p>
            <w:pPr>
              <w:ind w:left="780"/>
              <w:spacing w:after="0"/>
              <w:rPr>
                <w:sz w:val="20"/>
                <w:szCs w:val="20"/>
                <w:color w:val="auto"/>
              </w:rPr>
            </w:pPr>
            <w:r>
              <w:rPr>
                <w:rFonts w:ascii="Arial" w:cs="Arial" w:eastAsia="Arial" w:hAnsi="Arial"/>
                <w:sz w:val="18"/>
                <w:szCs w:val="18"/>
                <w:color w:val="auto"/>
              </w:rPr>
              <w:t>Mississippi Public Service Commission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340" w:type="dxa"/>
            <w:vAlign w:val="bottom"/>
          </w:tcPr>
          <w:p>
            <w:pPr>
              <w:ind w:left="780"/>
              <w:spacing w:after="0"/>
              <w:rPr>
                <w:sz w:val="20"/>
                <w:szCs w:val="20"/>
                <w:color w:val="auto"/>
              </w:rPr>
            </w:pPr>
            <w:r>
              <w:rPr>
                <w:rFonts w:ascii="Arial" w:cs="Arial" w:eastAsia="Arial" w:hAnsi="Arial"/>
                <w:sz w:val="18"/>
                <w:szCs w:val="18"/>
                <w:color w:val="auto"/>
              </w:rPr>
              <w:t>Megawatts</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NERC</w:t>
            </w:r>
          </w:p>
        </w:tc>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North American Electric Reliability Corporation</w:t>
            </w: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NGLs</w:t>
            </w:r>
          </w:p>
        </w:tc>
        <w:tc>
          <w:tcPr>
            <w:tcW w:w="7340" w:type="dxa"/>
            <w:vAlign w:val="bottom"/>
          </w:tcPr>
          <w:p>
            <w:pPr>
              <w:ind w:left="780"/>
              <w:spacing w:after="0"/>
              <w:rPr>
                <w:sz w:val="20"/>
                <w:szCs w:val="20"/>
                <w:color w:val="auto"/>
              </w:rPr>
            </w:pPr>
            <w:r>
              <w:rPr>
                <w:rFonts w:ascii="Arial" w:cs="Arial" w:eastAsia="Arial" w:hAnsi="Arial"/>
                <w:sz w:val="18"/>
                <w:szCs w:val="18"/>
                <w:color w:val="auto"/>
              </w:rPr>
              <w:t>Natural gas liquids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NOLs</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operating losses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340" w:type="dxa"/>
            <w:vAlign w:val="bottom"/>
          </w:tcPr>
          <w:p>
            <w:pPr>
              <w:ind w:left="780"/>
              <w:spacing w:after="0"/>
              <w:rPr>
                <w:sz w:val="20"/>
                <w:szCs w:val="20"/>
                <w:color w:val="auto"/>
              </w:rPr>
            </w:pPr>
            <w:r>
              <w:rPr>
                <w:rFonts w:ascii="Arial" w:cs="Arial" w:eastAsia="Arial" w:hAnsi="Arial"/>
                <w:sz w:val="18"/>
                <w:szCs w:val="18"/>
                <w:color w:val="auto"/>
              </w:rPr>
              <w:t>NRG Energy, Inc.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OCC</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Oklahoma Corporation Commission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OGE</w:t>
            </w:r>
          </w:p>
        </w:tc>
        <w:tc>
          <w:tcPr>
            <w:tcW w:w="7340" w:type="dxa"/>
            <w:vAlign w:val="bottom"/>
          </w:tcPr>
          <w:p>
            <w:pPr>
              <w:ind w:left="780"/>
              <w:spacing w:after="0"/>
              <w:rPr>
                <w:sz w:val="20"/>
                <w:szCs w:val="20"/>
                <w:color w:val="auto"/>
              </w:rPr>
            </w:pPr>
            <w:r>
              <w:rPr>
                <w:rFonts w:ascii="Arial" w:cs="Arial" w:eastAsia="Arial" w:hAnsi="Arial"/>
                <w:sz w:val="18"/>
                <w:szCs w:val="18"/>
                <w:color w:val="auto"/>
              </w:rPr>
              <w:t>OGE Energy Corp.</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PBRC</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Performance Based Rate Change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Posey Solar</w:t>
            </w:r>
          </w:p>
        </w:tc>
        <w:tc>
          <w:tcPr>
            <w:tcW w:w="7340" w:type="dxa"/>
            <w:vAlign w:val="bottom"/>
          </w:tcPr>
          <w:p>
            <w:pPr>
              <w:ind w:left="780"/>
              <w:spacing w:after="0"/>
              <w:rPr>
                <w:sz w:val="20"/>
                <w:szCs w:val="20"/>
                <w:color w:val="auto"/>
              </w:rPr>
            </w:pPr>
            <w:r>
              <w:rPr>
                <w:rFonts w:ascii="Arial" w:cs="Arial" w:eastAsia="Arial" w:hAnsi="Arial"/>
                <w:sz w:val="18"/>
                <w:szCs w:val="18"/>
                <w:color w:val="auto"/>
              </w:rPr>
              <w:t>Posey Solar, LLC, a special purpose entity</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PowerTeam Services</w:t>
            </w:r>
          </w:p>
        </w:tc>
        <w:tc>
          <w:tcPr>
            <w:tcW w:w="73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5"/>
              </w:rPr>
              <w:t>PowerTeam Services, LLC, a Delaware limited liability company, now known as Artera</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Services, LLC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PPA</w:t>
            </w:r>
          </w:p>
        </w:tc>
        <w:tc>
          <w:tcPr>
            <w:tcW w:w="7340" w:type="dxa"/>
            <w:vAlign w:val="bottom"/>
          </w:tcPr>
          <w:p>
            <w:pPr>
              <w:ind w:left="780"/>
              <w:spacing w:after="0"/>
              <w:rPr>
                <w:sz w:val="20"/>
                <w:szCs w:val="20"/>
                <w:color w:val="auto"/>
              </w:rPr>
            </w:pPr>
            <w:r>
              <w:rPr>
                <w:rFonts w:ascii="Arial" w:cs="Arial" w:eastAsia="Arial" w:hAnsi="Arial"/>
                <w:sz w:val="18"/>
                <w:szCs w:val="18"/>
                <w:color w:val="auto"/>
              </w:rPr>
              <w:t>Power Purchase Agreement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Potentially responsible parties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340" w:type="dxa"/>
            <w:vAlign w:val="bottom"/>
          </w:tcPr>
          <w:p>
            <w:pPr>
              <w:ind w:left="780"/>
              <w:spacing w:after="0"/>
              <w:rPr>
                <w:sz w:val="20"/>
                <w:szCs w:val="20"/>
                <w:color w:val="auto"/>
              </w:rPr>
            </w:pPr>
            <w:r>
              <w:rPr>
                <w:rFonts w:ascii="Arial" w:cs="Arial" w:eastAsia="Arial" w:hAnsi="Arial"/>
                <w:sz w:val="18"/>
                <w:szCs w:val="18"/>
                <w:color w:val="auto"/>
              </w:rPr>
              <w:t>Public Utilities Commission of Ohio</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Public Utility Commission of Texas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340" w:type="dxa"/>
            <w:vAlign w:val="bottom"/>
          </w:tcPr>
          <w:p>
            <w:pPr>
              <w:ind w:left="780"/>
              <w:spacing w:after="0"/>
              <w:rPr>
                <w:sz w:val="20"/>
                <w:szCs w:val="20"/>
                <w:color w:val="auto"/>
              </w:rPr>
            </w:pPr>
            <w:r>
              <w:rPr>
                <w:rFonts w:ascii="Arial" w:cs="Arial" w:eastAsia="Arial" w:hAnsi="Arial"/>
                <w:sz w:val="18"/>
                <w:szCs w:val="18"/>
                <w:color w:val="auto"/>
              </w:rPr>
              <w:t>Railroad Commission of Texas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Resource Conservation and Recovery Act of 1976</w:t>
            </w:r>
          </w:p>
        </w:tc>
        <w:tc>
          <w:tcPr>
            <w:tcW w:w="20" w:type="dxa"/>
            <w:vAlign w:val="bottom"/>
          </w:tcPr>
          <w:p>
            <w:pPr>
              <w:spacing w:after="0"/>
              <w:rPr>
                <w:sz w:val="19"/>
                <w:szCs w:val="19"/>
                <w:color w:val="auto"/>
              </w:rPr>
            </w:pPr>
          </w:p>
        </w:tc>
      </w:tr>
      <w:tr>
        <w:trPr>
          <w:trHeight w:val="729"/>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360" w:type="dxa"/>
            <w:vAlign w:val="bottom"/>
            <w:gridSpan w:val="2"/>
          </w:tcPr>
          <w:p>
            <w:pPr>
              <w:ind w:left="1680"/>
              <w:spacing w:after="0"/>
              <w:rPr>
                <w:sz w:val="20"/>
                <w:szCs w:val="20"/>
                <w:color w:val="auto"/>
              </w:rPr>
            </w:pPr>
            <w:r>
              <w:rPr>
                <w:rFonts w:ascii="Arial" w:cs="Arial" w:eastAsia="Arial" w:hAnsi="Arial"/>
                <w:sz w:val="18"/>
                <w:szCs w:val="18"/>
                <w:color w:val="auto"/>
              </w:rPr>
              <w:t>iv</w:t>
            </w:r>
          </w:p>
        </w:tc>
      </w:tr>
      <w:tr>
        <w:trPr>
          <w:trHeight w:val="115"/>
        </w:trPr>
        <w:tc>
          <w:tcPr>
            <w:tcW w:w="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7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00" w:type="dxa"/>
            <w:vAlign w:val="bottom"/>
            <w:gridSpan w:val="2"/>
          </w:tcPr>
          <w:p>
            <w:pPr>
              <w:ind w:left="1320"/>
              <w:spacing w:after="0"/>
              <w:rPr>
                <w:sz w:val="20"/>
                <w:szCs w:val="20"/>
                <w:color w:val="auto"/>
              </w:rPr>
            </w:pPr>
            <w:r>
              <w:rPr>
                <w:rFonts w:ascii="Arial" w:cs="Arial" w:eastAsia="Arial" w:hAnsi="Arial"/>
                <w:sz w:val="18"/>
                <w:szCs w:val="18"/>
                <w:b w:val="1"/>
                <w:bCs w:val="1"/>
                <w:i w:val="1"/>
                <w:iCs w:val="1"/>
                <w:color w:val="auto"/>
              </w:rPr>
              <w:t>GLOSSARY</w:t>
            </w:r>
          </w:p>
        </w:tc>
      </w:tr>
      <w:tr>
        <w:trPr>
          <w:trHeight w:val="223"/>
        </w:trPr>
        <w:tc>
          <w:tcPr>
            <w:tcW w:w="40" w:type="dxa"/>
            <w:vAlign w:val="bottom"/>
          </w:tcPr>
          <w:p>
            <w:pPr>
              <w:spacing w:after="0"/>
              <w:rPr>
                <w:sz w:val="19"/>
                <w:szCs w:val="19"/>
                <w:color w:val="auto"/>
              </w:rPr>
            </w:pPr>
          </w:p>
        </w:tc>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38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CenterPoint Energy, Houston Electric and CERC, collectively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Retail electric provider</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Restoration Bond Company</w:t>
            </w:r>
          </w:p>
        </w:tc>
        <w:tc>
          <w:tcPr>
            <w:tcW w:w="7380" w:type="dxa"/>
            <w:vAlign w:val="bottom"/>
          </w:tcPr>
          <w:p>
            <w:pPr>
              <w:ind w:left="820"/>
              <w:spacing w:after="0" w:line="176" w:lineRule="exact"/>
              <w:rPr>
                <w:sz w:val="20"/>
                <w:szCs w:val="20"/>
                <w:color w:val="auto"/>
              </w:rPr>
            </w:pPr>
            <w:r>
              <w:rPr>
                <w:rFonts w:ascii="Arial" w:cs="Arial" w:eastAsia="Arial" w:hAnsi="Arial"/>
                <w:sz w:val="18"/>
                <w:szCs w:val="18"/>
                <w:color w:val="auto"/>
                <w:w w:val="98"/>
              </w:rPr>
              <w:t>CenterPoint Energy Restoration Bond Company, LLC, a wholly-owned subsidiary of</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Houston Electric</w:t>
            </w: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Return on equity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380" w:type="dxa"/>
            <w:vAlign w:val="bottom"/>
          </w:tcPr>
          <w:p>
            <w:pPr>
              <w:ind w:left="820"/>
              <w:spacing w:after="0"/>
              <w:rPr>
                <w:sz w:val="20"/>
                <w:szCs w:val="20"/>
                <w:color w:val="auto"/>
              </w:rPr>
            </w:pPr>
            <w:r>
              <w:rPr>
                <w:rFonts w:ascii="Arial" w:cs="Arial" w:eastAsia="Arial" w:hAnsi="Arial"/>
                <w:sz w:val="18"/>
                <w:szCs w:val="18"/>
                <w:color w:val="auto"/>
              </w:rPr>
              <w:t>Right of use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Rate Regulation Adjustment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380" w:type="dxa"/>
            <w:vAlign w:val="bottom"/>
          </w:tcPr>
          <w:p>
            <w:pPr>
              <w:ind w:left="820"/>
              <w:spacing w:after="0"/>
              <w:rPr>
                <w:sz w:val="20"/>
                <w:szCs w:val="20"/>
                <w:color w:val="auto"/>
              </w:rPr>
            </w:pPr>
            <w:r>
              <w:rPr>
                <w:rFonts w:ascii="Arial" w:cs="Arial" w:eastAsia="Arial" w:hAnsi="Arial"/>
                <w:sz w:val="18"/>
                <w:szCs w:val="18"/>
                <w:color w:val="auto"/>
              </w:rPr>
              <w:t>Rate Stabilization Plan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Securities and Exchange Commission</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Securities Purchase Agreement</w:t>
            </w:r>
          </w:p>
        </w:tc>
        <w:tc>
          <w:tcPr>
            <w:tcW w:w="7380" w:type="dxa"/>
            <w:vAlign w:val="bottom"/>
          </w:tcPr>
          <w:p>
            <w:pPr>
              <w:ind w:left="820"/>
              <w:spacing w:after="0" w:line="176" w:lineRule="exact"/>
              <w:rPr>
                <w:sz w:val="20"/>
                <w:szCs w:val="20"/>
                <w:color w:val="auto"/>
              </w:rPr>
            </w:pPr>
            <w:r>
              <w:rPr>
                <w:rFonts w:ascii="Arial" w:cs="Arial" w:eastAsia="Arial" w:hAnsi="Arial"/>
                <w:sz w:val="18"/>
                <w:szCs w:val="18"/>
                <w:color w:val="auto"/>
                <w:w w:val="95"/>
              </w:rPr>
              <w:t>Securities Purchase Agreement, dated as of February 3, 2020, by and among Vectren</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400" w:type="dxa"/>
            <w:vAlign w:val="bottom"/>
            <w:gridSpan w:val="2"/>
          </w:tcPr>
          <w:p>
            <w:pPr>
              <w:ind w:left="820"/>
              <w:spacing w:after="0" w:line="176" w:lineRule="exact"/>
              <w:rPr>
                <w:sz w:val="20"/>
                <w:szCs w:val="20"/>
                <w:color w:val="auto"/>
              </w:rPr>
            </w:pPr>
            <w:r>
              <w:rPr>
                <w:rFonts w:ascii="Arial" w:cs="Arial" w:eastAsia="Arial" w:hAnsi="Arial"/>
                <w:sz w:val="18"/>
                <w:szCs w:val="18"/>
                <w:color w:val="auto"/>
                <w:w w:val="95"/>
              </w:rPr>
              <w:t>Utility Services, Inc., PowerTeam Services and, solely for purposes of Section 10.17 of</w:t>
            </w:r>
          </w:p>
        </w:tc>
      </w:tr>
      <w:tr>
        <w:trPr>
          <w:trHeight w:val="230"/>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the Securities Purchase Agreement, Vectren</w:t>
            </w: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Transition and system restoration bonds</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Series A Preferred Stock</w:t>
            </w:r>
          </w:p>
        </w:tc>
        <w:tc>
          <w:tcPr>
            <w:tcW w:w="7380" w:type="dxa"/>
            <w:vAlign w:val="bottom"/>
          </w:tcPr>
          <w:p>
            <w:pPr>
              <w:ind w:left="820"/>
              <w:spacing w:after="0" w:line="176" w:lineRule="exact"/>
              <w:rPr>
                <w:sz w:val="20"/>
                <w:szCs w:val="20"/>
                <w:color w:val="auto"/>
              </w:rPr>
            </w:pPr>
            <w:r>
              <w:rPr>
                <w:rFonts w:ascii="Arial" w:cs="Arial" w:eastAsia="Arial" w:hAnsi="Arial"/>
                <w:sz w:val="18"/>
                <w:szCs w:val="18"/>
                <w:color w:val="auto"/>
                <w:w w:val="92"/>
              </w:rPr>
              <w:t>CenterPoint Energy’s Series A Fixed-to-Floating Rate Cumulative Redeemable Perpetual</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400" w:type="dxa"/>
            <w:vAlign w:val="bottom"/>
            <w:gridSpan w:val="2"/>
          </w:tcPr>
          <w:p>
            <w:pPr>
              <w:ind w:left="820"/>
              <w:spacing w:after="0" w:line="176" w:lineRule="exact"/>
              <w:rPr>
                <w:sz w:val="20"/>
                <w:szCs w:val="20"/>
                <w:color w:val="auto"/>
              </w:rPr>
            </w:pPr>
            <w:r>
              <w:rPr>
                <w:rFonts w:ascii="Arial" w:cs="Arial" w:eastAsia="Arial" w:hAnsi="Arial"/>
                <w:sz w:val="18"/>
                <w:szCs w:val="18"/>
                <w:color w:val="auto"/>
                <w:w w:val="95"/>
              </w:rPr>
              <w:t>Preferred Stock, par value $0.01 per share, with a liquidation preference of $1,000 per</w:t>
            </w:r>
          </w:p>
        </w:tc>
      </w:tr>
      <w:tr>
        <w:trPr>
          <w:trHeight w:val="229"/>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share</w:t>
            </w:r>
          </w:p>
        </w:tc>
      </w:tr>
      <w:tr>
        <w:trPr>
          <w:trHeight w:val="176"/>
        </w:trPr>
        <w:tc>
          <w:tcPr>
            <w:tcW w:w="40" w:type="dxa"/>
            <w:vAlign w:val="bottom"/>
          </w:tcPr>
          <w:p>
            <w:pPr>
              <w:spacing w:after="0"/>
              <w:rPr>
                <w:sz w:val="15"/>
                <w:szCs w:val="15"/>
                <w:color w:val="auto"/>
              </w:rPr>
            </w:pPr>
          </w:p>
        </w:tc>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Series B Preferred Stock</w:t>
            </w:r>
          </w:p>
        </w:tc>
        <w:tc>
          <w:tcPr>
            <w:tcW w:w="73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3"/>
              </w:rPr>
              <w:t>CenterPoint Energy’s 7.00% Series B Mandatory Convertible Preferred Stock, par value</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$0.01 per share, with a liquidation preference of $1,000 per share</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Series C Preferred Stock</w:t>
            </w:r>
          </w:p>
        </w:tc>
        <w:tc>
          <w:tcPr>
            <w:tcW w:w="7380" w:type="dxa"/>
            <w:vAlign w:val="bottom"/>
          </w:tcPr>
          <w:p>
            <w:pPr>
              <w:ind w:left="820"/>
              <w:spacing w:after="0" w:line="176" w:lineRule="exact"/>
              <w:rPr>
                <w:sz w:val="20"/>
                <w:szCs w:val="20"/>
                <w:color w:val="auto"/>
              </w:rPr>
            </w:pPr>
            <w:r>
              <w:rPr>
                <w:rFonts w:ascii="Arial" w:cs="Arial" w:eastAsia="Arial" w:hAnsi="Arial"/>
                <w:sz w:val="18"/>
                <w:szCs w:val="18"/>
                <w:color w:val="auto"/>
                <w:w w:val="94"/>
              </w:rPr>
              <w:t>CenterPoint Energy’s Series C Mandatory Convertible Preferred Stock, par value $0.01</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per share, with a liquidation preference of $1,000 per share</w:t>
            </w: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380" w:type="dxa"/>
            <w:vAlign w:val="bottom"/>
          </w:tcPr>
          <w:p>
            <w:pPr>
              <w:ind w:left="820"/>
              <w:spacing w:after="0"/>
              <w:rPr>
                <w:sz w:val="20"/>
                <w:szCs w:val="20"/>
                <w:color w:val="auto"/>
              </w:rPr>
            </w:pPr>
            <w:r>
              <w:rPr>
                <w:rFonts w:ascii="Arial" w:cs="Arial" w:eastAsia="Arial" w:hAnsi="Arial"/>
                <w:sz w:val="18"/>
                <w:szCs w:val="18"/>
                <w:color w:val="auto"/>
              </w:rPr>
              <w:t>S&amp;P Global Ratings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Sales Reconciliation Component</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Symmetry Energy Solutions Acquisition</w:t>
            </w:r>
          </w:p>
        </w:tc>
        <w:tc>
          <w:tcPr>
            <w:tcW w:w="7380" w:type="dxa"/>
            <w:vAlign w:val="bottom"/>
          </w:tcPr>
          <w:p>
            <w:pPr>
              <w:ind w:left="820"/>
              <w:spacing w:after="0" w:line="176" w:lineRule="exact"/>
              <w:rPr>
                <w:sz w:val="20"/>
                <w:szCs w:val="20"/>
                <w:color w:val="auto"/>
              </w:rPr>
            </w:pPr>
            <w:r>
              <w:rPr>
                <w:rFonts w:ascii="Arial" w:cs="Arial" w:eastAsia="Arial" w:hAnsi="Arial"/>
                <w:sz w:val="18"/>
                <w:szCs w:val="18"/>
                <w:color w:val="auto"/>
              </w:rPr>
              <w:t>Symmetry Energy Solutions Acquisition, LLC, a Delaware limited liability company</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400" w:type="dxa"/>
            <w:vAlign w:val="bottom"/>
            <w:gridSpan w:val="2"/>
          </w:tcPr>
          <w:p>
            <w:pPr>
              <w:ind w:left="820"/>
              <w:spacing w:after="0" w:line="176" w:lineRule="exact"/>
              <w:rPr>
                <w:sz w:val="20"/>
                <w:szCs w:val="20"/>
                <w:color w:val="auto"/>
              </w:rPr>
            </w:pPr>
            <w:r>
              <w:rPr>
                <w:rFonts w:ascii="Arial" w:cs="Arial" w:eastAsia="Arial" w:hAnsi="Arial"/>
                <w:sz w:val="18"/>
                <w:szCs w:val="18"/>
                <w:color w:val="auto"/>
                <w:w w:val="96"/>
              </w:rPr>
              <w:t>(f/k/a Athena Energy Services Buyer, LLC) and subsidiary of Energy Capital Partners,</w:t>
            </w:r>
          </w:p>
        </w:tc>
      </w:tr>
      <w:tr>
        <w:trPr>
          <w:trHeight w:val="229"/>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LLC</w:t>
            </w: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 be determined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380" w:type="dxa"/>
            <w:vAlign w:val="bottom"/>
          </w:tcPr>
          <w:p>
            <w:pPr>
              <w:ind w:left="820"/>
              <w:spacing w:after="0"/>
              <w:rPr>
                <w:sz w:val="20"/>
                <w:szCs w:val="20"/>
                <w:color w:val="auto"/>
              </w:rPr>
            </w:pPr>
            <w:r>
              <w:rPr>
                <w:rFonts w:ascii="Arial" w:cs="Arial" w:eastAsia="Arial" w:hAnsi="Arial"/>
                <w:sz w:val="18"/>
                <w:szCs w:val="18"/>
                <w:color w:val="auto"/>
              </w:rPr>
              <w:t>Tax reform legislation informally called the Tax Cuts and Jobs Act of 2017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Transmission Cost of Service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380" w:type="dxa"/>
            <w:vAlign w:val="bottom"/>
          </w:tcPr>
          <w:p>
            <w:pPr>
              <w:ind w:left="820"/>
              <w:spacing w:after="0"/>
              <w:rPr>
                <w:sz w:val="20"/>
                <w:szCs w:val="20"/>
                <w:color w:val="auto"/>
              </w:rPr>
            </w:pPr>
            <w:r>
              <w:rPr>
                <w:rFonts w:ascii="Arial" w:cs="Arial" w:eastAsia="Arial" w:hAnsi="Arial"/>
                <w:sz w:val="18"/>
                <w:szCs w:val="18"/>
                <w:color w:val="auto"/>
              </w:rPr>
              <w:t>Transmission Cost Recovery Factor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Transmission, Distribution and Storage System Improvement Charge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380" w:type="dxa"/>
            <w:vAlign w:val="bottom"/>
          </w:tcPr>
          <w:p>
            <w:pPr>
              <w:ind w:left="820"/>
              <w:spacing w:after="0"/>
              <w:rPr>
                <w:sz w:val="20"/>
                <w:szCs w:val="20"/>
                <w:color w:val="auto"/>
              </w:rPr>
            </w:pPr>
            <w:r>
              <w:rPr>
                <w:rFonts w:ascii="Arial" w:cs="Arial" w:eastAsia="Arial" w:hAnsi="Arial"/>
                <w:sz w:val="18"/>
                <w:szCs w:val="18"/>
                <w:color w:val="auto"/>
              </w:rPr>
              <w:t>Transmission and distribution utility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Tenaska</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Tenaska Wind Holdings, LLC</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Texas RE</w:t>
            </w:r>
          </w:p>
        </w:tc>
        <w:tc>
          <w:tcPr>
            <w:tcW w:w="7380" w:type="dxa"/>
            <w:vAlign w:val="bottom"/>
          </w:tcPr>
          <w:p>
            <w:pPr>
              <w:ind w:left="820"/>
              <w:spacing w:after="0"/>
              <w:rPr>
                <w:sz w:val="20"/>
                <w:szCs w:val="20"/>
                <w:color w:val="auto"/>
              </w:rPr>
            </w:pPr>
            <w:r>
              <w:rPr>
                <w:rFonts w:ascii="Arial" w:cs="Arial" w:eastAsia="Arial" w:hAnsi="Arial"/>
                <w:sz w:val="18"/>
                <w:szCs w:val="18"/>
                <w:color w:val="auto"/>
              </w:rPr>
              <w:t>Texas Reliability Entity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TOB</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Tariffed On Bill</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Utility Holding</w:t>
            </w:r>
          </w:p>
        </w:tc>
        <w:tc>
          <w:tcPr>
            <w:tcW w:w="7380" w:type="dxa"/>
            <w:vAlign w:val="bottom"/>
          </w:tcPr>
          <w:p>
            <w:pPr>
              <w:ind w:left="820"/>
              <w:spacing w:after="0"/>
              <w:rPr>
                <w:sz w:val="20"/>
                <w:szCs w:val="20"/>
                <w:color w:val="auto"/>
              </w:rPr>
            </w:pPr>
            <w:r>
              <w:rPr>
                <w:rFonts w:ascii="Arial" w:cs="Arial" w:eastAsia="Arial" w:hAnsi="Arial"/>
                <w:sz w:val="18"/>
                <w:szCs w:val="18"/>
                <w:color w:val="auto"/>
              </w:rPr>
              <w:t>Utility Holding, LLC, a wholly-owned subsidiary of CenterPoint Energy</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Vectren</w:t>
            </w:r>
          </w:p>
        </w:tc>
        <w:tc>
          <w:tcPr>
            <w:tcW w:w="73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2"/>
              </w:rPr>
              <w:t>Vectren Corporation, a wholly-owned subsidiary of CenterPoint Energy as of February 1,</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VEDO</w:t>
            </w:r>
          </w:p>
        </w:tc>
        <w:tc>
          <w:tcPr>
            <w:tcW w:w="7380" w:type="dxa"/>
            <w:vAlign w:val="bottom"/>
          </w:tcPr>
          <w:p>
            <w:pPr>
              <w:ind w:left="820"/>
              <w:spacing w:after="0"/>
              <w:rPr>
                <w:sz w:val="20"/>
                <w:szCs w:val="20"/>
                <w:color w:val="auto"/>
              </w:rPr>
            </w:pPr>
            <w:r>
              <w:rPr>
                <w:rFonts w:ascii="Arial" w:cs="Arial" w:eastAsia="Arial" w:hAnsi="Arial"/>
                <w:sz w:val="18"/>
                <w:szCs w:val="18"/>
                <w:color w:val="auto"/>
              </w:rPr>
              <w:t>Vectren Energy Delivery of Ohio, Inc., a wholly-owned subsidiary of Vectren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Variable interest entity</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VISCO</w:t>
            </w:r>
          </w:p>
        </w:tc>
        <w:tc>
          <w:tcPr>
            <w:tcW w:w="7380" w:type="dxa"/>
            <w:vAlign w:val="bottom"/>
          </w:tcPr>
          <w:p>
            <w:pPr>
              <w:ind w:left="820"/>
              <w:spacing w:after="0" w:line="176" w:lineRule="exact"/>
              <w:rPr>
                <w:sz w:val="20"/>
                <w:szCs w:val="20"/>
                <w:color w:val="auto"/>
              </w:rPr>
            </w:pPr>
            <w:r>
              <w:rPr>
                <w:rFonts w:ascii="Arial" w:cs="Arial" w:eastAsia="Arial" w:hAnsi="Arial"/>
                <w:sz w:val="18"/>
                <w:szCs w:val="18"/>
                <w:color w:val="auto"/>
                <w:w w:val="99"/>
              </w:rPr>
              <w:t>Vectren Infrastructure Services Corporation, formerly a wholly-owned subsidiary of</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400" w:type="dxa"/>
            <w:vAlign w:val="bottom"/>
            <w:gridSpan w:val="2"/>
          </w:tcPr>
          <w:p>
            <w:pPr>
              <w:ind w:left="820"/>
              <w:spacing w:after="0"/>
              <w:rPr>
                <w:sz w:val="20"/>
                <w:szCs w:val="20"/>
                <w:color w:val="auto"/>
              </w:rPr>
            </w:pPr>
            <w:r>
              <w:rPr>
                <w:rFonts w:ascii="Arial" w:cs="Arial" w:eastAsia="Arial" w:hAnsi="Arial"/>
                <w:sz w:val="18"/>
                <w:szCs w:val="18"/>
                <w:color w:val="auto"/>
              </w:rPr>
              <w:t>Vectren</w:t>
            </w:r>
          </w:p>
        </w:tc>
      </w:tr>
      <w:tr>
        <w:trPr>
          <w:trHeight w:val="175"/>
        </w:trPr>
        <w:tc>
          <w:tcPr>
            <w:tcW w:w="40" w:type="dxa"/>
            <w:vAlign w:val="bottom"/>
          </w:tcPr>
          <w:p>
            <w:pPr>
              <w:spacing w:after="0"/>
              <w:rPr>
                <w:sz w:val="15"/>
                <w:szCs w:val="15"/>
                <w:color w:val="auto"/>
              </w:rPr>
            </w:pPr>
          </w:p>
        </w:tc>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Vistra Energy Corp.</w:t>
            </w:r>
          </w:p>
        </w:tc>
        <w:tc>
          <w:tcPr>
            <w:tcW w:w="73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3"/>
              </w:rPr>
              <w:t>Texas-based energy company focused on the competitive energy and power generation</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markets, whose major subsidiaries include Luminant and TXU Energy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380" w:type="dxa"/>
            <w:vAlign w:val="bottom"/>
          </w:tcPr>
          <w:p>
            <w:pPr>
              <w:ind w:left="820"/>
              <w:spacing w:after="0"/>
              <w:rPr>
                <w:sz w:val="20"/>
                <w:szCs w:val="20"/>
                <w:color w:val="auto"/>
              </w:rPr>
            </w:pPr>
            <w:r>
              <w:rPr>
                <w:rFonts w:ascii="Arial" w:cs="Arial" w:eastAsia="Arial" w:hAnsi="Arial"/>
                <w:sz w:val="18"/>
                <w:szCs w:val="18"/>
                <w:color w:val="auto"/>
              </w:rPr>
              <w:t>Voluntary Remediation Program</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VUHI</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Vectren Utility Holdings, Inc., a wholly-owned subsidiary of Vectren</w:t>
            </w:r>
          </w:p>
        </w:tc>
        <w:tc>
          <w:tcPr>
            <w:tcW w:w="20" w:type="dxa"/>
            <w:vAlign w:val="bottom"/>
          </w:tcPr>
          <w:p>
            <w:pPr>
              <w:spacing w:after="0"/>
              <w:rPr>
                <w:sz w:val="19"/>
                <w:szCs w:val="19"/>
                <w:color w:val="auto"/>
              </w:rPr>
            </w:pPr>
          </w:p>
        </w:tc>
      </w:tr>
      <w:tr>
        <w:trPr>
          <w:trHeight w:val="729"/>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400" w:type="dxa"/>
            <w:vAlign w:val="bottom"/>
            <w:gridSpan w:val="2"/>
          </w:tcPr>
          <w:p>
            <w:pPr>
              <w:ind w:left="1740"/>
              <w:spacing w:after="0"/>
              <w:rPr>
                <w:sz w:val="20"/>
                <w:szCs w:val="20"/>
                <w:color w:val="auto"/>
              </w:rPr>
            </w:pPr>
            <w:r>
              <w:rPr>
                <w:rFonts w:ascii="Arial" w:cs="Arial" w:eastAsia="Arial" w:hAnsi="Arial"/>
                <w:sz w:val="18"/>
                <w:szCs w:val="18"/>
                <w:color w:val="auto"/>
              </w:rPr>
              <w:t>v</w:t>
            </w:r>
          </w:p>
        </w:tc>
      </w:tr>
      <w:tr>
        <w:trPr>
          <w:trHeight w:val="115"/>
        </w:trPr>
        <w:tc>
          <w:tcPr>
            <w:tcW w:w="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7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960" w:type="dxa"/>
            <w:vAlign w:val="bottom"/>
            <w:gridSpan w:val="2"/>
          </w:tcPr>
          <w:p>
            <w:pPr>
              <w:ind w:left="1880"/>
              <w:spacing w:after="0"/>
              <w:rPr>
                <w:sz w:val="20"/>
                <w:szCs w:val="20"/>
                <w:color w:val="auto"/>
              </w:rPr>
            </w:pPr>
            <w:r>
              <w:rPr>
                <w:rFonts w:ascii="Arial" w:cs="Arial" w:eastAsia="Arial" w:hAnsi="Arial"/>
                <w:sz w:val="18"/>
                <w:szCs w:val="18"/>
                <w:b w:val="1"/>
                <w:bCs w:val="1"/>
                <w:i w:val="1"/>
                <w:iCs w:val="1"/>
                <w:color w:val="auto"/>
              </w:rPr>
              <w:t>GLOSSARY</w:t>
            </w:r>
          </w:p>
        </w:tc>
      </w:tr>
      <w:tr>
        <w:trPr>
          <w:trHeight w:val="223"/>
        </w:trPr>
        <w:tc>
          <w:tcPr>
            <w:tcW w:w="40" w:type="dxa"/>
            <w:vAlign w:val="bottom"/>
          </w:tcPr>
          <w:p>
            <w:pPr>
              <w:spacing w:after="0"/>
              <w:rPr>
                <w:sz w:val="19"/>
                <w:szCs w:val="19"/>
                <w:color w:val="auto"/>
              </w:rPr>
            </w:pPr>
          </w:p>
        </w:tc>
        <w:tc>
          <w:tcPr>
            <w:tcW w:w="3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94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2.0% Zero-Premium Exchangeable Subordinated Notes due 2029</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i w:val="1"/>
                <w:iCs w:val="1"/>
                <w:color w:val="auto"/>
              </w:rPr>
              <w:t>ZENS-Related Securities</w:t>
            </w:r>
          </w:p>
        </w:tc>
        <w:tc>
          <w:tcPr>
            <w:tcW w:w="7940" w:type="dxa"/>
            <w:vAlign w:val="bottom"/>
            <w:shd w:val="clear" w:color="auto" w:fill="CCEEFF"/>
          </w:tcPr>
          <w:p>
            <w:pPr>
              <w:ind w:left="1380"/>
              <w:spacing w:after="0" w:line="176" w:lineRule="exact"/>
              <w:rPr>
                <w:sz w:val="20"/>
                <w:szCs w:val="20"/>
                <w:color w:val="auto"/>
              </w:rPr>
            </w:pPr>
            <w:r>
              <w:rPr>
                <w:rFonts w:ascii="Arial" w:cs="Arial" w:eastAsia="Arial" w:hAnsi="Arial"/>
                <w:sz w:val="18"/>
                <w:szCs w:val="18"/>
                <w:color w:val="auto"/>
                <w:w w:val="96"/>
              </w:rPr>
              <w:t>As of both March 31, 2021 and December 31, 2020, consisted of AT&amp;T Common and</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Charter Common</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2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rPr>
              <w:t>2020 Form 10-K</w:t>
            </w:r>
          </w:p>
        </w:tc>
        <w:tc>
          <w:tcPr>
            <w:tcW w:w="7940" w:type="dxa"/>
            <w:vAlign w:val="bottom"/>
          </w:tcPr>
          <w:p>
            <w:pPr>
              <w:ind w:left="1380"/>
              <w:spacing w:after="0" w:line="176" w:lineRule="exact"/>
              <w:rPr>
                <w:sz w:val="20"/>
                <w:szCs w:val="20"/>
                <w:color w:val="auto"/>
              </w:rPr>
            </w:pPr>
            <w:r>
              <w:rPr>
                <w:rFonts w:ascii="Arial" w:cs="Arial" w:eastAsia="Arial" w:hAnsi="Arial"/>
                <w:sz w:val="18"/>
                <w:szCs w:val="18"/>
                <w:color w:val="auto"/>
                <w:w w:val="94"/>
              </w:rPr>
              <w:t>Annual Report on Form 10-K for the fiscal year ended December 31, 2020 as filed with</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960" w:type="dxa"/>
            <w:vAlign w:val="bottom"/>
            <w:gridSpan w:val="2"/>
          </w:tcPr>
          <w:p>
            <w:pPr>
              <w:ind w:left="1380"/>
              <w:spacing w:after="0"/>
              <w:rPr>
                <w:sz w:val="20"/>
                <w:szCs w:val="20"/>
                <w:color w:val="auto"/>
              </w:rPr>
            </w:pPr>
            <w:r>
              <w:rPr>
                <w:rFonts w:ascii="Arial" w:cs="Arial" w:eastAsia="Arial" w:hAnsi="Arial"/>
                <w:sz w:val="18"/>
                <w:szCs w:val="18"/>
                <w:color w:val="auto"/>
              </w:rPr>
              <w:t>the SEC on February 25, 2021</w:t>
            </w:r>
          </w:p>
        </w:tc>
      </w:tr>
      <w:tr>
        <w:trPr>
          <w:trHeight w:val="728"/>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960" w:type="dxa"/>
            <w:vAlign w:val="bottom"/>
            <w:gridSpan w:val="2"/>
          </w:tcPr>
          <w:p>
            <w:pPr>
              <w:ind w:left="2280"/>
              <w:spacing w:after="0"/>
              <w:rPr>
                <w:sz w:val="20"/>
                <w:szCs w:val="20"/>
                <w:color w:val="auto"/>
              </w:rPr>
            </w:pPr>
            <w:r>
              <w:rPr>
                <w:rFonts w:ascii="Arial" w:cs="Arial" w:eastAsia="Arial" w:hAnsi="Arial"/>
                <w:sz w:val="18"/>
                <w:szCs w:val="18"/>
                <w:color w:val="auto"/>
              </w:rPr>
              <w:t>vi</w:t>
            </w:r>
          </w:p>
        </w:tc>
      </w:tr>
      <w:tr>
        <w:trPr>
          <w:trHeight w:val="115"/>
        </w:trPr>
        <w:tc>
          <w:tcPr>
            <w:tcW w:w="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7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Vectren.</w:t>
      </w:r>
    </w:p>
    <w:p>
      <w:pPr>
        <w:spacing w:after="0" w:line="2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197" w:lineRule="exact"/>
        <w:rPr>
          <w:sz w:val="20"/>
          <w:szCs w:val="20"/>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Enable, the amount of cash distributions CenterPoint Energy receives from Enable, Enable’s ability to redeem the Enable Series A Preferred Units in certain circumstances and the value of CenterPoint Energy’s interest in Enable, and factors that may have a material impact on such performance, cash distributions and value, including factors such as:</w:t>
      </w:r>
    </w:p>
    <w:p>
      <w:pPr>
        <w:spacing w:after="0" w:line="2" w:lineRule="exact"/>
        <w:rPr>
          <w:rFonts w:ascii="Arial" w:cs="Arial" w:eastAsia="Arial" w:hAnsi="Arial"/>
          <w:sz w:val="18"/>
          <w:szCs w:val="18"/>
          <w:color w:val="auto"/>
        </w:rPr>
      </w:pPr>
    </w:p>
    <w:p>
      <w:pPr>
        <w:ind w:left="980" w:hanging="324"/>
        <w:spacing w:after="0" w:line="281" w:lineRule="auto"/>
        <w:tabs>
          <w:tab w:leader="none" w:pos="976" w:val="left"/>
        </w:tabs>
        <w:numPr>
          <w:ilvl w:val="1"/>
          <w:numId w:val="3"/>
        </w:numPr>
        <w:rPr>
          <w:rFonts w:ascii="Arial" w:cs="Arial" w:eastAsia="Arial" w:hAnsi="Arial"/>
          <w:sz w:val="16"/>
          <w:szCs w:val="16"/>
          <w:color w:val="auto"/>
        </w:rPr>
      </w:pPr>
      <w:r>
        <w:rPr>
          <w:rFonts w:ascii="Arial" w:cs="Arial" w:eastAsia="Arial" w:hAnsi="Arial"/>
          <w:sz w:val="16"/>
          <w:szCs w:val="16"/>
          <w:color w:val="auto"/>
        </w:rPr>
        <w:t>competitive conditions in the midstream industry, and actions taken by Enable’s customers and competitors, including drilling, production and capital spending decisions of third parties and the extent and timing of the entry of additional competition in the markets served by Enable;</w:t>
      </w:r>
    </w:p>
    <w:p>
      <w:pPr>
        <w:spacing w:after="0" w:line="1" w:lineRule="exact"/>
        <w:rPr>
          <w:rFonts w:ascii="Arial" w:cs="Arial" w:eastAsia="Arial" w:hAnsi="Arial"/>
          <w:sz w:val="16"/>
          <w:szCs w:val="16"/>
          <w:color w:val="auto"/>
        </w:rPr>
      </w:pPr>
    </w:p>
    <w:p>
      <w:pPr>
        <w:jc w:val="both"/>
        <w:ind w:left="980" w:hanging="324"/>
        <w:spacing w:after="0" w:line="250"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and extent of changes in the supply of natural gas and associated commodity prices, particularly prices of natural gas and NGLs, the competitive effects of the available pipeline capacity in the regions served by Enable, and the effects of geographic and seasonal commodity price differentials, including the effects of these circumstances on re-contracting available capacity on Enable’s interstate pipelines and its commodity risk management activities;</w:t>
      </w:r>
    </w:p>
    <w:p>
      <w:pPr>
        <w:spacing w:after="0" w:line="1" w:lineRule="exact"/>
        <w:rPr>
          <w:rFonts w:ascii="Arial" w:cs="Arial" w:eastAsia="Arial" w:hAnsi="Arial"/>
          <w:sz w:val="18"/>
          <w:szCs w:val="18"/>
          <w:color w:val="auto"/>
        </w:rPr>
      </w:pPr>
    </w:p>
    <w:p>
      <w:pPr>
        <w:ind w:left="980" w:hanging="324"/>
        <w:spacing w:after="0" w:line="281" w:lineRule="auto"/>
        <w:tabs>
          <w:tab w:leader="none" w:pos="976" w:val="left"/>
        </w:tabs>
        <w:numPr>
          <w:ilvl w:val="1"/>
          <w:numId w:val="3"/>
        </w:numPr>
        <w:rPr>
          <w:rFonts w:ascii="Arial" w:cs="Arial" w:eastAsia="Arial" w:hAnsi="Arial"/>
          <w:sz w:val="16"/>
          <w:szCs w:val="16"/>
          <w:color w:val="auto"/>
        </w:rPr>
      </w:pPr>
      <w:r>
        <w:rPr>
          <w:rFonts w:ascii="Arial" w:cs="Arial" w:eastAsia="Arial" w:hAnsi="Arial"/>
          <w:sz w:val="16"/>
          <w:szCs w:val="16"/>
          <w:color w:val="auto"/>
        </w:rPr>
        <w:t>economic effects of the actions of certain crude oil-exporting countries and the Organization of Petroleum Exporting Countries, which have resulted in a substantial decrease in oil and natural gas prices, and the combined impact of these events and COVID-19 on commodity prices;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demand for crude oil, natural gas, NGLs and transportation and storage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environmental and other governmental regulations, including the availability of drilling permits and the regulation of hydraulic fracturing;</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recording of goodwill, long-lived asset or other than temporary impairment charges by or related to Enable;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of payments from Enable’s customers under existing contracts, including minimum volume commitment payments;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status;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debt and equity capital;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the businesses acquired in the Merger, including the integration of technology systems; the outcome of shareholder litigation filed against Vectren that could reduce the benefits of the Merger; the ability to realize additional benefits and commercial opportunities from the Merger, including the development of new opportunities and the performance of projects undertaken by ESG, which are subject to, among other factors, the level of success in bidding contracts and cancellation and/or reductions in the scope of projects by customers, and obligations related to warranties, guarantees and other contractual and legal obligations;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appropriate rate actions that allow recovery of costs and a reasonable return on investment, including the timing and recovery of natural gas purchase costs associated with the February 2021 Winter Storm Event;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and their effect on sales, prices and costs;</w:t>
      </w:r>
    </w:p>
    <w:p>
      <w:pPr>
        <w:spacing w:after="0" w:line="9" w:lineRule="exact"/>
        <w:rPr>
          <w:rFonts w:ascii="Arial" w:cs="Arial" w:eastAsia="Arial" w:hAnsi="Arial"/>
          <w:sz w:val="18"/>
          <w:szCs w:val="18"/>
          <w:color w:val="auto"/>
        </w:rPr>
      </w:pPr>
    </w:p>
    <w:p>
      <w:pPr>
        <w:ind w:left="660" w:right="120" w:hanging="328"/>
        <w:spacing w:after="0" w:line="23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 including impacts from the February 2021 Winter Storm Event;</w:t>
      </w:r>
    </w:p>
    <w:p>
      <w:pPr>
        <w:spacing w:after="0" w:line="1" w:lineRule="exact"/>
        <w:rPr>
          <w:rFonts w:ascii="Arial" w:cs="Arial" w:eastAsia="Arial" w:hAnsi="Arial"/>
          <w:sz w:val="18"/>
          <w:szCs w:val="18"/>
          <w:color w:val="auto"/>
        </w:rPr>
      </w:pPr>
    </w:p>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CenterPoint Energy’s or Enable’s business strategies and strategic initiatives, restructurings, joint ventures and acquisitions or dispositions of assets or businesses, including the announced sale of our Natural Gas businesses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ind w:left="328"/>
        <w:spacing w:after="0" w:line="258" w:lineRule="auto"/>
        <w:rPr>
          <w:sz w:val="20"/>
          <w:szCs w:val="20"/>
          <w:color w:val="auto"/>
        </w:rPr>
      </w:pPr>
      <w:r>
        <w:rPr>
          <w:rFonts w:ascii="Arial" w:cs="Arial" w:eastAsia="Arial" w:hAnsi="Arial"/>
          <w:sz w:val="18"/>
          <w:szCs w:val="18"/>
          <w:color w:val="auto"/>
        </w:rPr>
        <w:t>Arkansas and Oklahoma, which we cannot assure will be completed or will have the anticipated benefits to us, and the Enable Merger, which we cannot assure will be completed or will have the anticipated benefits to us or Enable;</w:t>
      </w:r>
    </w:p>
    <w:p>
      <w:pPr>
        <w:spacing w:after="0" w:line="1" w:lineRule="exact"/>
        <w:rPr>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 and the February 2021 Winter Storm Event;</w:t>
      </w:r>
    </w:p>
    <w:p>
      <w:pPr>
        <w:jc w:val="both"/>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its effect on our and Enable’s operations, business and financial condition, our industries and the communities we serve, U.S. and world financial markets and supply chains, potential regulatory actions and changes in customer and stakeholder behaviors relating thereto;</w:t>
      </w:r>
    </w:p>
    <w:p>
      <w:pPr>
        <w:spacing w:after="0" w:line="1" w:lineRule="exact"/>
        <w:rPr>
          <w:rFonts w:ascii="Arial" w:cs="Arial" w:eastAsia="Arial" w:hAnsi="Arial"/>
          <w:sz w:val="18"/>
          <w:szCs w:val="18"/>
          <w:color w:val="auto"/>
        </w:rPr>
      </w:pPr>
    </w:p>
    <w:p>
      <w:pPr>
        <w:ind w:left="328"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volatility and a substantial decline in the markets for oil and natural gas as a result of the actions of certain crude-oil exporting countries and the Organization of Petroleum Exporting Countries and reduced worldwide consumption due to the COVID-19 pandemic;</w:t>
      </w:r>
    </w:p>
    <w:p>
      <w:pPr>
        <w:jc w:val="both"/>
        <w:ind w:left="328"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 and federal legislative and regulatory actions or developments affecting various aspects of our businesses (including the businesses of Enable), including, among others, energy deregulation or re-regulation, pipeline integrity and safety and changes in regulation and legislation pertaining to trade, health care, finance and actions regarding the rates charged by our regulated businesses;</w:t>
      </w:r>
    </w:p>
    <w:p>
      <w:pPr>
        <w:jc w:val="both"/>
        <w:ind w:left="328"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direct or indirect effects on our or Enable’s facilities, operations and financial condition resulting from terrorism, cyber-attacks, data security breaches or other attempts to disrupt our businesses or the businesses of third parties, or other catastrophic events such as fires, ice, earthquakes, explosions, leaks, floods, droughts, hurricanes, tornadoes, pandemic health events or other occurrences;</w:t>
      </w:r>
    </w:p>
    <w:p>
      <w:pPr>
        <w:jc w:val="both"/>
        <w:ind w:left="328"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tax legislation, including the effects of the CARES Act and of the TCJA (which includes but is not limited to any potential changes to tax rates, tax credits and/or interest deductibility), as well as any changes in tax laws under the Biden administration, and uncertainties involving state commissions’ and local municipalities’ regulatory requirements and determinations regarding the treatment of EDIT and our rates;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mitigate weather impacts through normalization or rate mechanisms, and the effectiveness of such mechanisms;</w:t>
      </w:r>
    </w:p>
    <w:p>
      <w:pPr>
        <w:spacing w:after="0" w:line="9" w:lineRule="exact"/>
        <w:rPr>
          <w:rFonts w:ascii="Arial" w:cs="Arial" w:eastAsia="Arial" w:hAnsi="Arial"/>
          <w:sz w:val="18"/>
          <w:szCs w:val="18"/>
          <w:color w:val="auto"/>
        </w:rPr>
      </w:pPr>
    </w:p>
    <w:p>
      <w:pPr>
        <w:ind w:left="308" w:hanging="308"/>
        <w:spacing w:after="0"/>
        <w:tabs>
          <w:tab w:leader="none" w:pos="308" w:val="left"/>
        </w:tabs>
        <w:numPr>
          <w:ilvl w:val="0"/>
          <w:numId w:val="4"/>
        </w:numPr>
        <w:rPr>
          <w:rFonts w:ascii="Arial" w:cs="Arial" w:eastAsia="Arial" w:hAnsi="Arial"/>
          <w:sz w:val="20"/>
          <w:szCs w:val="20"/>
          <w:color w:val="auto"/>
        </w:rPr>
      </w:pPr>
      <w:r>
        <w:rPr>
          <w:rFonts w:ascii="Arial" w:cs="Arial" w:eastAsia="Arial" w:hAnsi="Arial"/>
          <w:sz w:val="18"/>
          <w:szCs w:val="18"/>
          <w:color w:val="auto"/>
        </w:rPr>
        <w:t>actions by credit rating agencies, including any potential downgrades to credit ratings;</w:t>
      </w:r>
    </w:p>
    <w:p>
      <w:pPr>
        <w:spacing w:after="0" w:line="3" w:lineRule="exact"/>
        <w:rPr>
          <w:rFonts w:ascii="Arial" w:cs="Arial" w:eastAsia="Arial" w:hAnsi="Arial"/>
          <w:sz w:val="20"/>
          <w:szCs w:val="20"/>
          <w:color w:val="auto"/>
        </w:rPr>
      </w:pPr>
    </w:p>
    <w:p>
      <w:pPr>
        <w:ind w:left="328" w:hanging="328"/>
        <w:spacing w:after="0" w:line="242" w:lineRule="auto"/>
        <w:tabs>
          <w:tab w:leader="none" w:pos="316" w:val="left"/>
        </w:tabs>
        <w:numPr>
          <w:ilvl w:val="0"/>
          <w:numId w:val="4"/>
        </w:numPr>
        <w:rPr>
          <w:rFonts w:ascii="Arial" w:cs="Arial" w:eastAsia="Arial" w:hAnsi="Arial"/>
          <w:sz w:val="20"/>
          <w:szCs w:val="20"/>
          <w:color w:val="auto"/>
        </w:rPr>
      </w:pPr>
      <w:r>
        <w:rPr>
          <w:rFonts w:ascii="Arial" w:cs="Arial" w:eastAsia="Arial" w:hAnsi="Arial"/>
          <w:sz w:val="18"/>
          <w:szCs w:val="18"/>
          <w:color w:val="auto"/>
        </w:rPr>
        <w:t>matters affecting regulatory approval, legislative actions, construction, implementation of necessary technology or other issues with respect to major capital projects that result in delays or cancellation or in cost overruns that cannot be recouped in rates;</w:t>
      </w:r>
    </w:p>
    <w:p>
      <w:pPr>
        <w:jc w:val="both"/>
        <w:ind w:left="328" w:hanging="328"/>
        <w:spacing w:after="0" w:line="276"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6"/>
          <w:szCs w:val="16"/>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the continued operation, cost recovery of generation plant costs and related assets, and CenterPoint Energy’s carbon emissions reduction targets;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and invest planned capital and the timely recovery of our investments, including those related to Indiana Electric’s generation transition plan as part of its most recent IRP;</w:t>
      </w: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electric generating facilities, including complying with applicable environmental standards and the implementation of a well-balanced energy and resource mix, as appropriate;</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performance of CenterPoint Energy’s pension and postretirement benefit plans;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9" w:lineRule="exact"/>
        <w:rPr>
          <w:rFonts w:ascii="Arial" w:cs="Arial" w:eastAsia="Arial" w:hAnsi="Arial"/>
          <w:sz w:val="18"/>
          <w:szCs w:val="18"/>
          <w:color w:val="auto"/>
        </w:rPr>
      </w:pPr>
    </w:p>
    <w:p>
      <w:pPr>
        <w:ind w:left="328" w:right="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and effectiveness of our and Enable’s risk management and hedging activities, including, but not limited to financial and weather hedges;</w:t>
      </w: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natural disasters or other recovery of costs;</w:t>
      </w: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merger activities involving us or our competitors, including the ability to successfully complete merger, acquisition and divestiture plans;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 Enable’s ability to recruit, effectively transition and retain management and key employees and maintain good labor relations;</w:t>
      </w: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773" w:right="339" w:bottom="1440" w:gutter="0" w:footer="0" w:header="0"/>
        </w:sectPr>
      </w:pPr>
    </w:p>
    <w:bookmarkStart w:id="10" w:name="page11"/>
    <w:bookmarkEnd w:id="10"/>
    <w:p>
      <w:pPr>
        <w:ind w:left="660" w:right="2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alternate energy sources on the demand for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developments, including energy and environmental policies under the Biden administration;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hyperlink r:id="rId26">
        <w:r>
          <w:rPr>
            <w:rFonts w:ascii="Arial" w:cs="Arial" w:eastAsia="Arial" w:hAnsi="Arial"/>
            <w:sz w:val="18"/>
            <w:szCs w:val="18"/>
            <w:u w:val="single" w:color="auto"/>
            <w:color w:val="0000FF"/>
          </w:rPr>
          <w:t>“Risk Factors” in Item 1A of Part I of the Registrants’ combined 2020 Form 10-K</w:t>
        </w:r>
      </w:hyperlink>
      <w:r>
        <w:rPr>
          <w:rFonts w:ascii="Arial" w:cs="Arial" w:eastAsia="Arial" w:hAnsi="Arial"/>
          <w:sz w:val="18"/>
          <w:szCs w:val="18"/>
          <w:color w:val="auto"/>
        </w:rPr>
        <w:t>, which are incorporated herein by reference, and in other reports the Registrants file from time to time with the SEC.</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6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841"/>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0" w:type="dxa"/>
            <w:vAlign w:val="bottom"/>
          </w:tcPr>
          <w:p>
            <w:pPr>
              <w:spacing w:after="0"/>
              <w:rPr>
                <w:sz w:val="16"/>
                <w:szCs w:val="16"/>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600" w:type="dxa"/>
            <w:vAlign w:val="bottom"/>
          </w:tcPr>
          <w:p>
            <w:pPr>
              <w:spacing w:after="0"/>
              <w:rPr>
                <w:sz w:val="14"/>
                <w:szCs w:val="14"/>
                <w:color w:val="auto"/>
              </w:rPr>
            </w:pPr>
          </w:p>
        </w:tc>
        <w:tc>
          <w:tcPr>
            <w:tcW w:w="306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rPr>
              <w:t>(in millions, except per share amounts)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revenues</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Non-utility revenues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natural gas, fuel and purchased power</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Non-utility cost of revenues, including natural gas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Goodwill impairment</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Loss on marketable securities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indexed debt securities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Securitization Bonds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Equity in earnings (loss) of unconsolidated affiliates, net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expense (benefit)</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Loss from Discontinued Operations (net of tax benefit of $-0- and $17, respectively)</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allocated to preferred shareholders</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Available to Common Shareholders</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(loss) per common share - continuing operations</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7600" w:type="dxa"/>
            <w:vAlign w:val="bottom"/>
          </w:tcPr>
          <w:p>
            <w:pPr>
              <w:ind w:left="180"/>
              <w:spacing w:after="0"/>
              <w:rPr>
                <w:sz w:val="20"/>
                <w:szCs w:val="20"/>
                <w:color w:val="auto"/>
              </w:rPr>
            </w:pPr>
            <w:r>
              <w:rPr>
                <w:rFonts w:ascii="Arial" w:cs="Arial" w:eastAsia="Arial" w:hAnsi="Arial"/>
                <w:sz w:val="16"/>
                <w:szCs w:val="16"/>
                <w:color w:val="auto"/>
              </w:rPr>
              <w:t>Basic earnings (loss) per common share - discontinued operations</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38"/>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(Loss) Per Common Share</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earnings (loss) per common share - continuing operations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0" w:type="dxa"/>
            <w:vAlign w:val="bottom"/>
            <w:vMerge w:val="continue"/>
          </w:tcPr>
          <w:p>
            <w:pPr>
              <w:spacing w:after="0"/>
              <w:rPr>
                <w:sz w:val="16"/>
                <w:szCs w:val="16"/>
                <w:color w:val="auto"/>
              </w:rPr>
            </w:pP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6"/>
                <w:szCs w:val="16"/>
                <w:color w:val="auto"/>
              </w:rPr>
            </w:pPr>
          </w:p>
        </w:tc>
        <w:tc>
          <w:tcPr>
            <w:tcW w:w="1180" w:type="dxa"/>
            <w:vAlign w:val="bottom"/>
          </w:tcPr>
          <w:p>
            <w:pPr>
              <w:jc w:val="right"/>
              <w:ind w:right="10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(loss) per common share - discontinued operations</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Diluted Earnings (Loss) Per Common Share</w:t>
            </w:r>
          </w:p>
        </w:tc>
        <w:tc>
          <w:tcPr>
            <w:tcW w:w="1100" w:type="dxa"/>
            <w:vAlign w:val="bottom"/>
            <w:tcBorders>
              <w:top w:val="single" w:sz="8" w:color="auto"/>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01"/>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42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r>
      <w:tr>
        <w:trPr>
          <w:trHeight w:val="195"/>
        </w:trPr>
        <w:tc>
          <w:tcPr>
            <w:tcW w:w="8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170"/>
        </w:trPr>
        <w:tc>
          <w:tcPr>
            <w:tcW w:w="8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4"/>
                <w:szCs w:val="14"/>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(1,199)</w:t>
            </w:r>
          </w:p>
        </w:tc>
      </w:tr>
      <w:tr>
        <w:trPr>
          <w:trHeight w:val="209"/>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pension and other postretirement plans (net of tax of $-0- and $1)</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from unconsolidated affiliates (net of tax of $-0- and $-0-)</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(1,201)</w:t>
            </w:r>
          </w:p>
        </w:tc>
      </w:tr>
      <w:tr>
        <w:trPr>
          <w:trHeight w:val="223"/>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allocated to preferred shareholders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Comprehensive income (loss) available to common shareholders</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(1,230)</w:t>
            </w:r>
          </w:p>
        </w:tc>
      </w:tr>
      <w:tr>
        <w:trPr>
          <w:trHeight w:val="21"/>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8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($142 and $139 related to VIEs, respectively)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8240" w:type="dxa"/>
            <w:vAlign w:val="bottom"/>
          </w:tcPr>
          <w:p>
            <w:pPr>
              <w:ind w:left="100"/>
              <w:spacing w:after="0"/>
              <w:rPr>
                <w:sz w:val="20"/>
                <w:szCs w:val="20"/>
                <w:color w:val="auto"/>
              </w:rPr>
            </w:pPr>
            <w:r>
              <w:rPr>
                <w:rFonts w:ascii="Arial" w:cs="Arial" w:eastAsia="Arial" w:hAnsi="Arial"/>
                <w:sz w:val="18"/>
                <w:szCs w:val="18"/>
                <w:color w:val="auto"/>
              </w:rPr>
              <w:t>Investment in marketable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Accounts receivable ($24 and $23 related to VIEs, respectively), less allowance for credit losses of $65 and $52,</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00"/>
              <w:spacing w:after="0"/>
              <w:rPr>
                <w:sz w:val="20"/>
                <w:szCs w:val="20"/>
                <w:color w:val="auto"/>
              </w:rPr>
            </w:pPr>
            <w:r>
              <w:rPr>
                <w:rFonts w:ascii="Arial" w:cs="Arial" w:eastAsia="Arial" w:hAnsi="Arial"/>
                <w:sz w:val="18"/>
                <w:szCs w:val="18"/>
                <w:color w:val="auto"/>
              </w:rPr>
              <w:t>Accrued unbilled revenues, less allowance for credit losses of $4 and $5, respectively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Natural gas and coal inventory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8240" w:type="dxa"/>
            <w:vAlign w:val="bottom"/>
          </w:tcPr>
          <w:p>
            <w:pPr>
              <w:ind w:left="100"/>
              <w:spacing w:after="0"/>
              <w:rPr>
                <w:sz w:val="20"/>
                <w:szCs w:val="20"/>
                <w:color w:val="auto"/>
              </w:rPr>
            </w:pPr>
            <w:r>
              <w:rPr>
                <w:rFonts w:ascii="Arial" w:cs="Arial" w:eastAsia="Arial" w:hAnsi="Arial"/>
                <w:sz w:val="18"/>
                <w:szCs w:val="18"/>
                <w:color w:val="auto"/>
              </w:rPr>
              <w:t>Materials and supplies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 ($16 and $15 related to VIEs, respectively)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22,362</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Regulatory assets ($597 and $633 related to VIEs, respectively)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Preferred units – unconsolidated affiliate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SHAREHOLDERS’ EQUITY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8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7"/>
              </w:rPr>
              <w:t>(in millions, except share amounts)</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securities derivative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accrued</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Non-trading derivative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VIE Securitization Bonds,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debt,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long-term debt,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Cumulative preferred stock, $0.01 par value, 20,000,000 shares authorized, 2,402,400 shares outstanding,</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$2,402 liquidation preference (Note 19)</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$0.01 par value, 1,000,000,000 shares authorized, 551,865,588 shares and 551,355,861 shares</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outstanding, respectively</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187"/>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175"/>
        </w:trPr>
        <w:tc>
          <w:tcPr>
            <w:tcW w:w="8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r>
      <w:tr>
        <w:trPr>
          <w:trHeight w:val="192"/>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(1,199)</w:t>
            </w:r>
          </w:p>
        </w:tc>
      </w:tr>
      <w:tr>
        <w:trPr>
          <w:trHeight w:val="186"/>
        </w:trPr>
        <w:tc>
          <w:tcPr>
            <w:tcW w:w="8320" w:type="dxa"/>
            <w:vAlign w:val="bottom"/>
          </w:tcPr>
          <w:p>
            <w:pPr>
              <w:ind w:left="1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2"/>
        </w:trPr>
        <w:tc>
          <w:tcPr>
            <w:tcW w:w="8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8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Goodwill impairment and loss from reclassification to held for sale</w:t>
            </w:r>
          </w:p>
        </w:tc>
        <w:tc>
          <w:tcPr>
            <w:tcW w:w="9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92"/>
        </w:trPr>
        <w:tc>
          <w:tcPr>
            <w:tcW w:w="8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Goodwill impairment</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Unrealized loss on marketable securities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192"/>
        </w:trPr>
        <w:tc>
          <w:tcPr>
            <w:tcW w:w="8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indexed debt securities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Write-down of natural gas inventory</w:t>
            </w:r>
          </w:p>
        </w:tc>
        <w:tc>
          <w:tcPr>
            <w:tcW w:w="9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2"/>
        </w:trPr>
        <w:tc>
          <w:tcPr>
            <w:tcW w:w="8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Equity in (earnings) losses of unconsolidated affiliates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Distributions from unconsolidated affiliates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92"/>
        </w:trPr>
        <w:tc>
          <w:tcPr>
            <w:tcW w:w="8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Pension contributions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8320" w:type="dxa"/>
            <w:vAlign w:val="bottom"/>
          </w:tcPr>
          <w:p>
            <w:pPr>
              <w:ind w:left="360"/>
              <w:spacing w:after="0"/>
              <w:rPr>
                <w:sz w:val="20"/>
                <w:szCs w:val="20"/>
                <w:color w:val="auto"/>
              </w:rPr>
            </w:pPr>
            <w:r>
              <w:rPr>
                <w:rFonts w:ascii="Arial" w:cs="Arial" w:eastAsia="Arial" w:hAnsi="Arial"/>
                <w:sz w:val="14"/>
                <w:szCs w:val="14"/>
                <w:color w:val="auto"/>
              </w:rPr>
              <w:t>Changes in other assets and liabilities, excluding acquisitions: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2"/>
        </w:trPr>
        <w:tc>
          <w:tcPr>
            <w:tcW w:w="8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 and unbilled revenues, net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86"/>
        </w:trPr>
        <w:tc>
          <w:tcPr>
            <w:tcW w:w="8320" w:type="dxa"/>
            <w:vAlign w:val="bottom"/>
          </w:tcPr>
          <w:p>
            <w:pPr>
              <w:ind w:left="520"/>
              <w:spacing w:after="0"/>
              <w:rPr>
                <w:sz w:val="20"/>
                <w:szCs w:val="20"/>
                <w:color w:val="auto"/>
              </w:rPr>
            </w:pPr>
            <w:r>
              <w:rPr>
                <w:rFonts w:ascii="Arial" w:cs="Arial" w:eastAsia="Arial" w:hAnsi="Arial"/>
                <w:sz w:val="14"/>
                <w:szCs w:val="14"/>
                <w:color w:val="auto"/>
              </w:rPr>
              <w:t>Inventory</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192"/>
        </w:trPr>
        <w:tc>
          <w:tcPr>
            <w:tcW w:w="8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Taxes receivable</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6"/>
        </w:trPr>
        <w:tc>
          <w:tcPr>
            <w:tcW w:w="832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92"/>
        </w:trPr>
        <w:tc>
          <w:tcPr>
            <w:tcW w:w="8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Non-trading derivatives, net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86"/>
        </w:trPr>
        <w:tc>
          <w:tcPr>
            <w:tcW w:w="8320" w:type="dxa"/>
            <w:vAlign w:val="bottom"/>
          </w:tcPr>
          <w:p>
            <w:pPr>
              <w:ind w:left="520"/>
              <w:spacing w:after="0"/>
              <w:rPr>
                <w:sz w:val="20"/>
                <w:szCs w:val="20"/>
                <w:color w:val="auto"/>
              </w:rPr>
            </w:pPr>
            <w:r>
              <w:rPr>
                <w:rFonts w:ascii="Arial" w:cs="Arial" w:eastAsia="Arial" w:hAnsi="Arial"/>
                <w:sz w:val="14"/>
                <w:szCs w:val="14"/>
                <w:color w:val="auto"/>
              </w:rPr>
              <w:t>Margin deposits, net</w:t>
            </w:r>
          </w:p>
        </w:tc>
        <w:tc>
          <w:tcPr>
            <w:tcW w:w="9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92"/>
        </w:trPr>
        <w:tc>
          <w:tcPr>
            <w:tcW w:w="8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Interest and taxes accrued</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86"/>
        </w:trPr>
        <w:tc>
          <w:tcPr>
            <w:tcW w:w="8320" w:type="dxa"/>
            <w:vAlign w:val="bottom"/>
          </w:tcPr>
          <w:p>
            <w:pPr>
              <w:ind w:left="520"/>
              <w:spacing w:after="0"/>
              <w:rPr>
                <w:sz w:val="20"/>
                <w:szCs w:val="20"/>
                <w:color w:val="auto"/>
              </w:rPr>
            </w:pPr>
            <w:r>
              <w:rPr>
                <w:rFonts w:ascii="Arial" w:cs="Arial" w:eastAsia="Arial" w:hAnsi="Arial"/>
                <w:sz w:val="14"/>
                <w:szCs w:val="14"/>
                <w:color w:val="auto"/>
              </w:rPr>
              <w:t>Net regulatory assets and liabilities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(2,297)</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92"/>
        </w:trPr>
        <w:tc>
          <w:tcPr>
            <w:tcW w:w="8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current assets</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6"/>
        </w:trPr>
        <w:tc>
          <w:tcPr>
            <w:tcW w:w="8320" w:type="dxa"/>
            <w:vAlign w:val="bottom"/>
          </w:tcPr>
          <w:p>
            <w:pPr>
              <w:ind w:left="520"/>
              <w:spacing w:after="0"/>
              <w:rPr>
                <w:sz w:val="20"/>
                <w:szCs w:val="20"/>
                <w:color w:val="auto"/>
              </w:rPr>
            </w:pPr>
            <w:r>
              <w:rPr>
                <w:rFonts w:ascii="Arial" w:cs="Arial" w:eastAsia="Arial" w:hAnsi="Arial"/>
                <w:sz w:val="14"/>
                <w:szCs w:val="14"/>
                <w:color w:val="auto"/>
              </w:rPr>
              <w:t>Other current liabilities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92"/>
        </w:trPr>
        <w:tc>
          <w:tcPr>
            <w:tcW w:w="8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non-current assets</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6"/>
        </w:trPr>
        <w:tc>
          <w:tcPr>
            <w:tcW w:w="8320" w:type="dxa"/>
            <w:vAlign w:val="bottom"/>
          </w:tcPr>
          <w:p>
            <w:pPr>
              <w:ind w:left="520"/>
              <w:spacing w:after="0"/>
              <w:rPr>
                <w:sz w:val="20"/>
                <w:szCs w:val="20"/>
                <w:color w:val="auto"/>
              </w:rPr>
            </w:pPr>
            <w:r>
              <w:rPr>
                <w:rFonts w:ascii="Arial" w:cs="Arial" w:eastAsia="Arial" w:hAnsi="Arial"/>
                <w:sz w:val="14"/>
                <w:szCs w:val="14"/>
                <w:color w:val="auto"/>
              </w:rPr>
              <w:t>Other non-current liabilities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8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79"/>
        </w:trPr>
        <w:tc>
          <w:tcPr>
            <w:tcW w:w="832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provided by (used in) operating activities</w:t>
            </w: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(664)</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unconsolidated affiliate in excess of cumulative earnings</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6"/>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net</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83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168"/>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0"/>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(payments of) commercial paper, net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Proceeds from long-term debt</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2,795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long-term debt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Borrowings from revolving credit facilities</w:t>
            </w:r>
          </w:p>
        </w:tc>
        <w:tc>
          <w:tcPr>
            <w:tcW w:w="9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debt issuance costs</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320" w:type="dxa"/>
            <w:vAlign w:val="bottom"/>
          </w:tcPr>
          <w:p>
            <w:pPr>
              <w:ind w:left="220"/>
              <w:spacing w:after="0"/>
              <w:rPr>
                <w:sz w:val="20"/>
                <w:szCs w:val="20"/>
                <w:color w:val="auto"/>
              </w:rPr>
            </w:pPr>
            <w:r>
              <w:rPr>
                <w:rFonts w:ascii="Arial" w:cs="Arial" w:eastAsia="Arial" w:hAnsi="Arial"/>
                <w:sz w:val="14"/>
                <w:szCs w:val="14"/>
                <w:color w:val="auto"/>
              </w:rPr>
              <w:t>Payment of dividends on Common Stock</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192"/>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dividends on Preferred Stock</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6"/>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net</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86"/>
        </w:trPr>
        <w:tc>
          <w:tcPr>
            <w:tcW w:w="83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provided by (used in)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79"/>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184"/>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r>
      <w:tr>
        <w:trPr>
          <w:trHeight w:val="21"/>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560"/>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3"/>
              </w:rPr>
              <w:t>Three Months Ended March 31,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r>
      <w:tr>
        <w:trPr>
          <w:trHeight w:val="166"/>
        </w:trPr>
        <w:tc>
          <w:tcPr>
            <w:tcW w:w="7680" w:type="dxa"/>
            <w:vAlign w:val="bottom"/>
          </w:tcPr>
          <w:p>
            <w:pPr>
              <w:spacing w:after="0"/>
              <w:rPr>
                <w:sz w:val="14"/>
                <w:szCs w:val="14"/>
                <w:color w:val="auto"/>
              </w:rPr>
            </w:pPr>
          </w:p>
        </w:tc>
        <w:tc>
          <w:tcPr>
            <w:tcW w:w="264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millions of dollars and 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4"/>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Cumulative Preferred Stock, $0.01 par value; authorized 20,000,000 shares</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beginning of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r>
      <w:tr>
        <w:trPr>
          <w:trHeight w:val="223"/>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Balance, end of period</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$0.01 par value; authorized 1,000,000,000 shares</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Balance, beginning of period</w:t>
            </w:r>
          </w:p>
        </w:tc>
        <w:tc>
          <w:tcPr>
            <w:tcW w:w="760" w:type="dxa"/>
            <w:vAlign w:val="bottom"/>
          </w:tcPr>
          <w:p>
            <w:pPr>
              <w:jc w:val="right"/>
              <w:spacing w:after="0"/>
              <w:rPr>
                <w:sz w:val="20"/>
                <w:szCs w:val="20"/>
                <w:color w:val="auto"/>
              </w:rPr>
            </w:pPr>
            <w:r>
              <w:rPr>
                <w:rFonts w:ascii="Arial" w:cs="Arial" w:eastAsia="Arial" w:hAnsi="Arial"/>
                <w:sz w:val="18"/>
                <w:szCs w:val="18"/>
                <w:color w:val="auto"/>
              </w:rPr>
              <w:t>551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 related to benefit and investment plans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Balance, end of period</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Balance, beginning of period</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6,080</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 related to benefit and investment plans</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Balance, end of period</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 (Accumulated Deficit)</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Balance, beginning of period</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Common Stock dividends declared (see Note 19)</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dividends declared (see Note 19)</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Adoption of ASU 2016-13</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end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beginning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(loss)</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end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w:t>
            </w:r>
          </w:p>
        </w:tc>
      </w:tr>
      <w:tr>
        <w:trPr>
          <w:trHeight w:val="20"/>
        </w:trPr>
        <w:tc>
          <w:tcPr>
            <w:tcW w:w="7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170"/>
        </w:trPr>
        <w:tc>
          <w:tcPr>
            <w:tcW w:w="7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gridSpan w:val="3"/>
          </w:tcPr>
          <w:p>
            <w:pPr>
              <w:jc w:val="right"/>
              <w:ind w:right="956"/>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4"/>
                <w:szCs w:val="14"/>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30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9"/>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Interest expense on Securitization Bonds</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30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00"/>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337"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6220" w:type="dxa"/>
        <w:tblCellMar>
          <w:top w:w="0" w:type="dxa"/>
          <w:left w:w="0" w:type="dxa"/>
          <w:bottom w:w="0" w:type="dxa"/>
          <w:right w:w="0" w:type="dxa"/>
        </w:tblCellMar>
      </w:tblPr>
      <w:tr>
        <w:trPr>
          <w:trHeight w:val="193"/>
        </w:trPr>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170"/>
        </w:trPr>
        <w:tc>
          <w:tcPr>
            <w:tcW w:w="940" w:type="dxa"/>
            <w:vAlign w:val="bottom"/>
          </w:tcPr>
          <w:p>
            <w:pPr>
              <w:spacing w:after="0"/>
              <w:rPr>
                <w:sz w:val="14"/>
                <w:szCs w:val="14"/>
                <w:color w:val="auto"/>
              </w:rPr>
            </w:pPr>
          </w:p>
        </w:tc>
        <w:tc>
          <w:tcPr>
            <w:tcW w:w="9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4"/>
                <w:szCs w:val="14"/>
                <w:color w:val="auto"/>
              </w:rPr>
            </w:pPr>
          </w:p>
        </w:tc>
      </w:tr>
      <w:tr>
        <w:trPr>
          <w:trHeight w:val="230"/>
        </w:trPr>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-334010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9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720" w:space="380"/>
            <w:col w:w="91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right"/>
              <w:ind w:right="101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($142 and $139 related to VIEs, respectively)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6"/>
        </w:trPr>
        <w:tc>
          <w:tcPr>
            <w:tcW w:w="8300" w:type="dxa"/>
            <w:vAlign w:val="bottom"/>
          </w:tcPr>
          <w:p>
            <w:pPr>
              <w:ind w:left="140"/>
              <w:spacing w:after="0" w:line="176" w:lineRule="exact"/>
              <w:rPr>
                <w:sz w:val="20"/>
                <w:szCs w:val="20"/>
                <w:color w:val="auto"/>
              </w:rPr>
            </w:pPr>
            <w:r>
              <w:rPr>
                <w:rFonts w:ascii="Arial" w:cs="Arial" w:eastAsia="Arial" w:hAnsi="Arial"/>
                <w:sz w:val="18"/>
                <w:szCs w:val="18"/>
                <w:color w:val="auto"/>
                <w:w w:val="93"/>
              </w:rPr>
              <w:t>Accounts receivable ($24 and $23 related to VIEs, respectively), less allowance for credit losses of $1 and $1,</w:t>
            </w: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830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Accrued unbilled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 ($16 and $15 related to VIEs, respectively)</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 ($597 and $633 related to VIEs, respectively)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830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11,316</w:t>
            </w: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MEMBER</w:t>
      </w:r>
      <w:r>
        <w:rPr>
          <w:rFonts w:ascii="Arial" w:cs="Arial" w:eastAsia="Arial" w:hAnsi="Arial"/>
          <w:sz w:val="18"/>
          <w:szCs w:val="18"/>
          <w:color w:val="auto"/>
        </w:rPr>
        <w:t>’</w:t>
      </w:r>
      <w:r>
        <w:rPr>
          <w:rFonts w:ascii="Arial" w:cs="Arial" w:eastAsia="Arial" w:hAnsi="Arial"/>
          <w:sz w:val="18"/>
          <w:szCs w:val="18"/>
          <w:b w:val="1"/>
          <w:bCs w:val="1"/>
          <w:color w:val="auto"/>
        </w:rPr>
        <w:t>S EQUITY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179"/>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millions)</w:t>
            </w: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8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8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VIE Securitization Bonds, net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debt,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r>
      <w:tr>
        <w:trPr>
          <w:trHeight w:val="223"/>
        </w:trPr>
        <w:tc>
          <w:tcPr>
            <w:tcW w:w="8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long-term debt,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w:t>
            </w: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23"/>
        </w:trPr>
        <w:tc>
          <w:tcPr>
            <w:tcW w:w="8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member’s equity</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r>
      <w:tr>
        <w:trPr>
          <w:trHeight w:val="248"/>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Member’s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7"/>
        </w:trPr>
        <w:tc>
          <w:tcPr>
            <w:tcW w:w="83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179"/>
        </w:trPr>
        <w:tc>
          <w:tcPr>
            <w:tcW w:w="8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29"/>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and notes receivable, net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3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and taxes accrued</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(286)</w:t>
            </w:r>
          </w:p>
        </w:tc>
      </w:tr>
      <w:tr>
        <w:trPr>
          <w:trHeight w:val="230"/>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notes receivable–affiliated companies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long-term debt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notes payable–affiliated companies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(385)</w:t>
            </w:r>
          </w:p>
        </w:tc>
      </w:tr>
      <w:tr>
        <w:trPr>
          <w:trHeight w:val="229"/>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debt issuance costs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(315)</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3"/>
              </w:rPr>
              <w:t>Three Months Ended March 31,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r>
      <w:tr>
        <w:trPr>
          <w:trHeight w:val="181"/>
        </w:trPr>
        <w:tc>
          <w:tcPr>
            <w:tcW w:w="76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r>
      <w:tr>
        <w:trPr>
          <w:trHeight w:val="167"/>
        </w:trPr>
        <w:tc>
          <w:tcPr>
            <w:tcW w:w="7680" w:type="dxa"/>
            <w:vAlign w:val="bottom"/>
          </w:tcPr>
          <w:p>
            <w:pPr>
              <w:spacing w:after="0"/>
              <w:rPr>
                <w:sz w:val="14"/>
                <w:szCs w:val="14"/>
                <w:color w:val="auto"/>
              </w:rPr>
            </w:pPr>
          </w:p>
        </w:tc>
        <w:tc>
          <w:tcPr>
            <w:tcW w:w="800" w:type="dxa"/>
            <w:vAlign w:val="bottom"/>
            <w:gridSpan w:val="2"/>
          </w:tcPr>
          <w:p>
            <w:pPr>
              <w:ind w:left="660"/>
              <w:spacing w:after="0"/>
              <w:rPr>
                <w:sz w:val="20"/>
                <w:szCs w:val="20"/>
                <w:color w:val="auto"/>
              </w:rPr>
            </w:pPr>
            <w:r>
              <w:rPr>
                <w:rFonts w:ascii="Arial" w:cs="Arial" w:eastAsia="Arial" w:hAnsi="Arial"/>
                <w:sz w:val="13"/>
                <w:szCs w:val="13"/>
                <w:b w:val="1"/>
                <w:bCs w:val="1"/>
                <w:color w:val="auto"/>
                <w:w w:val="75"/>
              </w:rPr>
              <w:t>(in</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millions, except</w:t>
            </w:r>
          </w:p>
        </w:tc>
        <w:tc>
          <w:tcPr>
            <w:tcW w:w="1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share amounts)</w:t>
            </w:r>
          </w:p>
        </w:tc>
        <w:tc>
          <w:tcPr>
            <w:tcW w:w="1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r>
      <w:tr>
        <w:trPr>
          <w:trHeight w:val="234"/>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beginning of period</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r>
      <w:tr>
        <w:trPr>
          <w:trHeight w:val="223"/>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beginning of period</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r>
      <w:tr>
        <w:trPr>
          <w:trHeight w:val="21"/>
        </w:trPr>
        <w:tc>
          <w:tcPr>
            <w:tcW w:w="7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9"/>
              </w:rPr>
              <w:t>Three Months Ended</w:t>
            </w:r>
          </w:p>
        </w:tc>
        <w:tc>
          <w:tcPr>
            <w:tcW w:w="1160" w:type="dxa"/>
            <w:vAlign w:val="bottom"/>
          </w:tcPr>
          <w:p>
            <w:pPr>
              <w:spacing w:after="0"/>
              <w:rPr>
                <w:sz w:val="16"/>
                <w:szCs w:val="16"/>
                <w:color w:val="auto"/>
              </w:rPr>
            </w:pPr>
          </w:p>
        </w:tc>
      </w:tr>
      <w:tr>
        <w:trPr>
          <w:trHeight w:val="195"/>
        </w:trPr>
        <w:tc>
          <w:tcPr>
            <w:tcW w:w="7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2020</w:t>
            </w:r>
          </w:p>
        </w:tc>
      </w:tr>
      <w:tr>
        <w:trPr>
          <w:trHeight w:val="166"/>
        </w:trPr>
        <w:tc>
          <w:tcPr>
            <w:tcW w:w="7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4"/>
                <w:szCs w:val="14"/>
                <w:color w:val="auto"/>
              </w:rPr>
            </w:pPr>
          </w:p>
        </w:tc>
      </w:tr>
      <w:tr>
        <w:trPr>
          <w:trHeight w:val="234"/>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revenues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Non-utility revenues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natural gas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Non-utility cost of revenues, including natural gas</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9"/>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Other Expense:</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net</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Discontinued Operations (net of tax benefit of $-0- and $11, respectively)</w:t>
            </w:r>
          </w:p>
        </w:tc>
        <w:tc>
          <w:tcPr>
            <w:tcW w:w="1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87"/>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170"/>
        </w:trPr>
        <w:tc>
          <w:tcPr>
            <w:tcW w:w="8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4"/>
                <w:szCs w:val="14"/>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1"/>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179"/>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right"/>
              <w:ind w:right="1012"/>
              <w:spacing w:after="0"/>
              <w:rPr>
                <w:sz w:val="20"/>
                <w:szCs w:val="20"/>
                <w:color w:val="auto"/>
              </w:rPr>
            </w:pPr>
            <w:r>
              <w:rPr>
                <w:rFonts w:ascii="Arial" w:cs="Arial" w:eastAsia="Arial" w:hAnsi="Arial"/>
                <w:sz w:val="14"/>
                <w:szCs w:val="14"/>
                <w:b w:val="1"/>
                <w:bCs w:val="1"/>
                <w:color w:val="auto"/>
              </w:rPr>
              <w:t>(in millions)</w:t>
            </w: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Accounts receivable, less allowance for credit losses of $56 and $45, respectively</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revenues, less allowance for credit losses of $3 and $4, respectively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Natural gas inventory</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8,972</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23"/>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23"/>
        </w:trPr>
        <w:tc>
          <w:tcPr>
            <w:tcW w:w="830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w:t>
            </w: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 (continued) (Unaudited)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STOCKHOLDER’S EQUITY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179"/>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millions)</w:t>
            </w: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Taxes accrued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accrued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23"/>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r>
      <w:tr>
        <w:trPr>
          <w:trHeight w:val="20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r>
      <w:tr>
        <w:trPr>
          <w:trHeight w:val="248"/>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40" w:right="2080"/>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7"/>
        </w:trPr>
        <w:tc>
          <w:tcPr>
            <w:tcW w:w="83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179"/>
        </w:trPr>
        <w:tc>
          <w:tcPr>
            <w:tcW w:w="8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r>
      <w:tr>
        <w:trPr>
          <w:trHeight w:val="234"/>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29"/>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Goodwill impairment and loss from reclassification to held for sale</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Write-down of natural gas inventory</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3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(159)</w:t>
            </w:r>
          </w:p>
        </w:tc>
      </w:tr>
      <w:tr>
        <w:trPr>
          <w:trHeight w:val="229"/>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and taxes accrued</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Non-trading derivatives, net</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Margin deposits, net</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(2,065)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liabilities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w:t>
            </w:r>
          </w:p>
        </w:tc>
      </w:tr>
      <w:tr>
        <w:trPr>
          <w:trHeight w:val="230"/>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(payments of) commercial paper, net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w:t>
            </w: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to parent</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(205)</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3"/>
              </w:rPr>
              <w:t>Three Months Ended March 31,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r>
      <w:tr>
        <w:trPr>
          <w:trHeight w:val="181"/>
        </w:trPr>
        <w:tc>
          <w:tcPr>
            <w:tcW w:w="76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r>
      <w:tr>
        <w:trPr>
          <w:trHeight w:val="167"/>
        </w:trPr>
        <w:tc>
          <w:tcPr>
            <w:tcW w:w="7680" w:type="dxa"/>
            <w:vAlign w:val="bottom"/>
          </w:tcPr>
          <w:p>
            <w:pPr>
              <w:spacing w:after="0"/>
              <w:rPr>
                <w:sz w:val="14"/>
                <w:szCs w:val="14"/>
                <w:color w:val="auto"/>
              </w:rPr>
            </w:pPr>
          </w:p>
        </w:tc>
        <w:tc>
          <w:tcPr>
            <w:tcW w:w="800" w:type="dxa"/>
            <w:vAlign w:val="bottom"/>
            <w:gridSpan w:val="2"/>
          </w:tcPr>
          <w:p>
            <w:pPr>
              <w:ind w:left="660"/>
              <w:spacing w:after="0"/>
              <w:rPr>
                <w:sz w:val="20"/>
                <w:szCs w:val="20"/>
                <w:color w:val="auto"/>
              </w:rPr>
            </w:pPr>
            <w:r>
              <w:rPr>
                <w:rFonts w:ascii="Arial" w:cs="Arial" w:eastAsia="Arial" w:hAnsi="Arial"/>
                <w:sz w:val="13"/>
                <w:szCs w:val="13"/>
                <w:b w:val="1"/>
                <w:bCs w:val="1"/>
                <w:color w:val="auto"/>
                <w:w w:val="75"/>
              </w:rPr>
              <w:t>(in</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millions, except</w:t>
            </w:r>
          </w:p>
        </w:tc>
        <w:tc>
          <w:tcPr>
            <w:tcW w:w="1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share amounts)</w:t>
            </w:r>
          </w:p>
        </w:tc>
        <w:tc>
          <w:tcPr>
            <w:tcW w:w="1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r>
      <w:tr>
        <w:trPr>
          <w:trHeight w:val="234"/>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beginning of period</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r>
      <w:tr>
        <w:trPr>
          <w:trHeight w:val="223"/>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Adoption of ASU 2016-13</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COMBINED NOTES TO INTERIM CONDENSED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discussed in the last paragraph in Note 12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2020 Form 10-K. The Combined Notes to Interim Condensed Financial Statements apply to all Registrants and specific references to Houston Electric and CERC herein also pertain to CenterPoint Energy, unless otherwise indicated.</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Background. </w:t>
      </w:r>
      <w:r>
        <w:rPr>
          <w:rFonts w:ascii="Arial" w:cs="Arial" w:eastAsia="Arial" w:hAnsi="Arial"/>
          <w:sz w:val="18"/>
          <w:szCs w:val="18"/>
          <w:color w:val="auto"/>
        </w:rPr>
        <w:t>CenterPoint Energy, Inc. is a public utility holding company and owns interests in Enable, a publicly traded MLP, as described below. As</w:t>
      </w:r>
      <w:r>
        <w:rPr>
          <w:rFonts w:ascii="Arial" w:cs="Arial" w:eastAsia="Arial" w:hAnsi="Arial"/>
          <w:sz w:val="18"/>
          <w:szCs w:val="18"/>
          <w:i w:val="1"/>
          <w:iCs w:val="1"/>
          <w:color w:val="auto"/>
        </w:rPr>
        <w:t xml:space="preserve"> </w:t>
      </w:r>
      <w:r>
        <w:rPr>
          <w:rFonts w:ascii="Arial" w:cs="Arial" w:eastAsia="Arial" w:hAnsi="Arial"/>
          <w:sz w:val="18"/>
          <w:szCs w:val="18"/>
          <w:color w:val="auto"/>
        </w:rPr>
        <w:t>of March 31, 2021, CenterPoint Energy’s operating subsidiaries reported as continuing operations were as follows:</w:t>
      </w:r>
    </w:p>
    <w:p>
      <w:pPr>
        <w:spacing w:after="0" w:line="197"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Houston Electric provides electric transmission service to transmission service customers in the ERCOT region and distribution service to REPs serving the Texas Gulf Coast area that includes the city of Houston.</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CERC (i) owns and operates natural gas distribution systems in six states; (ii) owns and operates permanent pipeline connections through interconnects with various interstate and intrastate pipeline companies through CEIP; and (iii) provides temporary delivery of LNG and CNG throughout the contiguous 48 states through MES.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holds three public utilities through its wholly-owned subsidiary, VUHI, a public utility holding company: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37"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1"/>
          <w:numId w:val="6"/>
        </w:numPr>
        <w:rPr>
          <w:rFonts w:ascii="Arial" w:cs="Arial" w:eastAsia="Arial" w:hAnsi="Arial"/>
          <w:sz w:val="18"/>
          <w:szCs w:val="18"/>
          <w:color w:val="auto"/>
        </w:rPr>
      </w:pPr>
      <w:r>
        <w:rPr>
          <w:rFonts w:ascii="Arial" w:cs="Arial" w:eastAsia="Arial" w:hAnsi="Arial"/>
          <w:sz w:val="18"/>
          <w:szCs w:val="18"/>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 and</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located in and near Dayton in west-central Ohio.</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performs non-utility activities through ESG, which provides energy performance contracting and sustainable infrastructure services, such as renewables, distributed generation and combined heat and power projects.</w:t>
      </w:r>
    </w:p>
    <w:p>
      <w:pPr>
        <w:spacing w:after="0" w:line="19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As of March 31, 2021, CenterPoint Energy’s reportable segments were Electric, Natural Gas and Midstream Investments. Houston Electric and CERC each consist of a single reportable segment. For a description of CenterPoint Energy’s reportable segments, see Note 16.</w:t>
      </w:r>
    </w:p>
    <w:p>
      <w:pPr>
        <w:spacing w:after="0" w:line="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March 31, 2021, CNP Midstream owned approximately 53.7% of the common units representing limited partner interests in Enable, which owns, operates and develops natural gas and crude oil infrastructure assets; CNP Midstream also owned 50% of the management rights and 40% of the incentive distribution rights in Enable GP. On February 16, 2021, Enable entered into the Enable Merger Agreement. At the closing of the transactions contemplated by the Enable Merger Agreement, if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when it occurs, Energy Transfer will acquire all of Enable’s outstanding equity interests, including all Enable common units and Enable Series A Preferred Units held by CenterPoint Energy, and in return CenterPoint Energy will receive Energy Transfer common units and Energy Transfer Series G Preferred Units. For additional information regarding CenterPoint Energy’s interest in Enable, including the 14,520,000 Enable Series A Preferred Units directly owned by CenterPoint Energy, and the Enable Merger, see Note 9.</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2021,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and energy services, (b) changes in energy commodity prices, (c) timing of maintenance and other expenditures and (d) acquisitions and dispositions of businesses, assets and other interests. Certain prior year amounts have been reclassified to conform to the current year reportable segment presentation described in the 2020 Form 10-K.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recently adopted and recently issued accounting standards that are not yet effective will not have a material impact on the Registrants’ financial position, results of operations or cash flows upon adoption.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 (CenterPoint Energy and CERC)</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CenterPoint Energy completed the sale of the Infrastructure Services Disposal Group on April 9, 2020 for $850 million and collected a receivable of $4 million from PowerTeam Services in January 2021 for full and final settlement of the working capital adjustment in the Securities Purchase Agreement. CenterPoint Energy, through its subsidiary CERC Corp., completed the sale of the Energy Services Disposal Group on June 1, 2020 for $286 million in cash and collected a receivable for $79 million in October 2020 for full and final settlement of the working capital adjustment.. The earnings and expenses directly associated with these dispositions for the three months ended March 31, 2020 are reflected as discontinued operations on CenterPoint Energy’s and CERC’s Condensed Statements of Consolidated Income, as applicable.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summary of the Infrastructure Services and Energy Services Disposal Groups presented in CenterPoint Energy’s and CERC’s Condensed Statements of Consolidated Income, as applicable,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 March 31, 2020</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CenterPoint Energy</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30"/>
        </w:trPr>
        <w:tc>
          <w:tcPr>
            <w:tcW w:w="4840" w:type="dxa"/>
            <w:vAlign w:val="bottom"/>
          </w:tcPr>
          <w:p>
            <w:pPr>
              <w:spacing w:after="0"/>
              <w:rPr>
                <w:sz w:val="11"/>
                <w:szCs w:val="11"/>
                <w:color w:val="auto"/>
              </w:rPr>
            </w:pPr>
          </w:p>
        </w:tc>
        <w:tc>
          <w:tcPr>
            <w:tcW w:w="164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Infrastructure Services</w:t>
            </w:r>
          </w:p>
        </w:tc>
        <w:tc>
          <w:tcPr>
            <w:tcW w:w="120" w:type="dxa"/>
            <w:vAlign w:val="bottom"/>
          </w:tcPr>
          <w:p>
            <w:pPr>
              <w:spacing w:after="0"/>
              <w:rPr>
                <w:sz w:val="11"/>
                <w:szCs w:val="11"/>
                <w:color w:val="auto"/>
              </w:rPr>
            </w:pPr>
          </w:p>
        </w:tc>
        <w:tc>
          <w:tcPr>
            <w:tcW w:w="15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9"/>
              </w:rPr>
              <w:t>Energy Services</w:t>
            </w:r>
          </w:p>
        </w:tc>
        <w:tc>
          <w:tcPr>
            <w:tcW w:w="4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340" w:type="dxa"/>
            <w:vAlign w:val="bottom"/>
          </w:tcPr>
          <w:p>
            <w:pPr>
              <w:jc w:val="center"/>
              <w:ind w:right="101"/>
              <w:spacing w:after="0" w:line="130" w:lineRule="exact"/>
              <w:rPr>
                <w:sz w:val="20"/>
                <w:szCs w:val="20"/>
                <w:color w:val="auto"/>
              </w:rPr>
            </w:pPr>
            <w:r>
              <w:rPr>
                <w:rFonts w:ascii="Arial" w:cs="Arial" w:eastAsia="Arial" w:hAnsi="Arial"/>
                <w:sz w:val="14"/>
                <w:szCs w:val="14"/>
                <w:b w:val="1"/>
                <w:bCs w:val="1"/>
                <w:color w:val="auto"/>
                <w:w w:val="91"/>
              </w:rPr>
              <w:t>Energy Services</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Disposal Group</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Disposal Group</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Disposal Group</w:t>
            </w: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193"/>
        </w:trPr>
        <w:tc>
          <w:tcPr>
            <w:tcW w:w="484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Non-utility cost of revenues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3"/>
        </w:trPr>
        <w:tc>
          <w:tcPr>
            <w:tcW w:w="4840" w:type="dxa"/>
            <w:vAlign w:val="bottom"/>
          </w:tcPr>
          <w:p>
            <w:pPr>
              <w:ind w:left="140"/>
              <w:spacing w:after="0"/>
              <w:rPr>
                <w:sz w:val="20"/>
                <w:szCs w:val="20"/>
                <w:color w:val="auto"/>
              </w:rPr>
            </w:pPr>
            <w:r>
              <w:rPr>
                <w:rFonts w:ascii="Arial" w:cs="Arial" w:eastAsia="Arial" w:hAnsi="Arial"/>
                <w:sz w:val="16"/>
                <w:szCs w:val="16"/>
                <w:color w:val="auto"/>
              </w:rPr>
              <w:t>Operation and maintenance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4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 before income taxes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 xml:space="preserve">Loss on classification to held for sale, net </w:t>
            </w:r>
            <w:r>
              <w:rPr>
                <w:rFonts w:ascii="Arial" w:cs="Arial" w:eastAsia="Arial" w:hAnsi="Arial"/>
                <w:sz w:val="12"/>
                <w:szCs w:val="12"/>
                <w:color w:val="auto"/>
              </w:rPr>
              <w:t>(1)</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840" w:type="dxa"/>
            <w:vAlign w:val="bottom"/>
          </w:tcPr>
          <w:p>
            <w:pPr>
              <w:ind w:left="360"/>
              <w:spacing w:after="0"/>
              <w:rPr>
                <w:sz w:val="20"/>
                <w:szCs w:val="20"/>
                <w:color w:val="auto"/>
              </w:rPr>
            </w:pPr>
            <w:r>
              <w:rPr>
                <w:rFonts w:ascii="Arial" w:cs="Arial" w:eastAsia="Arial" w:hAnsi="Arial"/>
                <w:sz w:val="16"/>
                <w:szCs w:val="16"/>
                <w:color w:val="auto"/>
              </w:rPr>
              <w:t>Net loss from Discontinued Operations</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line="277"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from classification to held for sale is inclusive of goodwill impairment, gains and losses recognized upon sale, and for CenterPoint Energy, its costs to sell.</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CenterPoint Energy and CERC have elected not to separately disclose discontinued operations on their respective Condensed Statements of Consolidated Cash Flows. Unregulated l</w:t>
      </w:r>
      <w:r>
        <w:rPr>
          <w:rFonts w:ascii="Arial" w:cs="Arial" w:eastAsia="Arial" w:hAnsi="Arial"/>
          <w:sz w:val="18"/>
          <w:szCs w:val="18"/>
          <w:color w:val="211D1E"/>
        </w:rPr>
        <w:t>ong-lived assets are not depreciated or amortized once they are classified as held for sale.</w:t>
      </w:r>
      <w:r>
        <w:rPr>
          <w:rFonts w:ascii="Arial" w:cs="Arial" w:eastAsia="Arial" w:hAnsi="Arial"/>
          <w:sz w:val="18"/>
          <w:szCs w:val="18"/>
          <w:color w:val="auto"/>
        </w:rPr>
        <w:t xml:space="preserve"> The following table summarizes CenterPoint Energy’s and CERC’s cash flows from discontinued operations and certain supplemental cash flow disclosures related to the Infrastructure Services and Energy Services Disposal Groups, as applicable: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gridSpan w:val="5"/>
          </w:tcPr>
          <w:p>
            <w:pPr>
              <w:jc w:val="center"/>
              <w:ind w:right="64"/>
              <w:spacing w:after="0"/>
              <w:rPr>
                <w:sz w:val="20"/>
                <w:szCs w:val="20"/>
                <w:color w:val="auto"/>
              </w:rPr>
            </w:pPr>
            <w:r>
              <w:rPr>
                <w:rFonts w:ascii="Arial" w:cs="Arial" w:eastAsia="Arial" w:hAnsi="Arial"/>
                <w:sz w:val="14"/>
                <w:szCs w:val="14"/>
                <w:b w:val="1"/>
                <w:bCs w:val="1"/>
                <w:color w:val="auto"/>
                <w:w w:val="94"/>
              </w:rPr>
              <w:t>Three Months Ended March 31, 2020</w:t>
            </w:r>
          </w:p>
        </w:tc>
      </w:tr>
      <w:tr>
        <w:trPr>
          <w:trHeight w:val="187"/>
        </w:trPr>
        <w:tc>
          <w:tcPr>
            <w:tcW w:w="5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gridSpan w:val="3"/>
          </w:tcPr>
          <w:p>
            <w:pPr>
              <w:ind w:left="1040"/>
              <w:spacing w:after="0"/>
              <w:rPr>
                <w:sz w:val="20"/>
                <w:szCs w:val="20"/>
                <w:color w:val="auto"/>
              </w:rPr>
            </w:pPr>
            <w:r>
              <w:rPr>
                <w:rFonts w:ascii="Arial" w:cs="Arial" w:eastAsia="Arial" w:hAnsi="Arial"/>
                <w:sz w:val="14"/>
                <w:szCs w:val="14"/>
                <w:b w:val="1"/>
                <w:bCs w:val="1"/>
                <w:color w:val="auto"/>
              </w:rPr>
              <w:t>CenterPoint Energy</w:t>
            </w:r>
          </w:p>
        </w:tc>
        <w:tc>
          <w:tcPr>
            <w:tcW w:w="100" w:type="dxa"/>
            <w:vAlign w:val="bottom"/>
          </w:tcPr>
          <w:p>
            <w:pPr>
              <w:spacing w:after="0"/>
              <w:rPr>
                <w:sz w:val="16"/>
                <w:szCs w:val="16"/>
                <w:color w:val="auto"/>
              </w:rPr>
            </w:pPr>
          </w:p>
        </w:tc>
        <w:tc>
          <w:tcPr>
            <w:tcW w:w="1660" w:type="dxa"/>
            <w:vAlign w:val="bottom"/>
          </w:tcPr>
          <w:p>
            <w:pPr>
              <w:jc w:val="center"/>
              <w:ind w:right="24"/>
              <w:spacing w:after="0"/>
              <w:rPr>
                <w:sz w:val="20"/>
                <w:szCs w:val="20"/>
                <w:color w:val="auto"/>
              </w:rPr>
            </w:pPr>
            <w:r>
              <w:rPr>
                <w:rFonts w:ascii="Arial" w:cs="Arial" w:eastAsia="Arial" w:hAnsi="Arial"/>
                <w:sz w:val="14"/>
                <w:szCs w:val="14"/>
                <w:b w:val="1"/>
                <w:bCs w:val="1"/>
                <w:color w:val="auto"/>
              </w:rPr>
              <w:t>CERC</w:t>
            </w:r>
          </w:p>
        </w:tc>
      </w:tr>
      <w:tr>
        <w:trPr>
          <w:trHeight w:val="130"/>
        </w:trPr>
        <w:tc>
          <w:tcPr>
            <w:tcW w:w="57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jc w:val="right"/>
              <w:ind w:right="304"/>
              <w:spacing w:after="0" w:line="130" w:lineRule="exact"/>
              <w:rPr>
                <w:sz w:val="20"/>
                <w:szCs w:val="20"/>
                <w:color w:val="auto"/>
              </w:rPr>
            </w:pPr>
            <w:r>
              <w:rPr>
                <w:rFonts w:ascii="Arial" w:cs="Arial" w:eastAsia="Arial" w:hAnsi="Arial"/>
                <w:sz w:val="14"/>
                <w:szCs w:val="14"/>
                <w:b w:val="1"/>
                <w:bCs w:val="1"/>
                <w:color w:val="auto"/>
                <w:w w:val="93"/>
              </w:rPr>
              <w:t>Infrastructure Services</w:t>
            </w:r>
          </w:p>
        </w:tc>
        <w:tc>
          <w:tcPr>
            <w:tcW w:w="1640" w:type="dxa"/>
            <w:vAlign w:val="bottom"/>
            <w:tcBorders>
              <w:top w:val="single" w:sz="8" w:color="auto"/>
            </w:tcBorders>
          </w:tcPr>
          <w:p>
            <w:pPr>
              <w:jc w:val="center"/>
              <w:ind w:right="24"/>
              <w:spacing w:after="0" w:line="130" w:lineRule="exact"/>
              <w:rPr>
                <w:sz w:val="20"/>
                <w:szCs w:val="20"/>
                <w:color w:val="auto"/>
              </w:rPr>
            </w:pPr>
            <w:r>
              <w:rPr>
                <w:rFonts w:ascii="Arial" w:cs="Arial" w:eastAsia="Arial" w:hAnsi="Arial"/>
                <w:sz w:val="14"/>
                <w:szCs w:val="14"/>
                <w:b w:val="1"/>
                <w:bCs w:val="1"/>
                <w:color w:val="auto"/>
                <w:w w:val="89"/>
              </w:rPr>
              <w:t>Energy Services Disposal</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44"/>
              <w:spacing w:after="0" w:line="130" w:lineRule="exact"/>
              <w:rPr>
                <w:sz w:val="20"/>
                <w:szCs w:val="20"/>
                <w:color w:val="auto"/>
              </w:rPr>
            </w:pPr>
            <w:r>
              <w:rPr>
                <w:rFonts w:ascii="Arial" w:cs="Arial" w:eastAsia="Arial" w:hAnsi="Arial"/>
                <w:sz w:val="14"/>
                <w:szCs w:val="14"/>
                <w:b w:val="1"/>
                <w:bCs w:val="1"/>
                <w:color w:val="auto"/>
                <w:w w:val="89"/>
              </w:rPr>
              <w:t>Energy Services Disposal</w:t>
            </w:r>
          </w:p>
        </w:tc>
      </w:tr>
      <w:tr>
        <w:trPr>
          <w:trHeight w:val="188"/>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Disposal Group</w:t>
            </w:r>
          </w:p>
        </w:tc>
        <w:tc>
          <w:tcPr>
            <w:tcW w:w="1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5"/>
              </w:rPr>
              <w:t>Group</w:t>
            </w:r>
          </w:p>
        </w:tc>
      </w:tr>
      <w:tr>
        <w:trPr>
          <w:trHeight w:val="18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Write-down of natural gas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18"/>
                <w:szCs w:val="18"/>
                <w:color w:val="auto"/>
              </w:rPr>
            </w:pPr>
          </w:p>
        </w:tc>
        <w:tc>
          <w:tcPr>
            <w:tcW w:w="1820" w:type="dxa"/>
            <w:vAlign w:val="bottom"/>
          </w:tcPr>
          <w:p>
            <w:pPr>
              <w:jc w:val="right"/>
              <w:ind w:right="204"/>
              <w:spacing w:after="0"/>
              <w:rPr>
                <w:sz w:val="20"/>
                <w:szCs w:val="20"/>
                <w:color w:val="auto"/>
              </w:rPr>
            </w:pPr>
            <w:r>
              <w:rPr>
                <w:rFonts w:ascii="Arial" w:cs="Arial" w:eastAsia="Arial" w:hAnsi="Arial"/>
                <w:sz w:val="16"/>
                <w:szCs w:val="16"/>
                <w:color w:val="auto"/>
              </w:rPr>
              <w:t>16</w:t>
            </w: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6"/>
                <w:szCs w:val="16"/>
                <w:color w:val="auto"/>
              </w:rPr>
              <w:t>Accounts payable related to capital expenditures</w:t>
            </w:r>
          </w:p>
        </w:tc>
        <w:tc>
          <w:tcPr>
            <w:tcW w:w="140" w:type="dxa"/>
            <w:vAlign w:val="bottom"/>
          </w:tcPr>
          <w:p>
            <w:pPr>
              <w:spacing w:after="0"/>
              <w:rPr>
                <w:sz w:val="18"/>
                <w:szCs w:val="18"/>
                <w:color w:val="auto"/>
              </w:rPr>
            </w:pPr>
          </w:p>
        </w:tc>
        <w:tc>
          <w:tcPr>
            <w:tcW w:w="1820" w:type="dxa"/>
            <w:vAlign w:val="bottom"/>
          </w:tcPr>
          <w:p>
            <w:pPr>
              <w:jc w:val="right"/>
              <w:ind w:right="204"/>
              <w:spacing w:after="0"/>
              <w:rPr>
                <w:sz w:val="20"/>
                <w:szCs w:val="20"/>
                <w:color w:val="auto"/>
              </w:rPr>
            </w:pPr>
            <w:r>
              <w:rPr>
                <w:rFonts w:ascii="Arial" w:cs="Arial" w:eastAsia="Arial" w:hAnsi="Arial"/>
                <w:sz w:val="16"/>
                <w:szCs w:val="16"/>
                <w:color w:val="auto"/>
              </w:rPr>
              <w:t>2</w:t>
            </w: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3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Sale Related Matters (CenterPoint Energy and CERC). </w:t>
      </w:r>
      <w:r>
        <w:rPr>
          <w:rFonts w:ascii="Arial" w:cs="Arial" w:eastAsia="Arial" w:hAnsi="Arial"/>
          <w:sz w:val="18"/>
          <w:szCs w:val="18"/>
          <w:color w:val="auto"/>
        </w:rPr>
        <w:t>CES provided natural gas supply to CenterPoint Energy’s and CERC’s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under contracts executed in a competitive bidding process, with the duration of some contracts extending into 2021. In addition, CERC is the natural gas transportation provider for a portion of CES’s customer base and will continue to be the transportation provider for these customers as long as these customers retain a relationship with the divested CES business.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Transactions between CES and CenterPoint Energy’s and CERC’s Natural Gas that were previously eliminated in consolidation have been reflected in continuing operations until June 1, 2020, which was the date of closing of the sale of the Energy Services Disposal Group. Revenues and expenses included in continuing operations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36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5"/>
              </w:rPr>
              <w:t>Three Months Ended March 31, 2020</w:t>
            </w:r>
          </w:p>
        </w:tc>
        <w:tc>
          <w:tcPr>
            <w:tcW w:w="48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CERC</w:t>
            </w:r>
          </w:p>
        </w:tc>
        <w:tc>
          <w:tcPr>
            <w:tcW w:w="480" w:type="dxa"/>
            <w:vAlign w:val="bottom"/>
            <w:tcBorders>
              <w:bottom w:val="single" w:sz="8" w:color="auto"/>
            </w:tcBorders>
          </w:tcPr>
          <w:p>
            <w:pPr>
              <w:spacing w:after="0"/>
              <w:rPr>
                <w:sz w:val="16"/>
                <w:szCs w:val="16"/>
                <w:color w:val="auto"/>
              </w:rPr>
            </w:pPr>
          </w:p>
        </w:tc>
      </w:tr>
      <w:tr>
        <w:trPr>
          <w:trHeight w:val="183"/>
        </w:trPr>
        <w:tc>
          <w:tcPr>
            <w:tcW w:w="7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0" w:type="dxa"/>
            <w:vAlign w:val="bottom"/>
            <w:gridSpan w:val="2"/>
          </w:tcPr>
          <w:p>
            <w:pPr>
              <w:jc w:val="center"/>
              <w:ind w:right="979"/>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5"/>
                <w:szCs w:val="15"/>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revenue</w:t>
            </w:r>
          </w:p>
        </w:tc>
        <w:tc>
          <w:tcPr>
            <w:tcW w:w="1560" w:type="dxa"/>
            <w:vAlign w:val="bottom"/>
            <w:shd w:val="clear" w:color="auto" w:fill="CCEEFF"/>
          </w:tcPr>
          <w:p>
            <w:pPr>
              <w:jc w:val="right"/>
              <w:ind w:right="1362"/>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460" w:type="dxa"/>
            <w:vAlign w:val="bottom"/>
            <w:shd w:val="clear" w:color="auto" w:fill="CCEEFF"/>
          </w:tcPr>
          <w:p>
            <w:pPr>
              <w:jc w:val="right"/>
              <w:ind w:right="119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Natural gas expense</w:t>
            </w:r>
          </w:p>
        </w:tc>
        <w:tc>
          <w:tcPr>
            <w:tcW w:w="1560" w:type="dxa"/>
            <w:vAlign w:val="bottom"/>
          </w:tcPr>
          <w:p>
            <w:pPr>
              <w:spacing w:after="0"/>
              <w:rPr>
                <w:sz w:val="20"/>
                <w:szCs w:val="20"/>
                <w:color w:val="auto"/>
              </w:rPr>
            </w:pPr>
          </w:p>
        </w:tc>
        <w:tc>
          <w:tcPr>
            <w:tcW w:w="34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1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Natural Gas had AMAs associated with their utility distribution service in Arkansas, Louisiana and Oklahoma with the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Energy Services Disposal Group which expired in March 2021. The expired AMAs were replaced with new third-party AMAs beginning in April 2021. CenterPoint Energy and CERC had outstanding obligations related to the AMAs of $-0- and $24 million as of March 31, 2021 and December 31, 2020, respectively.</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Infrastructure Services Disposal Group provided pipeline construction and repair services to CenterPoint Energy’s and CERC’s Natural Gas. In accordance with consolidation guidance in ASC 980—Regulated Operations, costs incurred by Natural Gas utilities for these pipeline construction and repair services are not eliminated in consolidation when capitalized and included in rate base by the Natural Gas utility. Amounts charged for these services that are not capitalized are included primarily in Operation and maintenance expenses. Fees incurred by CenterPoint Energy’s and CERC’s Natural Gas for pipeline construction and repair services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4"/>
                <w:szCs w:val="14"/>
                <w:b w:val="1"/>
                <w:bCs w:val="1"/>
                <w:color w:val="auto"/>
                <w:w w:val="94"/>
              </w:rPr>
              <w:t>Three Months Ended March 31, 2020</w:t>
            </w:r>
          </w:p>
        </w:tc>
      </w:tr>
      <w:tr>
        <w:trPr>
          <w:trHeight w:val="187"/>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CenterPoint Energy</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CERC</w:t>
            </w:r>
          </w:p>
        </w:tc>
      </w:tr>
      <w:tr>
        <w:trPr>
          <w:trHeight w:val="183"/>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2"/>
          </w:tcPr>
          <w:p>
            <w:pPr>
              <w:jc w:val="center"/>
              <w:ind w:left="901"/>
              <w:spacing w:after="0"/>
              <w:rPr>
                <w:sz w:val="20"/>
                <w:szCs w:val="20"/>
                <w:color w:val="auto"/>
              </w:rPr>
            </w:pPr>
            <w:r>
              <w:rPr>
                <w:rFonts w:ascii="Arial" w:cs="Arial" w:eastAsia="Arial" w:hAnsi="Arial"/>
                <w:sz w:val="14"/>
                <w:szCs w:val="14"/>
                <w:b w:val="1"/>
                <w:bCs w:val="1"/>
                <w:color w:val="auto"/>
                <w:w w:val="94"/>
              </w:rPr>
              <w:t>(in millions)</w:t>
            </w:r>
          </w:p>
        </w:tc>
        <w:tc>
          <w:tcPr>
            <w:tcW w:w="1180" w:type="dxa"/>
            <w:vAlign w:val="bottom"/>
          </w:tcPr>
          <w:p>
            <w:pPr>
              <w:spacing w:after="0"/>
              <w:rPr>
                <w:sz w:val="15"/>
                <w:szCs w:val="15"/>
                <w:color w:val="auto"/>
              </w:rPr>
            </w:pPr>
          </w:p>
        </w:tc>
      </w:tr>
      <w:tr>
        <w:trPr>
          <w:trHeight w:val="23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construction and repair services capitalized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Pipeline construction and repair service charges in operations and maintenance expense</w:t>
            </w:r>
          </w:p>
        </w:tc>
        <w:tc>
          <w:tcPr>
            <w:tcW w:w="18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0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Securities Purchase Agreement, CenterPoint Energy agreed to a mechanism to reimburse PowerTeam Services subsequent to closing of the sale for certain amounts of specifically identified change orders that may be ultimately rejected by one of VISCO’s customers as part of on-going audits. CenterPoint Energy’s maximum contractual exposure under the Securities Purchase Agreement, in addition to the amount reflected in the working capital adjustment, for these change orders is $21 million. CenterPoint Energy does not expect the ultimate outcome of this matter to have a material adverse effect on its financial condition, results of operations or cash flows. CenterPoint Energy anticipates this matter will be resolved in 2021.</w:t>
      </w:r>
    </w:p>
    <w:p>
      <w:pPr>
        <w:spacing w:after="0" w:line="184" w:lineRule="exact"/>
        <w:rPr>
          <w:sz w:val="20"/>
          <w:szCs w:val="20"/>
          <w:color w:val="auto"/>
        </w:rPr>
      </w:pPr>
    </w:p>
    <w:p>
      <w:pPr>
        <w:ind w:right="6820" w:firstLine="8"/>
        <w:spacing w:after="0" w:line="534" w:lineRule="auto"/>
        <w:tabs>
          <w:tab w:leader="none" w:pos="25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Allowance for Credit Losses Revenues from Contracts with Customers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 The revenues and related balances in the following tables exclude operating revenues and balances from the Energy Services Disposal Group and the Infrastructure Services Disposal Group, which are reflected as discontinued operations prior to the date of closing of each transaction. See Note 3 for further information. Certain prior year amounts have been reclassified to conform to the current year reportable segment presentation described in the Registrants’ combined 2020 Form 10-K.</w:t>
      </w:r>
    </w:p>
    <w:p>
      <w:pPr>
        <w:spacing w:after="0" w:line="2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 March 31, 2021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2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Electric</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11"/>
                <w:szCs w:val="11"/>
                <w:color w:val="auto"/>
              </w:rPr>
            </w:pPr>
          </w:p>
        </w:tc>
        <w:tc>
          <w:tcPr>
            <w:tcW w:w="1340" w:type="dxa"/>
            <w:vAlign w:val="bottom"/>
            <w:vMerge w:val="restart"/>
          </w:tcPr>
          <w:p>
            <w:pPr>
              <w:jc w:val="right"/>
              <w:ind w:right="6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44"/>
              <w:spacing w:after="0"/>
              <w:rPr>
                <w:sz w:val="20"/>
                <w:szCs w:val="20"/>
                <w:color w:val="auto"/>
              </w:rPr>
            </w:pPr>
            <w:r>
              <w:rPr>
                <w:rFonts w:ascii="Arial" w:cs="Arial" w:eastAsia="Arial" w:hAnsi="Arial"/>
                <w:sz w:val="14"/>
                <w:szCs w:val="14"/>
                <w:b w:val="1"/>
                <w:bCs w:val="1"/>
                <w:color w:val="auto"/>
                <w:w w:val="94"/>
              </w:rPr>
              <w:t>(in millions)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60" w:type="dxa"/>
            <w:vAlign w:val="bottom"/>
            <w:shd w:val="clear" w:color="auto" w:fill="CCEEFF"/>
          </w:tcPr>
          <w:p>
            <w:pPr>
              <w:jc w:val="right"/>
              <w:ind w:right="10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8"/>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260" w:type="dxa"/>
            <w:vAlign w:val="bottom"/>
            <w:tcBorders>
              <w:bottom w:val="single" w:sz="8" w:color="auto"/>
            </w:tcBorders>
            <w:shd w:val="clear" w:color="auto" w:fill="CCEEFF"/>
          </w:tcPr>
          <w:p>
            <w:pPr>
              <w:jc w:val="right"/>
              <w:ind w:right="10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 March 31, 2020</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2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Electric</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11"/>
                <w:szCs w:val="11"/>
                <w:color w:val="auto"/>
              </w:rPr>
            </w:pPr>
          </w:p>
        </w:tc>
        <w:tc>
          <w:tcPr>
            <w:tcW w:w="1340" w:type="dxa"/>
            <w:vAlign w:val="bottom"/>
            <w:vMerge w:val="restart"/>
          </w:tcPr>
          <w:p>
            <w:pPr>
              <w:jc w:val="right"/>
              <w:ind w:right="6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44"/>
              <w:spacing w:after="0"/>
              <w:rPr>
                <w:sz w:val="20"/>
                <w:szCs w:val="20"/>
                <w:color w:val="auto"/>
              </w:rPr>
            </w:pPr>
            <w:r>
              <w:rPr>
                <w:rFonts w:ascii="Arial" w:cs="Arial" w:eastAsia="Arial" w:hAnsi="Arial"/>
                <w:sz w:val="14"/>
                <w:szCs w:val="14"/>
                <w:b w:val="1"/>
                <w:bCs w:val="1"/>
                <w:color w:val="auto"/>
                <w:w w:val="94"/>
              </w:rPr>
              <w:t>(in millions)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60" w:type="dxa"/>
            <w:vAlign w:val="bottom"/>
            <w:shd w:val="clear" w:color="auto" w:fill="CCEEFF"/>
          </w:tcPr>
          <w:p>
            <w:pPr>
              <w:jc w:val="right"/>
              <w:ind w:right="10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8"/>
        </w:trPr>
        <w:tc>
          <w:tcPr>
            <w:tcW w:w="3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260" w:type="dxa"/>
            <w:vAlign w:val="bottom"/>
            <w:tcBorders>
              <w:top w:val="single" w:sz="8" w:color="auto"/>
              <w:bottom w:val="single" w:sz="8" w:color="auto"/>
            </w:tcBorders>
            <w:shd w:val="clear" w:color="auto" w:fill="CCEEFF"/>
          </w:tcPr>
          <w:p>
            <w:pPr>
              <w:jc w:val="right"/>
              <w:ind w:right="108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line="277"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Total lease income was $2 million and $1 million for the three months ended March 31,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7"/>
        </w:trPr>
        <w:tc>
          <w:tcPr>
            <w:tcW w:w="7200" w:type="dxa"/>
            <w:vAlign w:val="bottom"/>
          </w:tcPr>
          <w:p>
            <w:pPr>
              <w:spacing w:after="0"/>
              <w:rPr>
                <w:sz w:val="16"/>
                <w:szCs w:val="16"/>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r>
      <w:tr>
        <w:trPr>
          <w:trHeight w:val="170"/>
        </w:trPr>
        <w:tc>
          <w:tcPr>
            <w:tcW w:w="7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80" w:type="dxa"/>
            <w:vAlign w:val="bottom"/>
            <w:gridSpan w:val="3"/>
          </w:tcPr>
          <w:p>
            <w:pPr>
              <w:jc w:val="right"/>
              <w:ind w:right="1016"/>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36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7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36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Primarily consists of income from ARPs and leases. Lease income was not significant for the three months ended March 31, 2021 and 2020.</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187"/>
        </w:trPr>
        <w:tc>
          <w:tcPr>
            <w:tcW w:w="7100" w:type="dxa"/>
            <w:vAlign w:val="bottom"/>
          </w:tcPr>
          <w:p>
            <w:pPr>
              <w:spacing w:after="0"/>
              <w:rPr>
                <w:sz w:val="16"/>
                <w:szCs w:val="16"/>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r>
      <w:tr>
        <w:trPr>
          <w:trHeight w:val="183"/>
        </w:trPr>
        <w:tc>
          <w:tcPr>
            <w:tcW w:w="7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gridSpan w:val="3"/>
          </w:tcPr>
          <w:p>
            <w:pPr>
              <w:jc w:val="right"/>
              <w:ind w:right="89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5"/>
                <w:szCs w:val="15"/>
                <w:color w:val="auto"/>
              </w:rPr>
            </w:pPr>
          </w:p>
        </w:tc>
      </w:tr>
      <w:tr>
        <w:trPr>
          <w:trHeight w:val="23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line="277"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Lease income was not significant for the three months ended March 31, 2021 and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Electric (CenterPoint Energy and Houston Electric). </w:t>
      </w:r>
      <w:r>
        <w:rPr>
          <w:rFonts w:ascii="Arial" w:cs="Arial" w:eastAsia="Arial" w:hAnsi="Arial"/>
          <w:sz w:val="16"/>
          <w:szCs w:val="16"/>
          <w:color w:val="auto"/>
        </w:rPr>
        <w:t>Houston Electric distributes electricity to customers over time and customers consume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electricity when delivered. Indiana Electric generates, distributes and transmits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19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Natural Gas (CenterPoint Energy and CERC). </w:t>
      </w:r>
      <w:r>
        <w:rPr>
          <w:rFonts w:ascii="Arial" w:cs="Arial" w:eastAsia="Arial" w:hAnsi="Arial"/>
          <w:sz w:val="17"/>
          <w:szCs w:val="17"/>
          <w:color w:val="auto"/>
        </w:rPr>
        <w:t>CenterPoint Energy and CERC distribute and transport natural gas to customers over time,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221F1F"/>
        </w:rPr>
        <w:t xml:space="preserve">Contract Balances. </w:t>
      </w:r>
      <w:r>
        <w:rPr>
          <w:rFonts w:ascii="Arial" w:cs="Arial" w:eastAsia="Arial" w:hAnsi="Arial"/>
          <w:sz w:val="16"/>
          <w:szCs w:val="16"/>
          <w:color w:val="221F1F"/>
        </w:rPr>
        <w:t>When the timing of delivery of service is different from the timing of the payments made by customers and when the right to</w:t>
      </w:r>
      <w:r>
        <w:rPr>
          <w:rFonts w:ascii="Arial" w:cs="Arial" w:eastAsia="Arial" w:hAnsi="Arial"/>
          <w:sz w:val="16"/>
          <w:szCs w:val="16"/>
          <w:b w:val="1"/>
          <w:bCs w:val="1"/>
          <w:i w:val="1"/>
          <w:iCs w:val="1"/>
          <w:color w:val="221F1F"/>
        </w:rPr>
        <w:t xml:space="preserve"> </w:t>
      </w:r>
      <w:r>
        <w:rPr>
          <w:rFonts w:ascii="Arial" w:cs="Arial" w:eastAsia="Arial" w:hAnsi="Arial"/>
          <w:sz w:val="16"/>
          <w:szCs w:val="16"/>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March 31, 2021, CenterPoint Energy’s contract assets primarily relate to ESG contracts where revenue is recognized using the input method. The Registrants’ contract liabilities are included in Accounts payable and Other current liabilities in their Condensed Consolidated Balance Sheets. As of March 31, 2021, CenterPoint Energy’s contract liabilities primarily relate to ESG contracts where revenue is recognized using the input method.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221F1F"/>
        </w:rPr>
        <w:t>The opening and closing balances of accounts receivable related to ASC 606 revenues, other accrued unbilled revenue, contract assets and contract liabilities from contracts with customers from continuing operations as of December 31, 2020 and March 31, 2021, respectively, are as follows:</w:t>
      </w:r>
    </w:p>
    <w:p>
      <w:pPr>
        <w:sectPr>
          <w:pgSz w:w="11900" w:h="16838" w:orient="portrait"/>
          <w:cols w:equalWidth="0" w:num="1">
            <w:col w:w="11240"/>
          </w:cols>
          <w:pgMar w:left="320" w:top="125" w:right="3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right="1400"/>
        <w:spacing w:after="0" w:line="325" w:lineRule="auto"/>
        <w:rPr>
          <w:sz w:val="20"/>
          <w:szCs w:val="20"/>
          <w:color w:val="auto"/>
        </w:rPr>
      </w:pPr>
      <w:r>
        <w:rPr>
          <w:rFonts w:ascii="Arial" w:cs="Arial" w:eastAsia="Arial" w:hAnsi="Arial"/>
          <w:sz w:val="16"/>
          <w:szCs w:val="16"/>
          <w:color w:val="auto"/>
        </w:rPr>
        <w:t>Opening balance as of December 31, 2020 Closing balance as of March 31, 2021</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38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4"/>
                <w:szCs w:val="14"/>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 Revenues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center"/>
              <w:ind w:left="819"/>
              <w:spacing w:after="0"/>
              <w:rPr>
                <w:sz w:val="20"/>
                <w:szCs w:val="20"/>
                <w:color w:val="auto"/>
              </w:rPr>
            </w:pPr>
            <w:r>
              <w:rPr>
                <w:rFonts w:ascii="Arial" w:cs="Arial" w:eastAsia="Arial" w:hAnsi="Arial"/>
                <w:sz w:val="18"/>
                <w:szCs w:val="18"/>
                <w:color w:val="auto"/>
                <w:w w:val="93"/>
              </w:rPr>
              <w:t>505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819"/>
              <w:spacing w:after="0"/>
              <w:rPr>
                <w:sz w:val="20"/>
                <w:szCs w:val="20"/>
                <w:color w:val="auto"/>
              </w:rPr>
            </w:pPr>
            <w:r>
              <w:rPr>
                <w:rFonts w:ascii="Arial" w:cs="Arial" w:eastAsia="Arial" w:hAnsi="Arial"/>
                <w:sz w:val="18"/>
                <w:szCs w:val="18"/>
                <w:color w:val="auto"/>
                <w:w w:val="93"/>
              </w:rPr>
              <w:t>343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779"/>
              <w:spacing w:after="0"/>
              <w:rPr>
                <w:sz w:val="20"/>
                <w:szCs w:val="20"/>
                <w:color w:val="auto"/>
              </w:rPr>
            </w:pPr>
            <w:r>
              <w:rPr>
                <w:rFonts w:ascii="Arial" w:cs="Arial" w:eastAsia="Arial" w:hAnsi="Arial"/>
                <w:sz w:val="18"/>
                <w:szCs w:val="18"/>
                <w:color w:val="auto"/>
                <w:w w:val="95"/>
              </w:rPr>
              <w:t>(162)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-479425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-187960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5" w:right="339" w:bottom="1440" w:gutter="0" w:footer="0" w:header="0"/>
          <w:type w:val="continuous"/>
        </w:sectPr>
      </w:pP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21F1F"/>
        </w:rPr>
        <w:t>The amount of revenue recognized in the three-month period ended March 31, 2021 that was included in the opening contract liability was $11 million. The difference between the opening and closing balances of the contract liabilities primarily results from the timing difference between CenterPoint Energy’s performance and the customer’s payment.</w:t>
      </w:r>
    </w:p>
    <w:p>
      <w:pPr>
        <w:sectPr>
          <w:pgSz w:w="11900" w:h="16838" w:orient="portrait"/>
          <w:cols w:equalWidth="0" w:num="1">
            <w:col w:w="11240"/>
          </w:cols>
          <w:pgMar w:left="320" w:top="125"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Opening balance as of December 31, 2020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balance as of March 31, 2021</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120" w:type="dxa"/>
            <w:vAlign w:val="bottom"/>
          </w:tcPr>
          <w:p>
            <w:pPr>
              <w:spacing w:after="0"/>
              <w:rPr>
                <w:sz w:val="14"/>
                <w:szCs w:val="14"/>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88"/>
        </w:trPr>
        <w:tc>
          <w:tcPr>
            <w:tcW w:w="15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 Revenues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-479425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500"/>
          </w:cols>
          <w:pgMar w:left="320" w:top="125" w:right="339" w:bottom="1440" w:gutter="0" w:footer="0" w:header="0"/>
          <w:type w:val="continuous"/>
        </w:sectPr>
      </w:pP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21F1F"/>
        </w:rPr>
        <w:t>The amount of revenue recognized in the three-month period ended March 31, 2021 that was included in the opening contract liability was $1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25"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Opening 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balance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 (decrease)</w:t>
      </w:r>
    </w:p>
    <w:p>
      <w:pPr>
        <w:spacing w:after="0" w:line="374" w:lineRule="exact"/>
        <w:rPr>
          <w:sz w:val="20"/>
          <w:szCs w:val="20"/>
          <w:color w:val="auto"/>
        </w:rPr>
      </w:pPr>
    </w:p>
    <w:p>
      <w:pPr>
        <w:ind w:left="340"/>
        <w:spacing w:after="0"/>
        <w:rPr>
          <w:sz w:val="20"/>
          <w:szCs w:val="20"/>
          <w:color w:val="auto"/>
        </w:rPr>
      </w:pPr>
      <w:r>
        <w:rPr>
          <w:rFonts w:ascii="Arial" w:cs="Arial" w:eastAsia="Arial" w:hAnsi="Arial"/>
          <w:sz w:val="16"/>
          <w:szCs w:val="16"/>
          <w:color w:val="221F1F"/>
        </w:rPr>
        <w:t>CERC does not have any opening or closing contract asset or contract liability balances.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64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Other Accrued Unbilled</w:t>
            </w:r>
          </w:p>
        </w:tc>
        <w:tc>
          <w:tcPr>
            <w:tcW w:w="0" w:type="dxa"/>
            <w:vAlign w:val="bottom"/>
          </w:tcPr>
          <w:p>
            <w:pPr>
              <w:spacing w:after="0"/>
              <w:rPr>
                <w:sz w:val="1"/>
                <w:szCs w:val="1"/>
                <w:color w:val="auto"/>
              </w:rPr>
            </w:pPr>
          </w:p>
        </w:tc>
      </w:tr>
      <w:tr>
        <w:trPr>
          <w:trHeight w:val="188"/>
        </w:trPr>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3460" w:type="dxa"/>
            <w:vAlign w:val="bottom"/>
            <w:gridSpan w:val="4"/>
          </w:tcPr>
          <w:p>
            <w:pPr>
              <w:ind w:left="12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ind w:left="13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3"/>
              </w:rPr>
              <w:t>(93)</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7" w:lineRule="exact"/>
        <w:rPr>
          <w:sz w:val="20"/>
          <w:szCs w:val="20"/>
          <w:color w:val="auto"/>
        </w:rPr>
      </w:pPr>
    </w:p>
    <w:p>
      <w:pPr>
        <w:sectPr>
          <w:pgSz w:w="11900" w:h="16838" w:orient="portrait"/>
          <w:cols w:equalWidth="0" w:num="2">
            <w:col w:w="6880" w:space="720"/>
            <w:col w:w="3640"/>
          </w:cols>
          <w:pgMar w:left="320" w:top="125" w:right="339" w:bottom="1440" w:gutter="0" w:footer="0" w:header="0"/>
          <w:type w:val="continuous"/>
        </w:sectPr>
      </w:pP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F1F"/>
        </w:rPr>
        <w:t>The table below discloses (1) the aggregate amount of the transaction price allocated to</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F1F"/>
        </w:rPr>
        <w:t>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ESG, which are included in Corporate and Other.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Rolling 12 Months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186"/>
        </w:trPr>
        <w:tc>
          <w:tcPr>
            <w:tcW w:w="7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7380" w:type="dxa"/>
            <w:vAlign w:val="bottom"/>
          </w:tcPr>
          <w:p>
            <w:pPr>
              <w:ind w:left="20"/>
              <w:spacing w:after="0"/>
              <w:rPr>
                <w:sz w:val="20"/>
                <w:szCs w:val="20"/>
                <w:color w:val="auto"/>
              </w:rPr>
            </w:pPr>
            <w:r>
              <w:rPr>
                <w:rFonts w:ascii="Arial" w:cs="Arial" w:eastAsia="Arial" w:hAnsi="Arial"/>
                <w:sz w:val="18"/>
                <w:szCs w:val="18"/>
                <w:color w:val="auto"/>
              </w:rPr>
              <w:t>Revenue expected to be recognized on contracts in place as of March 31, 2021:</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23"/>
        </w:trPr>
        <w:tc>
          <w:tcPr>
            <w:tcW w:w="738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contracts for which revenue from the satisfaction of the performance obligations is recognized in the amount invoiced, the practical expedient was elected and revenue expected to be recognized on these contracts has not been disclosed.</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Allowance for Credit Losses</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recognizes losses on financial assets that fall under the scope of Topic 326. Losses on financial assets are primarily recoverable through regulatory mechanisms and do not materially impact Houston Electric's allowance for credit losses. For a discussion of regulatory deferrals related to COVID-19 and the February 2021 Winter Storm Event, see Note 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r>
      <w:tr>
        <w:trPr>
          <w:trHeight w:val="170"/>
        </w:trPr>
        <w:tc>
          <w:tcPr>
            <w:tcW w:w="8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cost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79"/>
              </w:rPr>
              <w:t>11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right="20" w:hanging="328"/>
        <w:spacing w:after="0" w:line="258"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Condensed Statements of Consolidated Income, net of amounts capitalized and regulatory deferrals.</w:t>
      </w:r>
    </w:p>
    <w:p>
      <w:pPr>
        <w:spacing w:after="0" w:line="1" w:lineRule="exact"/>
        <w:rPr>
          <w:rFonts w:ascii="Arial" w:cs="Arial" w:eastAsia="Arial" w:hAnsi="Arial"/>
          <w:sz w:val="18"/>
          <w:szCs w:val="18"/>
          <w:color w:val="auto"/>
        </w:rPr>
      </w:pPr>
    </w:p>
    <w:p>
      <w:pPr>
        <w:ind w:left="660" w:hanging="328"/>
        <w:spacing w:after="0" w:line="260"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(expense), net in CenterPoint Energy’s Condensed Statements of Consolidated Income, net of regulatory deferrals.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2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5"/>
              </w:rPr>
              <w:t>Houston Electric</w:t>
            </w:r>
          </w:p>
        </w:tc>
        <w:tc>
          <w:tcPr>
            <w:tcW w:w="140" w:type="dxa"/>
            <w:vAlign w:val="bottom"/>
          </w:tcPr>
          <w:p>
            <w:pPr>
              <w:spacing w:after="0"/>
              <w:rPr>
                <w:sz w:val="11"/>
                <w:szCs w:val="11"/>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b w:val="1"/>
                <w:bCs w:val="1"/>
                <w:color w:val="auto"/>
                <w:w w:val="98"/>
              </w:rPr>
              <w:t>CenterPoint</w:t>
            </w:r>
          </w:p>
        </w:tc>
        <w:tc>
          <w:tcPr>
            <w:tcW w:w="12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3"/>
              </w:rPr>
              <w:t>Houston Electric</w:t>
            </w:r>
          </w:p>
        </w:tc>
        <w:tc>
          <w:tcPr>
            <w:tcW w:w="220" w:type="dxa"/>
            <w:vAlign w:val="bottom"/>
          </w:tcPr>
          <w:p>
            <w:pPr>
              <w:spacing w:after="0"/>
              <w:rPr>
                <w:sz w:val="11"/>
                <w:szCs w:val="11"/>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 (1)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center"/>
              <w:ind w:left="70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Interest cost (2)</w:t>
            </w:r>
          </w:p>
        </w:tc>
        <w:tc>
          <w:tcPr>
            <w:tcW w:w="120" w:type="dxa"/>
            <w:vAlign w:val="bottom"/>
          </w:tcPr>
          <w:p>
            <w:pPr>
              <w:spacing w:after="0"/>
              <w:rPr>
                <w:sz w:val="16"/>
                <w:szCs w:val="16"/>
                <w:color w:val="auto"/>
              </w:rPr>
            </w:pPr>
          </w:p>
        </w:tc>
        <w:tc>
          <w:tcPr>
            <w:tcW w:w="980" w:type="dxa"/>
            <w:vAlign w:val="bottom"/>
          </w:tcPr>
          <w:p>
            <w:pPr>
              <w:jc w:val="center"/>
              <w:ind w:left="7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return on plan assets (2)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Amortization of prior service cost (credit) (2)</w:t>
            </w:r>
          </w:p>
        </w:tc>
        <w:tc>
          <w:tcPr>
            <w:tcW w:w="120" w:type="dxa"/>
            <w:vAlign w:val="bottom"/>
          </w:tcPr>
          <w:p>
            <w:pPr>
              <w:spacing w:after="0"/>
              <w:rPr>
                <w:sz w:val="16"/>
                <w:szCs w:val="16"/>
                <w:color w:val="auto"/>
              </w:rPr>
            </w:pPr>
          </w:p>
        </w:tc>
        <w:tc>
          <w:tcPr>
            <w:tcW w:w="980" w:type="dxa"/>
            <w:vAlign w:val="bottom"/>
          </w:tcPr>
          <w:p>
            <w:pPr>
              <w:jc w:val="center"/>
              <w:ind w:left="6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periodic cost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center"/>
              <w:ind w:left="70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line="258"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spacing w:after="0" w:line="1" w:lineRule="exact"/>
        <w:rPr>
          <w:rFonts w:ascii="Arial" w:cs="Arial" w:eastAsia="Arial" w:hAnsi="Arial"/>
          <w:sz w:val="18"/>
          <w:szCs w:val="18"/>
          <w:color w:val="auto"/>
        </w:rPr>
      </w:pPr>
    </w:p>
    <w:p>
      <w:pPr>
        <w:ind w:left="660" w:hanging="328"/>
        <w:spacing w:after="0" w:line="260" w:lineRule="auto"/>
        <w:tabs>
          <w:tab w:leader="none" w:pos="6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expected contributions to be made to the pension and postretirement benefit plans during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CenterPoint Energy</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99"/>
              <w:spacing w:after="0"/>
              <w:rPr>
                <w:sz w:val="20"/>
                <w:szCs w:val="20"/>
                <w:color w:val="auto"/>
              </w:rPr>
            </w:pPr>
            <w:r>
              <w:rPr>
                <w:rFonts w:ascii="Arial" w:cs="Arial" w:eastAsia="Arial" w:hAnsi="Arial"/>
                <w:sz w:val="14"/>
                <w:szCs w:val="14"/>
                <w:b w:val="1"/>
                <w:bCs w:val="1"/>
                <w:color w:val="auto"/>
                <w:w w:val="93"/>
              </w:rPr>
              <w:t>Houston Electric</w:t>
            </w: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CERC</w:t>
            </w:r>
          </w:p>
        </w:tc>
      </w:tr>
      <w:tr>
        <w:trPr>
          <w:trHeight w:val="187"/>
        </w:trPr>
        <w:tc>
          <w:tcPr>
            <w:tcW w:w="6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479"/>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spacing w:after="0"/>
              <w:rPr>
                <w:sz w:val="16"/>
                <w:szCs w:val="16"/>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minimum contribution to pension plans during 2021</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Expected contribution to postretirement benefit plans in 2021</w:t>
            </w:r>
          </w:p>
        </w:tc>
        <w:tc>
          <w:tcPr>
            <w:tcW w:w="6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0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11, 2021, the ARPA was signed into law which includes pension plan funding relief for the sponsoring employers. As a result, the expected minimum contribution to pension plans for 2021 as disclosed is likely to be significantly reduced. However, at this time, CenterPoint Energy is not able to quantify the reduction amount until further IRS guidance related to the pension funding relief under the ARPA becomes available.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 during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left="336"/>
              <w:spacing w:after="0"/>
              <w:rPr>
                <w:sz w:val="20"/>
                <w:szCs w:val="20"/>
                <w:color w:val="auto"/>
              </w:rPr>
            </w:pPr>
            <w:r>
              <w:rPr>
                <w:rFonts w:ascii="Arial" w:cs="Arial" w:eastAsia="Arial" w:hAnsi="Arial"/>
                <w:sz w:val="14"/>
                <w:szCs w:val="14"/>
                <w:b w:val="1"/>
                <w:bCs w:val="1"/>
                <w:color w:val="auto"/>
                <w:w w:val="95"/>
              </w:rPr>
              <w:t>Three Months Ended March 31, 2021</w:t>
            </w:r>
          </w:p>
        </w:tc>
        <w:tc>
          <w:tcPr>
            <w:tcW w:w="1020" w:type="dxa"/>
            <w:vAlign w:val="bottom"/>
            <w:tcBorders>
              <w:bottom w:val="single" w:sz="8" w:color="auto"/>
            </w:tcBorders>
          </w:tcPr>
          <w:p>
            <w:pPr>
              <w:spacing w:after="0"/>
              <w:rPr>
                <w:sz w:val="16"/>
                <w:szCs w:val="16"/>
                <w:color w:val="auto"/>
              </w:rPr>
            </w:pPr>
          </w:p>
        </w:tc>
      </w:tr>
      <w:tr>
        <w:trPr>
          <w:trHeight w:val="186"/>
        </w:trPr>
        <w:tc>
          <w:tcPr>
            <w:tcW w:w="6740" w:type="dxa"/>
            <w:vAlign w:val="bottom"/>
          </w:tcPr>
          <w:p>
            <w:pPr>
              <w:spacing w:after="0"/>
              <w:rPr>
                <w:sz w:val="16"/>
                <w:szCs w:val="16"/>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CenterPoint Energy</w:t>
            </w:r>
          </w:p>
        </w:tc>
        <w:tc>
          <w:tcPr>
            <w:tcW w:w="160" w:type="dxa"/>
            <w:vAlign w:val="bottom"/>
          </w:tcPr>
          <w:p>
            <w:pPr>
              <w:spacing w:after="0"/>
              <w:rPr>
                <w:sz w:val="16"/>
                <w:szCs w:val="16"/>
                <w:color w:val="auto"/>
              </w:rPr>
            </w:pPr>
          </w:p>
        </w:tc>
        <w:tc>
          <w:tcPr>
            <w:tcW w:w="18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Houston Electric</w:t>
            </w: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CERC</w:t>
            </w:r>
          </w:p>
        </w:tc>
      </w:tr>
      <w:tr>
        <w:trPr>
          <w:trHeight w:val="172"/>
        </w:trPr>
        <w:tc>
          <w:tcPr>
            <w:tcW w:w="674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6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Matters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Return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Houston Electric</w:t>
            </w:r>
          </w:p>
        </w:tc>
        <w:tc>
          <w:tcPr>
            <w:tcW w:w="24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14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CenterPoint</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Houston Electric</w:t>
            </w:r>
          </w:p>
        </w:tc>
        <w:tc>
          <w:tcPr>
            <w:tcW w:w="200" w:type="dxa"/>
            <w:vAlign w:val="bottom"/>
          </w:tcPr>
          <w:p>
            <w:pPr>
              <w:spacing w:after="0"/>
              <w:rPr>
                <w:sz w:val="14"/>
                <w:szCs w:val="14"/>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77"/>
              <w:spacing w:after="0"/>
              <w:rPr>
                <w:sz w:val="20"/>
                <w:szCs w:val="20"/>
                <w:color w:val="auto"/>
              </w:rPr>
            </w:pPr>
            <w:r>
              <w:rPr>
                <w:rFonts w:ascii="Arial" w:cs="Arial" w:eastAsia="Arial" w:hAnsi="Arial"/>
                <w:sz w:val="11"/>
                <w:szCs w:val="11"/>
                <w:b w:val="1"/>
                <w:bCs w:val="1"/>
                <w:color w:val="auto"/>
                <w:w w:val="88"/>
              </w:rPr>
              <w:t>(2)</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7"/>
              </w:rPr>
              <w:t xml:space="preserve">Energy </w:t>
            </w:r>
            <w:r>
              <w:rPr>
                <w:rFonts w:ascii="Arial" w:cs="Arial" w:eastAsia="Arial" w:hAnsi="Arial"/>
                <w:sz w:val="10"/>
                <w:szCs w:val="10"/>
                <w:b w:val="1"/>
                <w:bCs w:val="1"/>
                <w:color w:val="auto"/>
                <w:w w:val="97"/>
              </w:rPr>
              <w:t>(1)</w:t>
            </w: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17"/>
              <w:spacing w:after="0"/>
              <w:rPr>
                <w:sz w:val="20"/>
                <w:szCs w:val="20"/>
                <w:color w:val="auto"/>
              </w:rPr>
            </w:pPr>
            <w:r>
              <w:rPr>
                <w:rFonts w:ascii="Arial" w:cs="Arial" w:eastAsia="Arial" w:hAnsi="Arial"/>
                <w:sz w:val="11"/>
                <w:szCs w:val="11"/>
                <w:b w:val="1"/>
                <w:bCs w:val="1"/>
                <w:color w:val="auto"/>
                <w:w w:val="88"/>
              </w:rPr>
              <w:t>(2)</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Allowed equity return not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130</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hanging="328"/>
        <w:spacing w:after="0" w:line="258"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to the amounts described in (2) and (3) below, CenterPoint Energy’s allowed equity return on post in-service carrying cost generally associated with federally mandated investments in Indiana.</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Houston Electric’s allowed equity return on its true-up balance of stranded costs, other changes and related interest resulting from the formerly integrated electric utilities prior to Texas deregulation and certain storm restoration balances expected to be recovered in rates through 2024. The unrecognized equity return will be recognized as it is recovered in rates through 2024. The actual amounts recognized are adjusted at least annually to correct any over-collections or under-collections during the preceding 12 months.</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CERC’s allowed equity return on post in-service carrying cost associated with certain distribution facilities replacements expenditures in Texas.</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reflects the amount of allowed equity return recognized by each Registrant in its Condensed Statements of Consolidated Income: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940" w:type="dxa"/>
            <w:vAlign w:val="bottom"/>
          </w:tcPr>
          <w:p>
            <w:pPr>
              <w:jc w:val="center"/>
              <w:ind w:left="88"/>
              <w:spacing w:after="0" w:line="130" w:lineRule="exact"/>
              <w:rPr>
                <w:sz w:val="20"/>
                <w:szCs w:val="20"/>
                <w:color w:val="auto"/>
              </w:rPr>
            </w:pPr>
            <w:r>
              <w:rPr>
                <w:rFonts w:ascii="Arial" w:cs="Arial" w:eastAsia="Arial" w:hAnsi="Arial"/>
                <w:sz w:val="14"/>
                <w:szCs w:val="14"/>
                <w:b w:val="1"/>
                <w:bCs w:val="1"/>
                <w:color w:val="auto"/>
                <w:w w:val="93"/>
              </w:rPr>
              <w:t>CenterPoint</w:t>
            </w:r>
          </w:p>
        </w:tc>
        <w:tc>
          <w:tcPr>
            <w:tcW w:w="200" w:type="dxa"/>
            <w:vAlign w:val="bottom"/>
          </w:tcPr>
          <w:p>
            <w:pPr>
              <w:spacing w:after="0"/>
              <w:rPr>
                <w:sz w:val="11"/>
                <w:szCs w:val="11"/>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Houston Electric</w:t>
            </w:r>
          </w:p>
        </w:tc>
        <w:tc>
          <w:tcPr>
            <w:tcW w:w="18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CERC</w:t>
            </w:r>
          </w:p>
        </w:tc>
        <w:tc>
          <w:tcPr>
            <w:tcW w:w="960" w:type="dxa"/>
            <w:vAlign w:val="bottom"/>
          </w:tcPr>
          <w:p>
            <w:pPr>
              <w:jc w:val="center"/>
              <w:ind w:left="68"/>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80" w:type="dxa"/>
            <w:vAlign w:val="bottom"/>
          </w:tcPr>
          <w:p>
            <w:pPr>
              <w:spacing w:after="0"/>
              <w:rPr>
                <w:sz w:val="11"/>
                <w:szCs w:val="11"/>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Houston Electric</w:t>
            </w:r>
          </w:p>
        </w:tc>
        <w:tc>
          <w:tcPr>
            <w:tcW w:w="28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9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6"/>
              </w:rPr>
              <w:t>Energy</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6"/>
              </w:rPr>
              <w:t>Energy</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Allowed equity return recognized</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7</w:t>
            </w:r>
          </w:p>
        </w:tc>
        <w:tc>
          <w:tcPr>
            <w:tcW w:w="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February 2021, certain of our jurisdictions experienced an extreme and unprecedented winter weather event that resulted in prolonged freezing temperatures, which impacted our businesses. In Texas, the February 2021 Winter Storm Event caused an electricity generation shortage that was severely disruptive to Houston Electric’s service territory and the wholesale generation market. While demand for electricity reached extraordinary levels due to the extreme cold, the supply of electricity significantly decreased in part because of the inability of certain power generation facilities to supply electric power to the grid. Houston Electric does not own or operate any electric generation facilities. It transmits and distributes to customers of REPs electric power that the REPs obtain from power generation facilities owned by third parties. ERCOT serves as the independent system operator and regional reliability coordinator for member electric power systems in most of Texas. To comply with ERCOT’s orders, Houston Electric implemented controlled outages across its service territory, resulting in a substantial number of businesses and residents being without power, many for extended periods of time, in compliance with ERCOT’s directives as an emergency procedure to avoid prolonged large-scale state-wide blackouts and long-term damage to the electric system in Texas. In anticipation of this weather event, Houston Electric implemented its emergency operations plan’s processes and procedures necessary to respond to such events, including establishing an incident command center and calling for mutual assistance from other utilities where needed, among other measures. Throughout the February 2021 Winter Storm Event, Houston Electric remained in contact with its regulators and stakeholders, including federal, state and local officials, as well as the PUCT and ERCOT.</w:t>
      </w:r>
    </w:p>
    <w:p>
      <w:pPr>
        <w:spacing w:after="0" w:line="20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February 2021 Winter Storm Event also impacted wholesale prices of CenterPoint Energy and CERC’s natural gas and their ability to service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price of natural gas purchased by CenterPoint Energy and CERC. On February 13, 2021, the Railroad Commission authorized each Texas natural gas distribution utility to record in a regulatory asset the extraordinary expenses associated with the February 2021 Winter Storm Event, including, but not limited to, natural gas cost and other costs related to the procurement and transportation of natural gas supply, subject to recovery in future regulatory proceedings. In addition, CenterPoint Energy’s and CERC’s Natural Gas utilities in jurisdictions outside of Texas deferred natural gas cost under existing recovery mechanisms and have either sought or intend to seek recovery of the increased cost of natural gas, which will be subject to customary regulatory prudency reviews that may impact the amounts recovered. Amounts for the under recovery of natural gas costs are reflected in regulatory assets and are probable of recovery; however, the timing of recovery for each jurisdiction for the estimated incremental gas cost attributable to the February 2021 Winter Storm Event within each regulatory asset is uncertain. As of March 31, 2021, CenterPoint Energy and CERC have recorded current regulatory assets of $462 million and $347 million, respectively, and non-current regulatory assets of $1.7 billion and $1.7 billion, respectively, associated with the February 2021 Winter Storm Event. Due to the uncertainty of timing and method of recovery, CenterPoint Energy and CERC may not earn a return on all amounts deferred in the non-current regulatory asset associated with the February 2021 Winter Storm Event.</w:t>
      </w: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21, 2021, in response to the 2021 February Winter Storm Event, the PUCT issued an order prohibiting REPs from sending a request to TDUs to disconnect such REPs’ customers for non-payment, effective February 21, 2021. As a result of this order, in the event a request for disconnect is received from a REP, Houston Electric will not execute any such disconnect request until the PUCT issues orders for disconnects to resume. As of March 31, 2021, as authorized by the PUCT, CenterPoint Energy and Houston Electric established a regulatory asset of $14 million for bad debt expenses resulting from REPs’ default on their obligation to pay delivery charges to Houston Electric net of collateral. Additionally, CenterPoint Energy and Houston Electric recorded a regulatory asset of $14 million to defer operations and maintenance costs associated with the February 2021 Winter Storm Event.</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Notes 12 and 14(d) for further information regarding debt financing transactions and litigation related to the February 2021 Winter Storm Event, respectively.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Governors, public utility commissions and other authorities in the states in which the Registrants operate issued a number of different orders related to the COVID-19 pandemic, including orders addressing customer non-payment and disconnection. Although the disconnect moratoriums have expired in certain of the Registrants’ service territories, CenterPoint Energy continues to support those customers who may need payment assistance, arrangements or extensions.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COVID-19 ERP allows program expenses to be recovered in rates. CenterPoint Energy’s and Houston Electric’s COVID-19 ERP regulatory assets were $-0- as of March 31, 2021 and $6 million as of December 31, 2020.</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Commissions in all of Indiana Electric’s and CenterPoint Energy’s and CERC’s Natural Gas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 CenterPoint Energy and CERC have recorded estimated incremental uncollectible receivables to the associated regulatory asset of $29 million and $27 million, respectively, as of March 31, 2021 and $22 million and $19 million, respectively, as of December 31, 2020.</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some of the states in which the Registrants operate, public utility commissions have authorized utilities to employ deferred accounting authority for certain COVID-19 related costs which ensure the safety and health of customers, employees, and contractors, that would not have been incurred in the normal course of business. CERC’s Natural Gas service territories in Minnesota and Arkansas will include any offsetting savings in the deferral. Other jurisdictions where the Registrants operate may require them to offset the deferral with savings as well. The Arkansas FRP, filed on April 5, 2021, included a request for (1) the regulatory asset as of September 30, 2020 in working capital for the 2021 historical year using a thirteen-month average of the asset balance; (2) the regulatory asset as of September 30, 2020 in working capital for the 2021 projected year using a thirteen-month average of the asset balance; and (3) the amortization of the balance over the 2021 projected year twelve-month period beginning October 1,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Commodity Derivative Instruments (CenterPoint Energy). </w:t>
      </w:r>
      <w:r>
        <w:rPr>
          <w:rFonts w:ascii="Arial" w:cs="Arial" w:eastAsia="Arial" w:hAnsi="Arial"/>
          <w:sz w:val="17"/>
          <w:szCs w:val="17"/>
          <w:color w:val="auto"/>
        </w:rPr>
        <w:t>CenterPoint Energy, through the Indiana Utilities, enters into certain derivative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Interest Rate Risk Derivative Instruments. </w:t>
      </w:r>
      <w:r>
        <w:rPr>
          <w:rFonts w:ascii="Arial" w:cs="Arial" w:eastAsia="Arial" w:hAnsi="Arial"/>
          <w:sz w:val="18"/>
          <w:szCs w:val="18"/>
          <w:color w:val="auto"/>
        </w:rPr>
        <w:t>From time to time, the Registrants may enter into interest rate derivatives that are designated as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hedges or accounted for as economic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Registrants’ outstanding interest rate hedging activity: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90"/>
              </w:rPr>
              <w:t>December 31, 2020</w:t>
            </w:r>
          </w:p>
        </w:tc>
      </w:tr>
      <w:tr>
        <w:trPr>
          <w:trHeight w:val="187"/>
        </w:trPr>
        <w:tc>
          <w:tcPr>
            <w:tcW w:w="2020" w:type="dxa"/>
            <w:vAlign w:val="bottom"/>
          </w:tcPr>
          <w:p>
            <w:pPr>
              <w:spacing w:after="0"/>
              <w:rPr>
                <w:sz w:val="16"/>
                <w:szCs w:val="16"/>
                <w:color w:val="auto"/>
              </w:rPr>
            </w:pPr>
          </w:p>
        </w:tc>
        <w:tc>
          <w:tcPr>
            <w:tcW w:w="4680" w:type="dxa"/>
            <w:vAlign w:val="bottom"/>
            <w:gridSpan w:val="2"/>
          </w:tcPr>
          <w:p>
            <w:pPr>
              <w:ind w:left="580"/>
              <w:spacing w:after="0"/>
              <w:rPr>
                <w:sz w:val="20"/>
                <w:szCs w:val="20"/>
                <w:color w:val="auto"/>
              </w:rPr>
            </w:pPr>
            <w:r>
              <w:rPr>
                <w:rFonts w:ascii="Arial" w:cs="Arial" w:eastAsia="Arial" w:hAnsi="Arial"/>
                <w:sz w:val="14"/>
                <w:szCs w:val="14"/>
                <w:b w:val="1"/>
                <w:bCs w:val="1"/>
                <w:color w:val="auto"/>
              </w:rPr>
              <w:t>Hedging Classification</w:t>
            </w:r>
          </w:p>
        </w:tc>
        <w:tc>
          <w:tcPr>
            <w:tcW w:w="16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Notional Principal</w:t>
            </w:r>
          </w:p>
        </w:tc>
        <w:tc>
          <w:tcPr>
            <w:tcW w:w="1700" w:type="dxa"/>
            <w:vAlign w:val="bottom"/>
          </w:tcPr>
          <w:p>
            <w:pPr>
              <w:spacing w:after="0"/>
              <w:rPr>
                <w:sz w:val="16"/>
                <w:szCs w:val="16"/>
                <w:color w:val="auto"/>
              </w:rPr>
            </w:pPr>
          </w:p>
        </w:tc>
      </w:tr>
      <w:tr>
        <w:trPr>
          <w:trHeight w:val="183"/>
        </w:trPr>
        <w:tc>
          <w:tcPr>
            <w:tcW w:w="2020" w:type="dxa"/>
            <w:vAlign w:val="bottom"/>
            <w:tcBorders>
              <w:top w:val="single" w:sz="8" w:color="auto"/>
            </w:tcBorders>
          </w:tcPr>
          <w:p>
            <w:pPr>
              <w:spacing w:after="0"/>
              <w:rPr>
                <w:sz w:val="15"/>
                <w:szCs w:val="15"/>
                <w:color w:val="auto"/>
              </w:rPr>
            </w:pPr>
          </w:p>
        </w:tc>
        <w:tc>
          <w:tcPr>
            <w:tcW w:w="4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700" w:type="dxa"/>
            <w:vAlign w:val="bottom"/>
            <w:tcBorders>
              <w:top w:val="single" w:sz="8" w:color="auto"/>
            </w:tcBorders>
          </w:tcPr>
          <w:p>
            <w:pPr>
              <w:spacing w:after="0"/>
              <w:rPr>
                <w:sz w:val="15"/>
                <w:szCs w:val="15"/>
                <w:color w:val="auto"/>
              </w:rPr>
            </w:pPr>
          </w:p>
        </w:tc>
      </w:tr>
      <w:tr>
        <w:trPr>
          <w:trHeight w:val="231"/>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Economic hedge </w:t>
            </w:r>
            <w:r>
              <w:rPr>
                <w:rFonts w:ascii="Arial" w:cs="Arial" w:eastAsia="Arial" w:hAnsi="Arial"/>
                <w:sz w:val="14"/>
                <w:szCs w:val="14"/>
                <w:color w:val="auto"/>
              </w:rPr>
              <w:t>(1)</w:t>
            </w:r>
          </w:p>
        </w:tc>
        <w:tc>
          <w:tcPr>
            <w:tcW w:w="6340" w:type="dxa"/>
            <w:vAlign w:val="bottom"/>
            <w:gridSpan w:val="3"/>
            <w:shd w:val="clear" w:color="auto" w:fill="CCEEFF"/>
          </w:tcPr>
          <w:p>
            <w:pPr>
              <w:jc w:val="right"/>
              <w:ind w:right="14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Relates to interest rate derivative instruments at SIGECO.</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Weather Hedges (CenterPoint Energy and CERC). </w:t>
      </w:r>
      <w:r>
        <w:rPr>
          <w:rFonts w:ascii="Arial" w:cs="Arial" w:eastAsia="Arial" w:hAnsi="Arial"/>
          <w:sz w:val="18"/>
          <w:szCs w:val="18"/>
          <w:color w:val="auto"/>
        </w:rPr>
        <w:t>CenterPoint Energy and CERC have weather normalization or other rate mechanisms that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the impact of weather on Natural Gas in Arkansas, Indiana, Louisiana, Mississippi, Minnesota, Ohio and Oklahoma,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CenterPoint Energy and CERC, as applicable, enter into winter season weather hedges from time to time for certain Natural Gas jurisdictions and electric operations’ service territory to mitigate the effect of fluctuations from normal weather on results of operations and cash flows. These weather hedges are based on heating degree days at 10-year normal weather. Houston Electric and Indiana Electric do not enter into weather hedges.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Derivative Fair Values and Income Statement Impacts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Liabilities, while the last table provides a breakdown of the related income statement impacts.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 (CenterPoint Energy)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tcPr>
          <w:p>
            <w:pPr>
              <w:jc w:val="center"/>
              <w:ind w:left="243"/>
              <w:spacing w:after="0"/>
              <w:rPr>
                <w:sz w:val="20"/>
                <w:szCs w:val="20"/>
                <w:color w:val="auto"/>
              </w:rPr>
            </w:pPr>
            <w:r>
              <w:rPr>
                <w:rFonts w:ascii="Arial" w:cs="Arial" w:eastAsia="Arial" w:hAnsi="Arial"/>
                <w:sz w:val="14"/>
                <w:szCs w:val="14"/>
                <w:b w:val="1"/>
                <w:bCs w:val="1"/>
                <w:color w:val="auto"/>
                <w:w w:val="95"/>
              </w:rPr>
              <w:t>Derivative Liabilities</w:t>
            </w:r>
          </w:p>
        </w:tc>
        <w:tc>
          <w:tcPr>
            <w:tcW w:w="460" w:type="dxa"/>
            <w:vAlign w:val="bottom"/>
          </w:tcPr>
          <w:p>
            <w:pPr>
              <w:spacing w:after="0"/>
              <w:rPr>
                <w:sz w:val="14"/>
                <w:szCs w:val="14"/>
                <w:color w:val="auto"/>
              </w:rPr>
            </w:pPr>
          </w:p>
        </w:tc>
      </w:tr>
      <w:tr>
        <w:trPr>
          <w:trHeight w:val="186"/>
        </w:trPr>
        <w:tc>
          <w:tcPr>
            <w:tcW w:w="35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263"/>
              <w:spacing w:after="0"/>
              <w:rPr>
                <w:sz w:val="20"/>
                <w:szCs w:val="20"/>
                <w:color w:val="auto"/>
              </w:rPr>
            </w:pPr>
            <w:r>
              <w:rPr>
                <w:rFonts w:ascii="Arial" w:cs="Arial" w:eastAsia="Arial" w:hAnsi="Arial"/>
                <w:sz w:val="14"/>
                <w:szCs w:val="14"/>
                <w:b w:val="1"/>
                <w:bCs w:val="1"/>
                <w:color w:val="auto"/>
                <w:w w:val="95"/>
              </w:rPr>
              <w:t>Fair Value</w:t>
            </w:r>
          </w:p>
        </w:tc>
        <w:tc>
          <w:tcPr>
            <w:tcW w:w="46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spacing w:after="0"/>
              <w:rPr>
                <w:sz w:val="15"/>
                <w:szCs w:val="15"/>
                <w:color w:val="auto"/>
              </w:rPr>
            </w:pPr>
          </w:p>
        </w:tc>
        <w:tc>
          <w:tcPr>
            <w:tcW w:w="5180" w:type="dxa"/>
            <w:vAlign w:val="bottom"/>
          </w:tcPr>
          <w:p>
            <w:pPr>
              <w:ind w:left="20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r>
      <w:tr>
        <w:trPr>
          <w:trHeight w:val="184"/>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3"/>
          </w:tcPr>
          <w:p>
            <w:pPr>
              <w:jc w:val="center"/>
              <w:ind w:left="283"/>
              <w:spacing w:after="0"/>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15"/>
                <w:szCs w:val="15"/>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Natural gas derivatives </w:t>
            </w:r>
            <w:r>
              <w:rPr>
                <w:rFonts w:ascii="Arial" w:cs="Arial" w:eastAsia="Arial" w:hAnsi="Arial"/>
                <w:sz w:val="12"/>
                <w:szCs w:val="12"/>
                <w:color w:val="auto"/>
              </w:rPr>
              <w:t>(1)</w:t>
            </w:r>
          </w:p>
        </w:tc>
        <w:tc>
          <w:tcPr>
            <w:tcW w:w="5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Liabilities: Non-trading derivative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 xml:space="preserve">Natural gas derivatives </w:t>
            </w:r>
            <w:r>
              <w:rPr>
                <w:rFonts w:ascii="Arial" w:cs="Arial" w:eastAsia="Arial" w:hAnsi="Arial"/>
                <w:sz w:val="12"/>
                <w:szCs w:val="12"/>
                <w:color w:val="auto"/>
              </w:rPr>
              <w:t>(1)</w:t>
            </w:r>
          </w:p>
        </w:tc>
        <w:tc>
          <w:tcPr>
            <w:tcW w:w="5180" w:type="dxa"/>
            <w:vAlign w:val="bottom"/>
          </w:tcPr>
          <w:p>
            <w:pPr>
              <w:ind w:left="380"/>
              <w:spacing w:after="0"/>
              <w:rPr>
                <w:sz w:val="20"/>
                <w:szCs w:val="20"/>
                <w:color w:val="auto"/>
              </w:rPr>
            </w:pPr>
            <w:r>
              <w:rPr>
                <w:rFonts w:ascii="Arial" w:cs="Arial" w:eastAsia="Arial" w:hAnsi="Arial"/>
                <w:sz w:val="16"/>
                <w:szCs w:val="16"/>
                <w:color w:val="auto"/>
              </w:rPr>
              <w:t>Other Liabilities: Non-trading derivative liabilities</w:t>
            </w:r>
          </w:p>
        </w:tc>
        <w:tc>
          <w:tcPr>
            <w:tcW w:w="12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derivatives</w:t>
            </w:r>
          </w:p>
        </w:tc>
        <w:tc>
          <w:tcPr>
            <w:tcW w:w="5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Liabilities: Non-trading derivative liabilities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Indexed debt securities derivative </w:t>
            </w:r>
            <w:r>
              <w:rPr>
                <w:rFonts w:ascii="Arial" w:cs="Arial" w:eastAsia="Arial" w:hAnsi="Arial"/>
                <w:sz w:val="12"/>
                <w:szCs w:val="12"/>
                <w:color w:val="auto"/>
              </w:rPr>
              <w:t>(2)</w:t>
            </w:r>
          </w:p>
        </w:tc>
        <w:tc>
          <w:tcPr>
            <w:tcW w:w="51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Current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w:t>
            </w:r>
          </w:p>
        </w:tc>
      </w:tr>
      <w:tr>
        <w:trPr>
          <w:trHeight w:val="238"/>
        </w:trPr>
        <w:tc>
          <w:tcPr>
            <w:tcW w:w="3540" w:type="dxa"/>
            <w:vAlign w:val="bottom"/>
            <w:tcBorders>
              <w:bottom w:val="single" w:sz="8" w:color="CCEEFF"/>
            </w:tcBorders>
            <w:shd w:val="clear" w:color="auto" w:fill="CCEEFF"/>
          </w:tcPr>
          <w:p>
            <w:pPr>
              <w:ind w:left="2820"/>
              <w:spacing w:after="0"/>
              <w:rPr>
                <w:sz w:val="20"/>
                <w:szCs w:val="20"/>
                <w:color w:val="auto"/>
              </w:rPr>
            </w:pPr>
            <w:r>
              <w:rPr>
                <w:rFonts w:ascii="Arial" w:cs="Arial" w:eastAsia="Arial" w:hAnsi="Arial"/>
                <w:sz w:val="16"/>
                <w:szCs w:val="16"/>
                <w:b w:val="1"/>
                <w:bCs w:val="1"/>
                <w:color w:val="auto"/>
              </w:rPr>
              <w:t>Total</w:t>
            </w:r>
          </w:p>
        </w:tc>
        <w:tc>
          <w:tcPr>
            <w:tcW w:w="5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hanging="328"/>
        <w:spacing w:after="0" w:line="258"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 liability position with no offsetting amounts.</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 component of the ZENS obligation that represents the ZENS holder’s option to receive the appreciated value of the reference shares at maturity. See Note 11 for further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r>
      <w:tr>
        <w:trPr>
          <w:trHeight w:val="186"/>
        </w:trPr>
        <w:tc>
          <w:tcPr>
            <w:tcW w:w="4820" w:type="dxa"/>
            <w:vAlign w:val="bottom"/>
          </w:tcPr>
          <w:p>
            <w:pPr>
              <w:spacing w:after="0"/>
              <w:rPr>
                <w:sz w:val="16"/>
                <w:szCs w:val="16"/>
                <w:color w:val="auto"/>
              </w:rPr>
            </w:pPr>
          </w:p>
        </w:tc>
        <w:tc>
          <w:tcPr>
            <w:tcW w:w="3680" w:type="dxa"/>
            <w:vAlign w:val="bottom"/>
            <w:gridSpan w:val="2"/>
          </w:tcPr>
          <w:p>
            <w:pPr>
              <w:ind w:left="940"/>
              <w:spacing w:after="0"/>
              <w:rPr>
                <w:sz w:val="20"/>
                <w:szCs w:val="20"/>
                <w:color w:val="auto"/>
              </w:rPr>
            </w:pPr>
            <w:r>
              <w:rPr>
                <w:rFonts w:ascii="Arial" w:cs="Arial" w:eastAsia="Arial" w:hAnsi="Arial"/>
                <w:sz w:val="14"/>
                <w:szCs w:val="14"/>
                <w:b w:val="1"/>
                <w:bCs w:val="1"/>
                <w:color w:val="auto"/>
              </w:rPr>
              <w:t>Income Statement Location</w:t>
            </w:r>
          </w:p>
        </w:tc>
        <w:tc>
          <w:tcPr>
            <w:tcW w:w="900" w:type="dxa"/>
            <w:vAlign w:val="bottom"/>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r>
      <w:tr>
        <w:trPr>
          <w:trHeight w:val="184"/>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15"/>
                <w:szCs w:val="15"/>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Indexed debt securities derivative </w:t>
            </w:r>
            <w:r>
              <w:rPr>
                <w:rFonts w:ascii="Arial" w:cs="Arial" w:eastAsia="Arial" w:hAnsi="Arial"/>
                <w:sz w:val="12"/>
                <w:szCs w:val="12"/>
                <w:color w:val="auto"/>
              </w:rPr>
              <w:t>(1)</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indexed debt securities</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135</w:t>
            </w:r>
          </w:p>
        </w:tc>
      </w:tr>
      <w:tr>
        <w:trPr>
          <w:trHeight w:val="213"/>
        </w:trPr>
        <w:tc>
          <w:tcPr>
            <w:tcW w:w="4820" w:type="dxa"/>
            <w:vAlign w:val="bottom"/>
          </w:tcPr>
          <w:p>
            <w:pPr>
              <w:ind w:left="1980"/>
              <w:spacing w:after="0"/>
              <w:rPr>
                <w:sz w:val="20"/>
                <w:szCs w:val="20"/>
                <w:color w:val="auto"/>
              </w:rPr>
            </w:pPr>
            <w:r>
              <w:rPr>
                <w:rFonts w:ascii="Arial" w:cs="Arial" w:eastAsia="Arial" w:hAnsi="Arial"/>
                <w:sz w:val="14"/>
                <w:szCs w:val="14"/>
                <w:b w:val="1"/>
                <w:bCs w:val="1"/>
                <w:color w:val="auto"/>
              </w:rPr>
              <w:t>Total</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135</w:t>
            </w:r>
          </w:p>
        </w:tc>
      </w:tr>
      <w:tr>
        <w:trPr>
          <w:trHeight w:val="20"/>
        </w:trPr>
        <w:tc>
          <w:tcPr>
            <w:tcW w:w="48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line="277"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indexed debt securities derivative is recorded at fair value and changes in the fair value are recorded in CenterPoint Energy’s Statements of Consolidated Income.</w:t>
      </w:r>
    </w:p>
    <w:p>
      <w:pPr>
        <w:spacing w:after="0" w:line="278" w:lineRule="exact"/>
        <w:rPr>
          <w:rFonts w:ascii="Arial" w:cs="Arial" w:eastAsia="Arial" w:hAnsi="Arial"/>
          <w:sz w:val="18"/>
          <w:szCs w:val="18"/>
          <w:color w:val="auto"/>
        </w:rPr>
      </w:pPr>
    </w:p>
    <w:p>
      <w:pPr>
        <w:ind w:left="420" w:hanging="250"/>
        <w:spacing w:after="0"/>
        <w:tabs>
          <w:tab w:leader="none" w:pos="4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 Contingent Features (CenterPoint Energy)</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of CenterPoint Energy’s derivative instruments contain provisions that require CenterPoint Energy’s debt to maintain an investment grade credit rating on its long-term unsecured unsubordinated debt from S&amp;P and Moody’s. If CenterPoint Energy’s debt were to fall below investment grade, it would be in violation of these provisions, and the counterparties to the derivative instruments could request immediate payment.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80" w:type="dxa"/>
            <w:vAlign w:val="bottom"/>
          </w:tcPr>
          <w:p>
            <w:pPr>
              <w:jc w:val="center"/>
              <w:ind w:left="305"/>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4"/>
                <w:szCs w:val="14"/>
                <w:color w:val="auto"/>
              </w:rPr>
            </w:pPr>
          </w:p>
        </w:tc>
        <w:tc>
          <w:tcPr>
            <w:tcW w:w="150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10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gridSpan w:val="2"/>
          </w:tcPr>
          <w:p>
            <w:pPr>
              <w:jc w:val="right"/>
              <w:ind w:right="364"/>
              <w:spacing w:after="0"/>
              <w:rPr>
                <w:sz w:val="20"/>
                <w:szCs w:val="20"/>
                <w:color w:val="auto"/>
              </w:rPr>
            </w:pPr>
            <w:r>
              <w:rPr>
                <w:rFonts w:ascii="Arial" w:cs="Arial" w:eastAsia="Arial" w:hAnsi="Arial"/>
                <w:sz w:val="14"/>
                <w:szCs w:val="14"/>
                <w:b w:val="1"/>
                <w:bCs w:val="1"/>
                <w:color w:val="auto"/>
                <w:w w:val="96"/>
              </w:rPr>
              <w:t>(in millions)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fair value of derivatives with credit-risk-related contingent features in a liability position</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82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Fair value of collateral already posted</w:t>
            </w:r>
          </w:p>
        </w:tc>
        <w:tc>
          <w:tcPr>
            <w:tcW w:w="1080" w:type="dxa"/>
            <w:vAlign w:val="bottom"/>
          </w:tcPr>
          <w:p>
            <w:pPr>
              <w:spacing w:after="0"/>
              <w:rPr>
                <w:sz w:val="18"/>
                <w:szCs w:val="18"/>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Additional collateral required to be posted if credit risk contingent features triggered </w:t>
            </w:r>
            <w:r>
              <w:rPr>
                <w:rFonts w:ascii="Arial" w:cs="Arial" w:eastAsia="Arial" w:hAnsi="Arial"/>
                <w:sz w:val="12"/>
                <w:szCs w:val="12"/>
                <w:color w:val="auto"/>
              </w:rPr>
              <w:t>(1)</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collateral required if further escalating collateral is triggered would equal the net liability position.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97"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0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Registrants determine the appropriate level for each financial asset and liability on a quarterly basis.</w:t>
      </w:r>
    </w:p>
    <w:p>
      <w:pPr>
        <w:spacing w:after="0" w:line="252"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tables present information about the Registrants’ assets and liabilities measured at fair value on a recurring basis as of March 31, 2021 and December 31, 2020 and indicate the fair value hierarchy of the valuation techniques utilized by the Registrants to determine such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9"/>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equities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4"/>
                <w:szCs w:val="14"/>
                <w:color w:val="auto"/>
              </w:rPr>
              <w:t>Interest rate derivatives</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402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90"/>
        </w:trPr>
        <w:tc>
          <w:tcPr>
            <w:tcW w:w="4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Total</w:t>
            </w:r>
          </w:p>
        </w:tc>
      </w:tr>
      <w:tr>
        <w:trPr>
          <w:trHeight w:val="200"/>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3"/>
        </w:trPr>
        <w:tc>
          <w:tcPr>
            <w:tcW w:w="402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1"/>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90"/>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Total</w:t>
            </w:r>
          </w:p>
        </w:tc>
      </w:tr>
      <w:tr>
        <w:trPr>
          <w:trHeight w:val="200"/>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2"/>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equities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412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1"/>
        </w:trPr>
        <w:tc>
          <w:tcPr>
            <w:tcW w:w="41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Amounts are included in Prepaid expenses and other current assets in the Condensed Consolidated Balance Sheets.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right"/>
              <w:ind w:right="53"/>
              <w:spacing w:after="0" w:line="135" w:lineRule="exact"/>
              <w:rPr>
                <w:sz w:val="20"/>
                <w:szCs w:val="20"/>
                <w:color w:val="auto"/>
              </w:rPr>
            </w:pPr>
            <w:r>
              <w:rPr>
                <w:rFonts w:ascii="Arial" w:cs="Arial" w:eastAsia="Arial" w:hAnsi="Arial"/>
                <w:sz w:val="14"/>
                <w:szCs w:val="14"/>
                <w:b w:val="1"/>
                <w:bCs w:val="1"/>
                <w:color w:val="auto"/>
                <w:w w:val="93"/>
              </w:rPr>
              <w:t>CenterPoint Energy</w:t>
            </w:r>
          </w:p>
        </w:tc>
        <w:tc>
          <w:tcPr>
            <w:tcW w:w="180" w:type="dxa"/>
            <w:vAlign w:val="bottom"/>
          </w:tcPr>
          <w:p>
            <w:pPr>
              <w:spacing w:after="0"/>
              <w:rPr>
                <w:sz w:val="11"/>
                <w:szCs w:val="11"/>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 xml:space="preserve">Houston Electric </w:t>
            </w:r>
            <w:r>
              <w:rPr>
                <w:rFonts w:ascii="Arial" w:cs="Arial" w:eastAsia="Arial" w:hAnsi="Arial"/>
                <w:sz w:val="10"/>
                <w:szCs w:val="10"/>
                <w:b w:val="1"/>
                <w:bCs w:val="1"/>
                <w:color w:val="auto"/>
                <w:w w:val="92"/>
              </w:rPr>
              <w:t>(1)</w:t>
            </w:r>
          </w:p>
        </w:tc>
        <w:tc>
          <w:tcPr>
            <w:tcW w:w="36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CERC</w:t>
            </w:r>
          </w:p>
        </w:tc>
        <w:tc>
          <w:tcPr>
            <w:tcW w:w="100" w:type="dxa"/>
            <w:vAlign w:val="bottom"/>
          </w:tcPr>
          <w:p>
            <w:pPr>
              <w:spacing w:after="0"/>
              <w:rPr>
                <w:sz w:val="11"/>
                <w:szCs w:val="11"/>
                <w:color w:val="auto"/>
              </w:rPr>
            </w:pPr>
          </w:p>
        </w:tc>
        <w:tc>
          <w:tcPr>
            <w:tcW w:w="1360" w:type="dxa"/>
            <w:vAlign w:val="bottom"/>
          </w:tcPr>
          <w:p>
            <w:pPr>
              <w:jc w:val="right"/>
              <w:ind w:right="53"/>
              <w:spacing w:after="0" w:line="135" w:lineRule="exact"/>
              <w:rPr>
                <w:sz w:val="20"/>
                <w:szCs w:val="20"/>
                <w:color w:val="auto"/>
              </w:rPr>
            </w:pPr>
            <w:r>
              <w:rPr>
                <w:rFonts w:ascii="Arial" w:cs="Arial" w:eastAsia="Arial" w:hAnsi="Arial"/>
                <w:sz w:val="14"/>
                <w:szCs w:val="14"/>
                <w:b w:val="1"/>
                <w:bCs w:val="1"/>
                <w:color w:val="auto"/>
                <w:w w:val="93"/>
              </w:rPr>
              <w:t>CenterPoint Energy</w:t>
            </w:r>
          </w:p>
        </w:tc>
        <w:tc>
          <w:tcPr>
            <w:tcW w:w="180" w:type="dxa"/>
            <w:vAlign w:val="bottom"/>
          </w:tcPr>
          <w:p>
            <w:pPr>
              <w:spacing w:after="0"/>
              <w:rPr>
                <w:sz w:val="11"/>
                <w:szCs w:val="11"/>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 xml:space="preserve">Houston Electric </w:t>
            </w:r>
            <w:r>
              <w:rPr>
                <w:rFonts w:ascii="Arial" w:cs="Arial" w:eastAsia="Arial" w:hAnsi="Arial"/>
                <w:sz w:val="10"/>
                <w:szCs w:val="10"/>
                <w:b w:val="1"/>
                <w:bCs w:val="1"/>
                <w:color w:val="auto"/>
                <w:w w:val="92"/>
              </w:rPr>
              <w:t>(1)</w:t>
            </w:r>
          </w:p>
        </w:tc>
        <w:tc>
          <w:tcPr>
            <w:tcW w:w="360" w:type="dxa"/>
            <w:vAlign w:val="bottom"/>
          </w:tcPr>
          <w:p>
            <w:pPr>
              <w:spacing w:after="0"/>
              <w:rPr>
                <w:sz w:val="11"/>
                <w:szCs w:val="11"/>
                <w:color w:val="auto"/>
              </w:rPr>
            </w:pPr>
          </w:p>
        </w:tc>
        <w:tc>
          <w:tcPr>
            <w:tcW w:w="11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(1)</w:t>
            </w: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(1)</w:t>
            </w: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40" w:type="dxa"/>
            <w:vAlign w:val="bottom"/>
          </w:tcPr>
          <w:p>
            <w:pPr>
              <w:ind w:left="20"/>
              <w:spacing w:after="0" w:line="122" w:lineRule="exact"/>
              <w:rPr>
                <w:sz w:val="20"/>
                <w:szCs w:val="20"/>
                <w:color w:val="auto"/>
              </w:rPr>
            </w:pPr>
            <w:r>
              <w:rPr>
                <w:rFonts w:ascii="Arial" w:cs="Arial" w:eastAsia="Arial" w:hAnsi="Arial"/>
                <w:sz w:val="14"/>
                <w:szCs w:val="14"/>
                <w:b w:val="1"/>
                <w:bCs w:val="1"/>
                <w:color w:val="auto"/>
                <w:w w:val="97"/>
              </w:rPr>
              <w:t>Long-term debt, including current</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80" w:type="dxa"/>
            <w:vAlign w:val="bottom"/>
            <w:gridSpan w:val="4"/>
            <w:vMerge w:val="restart"/>
          </w:tcPr>
          <w:p>
            <w:pPr>
              <w:jc w:val="right"/>
              <w:ind w:right="1073"/>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maturities</w:t>
            </w: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2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Carrying amount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15,823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5,968</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13,401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5,019</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182"/>
        </w:trPr>
        <w:tc>
          <w:tcPr>
            <w:tcW w:w="2240" w:type="dxa"/>
            <w:vAlign w:val="bottom"/>
          </w:tcPr>
          <w:p>
            <w:pPr>
              <w:ind w:left="360"/>
              <w:spacing w:after="0"/>
              <w:rPr>
                <w:sz w:val="20"/>
                <w:szCs w:val="20"/>
                <w:color w:val="auto"/>
              </w:rPr>
            </w:pPr>
            <w:r>
              <w:rPr>
                <w:rFonts w:ascii="Arial" w:cs="Arial" w:eastAsia="Arial" w:hAnsi="Arial"/>
                <w:sz w:val="14"/>
                <w:szCs w:val="14"/>
                <w:color w:val="auto"/>
              </w:rPr>
              <w:t>Fair value</w:t>
            </w:r>
          </w:p>
        </w:tc>
        <w:tc>
          <w:tcPr>
            <w:tcW w:w="80" w:type="dxa"/>
            <w:vAlign w:val="bottom"/>
          </w:tcPr>
          <w:p>
            <w:pPr>
              <w:spacing w:after="0"/>
              <w:rPr>
                <w:sz w:val="15"/>
                <w:szCs w:val="15"/>
                <w:color w:val="auto"/>
              </w:rPr>
            </w:pPr>
          </w:p>
        </w:tc>
        <w:tc>
          <w:tcPr>
            <w:tcW w:w="1360" w:type="dxa"/>
            <w:vAlign w:val="bottom"/>
          </w:tcPr>
          <w:p>
            <w:pPr>
              <w:jc w:val="right"/>
              <w:ind w:right="13"/>
              <w:spacing w:after="0"/>
              <w:rPr>
                <w:sz w:val="20"/>
                <w:szCs w:val="20"/>
                <w:color w:val="auto"/>
              </w:rPr>
            </w:pPr>
            <w:r>
              <w:rPr>
                <w:rFonts w:ascii="Arial" w:cs="Arial" w:eastAsia="Arial" w:hAnsi="Arial"/>
                <w:sz w:val="14"/>
                <w:szCs w:val="14"/>
                <w:color w:val="auto"/>
              </w:rPr>
              <w:t>16,848</w:t>
            </w:r>
          </w:p>
        </w:tc>
        <w:tc>
          <w:tcPr>
            <w:tcW w:w="18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6,485</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15,226</w:t>
            </w:r>
          </w:p>
        </w:tc>
        <w:tc>
          <w:tcPr>
            <w:tcW w:w="18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5,957</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640" w:hanging="308"/>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Includes Securitization Bonds debt.</w:t>
      </w:r>
    </w:p>
    <w:p>
      <w:pPr>
        <w:spacing w:after="0" w:line="248"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Unconsolidated Affiliates (CenterPoint Energy and CERC)</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 has the ability to significantly influence the operating and financial policies of Enable, a publicly traded MLP, and, accordingly, accounts for its investment in Enable’s common units using the equity method of accounting. Enable is considered to be a VIE because the power to direct the activities that most significantly impact Enable’s economic performance does not reside with the holders of equity investment at risk. However, CenterPoint Energy is not considered the primary beneficiary of Enable since it does not have the power to direct the activities of Enable that are considered most significant to the economic performance of Enable. As of March 31, 2021, CenterPoint Energy’s maximum exposure to loss related to Enable is limited to its investment in unconsolidated affiliate, its investment in Enable Series A Preferred Units and outstanding current accounts receivable from Enable.</w:t>
      </w:r>
    </w:p>
    <w:p>
      <w:pPr>
        <w:spacing w:after="0" w:line="2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February 16, 2021, Enable entered into the Enable Merger Agreement. At the closing of the transactions contemplated by the Enable Merger Agreement, if and when it occurs, Energy Transfer will acquire all of Enable’s outstanding equity interests, resulting in the exchange of Enable common units owned by CenterPoint Energy at the transaction exchange ratio of 0.8595x Energy Transfer common units for each Enable common unit. CenterPoint Energy will also receive $5 million in cash in exchange for its interest in Enable GP and Energy Transfer Series G Preferred Units with an aggregate liquidation preference of approximately $385 million in exchange for all of its Enable Series A Preferred Units. Pursuant to previously disclosed support agreements, CenterPoint Energy and OGE, who collectively own approximately 79.2% of Enable’s common units, delivered written consents approving the Enable Merger Agreement and, on a non-binding, advisory basis, the compensation that will or may become payable to Enable’s named executive officers in connection with the transactions contemplated by the Enable Merger Agreement. The transactions contemplated under the Enable Merger Agreement are expected to be completed in the second half of 2021, subject to customary closing conditions, including Hart-Scott-Rodino antitrust clearance. Upon the consummation of the transaction, the partnership agreements between CenterPoint Energy and OGE will terminate, and CenterPoint Energy will pay $30 million in cash to OGE (or other mutually agreed upon consideration). Because CenterPoint Energy will retain an investment in the midstream industry at the completion of this transaction, the transaction does not represent a strategic shift that will have a major effect on CenterPoint Energy’s operations or financial results, and as such, Enable is not classified and presented as discontinued operations. Equity method investments that do not qualify for discontinued operations are not presented as assets held for sale.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Unconsolidated Affiliates (CenterPoint Energy):</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1"/>
              </w:rPr>
              <w:t>December 31, 2020</w:t>
            </w:r>
          </w:p>
        </w:tc>
      </w:tr>
      <w:tr>
        <w:trPr>
          <w:trHeight w:val="187"/>
        </w:trPr>
        <w:tc>
          <w:tcPr>
            <w:tcW w:w="7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6"/>
                <w:szCs w:val="16"/>
                <w:color w:val="auto"/>
              </w:rPr>
            </w:pPr>
          </w:p>
        </w:tc>
      </w:tr>
      <w:tr>
        <w:trPr>
          <w:trHeight w:val="231"/>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Enable</w:t>
            </w:r>
          </w:p>
        </w:tc>
        <w:tc>
          <w:tcPr>
            <w:tcW w:w="1460" w:type="dxa"/>
            <w:vAlign w:val="bottom"/>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Enable’s common unit price closed at $6.48 per unit.</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Earnings (Losses) of Unconsolidated Affiliates, net (CenterPoint Energy):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187"/>
        </w:trPr>
        <w:tc>
          <w:tcPr>
            <w:tcW w:w="7180" w:type="dxa"/>
            <w:vAlign w:val="bottom"/>
          </w:tcPr>
          <w:p>
            <w:pPr>
              <w:spacing w:after="0"/>
              <w:rPr>
                <w:sz w:val="16"/>
                <w:szCs w:val="16"/>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660" w:type="dxa"/>
            <w:vAlign w:val="bottom"/>
            <w:tcBorders>
              <w:bottom w:val="single" w:sz="8" w:color="auto"/>
            </w:tcBorders>
          </w:tcPr>
          <w:p>
            <w:pPr>
              <w:spacing w:after="0"/>
              <w:rPr>
                <w:sz w:val="16"/>
                <w:szCs w:val="16"/>
                <w:color w:val="auto"/>
              </w:rPr>
            </w:pPr>
          </w:p>
        </w:tc>
      </w:tr>
      <w:tr>
        <w:trPr>
          <w:trHeight w:val="183"/>
        </w:trPr>
        <w:tc>
          <w:tcPr>
            <w:tcW w:w="7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20" w:type="dxa"/>
            <w:vAlign w:val="bottom"/>
            <w:gridSpan w:val="3"/>
          </w:tcPr>
          <w:p>
            <w:pPr>
              <w:jc w:val="right"/>
              <w:ind w:right="91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5"/>
                <w:szCs w:val="15"/>
                <w:color w:val="auto"/>
              </w:rPr>
            </w:pPr>
          </w:p>
        </w:tc>
      </w:tr>
      <w:tr>
        <w:trPr>
          <w:trHeight w:val="231"/>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Enable</w:t>
            </w: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23"/>
        </w:trPr>
        <w:tc>
          <w:tcPr>
            <w:tcW w:w="7180" w:type="dxa"/>
            <w:vAlign w:val="bottom"/>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1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r>
      <w:tr>
        <w:trPr>
          <w:trHeight w:val="20"/>
        </w:trPr>
        <w:tc>
          <w:tcPr>
            <w:tcW w:w="7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an impairment charge on CenterPoint Energy’s investment in Enable of $1,541 million.</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Limited Partner Interest and Units Held in Enable (CenterPoint Energy):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March 31, 2021</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Limited Partner Interest</w:t>
            </w:r>
          </w:p>
        </w:tc>
        <w:tc>
          <w:tcPr>
            <w:tcW w:w="16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Common Units</w:t>
            </w:r>
          </w:p>
        </w:tc>
        <w:tc>
          <w:tcPr>
            <w:tcW w:w="1520" w:type="dxa"/>
            <w:vAlign w:val="bottom"/>
          </w:tcPr>
          <w:p>
            <w:pPr>
              <w:jc w:val="right"/>
              <w:ind w:right="176"/>
              <w:spacing w:after="0"/>
              <w:rPr>
                <w:sz w:val="20"/>
                <w:szCs w:val="20"/>
                <w:color w:val="auto"/>
              </w:rPr>
            </w:pPr>
            <w:r>
              <w:rPr>
                <w:rFonts w:ascii="Arial" w:cs="Arial" w:eastAsia="Arial" w:hAnsi="Arial"/>
                <w:sz w:val="14"/>
                <w:szCs w:val="14"/>
                <w:b w:val="1"/>
                <w:bCs w:val="1"/>
                <w:color w:val="auto"/>
              </w:rPr>
              <w:t>Enable Series A</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640" w:type="dxa"/>
            <w:vAlign w:val="bottom"/>
          </w:tcPr>
          <w:p>
            <w:pPr>
              <w:jc w:val="right"/>
              <w:ind w:right="679"/>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520" w:type="dxa"/>
            <w:vAlign w:val="bottom"/>
          </w:tcPr>
          <w:p>
            <w:pPr>
              <w:jc w:val="right"/>
              <w:ind w:right="116"/>
              <w:spacing w:after="0"/>
              <w:rPr>
                <w:sz w:val="20"/>
                <w:szCs w:val="20"/>
                <w:color w:val="auto"/>
              </w:rPr>
            </w:pPr>
            <w:r>
              <w:rPr>
                <w:rFonts w:ascii="Arial" w:cs="Arial" w:eastAsia="Arial" w:hAnsi="Arial"/>
                <w:sz w:val="14"/>
                <w:szCs w:val="14"/>
                <w:b w:val="1"/>
                <w:bCs w:val="1"/>
                <w:color w:val="auto"/>
              </w:rPr>
              <w:t xml:space="preserve">Preferred Units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233,856,623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OGE</w:t>
            </w:r>
          </w:p>
        </w:tc>
        <w:tc>
          <w:tcPr>
            <w:tcW w:w="1640" w:type="dxa"/>
            <w:vAlign w:val="bottom"/>
          </w:tcPr>
          <w:p>
            <w:pPr>
              <w:jc w:val="right"/>
              <w:spacing w:after="0"/>
              <w:rPr>
                <w:sz w:val="20"/>
                <w:szCs w:val="20"/>
                <w:color w:val="auto"/>
              </w:rPr>
            </w:pPr>
            <w:r>
              <w:rPr>
                <w:rFonts w:ascii="Arial" w:cs="Arial" w:eastAsia="Arial" w:hAnsi="Arial"/>
                <w:sz w:val="18"/>
                <w:szCs w:val="18"/>
                <w:color w:val="auto"/>
              </w:rPr>
              <w:t>25.5 %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110,982,805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unitholders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91,007,338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Pr>
          <w:p>
            <w:pPr>
              <w:ind w:left="380"/>
              <w:spacing w:after="0"/>
              <w:rPr>
                <w:sz w:val="20"/>
                <w:szCs w:val="20"/>
                <w:color w:val="auto"/>
              </w:rPr>
            </w:pPr>
            <w:r>
              <w:rPr>
                <w:rFonts w:ascii="Arial" w:cs="Arial" w:eastAsia="Arial" w:hAnsi="Arial"/>
                <w:sz w:val="18"/>
                <w:szCs w:val="18"/>
                <w:color w:val="auto"/>
              </w:rPr>
              <w:t>Total units outstanding</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435,846,766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the Enable Series A Preferred Units owned by CenterPoint Energy.</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carrying amount of the Enable Series A Preferred Units, reflected as Preferred units - unconsolidated affiliate on CenterPoint Energy’s Condensed Consolidated Balance Sheets, was $363 million as of both March 31, 2021 and December 31, 2020. There were no settled transactions in the three months ended March 31, 2021 that would indicate a stand-alone, observable, and readily determinable fair value for securities identical or similar to Enable Series A Preferred Units. No impairment charges or adjustment due to observable price changes were required or recorded during the current or prior reporting periods.</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sales to any person or entity (including a series of sales to the same person or entity) of more than 5% of the aggregate of the common units CenterPoint Energy owns in Enable or sales to any person or entity (including a series of sales to the same person or entity) by OGE of more than 5% of the aggregate of the common units it owns in Enable are subject to mutual rights of first offer and first refusal set forth in Enable’s Agreement of Limited Partnership.</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Interests Held in Enable GP (CenterPoint Energy):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 and OGE held the following interests in Enable GP as of both March 31, 2021 and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161"/>
        </w:trPr>
        <w:tc>
          <w:tcPr>
            <w:tcW w:w="7360" w:type="dxa"/>
            <w:vAlign w:val="bottom"/>
          </w:tcPr>
          <w:p>
            <w:pPr>
              <w:spacing w:after="0"/>
              <w:rPr>
                <w:sz w:val="14"/>
                <w:szCs w:val="14"/>
                <w:color w:val="auto"/>
              </w:rPr>
            </w:pPr>
          </w:p>
        </w:tc>
        <w:tc>
          <w:tcPr>
            <w:tcW w:w="140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Management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w w:val="96"/>
              </w:rPr>
              <w:t>Incentive Distribution Rights</w:t>
            </w:r>
          </w:p>
        </w:tc>
      </w:tr>
      <w:tr>
        <w:trPr>
          <w:trHeight w:val="162"/>
        </w:trPr>
        <w:tc>
          <w:tcPr>
            <w:tcW w:w="73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3"/>
              </w:rPr>
              <w:t xml:space="preserve">Rights </w:t>
            </w:r>
            <w:r>
              <w:rPr>
                <w:rFonts w:ascii="Arial" w:cs="Arial" w:eastAsia="Arial" w:hAnsi="Arial"/>
                <w:sz w:val="10"/>
                <w:szCs w:val="10"/>
                <w:b w:val="1"/>
                <w:bCs w:val="1"/>
                <w:color w:val="auto"/>
                <w:w w:val="93"/>
              </w:rPr>
              <w:t>(1)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right"/>
              <w:ind w:right="804"/>
              <w:spacing w:after="0"/>
              <w:rPr>
                <w:sz w:val="20"/>
                <w:szCs w:val="20"/>
                <w:color w:val="auto"/>
              </w:rPr>
            </w:pPr>
            <w:r>
              <w:rPr>
                <w:rFonts w:ascii="Arial" w:cs="Arial" w:eastAsia="Arial" w:hAnsi="Arial"/>
                <w:sz w:val="11"/>
                <w:szCs w:val="11"/>
                <w:b w:val="1"/>
                <w:bCs w:val="1"/>
                <w:color w:val="auto"/>
              </w:rPr>
              <w:t>(2)</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50 %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OGE</w:t>
            </w:r>
          </w:p>
        </w:tc>
        <w:tc>
          <w:tcPr>
            <w:tcW w:w="480" w:type="dxa"/>
            <w:vAlign w:val="bottom"/>
          </w:tcPr>
          <w:p>
            <w:pPr>
              <w:ind w:left="80"/>
              <w:spacing w:after="0"/>
              <w:rPr>
                <w:sz w:val="20"/>
                <w:szCs w:val="20"/>
                <w:color w:val="auto"/>
              </w:rPr>
            </w:pPr>
            <w:r>
              <w:rPr>
                <w:rFonts w:ascii="Arial" w:cs="Arial" w:eastAsia="Arial" w:hAnsi="Arial"/>
                <w:sz w:val="18"/>
                <w:szCs w:val="18"/>
                <w:color w:val="auto"/>
                <w:w w:val="92"/>
              </w:rPr>
              <w:t>50 %</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60 %</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hanging="328"/>
        <w:spacing w:after="0" w:line="255"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Enable is controlled jointly by CenterPoint Energy and OGE. Sale of CenterPoint Energy’s or OGE’s ownership interests in Enable GP to a third party is subject to mutual rights of first offer and first refusal, and CenterPoint Energy is not permitted to dispose of less than all of its interest in Enable GP.</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cash distributions to Enable’s unitholders exceed $0.330625 per common unit in any quarter, Enable GP will receive increasing percentages or incentive distributions rights, up to 50%, of the cash Enable distributes in excess of that amount. In certain circumstances Enable GP will have the right to reset the minimum quarterly distribution and the target distribution levels at which the incentive distributions receive increasing percentages to higher levels based on Enable’s cash distributions at the time of the exercise of this reset election. To date, no incentive distributions have been made.</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Distributions Received from Enable (CenterPoint Energy):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5"/>
                <w:szCs w:val="15"/>
                <w:color w:val="auto"/>
              </w:rPr>
            </w:pPr>
          </w:p>
        </w:tc>
        <w:tc>
          <w:tcPr>
            <w:tcW w:w="13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5"/>
              </w:rPr>
              <w:t>Cash Distribution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Per Unit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Cash Distribution</w:t>
            </w:r>
          </w:p>
        </w:tc>
        <w:tc>
          <w:tcPr>
            <w:tcW w:w="0" w:type="dxa"/>
            <w:vAlign w:val="bottom"/>
          </w:tcPr>
          <w:p>
            <w:pPr>
              <w:spacing w:after="0"/>
              <w:rPr>
                <w:sz w:val="1"/>
                <w:szCs w:val="1"/>
                <w:color w:val="auto"/>
              </w:rPr>
            </w:pPr>
          </w:p>
        </w:tc>
      </w:tr>
      <w:tr>
        <w:trPr>
          <w:trHeight w:val="172"/>
        </w:trPr>
        <w:tc>
          <w:tcPr>
            <w:tcW w:w="48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 except</w:t>
            </w:r>
          </w:p>
        </w:tc>
        <w:tc>
          <w:tcPr>
            <w:tcW w:w="100" w:type="dxa"/>
            <w:vAlign w:val="bottom"/>
          </w:tcPr>
          <w:p>
            <w:pPr>
              <w:spacing w:after="0"/>
              <w:rPr>
                <w:sz w:val="14"/>
                <w:szCs w:val="14"/>
                <w:color w:val="auto"/>
              </w:rPr>
            </w:pPr>
          </w:p>
        </w:tc>
        <w:tc>
          <w:tcPr>
            <w:tcW w:w="130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per unit amounts)</w:t>
            </w: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Enable common units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center"/>
              <w:ind w:left="657"/>
              <w:spacing w:after="0"/>
              <w:rPr>
                <w:sz w:val="20"/>
                <w:szCs w:val="20"/>
                <w:color w:val="auto"/>
              </w:rPr>
            </w:pPr>
            <w:r>
              <w:rPr>
                <w:rFonts w:ascii="Arial" w:cs="Arial" w:eastAsia="Arial" w:hAnsi="Arial"/>
                <w:sz w:val="18"/>
                <w:szCs w:val="18"/>
                <w:color w:val="auto"/>
                <w:w w:val="90"/>
              </w:rPr>
              <w:t>0.3305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Enable Series A Preferred Units</w:t>
            </w:r>
          </w:p>
        </w:tc>
        <w:tc>
          <w:tcPr>
            <w:tcW w:w="4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0.62500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gridSpan w:val="3"/>
          </w:tcPr>
          <w:p>
            <w:pPr>
              <w:jc w:val="center"/>
              <w:ind w:left="657"/>
              <w:spacing w:after="0"/>
              <w:rPr>
                <w:sz w:val="20"/>
                <w:szCs w:val="20"/>
                <w:color w:val="auto"/>
              </w:rPr>
            </w:pPr>
            <w:r>
              <w:rPr>
                <w:rFonts w:ascii="Arial" w:cs="Arial" w:eastAsia="Arial" w:hAnsi="Arial"/>
                <w:sz w:val="18"/>
                <w:szCs w:val="18"/>
                <w:color w:val="auto"/>
                <w:w w:val="90"/>
              </w:rPr>
              <w:t>0.6250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CenterPoint Energy</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i w:val="1"/>
                <w:iCs w:val="1"/>
                <w:color w:val="auto"/>
                <w:w w:val="92"/>
              </w:rPr>
              <w:t>Transactions with Enable (CenterPoint Energy and CERC):</w:t>
            </w:r>
          </w:p>
        </w:tc>
        <w:tc>
          <w:tcPr>
            <w:tcW w:w="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8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380" w:type="dxa"/>
            <w:vAlign w:val="bottom"/>
            <w:gridSpan w:val="12"/>
          </w:tcPr>
          <w:p>
            <w:pPr>
              <w:ind w:left="340"/>
              <w:spacing w:after="0"/>
              <w:rPr>
                <w:sz w:val="20"/>
                <w:szCs w:val="20"/>
                <w:color w:val="auto"/>
              </w:rPr>
            </w:pPr>
            <w:r>
              <w:rPr>
                <w:rFonts w:ascii="Arial" w:cs="Arial" w:eastAsia="Arial" w:hAnsi="Arial"/>
                <w:sz w:val="18"/>
                <w:szCs w:val="18"/>
                <w:color w:val="auto"/>
                <w:w w:val="98"/>
              </w:rPr>
              <w:t>The transactions with Enable in the following tables exclude transactions with the Energy Services Disposal Group.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162"/>
              <w:spacing w:after="0"/>
              <w:rPr>
                <w:sz w:val="20"/>
                <w:szCs w:val="20"/>
                <w:color w:val="auto"/>
              </w:rPr>
            </w:pPr>
            <w:r>
              <w:rPr>
                <w:rFonts w:ascii="Arial" w:cs="Arial" w:eastAsia="Arial" w:hAnsi="Arial"/>
                <w:sz w:val="14"/>
                <w:szCs w:val="14"/>
                <w:b w:val="1"/>
                <w:bCs w:val="1"/>
                <w:color w:val="auto"/>
                <w:w w:val="95"/>
              </w:rPr>
              <w:t>CenterPoint Energy and CERC</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right="62"/>
              <w:spacing w:after="0"/>
              <w:rPr>
                <w:sz w:val="20"/>
                <w:szCs w:val="20"/>
                <w:color w:val="auto"/>
              </w:rPr>
            </w:pPr>
            <w:r>
              <w:rPr>
                <w:rFonts w:ascii="Arial" w:cs="Arial" w:eastAsia="Arial" w:hAnsi="Arial"/>
                <w:sz w:val="14"/>
                <w:szCs w:val="14"/>
                <w:b w:val="1"/>
                <w:bCs w:val="1"/>
                <w:color w:val="auto"/>
                <w:w w:val="94"/>
              </w:rPr>
              <w:t>Three Months Ended March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left="557"/>
              <w:spacing w:after="0"/>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Natural gas expenses, includes transportation and storage costs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5"/>
        </w:trPr>
        <w:tc>
          <w:tcPr>
            <w:tcW w:w="4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42"/>
              <w:spacing w:after="0"/>
              <w:rPr>
                <w:sz w:val="20"/>
                <w:szCs w:val="20"/>
                <w:color w:val="auto"/>
              </w:rPr>
            </w:pPr>
            <w:r>
              <w:rPr>
                <w:rFonts w:ascii="Arial" w:cs="Arial" w:eastAsia="Arial" w:hAnsi="Arial"/>
                <w:sz w:val="14"/>
                <w:szCs w:val="14"/>
                <w:b w:val="1"/>
                <w:bCs w:val="1"/>
                <w:color w:val="auto"/>
                <w:w w:val="95"/>
              </w:rPr>
              <w:t>CenterPoint Energy and CERC</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center"/>
              <w:ind w:left="677"/>
              <w:spacing w:after="0"/>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for natural gas purchases from Enable</w:t>
            </w: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w w:val="94"/>
              </w:rPr>
              <w:t>Accounts receivable for amounts billed for services provided to Enable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39"/>
        </w:trPr>
        <w:tc>
          <w:tcPr>
            <w:tcW w:w="53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89"/>
              </w:rPr>
              <w:t>Summarized Financial Information for Enable (CenterPoint Energy)</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60" w:type="dxa"/>
            <w:vAlign w:val="bottom"/>
            <w:gridSpan w:val="4"/>
          </w:tcPr>
          <w:p>
            <w:pPr>
              <w:ind w:left="340"/>
              <w:spacing w:after="0"/>
              <w:rPr>
                <w:sz w:val="20"/>
                <w:szCs w:val="20"/>
                <w:color w:val="auto"/>
              </w:rPr>
            </w:pPr>
            <w:r>
              <w:rPr>
                <w:rFonts w:ascii="Arial" w:cs="Arial" w:eastAsia="Arial" w:hAnsi="Arial"/>
                <w:sz w:val="18"/>
                <w:szCs w:val="18"/>
                <w:color w:val="auto"/>
                <w:w w:val="94"/>
              </w:rPr>
              <w:t>Summarized unaudited consolidated income information for Enable is as follows: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62"/>
              <w:spacing w:after="0"/>
              <w:rPr>
                <w:sz w:val="20"/>
                <w:szCs w:val="20"/>
                <w:color w:val="auto"/>
              </w:rPr>
            </w:pPr>
            <w:r>
              <w:rPr>
                <w:rFonts w:ascii="Arial" w:cs="Arial" w:eastAsia="Arial" w:hAnsi="Arial"/>
                <w:sz w:val="14"/>
                <w:szCs w:val="14"/>
                <w:b w:val="1"/>
                <w:bCs w:val="1"/>
                <w:color w:val="auto"/>
                <w:w w:val="94"/>
              </w:rPr>
              <w:t>Three Months Ended March 31,</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left="557"/>
              <w:spacing w:after="0"/>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Goodwill and long-lived assets impairments</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Net income attributable to Enable common units</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Equity in Earnings (Losses), net: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CenterPoint Energy’s interest</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Basis difference amortization </w:t>
            </w:r>
            <w:r>
              <w:rPr>
                <w:rFonts w:ascii="Arial" w:cs="Arial" w:eastAsia="Arial" w:hAnsi="Arial"/>
                <w:sz w:val="14"/>
                <w:szCs w:val="14"/>
                <w:color w:val="auto"/>
              </w:rPr>
              <w:t>(1)</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w w:val="95"/>
              </w:rPr>
              <w:t>Loss on dilution, net of proportional basis difference recognition</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Impairment of CenterPoint Energy’s equity method investment in Enable</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3"/>
        </w:trPr>
        <w:tc>
          <w:tcPr>
            <w:tcW w:w="4840" w:type="dxa"/>
            <w:vAlign w:val="bottom"/>
          </w:tcPr>
          <w:p>
            <w:pPr>
              <w:ind w:left="180"/>
              <w:spacing w:after="0"/>
              <w:rPr>
                <w:sz w:val="20"/>
                <w:szCs w:val="20"/>
                <w:color w:val="auto"/>
              </w:rPr>
            </w:pPr>
            <w:r>
              <w:rPr>
                <w:rFonts w:ascii="Arial" w:cs="Arial" w:eastAsia="Arial" w:hAnsi="Arial"/>
                <w:sz w:val="18"/>
                <w:szCs w:val="18"/>
                <w:color w:val="auto"/>
              </w:rPr>
              <w:t>CenterPoint Energy’s equity in earnings (losses), net</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3"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original investment in Enable and its underlying equity in net assets of Enable. The basis difference is being amortized through the year 2048 or will cease upon the sale of CenterPoint Energy’s investment in Enable.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unaudited consolidated balance sheet information for Enable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r>
      <w:tr>
        <w:trPr>
          <w:trHeight w:val="187"/>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4"/>
          </w:tcPr>
          <w:p>
            <w:pPr>
              <w:jc w:val="right"/>
              <w:ind w:right="1372"/>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11,348</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Enable partners’ equity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6,713</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Investment in Enable: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CenterPoint Energy’s ownership interest in Enable partners’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3,645</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Energy’s basis difference </w:t>
            </w:r>
            <w:r>
              <w:rPr>
                <w:rFonts w:ascii="Arial" w:cs="Arial" w:eastAsia="Arial" w:hAnsi="Arial"/>
                <w:sz w:val="14"/>
                <w:szCs w:val="14"/>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CenterPoint Energy’s equity method investment in Enable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basis difference is being amortized through the year 2048 or will cease upon sale of CenterPoint Energy’s investment in Enable.</w:t>
      </w:r>
    </w:p>
    <w:p>
      <w:pPr>
        <w:spacing w:after="0" w:line="248"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 (CenterPoint Energy)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Energy’s goodwill by reportable segment as of March 31, 2021 and December 31, 2020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434"/>
              <w:spacing w:after="0"/>
              <w:rPr>
                <w:sz w:val="20"/>
                <w:szCs w:val="20"/>
                <w:color w:val="auto"/>
              </w:rPr>
            </w:pPr>
            <w:r>
              <w:rPr>
                <w:rFonts w:ascii="Arial" w:cs="Arial" w:eastAsia="Arial" w:hAnsi="Arial"/>
                <w:sz w:val="14"/>
                <w:szCs w:val="14"/>
                <w:b w:val="1"/>
                <w:bCs w:val="1"/>
                <w:color w:val="auto"/>
              </w:rPr>
              <w:t>(in millions)</w:t>
            </w:r>
          </w:p>
        </w:tc>
      </w:tr>
      <w:tr>
        <w:trPr>
          <w:trHeight w:val="235"/>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Electric </w:t>
            </w:r>
            <w:r>
              <w:rPr>
                <w:rFonts w:ascii="Arial" w:cs="Arial" w:eastAsia="Arial" w:hAnsi="Arial"/>
                <w:sz w:val="14"/>
                <w:szCs w:val="14"/>
                <w:color w:val="auto"/>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3,323</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3"/>
        </w:trPr>
        <w:tc>
          <w:tcPr>
            <w:tcW w:w="948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r>
      <w:tr>
        <w:trPr>
          <w:trHeight w:val="20"/>
        </w:trPr>
        <w:tc>
          <w:tcPr>
            <w:tcW w:w="9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Amount presented is net of the accumulated goodwill impairment charge of $185 million recorded in 2020.</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tables below present information on CenterPoint Energy’s intangible assets, excluding goodwill, recorded in Other non-current assets on CenterPoint Energy’s Condensed Consolidated Balance Sheets and the related amortization expense included in Depreciation and amortization on CenterPoint Energy’s Condensed Statements of Consolidated Income, unless otherwise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2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0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Construction backlog </w:t>
            </w:r>
            <w:r>
              <w:rPr>
                <w:rFonts w:ascii="Arial" w:cs="Arial" w:eastAsia="Arial" w:hAnsi="Arial"/>
                <w:sz w:val="14"/>
                <w:szCs w:val="14"/>
                <w:color w:val="auto"/>
              </w:rPr>
              <w:t>(1)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77"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and construction backlog is included in Non-utility cost of revenues, including natural gas on CenterPoint Energy’s Condensed Statements of Consolidated Income.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r>
      <w:tr>
        <w:trPr>
          <w:trHeight w:val="170"/>
        </w:trPr>
        <w:tc>
          <w:tcPr>
            <w:tcW w:w="8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 of intangible assets recorded in Depreciation and amortization</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w w:val="99"/>
              </w:rPr>
              <w:t>Amortization expense of intangible assets recorded in Non-utility cost of revenues, including natural gas</w:t>
            </w:r>
          </w:p>
        </w:tc>
        <w:tc>
          <w:tcPr>
            <w:tcW w:w="98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 estimates that amortization expense of intangible assets with finite lives for the next five years will be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center"/>
              <w:ind w:right="177"/>
              <w:spacing w:after="0"/>
              <w:rPr>
                <w:sz w:val="20"/>
                <w:szCs w:val="20"/>
                <w:color w:val="auto"/>
              </w:rPr>
            </w:pPr>
            <w:r>
              <w:rPr>
                <w:rFonts w:ascii="Arial" w:cs="Arial" w:eastAsia="Arial" w:hAnsi="Arial"/>
                <w:sz w:val="14"/>
                <w:szCs w:val="14"/>
                <w:b w:val="1"/>
                <w:bCs w:val="1"/>
                <w:color w:val="auto"/>
                <w:w w:val="98"/>
              </w:rPr>
              <w:t>Amortization</w:t>
            </w:r>
          </w:p>
        </w:tc>
      </w:tr>
      <w:tr>
        <w:trPr>
          <w:trHeight w:val="188"/>
        </w:trPr>
        <w:tc>
          <w:tcPr>
            <w:tcW w:w="9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 xml:space="preserve">Expense </w:t>
            </w:r>
            <w:r>
              <w:rPr>
                <w:rFonts w:ascii="Arial" w:cs="Arial" w:eastAsia="Arial" w:hAnsi="Arial"/>
                <w:sz w:val="10"/>
                <w:szCs w:val="10"/>
                <w:b w:val="1"/>
                <w:bCs w:val="1"/>
                <w:color w:val="auto"/>
                <w:w w:val="92"/>
              </w:rPr>
              <w:t>(1)</w:t>
            </w:r>
          </w:p>
        </w:tc>
      </w:tr>
      <w:tr>
        <w:trPr>
          <w:trHeight w:val="183"/>
        </w:trPr>
        <w:tc>
          <w:tcPr>
            <w:tcW w:w="9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CenterPoint Energy</w:t>
            </w:r>
          </w:p>
        </w:tc>
      </w:tr>
      <w:tr>
        <w:trPr>
          <w:trHeight w:val="183"/>
        </w:trPr>
        <w:tc>
          <w:tcPr>
            <w:tcW w:w="9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(in millions)</w:t>
            </w:r>
          </w:p>
        </w:tc>
      </w:tr>
      <w:tr>
        <w:trPr>
          <w:trHeight w:val="231"/>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nine months of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Indexed Debt Securities (ZENS) and Securities Related to ZENS (CenterPoint Energy)</w:t>
      </w:r>
    </w:p>
    <w:p>
      <w:pPr>
        <w:spacing w:after="0" w:line="256" w:lineRule="exact"/>
        <w:rPr>
          <w:rFonts w:ascii="Arial" w:cs="Arial" w:eastAsia="Arial" w:hAnsi="Arial"/>
          <w:sz w:val="18"/>
          <w:szCs w:val="18"/>
          <w:b w:val="1"/>
          <w:bCs w:val="1"/>
          <w:color w:val="auto"/>
        </w:rPr>
      </w:pPr>
    </w:p>
    <w:p>
      <w:pPr>
        <w:ind w:left="420" w:hanging="250"/>
        <w:spacing w:after="0"/>
        <w:tabs>
          <w:tab w:leader="none" w:pos="420" w:val="left"/>
        </w:tabs>
        <w:numPr>
          <w:ilvl w:val="1"/>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Securities Related to ZENS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subsidiary of CenterPoint Energy holds shares of certain securities detailed in the table below, which are securities with a readily determinable fair value and are expected to be held to facilitate CenterPoint Energy’s ability to meet its obligation under the ZENS. Unrealized gains and losses resulting from changes in the market value of the ZENS-Related Securities are recorded in CenterPoint Energy’s Condensed Statements of Consolidated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1356"/>
              <w:spacing w:after="0"/>
              <w:rPr>
                <w:sz w:val="20"/>
                <w:szCs w:val="20"/>
                <w:color w:val="auto"/>
              </w:rPr>
            </w:pPr>
            <w:r>
              <w:rPr>
                <w:rFonts w:ascii="Arial" w:cs="Arial" w:eastAsia="Arial" w:hAnsi="Arial"/>
                <w:sz w:val="14"/>
                <w:szCs w:val="14"/>
                <w:b w:val="1"/>
                <w:bCs w:val="1"/>
                <w:color w:val="auto"/>
              </w:rPr>
              <w:t>Shares Held</w:t>
            </w:r>
          </w:p>
        </w:tc>
      </w:tr>
      <w:tr>
        <w:trPr>
          <w:trHeight w:val="187"/>
        </w:trPr>
        <w:tc>
          <w:tcPr>
            <w:tcW w:w="7600" w:type="dxa"/>
            <w:vAlign w:val="bottom"/>
          </w:tcPr>
          <w:p>
            <w:pPr>
              <w:spacing w:after="0"/>
              <w:rPr>
                <w:sz w:val="16"/>
                <w:szCs w:val="16"/>
                <w:color w:val="auto"/>
              </w:rPr>
            </w:pPr>
          </w:p>
        </w:tc>
        <w:tc>
          <w:tcPr>
            <w:tcW w:w="188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 2021</w:t>
            </w:r>
          </w:p>
        </w:tc>
        <w:tc>
          <w:tcPr>
            <w:tcW w:w="176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10,212,945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760" w:type="dxa"/>
            <w:vAlign w:val="bottom"/>
          </w:tcPr>
          <w:p>
            <w:pPr>
              <w:jc w:val="right"/>
              <w:spacing w:after="0"/>
              <w:rPr>
                <w:sz w:val="20"/>
                <w:szCs w:val="20"/>
                <w:color w:val="auto"/>
              </w:rPr>
            </w:pPr>
            <w:r>
              <w:rPr>
                <w:rFonts w:ascii="Arial" w:cs="Arial" w:eastAsia="Arial" w:hAnsi="Arial"/>
                <w:sz w:val="18"/>
                <w:szCs w:val="18"/>
                <w:color w:val="auto"/>
              </w:rPr>
              <w:t>872,503</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872,503</w:t>
            </w:r>
          </w:p>
        </w:tc>
      </w:tr>
    </w:tbl>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ZENS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1999, CenterPoint Energy issued ZENS having an original principal amount of $1.0 billion of which $828 million remained outstanding as of March 31, 2021.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1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March 31, 2021</w:t>
            </w:r>
          </w:p>
        </w:tc>
        <w:tc>
          <w:tcPr>
            <w:tcW w:w="14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1"/>
              </w:rPr>
              <w:t>December 31, 2020</w:t>
            </w:r>
          </w:p>
        </w:tc>
      </w:tr>
      <w:tr>
        <w:trPr>
          <w:trHeight w:val="187"/>
        </w:trPr>
        <w:tc>
          <w:tcPr>
            <w:tcW w:w="76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480" w:type="dxa"/>
            <w:vAlign w:val="bottom"/>
          </w:tcPr>
          <w:p>
            <w:pPr>
              <w:spacing w:after="0"/>
              <w:rPr>
                <w:sz w:val="16"/>
                <w:szCs w:val="16"/>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1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0.7185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160" w:type="dxa"/>
            <w:vAlign w:val="bottom"/>
          </w:tcPr>
          <w:p>
            <w:pPr>
              <w:jc w:val="right"/>
              <w:ind w:right="379"/>
              <w:spacing w:after="0"/>
              <w:rPr>
                <w:sz w:val="20"/>
                <w:szCs w:val="20"/>
                <w:color w:val="auto"/>
              </w:rPr>
            </w:pPr>
            <w:r>
              <w:rPr>
                <w:rFonts w:ascii="Arial" w:cs="Arial" w:eastAsia="Arial" w:hAnsi="Arial"/>
                <w:sz w:val="18"/>
                <w:szCs w:val="18"/>
                <w:color w:val="auto"/>
              </w:rPr>
              <w:t>0.061382</w:t>
            </w:r>
          </w:p>
        </w:tc>
        <w:tc>
          <w:tcPr>
            <w:tcW w:w="1480" w:type="dxa"/>
            <w:vAlign w:val="bottom"/>
          </w:tcPr>
          <w:p>
            <w:pPr>
              <w:jc w:val="right"/>
              <w:spacing w:after="0"/>
              <w:rPr>
                <w:sz w:val="20"/>
                <w:szCs w:val="20"/>
                <w:color w:val="auto"/>
              </w:rPr>
            </w:pPr>
            <w:r>
              <w:rPr>
                <w:rFonts w:ascii="Arial" w:cs="Arial" w:eastAsia="Arial" w:hAnsi="Arial"/>
                <w:sz w:val="18"/>
                <w:szCs w:val="18"/>
                <w:color w:val="auto"/>
              </w:rPr>
              <w:t>0.061382</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March 31, 2021, the ZENS, having an original principal amount of $828 million and a contingent principal amount of $52 million, were outstanding and were exchangeable, at the option of the holders, for cash equal to 95% of the market value of the reference shares attributable to the ZENS.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Short-term Borrowings and Long-term Debt</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Inventory Financing. </w:t>
      </w:r>
      <w:r>
        <w:rPr>
          <w:rFonts w:ascii="Arial" w:cs="Arial" w:eastAsia="Arial" w:hAnsi="Arial"/>
          <w:sz w:val="17"/>
          <w:szCs w:val="17"/>
          <w:color w:val="auto"/>
        </w:rPr>
        <w:t>CenterPoint Energy’s and CERC’s Natural Gas had AMAs associated with their utility distribution service in Arkansas,</w:t>
      </w:r>
      <w:r>
        <w:rPr>
          <w:rFonts w:ascii="Arial" w:cs="Arial" w:eastAsia="Arial" w:hAnsi="Arial"/>
          <w:sz w:val="17"/>
          <w:szCs w:val="17"/>
          <w:i w:val="1"/>
          <w:iCs w:val="1"/>
          <w:color w:val="auto"/>
        </w:rPr>
        <w:t xml:space="preserve"> </w:t>
      </w:r>
      <w:r>
        <w:rPr>
          <w:rFonts w:ascii="Arial" w:cs="Arial" w:eastAsia="Arial" w:hAnsi="Arial"/>
          <w:sz w:val="17"/>
          <w:szCs w:val="17"/>
          <w:color w:val="auto"/>
        </w:rPr>
        <w:t>Louisiana and Oklahoma with the Energy Services Disposal Group that expired in March 2021. The expired AMAs were replaced with new third-party AMAs beginning in April 2021. CenterPoint Energy’s and CERC’s Natural Gas have AMAs with third parties associated with their utility distribution service in Arkansas, Indiana, Louisiana, Minnesota, Mississippi, Oklahoma and Texas.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These transactions are accounted for as an inventory financing. CenterPoint Energy and CERC had $-0- and $24 million outstanding obligations related to the AMAs as of March 31, 2021 and December 31, 2020, respectively.</w:t>
      </w:r>
    </w:p>
    <w:p>
      <w:pPr>
        <w:spacing w:after="0" w:line="20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Debt Transactions. </w:t>
      </w:r>
      <w:r>
        <w:rPr>
          <w:rFonts w:ascii="Arial" w:cs="Arial" w:eastAsia="Arial" w:hAnsi="Arial"/>
          <w:sz w:val="16"/>
          <w:szCs w:val="16"/>
          <w:color w:val="auto"/>
        </w:rPr>
        <w:t>In February 2021, CERC Corp. received financing commitments totaling $1.7 billion on a 364-day term loan facility to bridge any</w:t>
      </w:r>
      <w:r>
        <w:rPr>
          <w:rFonts w:ascii="Arial" w:cs="Arial" w:eastAsia="Arial" w:hAnsi="Arial"/>
          <w:sz w:val="16"/>
          <w:szCs w:val="16"/>
          <w:i w:val="1"/>
          <w:iCs w:val="1"/>
          <w:color w:val="auto"/>
        </w:rPr>
        <w:t xml:space="preserve"> </w:t>
      </w:r>
      <w:r>
        <w:rPr>
          <w:rFonts w:ascii="Arial" w:cs="Arial" w:eastAsia="Arial" w:hAnsi="Arial"/>
          <w:sz w:val="16"/>
          <w:szCs w:val="16"/>
          <w:color w:val="auto"/>
        </w:rPr>
        <w:t>working capital needs related to the February 2021 Winter Storm Event. In March 2021, CERC Corp. issued $700 million aggregate principal amount of 0.70% senior notes and $1.0 billion aggregate principal amount of floating rate senior notes (three-month LIBOR plus 0.5%) due 2023. Total proceeds, net of issuance expenses and fees, of approximately $1.69 billion were used for general corporate purposes, including to fund working capital. Upon the consummation of the senior notes offerings, in March 2021, CERC Corp. terminated all of the commitments for the 364-day term loan facility.</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2021, Houston Electric issued $400 million aggregate principal amount of 2.35% general mortgage bonds due 2031 and $700 million aggregate principal amount of 3.35% general mortgage bonds due 2051. Total proceeds, net of issuance expenses and fees, of approximately $1.08 billion were or will be used for general limited liability company purposes, including capital expenditures and the repayment of (i) all of Houston Electric’s outstanding $102 million 9.15% first mortgage bonds due 2021, which matured on March 15, 2021, (ii) all of Houston Electric’s outstanding $300 million of 1.85% general mortgage bonds due 2021, which were called for redemption in full on May 1, 2021, as discussed further below, and (iii) all or a portion of Houston Electric’s borrowings under the CenterPoint Energy money pool.</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Debt Redemption. </w:t>
      </w:r>
      <w:r>
        <w:rPr>
          <w:rFonts w:ascii="Arial" w:cs="Arial" w:eastAsia="Arial" w:hAnsi="Arial"/>
          <w:sz w:val="18"/>
          <w:szCs w:val="18"/>
          <w:color w:val="auto"/>
        </w:rPr>
        <w:t>In April 2021, Houston Electric provided notice of redemption relating to $300 million aggregate principal amount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1.85% general mortgage bonds due 2021. All of the outstanding bonds were called for redemption in full on May 1, 2021 at a redemption price equal to 100% of the principal amount, plus accrued and unpaid interest.</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CenterPoint Energy Term Loan. </w:t>
      </w:r>
      <w:r>
        <w:rPr>
          <w:rFonts w:ascii="Arial" w:cs="Arial" w:eastAsia="Arial" w:hAnsi="Arial"/>
          <w:sz w:val="18"/>
          <w:szCs w:val="18"/>
          <w:color w:val="auto"/>
        </w:rPr>
        <w:t>In April 2021, CenterPoint Energy amended its existing term loan agreement, of which $700 million is still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by extending its maturity from May 15, 2021 to June 14, 2021.</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In February 2021, each of CenterPoint Energy, Houston Electric, CERC Corp. and VUHI replaced their existing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with new amended and restated credit facilities. The size of the CenterPoint Energy facility decreased from $3.3 billion to $2.4 billion, while the sizes of the Houston Electric, CERC Corp. and VUHI facilities remained unchanged.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Registrants had the following revolving credit facilities as of March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34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Debt for</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Borrowed</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Covenant Limit</w:t>
            </w:r>
          </w:p>
        </w:tc>
        <w:tc>
          <w:tcPr>
            <w:tcW w:w="34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Money to</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on Debt for</w:t>
            </w:r>
          </w:p>
        </w:tc>
        <w:tc>
          <w:tcPr>
            <w:tcW w:w="34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Capital</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Execution</w:t>
            </w: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Size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Draw Rate of</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Borrowed</w:t>
            </w:r>
          </w:p>
        </w:tc>
        <w:tc>
          <w:tcPr>
            <w:tcW w:w="34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Ratio as of</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vMerge w:val="continue"/>
          </w:tcPr>
          <w:p>
            <w:pPr>
              <w:spacing w:after="0"/>
              <w:rPr>
                <w:sz w:val="11"/>
                <w:szCs w:val="11"/>
                <w:color w:val="auto"/>
              </w:rPr>
            </w:pPr>
          </w:p>
        </w:tc>
        <w:tc>
          <w:tcPr>
            <w:tcW w:w="266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Registrant</w:t>
            </w: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Money to</w:t>
            </w:r>
          </w:p>
        </w:tc>
        <w:tc>
          <w:tcPr>
            <w:tcW w:w="34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March 31, 2021</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0" w:type="dxa"/>
            <w:vAlign w:val="bottom"/>
          </w:tcPr>
          <w:p>
            <w:pPr>
              <w:spacing w:after="0"/>
              <w:rPr>
                <w:sz w:val="1"/>
                <w:szCs w:val="1"/>
                <w:color w:val="auto"/>
              </w:rPr>
            </w:pPr>
          </w:p>
        </w:tc>
      </w:tr>
      <w:tr>
        <w:trPr>
          <w:trHeight w:val="162"/>
        </w:trPr>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2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xml:space="preserve">LIBOR plus </w:t>
            </w:r>
            <w:r>
              <w:rPr>
                <w:rFonts w:ascii="Arial" w:cs="Arial" w:eastAsia="Arial" w:hAnsi="Arial"/>
                <w:sz w:val="10"/>
                <w:szCs w:val="10"/>
                <w:b w:val="1"/>
                <w:bCs w:val="1"/>
                <w:color w:val="auto"/>
                <w:w w:val="99"/>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3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8"/>
              </w:rPr>
              <w:t>(2)</w:t>
            </w: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February 4, 2021</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CenterPoint Energy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1.625%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65.0%</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(3)</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57.4%</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February 4, 2024</w:t>
            </w:r>
          </w:p>
        </w:tc>
        <w:tc>
          <w:tcPr>
            <w:tcW w:w="0" w:type="dxa"/>
            <w:vAlign w:val="bottom"/>
          </w:tcPr>
          <w:p>
            <w:pPr>
              <w:spacing w:after="0"/>
              <w:rPr>
                <w:sz w:val="1"/>
                <w:szCs w:val="1"/>
                <w:color w:val="auto"/>
              </w:rPr>
            </w:pPr>
          </w:p>
        </w:tc>
      </w:tr>
      <w:tr>
        <w:trPr>
          <w:trHeight w:val="186"/>
        </w:trPr>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February 4, 2021</w:t>
            </w:r>
          </w:p>
        </w:tc>
        <w:tc>
          <w:tcPr>
            <w:tcW w:w="2660" w:type="dxa"/>
            <w:vAlign w:val="bottom"/>
            <w:gridSpan w:val="2"/>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(4)</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w:t>
            </w:r>
          </w:p>
        </w:tc>
        <w:tc>
          <w:tcPr>
            <w:tcW w:w="116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1.250%</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65.0%</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49.9%</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1"/>
              </w:rPr>
              <w:t>February 4, 2024</w:t>
            </w:r>
          </w:p>
        </w:tc>
        <w:tc>
          <w:tcPr>
            <w:tcW w:w="0" w:type="dxa"/>
            <w:vAlign w:val="bottom"/>
          </w:tcPr>
          <w:p>
            <w:pPr>
              <w:spacing w:after="0"/>
              <w:rPr>
                <w:sz w:val="1"/>
                <w:szCs w:val="1"/>
                <w:color w:val="auto"/>
              </w:rPr>
            </w:pPr>
          </w:p>
        </w:tc>
      </w:tr>
      <w:tr>
        <w:trPr>
          <w:trHeight w:val="192"/>
        </w:trPr>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February 4, 2021</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Houston Electric</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1.375%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67.5%</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(3)</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57.9%</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February 4, 2024</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February 4, 2021</w:t>
            </w:r>
          </w:p>
        </w:tc>
        <w:tc>
          <w:tcPr>
            <w:tcW w:w="2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CERC</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16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w w:val="92"/>
              </w:rPr>
              <w:t>1.250%</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65.0%</w:t>
            </w: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61.5%</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February 4, 2024</w:t>
            </w: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2" w:lineRule="exact"/>
        <w:rPr>
          <w:rFonts w:ascii="Arial" w:cs="Arial" w:eastAsia="Arial" w:hAnsi="Arial"/>
          <w:sz w:val="18"/>
          <w:szCs w:val="18"/>
          <w:color w:val="auto"/>
        </w:rPr>
      </w:pPr>
    </w:p>
    <w:p>
      <w:pPr>
        <w:ind w:left="660" w:hanging="328"/>
        <w:spacing w:after="0" w:line="260"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credit facility was issued by VUHI, is guaranteed by SIGECO, Indiana Gas and VEDO and includes a $20 million letter of credit sublimit. This credit facility backstops VUHI’s commercial paper program.</w:t>
      </w: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March 31, 2021.</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December 31, 2020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Letters</w:t>
            </w:r>
          </w:p>
        </w:tc>
        <w:tc>
          <w:tcPr>
            <w:tcW w:w="120" w:type="dxa"/>
            <w:vAlign w:val="bottom"/>
          </w:tcPr>
          <w:p>
            <w:pPr>
              <w:spacing w:after="0"/>
              <w:rPr>
                <w:sz w:val="11"/>
                <w:szCs w:val="11"/>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Commercial</w:t>
            </w:r>
          </w:p>
        </w:tc>
        <w:tc>
          <w:tcPr>
            <w:tcW w:w="120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Letters</w:t>
            </w:r>
          </w:p>
        </w:tc>
        <w:tc>
          <w:tcPr>
            <w:tcW w:w="12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Commercial</w:t>
            </w:r>
          </w:p>
        </w:tc>
        <w:tc>
          <w:tcPr>
            <w:tcW w:w="11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236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Registrant</w:t>
            </w:r>
          </w:p>
        </w:tc>
        <w:tc>
          <w:tcPr>
            <w:tcW w:w="18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Average Interest</w:t>
            </w:r>
          </w:p>
        </w:tc>
        <w:tc>
          <w:tcPr>
            <w:tcW w:w="1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1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1"/>
              </w:rPr>
              <w:t>Average Interest</w:t>
            </w:r>
          </w:p>
        </w:tc>
        <w:tc>
          <w:tcPr>
            <w:tcW w:w="0" w:type="dxa"/>
            <w:vAlign w:val="bottom"/>
          </w:tcPr>
          <w:p>
            <w:pPr>
              <w:spacing w:after="0"/>
              <w:rPr>
                <w:sz w:val="1"/>
                <w:szCs w:val="1"/>
                <w:color w:val="auto"/>
              </w:rPr>
            </w:pPr>
          </w:p>
        </w:tc>
      </w:tr>
      <w:tr>
        <w:trPr>
          <w:trHeight w:val="188"/>
        </w:trPr>
        <w:tc>
          <w:tcPr>
            <w:tcW w:w="2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of Credit</w:t>
            </w:r>
          </w:p>
        </w:tc>
        <w:tc>
          <w:tcPr>
            <w:tcW w:w="120" w:type="dxa"/>
            <w:vAlign w:val="bottom"/>
          </w:tcPr>
          <w:p>
            <w:pPr>
              <w:spacing w:after="0"/>
              <w:rPr>
                <w:sz w:val="16"/>
                <w:szCs w:val="16"/>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Paper</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of Credit</w:t>
            </w:r>
          </w:p>
        </w:tc>
        <w:tc>
          <w:tcPr>
            <w:tcW w:w="120" w:type="dxa"/>
            <w:vAlign w:val="bottom"/>
          </w:tcPr>
          <w:p>
            <w:pPr>
              <w:spacing w:after="0"/>
              <w:rPr>
                <w:sz w:val="16"/>
                <w:szCs w:val="16"/>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Paper</w:t>
            </w:r>
          </w:p>
        </w:tc>
        <w:tc>
          <w:tcPr>
            <w:tcW w:w="118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380" w:type="dxa"/>
            <w:vAlign w:val="bottom"/>
            <w:tcBorders>
              <w:top w:val="single" w:sz="8" w:color="auto"/>
            </w:tcBorders>
            <w:gridSpan w:val="9"/>
          </w:tcPr>
          <w:p>
            <w:pPr>
              <w:ind w:left="680"/>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1,078</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0.23 %</w:t>
            </w:r>
          </w:p>
        </w:tc>
        <w:tc>
          <w:tcPr>
            <w:tcW w:w="0" w:type="dxa"/>
            <w:vAlign w:val="bottom"/>
          </w:tcPr>
          <w:p>
            <w:pPr>
              <w:spacing w:after="0"/>
              <w:rPr>
                <w:sz w:val="1"/>
                <w:szCs w:val="1"/>
                <w:color w:val="auto"/>
              </w:rPr>
            </w:pPr>
          </w:p>
        </w:tc>
      </w:tr>
      <w:tr>
        <w:trPr>
          <w:trHeight w:val="186"/>
        </w:trPr>
        <w:tc>
          <w:tcPr>
            <w:tcW w:w="2360" w:type="dxa"/>
            <w:vAlign w:val="bottom"/>
            <w:gridSpan w:val="2"/>
          </w:tcPr>
          <w:p>
            <w:pPr>
              <w:ind w:left="2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(2)</w:t>
            </w:r>
          </w:p>
        </w:tc>
        <w:tc>
          <w:tcPr>
            <w:tcW w:w="1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w:t>
            </w:r>
          </w:p>
        </w:tc>
        <w:tc>
          <w:tcPr>
            <w:tcW w:w="1200" w:type="dxa"/>
            <w:vAlign w:val="bottom"/>
          </w:tcPr>
          <w:p>
            <w:pPr>
              <w:jc w:val="right"/>
              <w:spacing w:after="0"/>
              <w:rPr>
                <w:sz w:val="20"/>
                <w:szCs w:val="20"/>
                <w:color w:val="auto"/>
              </w:rPr>
            </w:pPr>
            <w:r>
              <w:rPr>
                <w:rFonts w:ascii="Arial" w:cs="Arial" w:eastAsia="Arial" w:hAnsi="Arial"/>
                <w:sz w:val="14"/>
                <w:szCs w:val="14"/>
                <w:color w:val="auto"/>
              </w:rPr>
              <w:t>0.18 %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1180" w:type="dxa"/>
            <w:vAlign w:val="bottom"/>
          </w:tcPr>
          <w:p>
            <w:pPr>
              <w:jc w:val="right"/>
              <w:spacing w:after="0"/>
              <w:rPr>
                <w:sz w:val="20"/>
                <w:szCs w:val="20"/>
                <w:color w:val="auto"/>
              </w:rPr>
            </w:pPr>
            <w:r>
              <w:rPr>
                <w:rFonts w:ascii="Arial" w:cs="Arial" w:eastAsia="Arial" w:hAnsi="Arial"/>
                <w:sz w:val="14"/>
                <w:szCs w:val="14"/>
                <w:color w:val="auto"/>
              </w:rPr>
              <w:t>0.22 %</w:t>
            </w:r>
          </w:p>
        </w:tc>
        <w:tc>
          <w:tcPr>
            <w:tcW w:w="0" w:type="dxa"/>
            <w:vAlign w:val="bottom"/>
          </w:tcPr>
          <w:p>
            <w:pPr>
              <w:spacing w:after="0"/>
              <w:rPr>
                <w:sz w:val="1"/>
                <w:szCs w:val="1"/>
                <w:color w:val="auto"/>
              </w:rPr>
            </w:pPr>
          </w:p>
        </w:tc>
      </w:tr>
      <w:tr>
        <w:trPr>
          <w:trHeight w:val="192"/>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Houston Electric</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360" w:type="dxa"/>
            <w:vAlign w:val="bottom"/>
            <w:gridSpan w:val="2"/>
          </w:tcPr>
          <w:p>
            <w:pPr>
              <w:ind w:left="20"/>
              <w:spacing w:after="0"/>
              <w:rPr>
                <w:sz w:val="20"/>
                <w:szCs w:val="20"/>
                <w:color w:val="auto"/>
              </w:rPr>
            </w:pPr>
            <w:r>
              <w:rPr>
                <w:rFonts w:ascii="Arial" w:cs="Arial" w:eastAsia="Arial" w:hAnsi="Arial"/>
                <w:sz w:val="14"/>
                <w:szCs w:val="14"/>
                <w:color w:val="auto"/>
              </w:rPr>
              <w:t>CERC</w:t>
            </w:r>
          </w:p>
        </w:tc>
        <w:tc>
          <w:tcPr>
            <w:tcW w:w="1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573</w:t>
            </w:r>
          </w:p>
        </w:tc>
        <w:tc>
          <w:tcPr>
            <w:tcW w:w="1200" w:type="dxa"/>
            <w:vAlign w:val="bottom"/>
          </w:tcPr>
          <w:p>
            <w:pPr>
              <w:jc w:val="right"/>
              <w:spacing w:after="0"/>
              <w:rPr>
                <w:sz w:val="20"/>
                <w:szCs w:val="20"/>
                <w:color w:val="auto"/>
              </w:rPr>
            </w:pPr>
            <w:r>
              <w:rPr>
                <w:rFonts w:ascii="Arial" w:cs="Arial" w:eastAsia="Arial" w:hAnsi="Arial"/>
                <w:sz w:val="14"/>
                <w:szCs w:val="14"/>
                <w:color w:val="auto"/>
              </w:rPr>
              <w:t>0.21 %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1180" w:type="dxa"/>
            <w:vAlign w:val="bottom"/>
          </w:tcPr>
          <w:p>
            <w:pPr>
              <w:jc w:val="right"/>
              <w:spacing w:after="0"/>
              <w:rPr>
                <w:sz w:val="20"/>
                <w:szCs w:val="20"/>
                <w:color w:val="auto"/>
              </w:rPr>
            </w:pPr>
            <w:r>
              <w:rPr>
                <w:rFonts w:ascii="Arial" w:cs="Arial" w:eastAsia="Arial" w:hAnsi="Arial"/>
                <w:sz w:val="14"/>
                <w:szCs w:val="14"/>
                <w:color w:val="auto"/>
              </w:rPr>
              <w:t>0.23 %</w:t>
            </w:r>
          </w:p>
        </w:tc>
        <w:tc>
          <w:tcPr>
            <w:tcW w:w="0" w:type="dxa"/>
            <w:vAlign w:val="bottom"/>
          </w:tcPr>
          <w:p>
            <w:pPr>
              <w:spacing w:after="0"/>
              <w:rPr>
                <w:sz w:val="1"/>
                <w:szCs w:val="1"/>
                <w:color w:val="auto"/>
              </w:rPr>
            </w:pPr>
          </w:p>
        </w:tc>
      </w:tr>
      <w:tr>
        <w:trPr>
          <w:trHeight w:val="211"/>
        </w:trPr>
        <w:tc>
          <w:tcPr>
            <w:tcW w:w="23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1,517</w:t>
            </w: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CenterPoint Energy’s outstanding commercial paper generally has maturities of 60 days or less.</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credit facility was issued by VUHI and is guaranteed by SIGECO, Indiana Gas and VEDO.</w:t>
      </w:r>
    </w:p>
    <w:p>
      <w:pPr>
        <w:spacing w:after="0" w:line="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Liens. </w:t>
      </w:r>
      <w:r>
        <w:rPr>
          <w:rFonts w:ascii="Arial" w:cs="Arial" w:eastAsia="Arial" w:hAnsi="Arial"/>
          <w:sz w:val="17"/>
          <w:szCs w:val="17"/>
          <w:color w:val="auto"/>
        </w:rPr>
        <w:t>As of March 31, 2021, Houston Electric’s assets were subject to liens securing approximately $5.4 billion of general mortgage bonds,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$68 million held in trust to secure pollution control bonds that mature in 2028 for which CenterPoint Energy is obligated. These general mortgage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As of March 15, 2021, no Houston Electric first mortgage bonds remained outstanding. Houston Electric could issue approximately $3.4 billion of additional first mortgage bonds and general mortgage bonds on the basis of retired bonds and 70% of property additions as of March 31, 2021. Houston Electric has contractually agreed that it will not issue additional first mortgage bonds,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As of March 31, 2021, certain financial institutions agreed to issue, from time to time, up to $20 million of letters of credit on behalf of Vectren</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of its subsidiaries in exchange for customary fees. These agreements to issue letters of credit expire on December 31, 2021. As of March 31, 2021, such financial institutions had issued $1 million of letters of credit on behalf of Vectren and certain of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136"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 Continuing operations </w:t>
            </w:r>
            <w:r>
              <w:rPr>
                <w:rFonts w:ascii="Arial" w:cs="Arial" w:eastAsia="Arial" w:hAnsi="Arial"/>
                <w:sz w:val="14"/>
                <w:szCs w:val="14"/>
                <w:color w:val="auto"/>
              </w:rPr>
              <w:t>(1)</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 Discontinued operations </w:t>
            </w:r>
            <w:r>
              <w:rPr>
                <w:rFonts w:ascii="Arial" w:cs="Arial" w:eastAsia="Arial" w:hAnsi="Arial"/>
                <w:sz w:val="14"/>
                <w:szCs w:val="14"/>
                <w:color w:val="auto"/>
              </w:rPr>
              <w:t>(2)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9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 xml:space="preserve">CERC - Continuing operations </w:t>
            </w:r>
            <w:r>
              <w:rPr>
                <w:rFonts w:ascii="Arial" w:cs="Arial" w:eastAsia="Arial" w:hAnsi="Arial"/>
                <w:sz w:val="14"/>
                <w:szCs w:val="14"/>
                <w:color w:val="auto"/>
              </w:rPr>
              <w:t>(3)</w:t>
            </w:r>
          </w:p>
        </w:tc>
        <w:tc>
          <w:tcPr>
            <w:tcW w:w="6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CERC - Discontinued operations </w:t>
            </w:r>
            <w:r>
              <w:rPr>
                <w:rFonts w:ascii="Arial" w:cs="Arial" w:eastAsia="Arial" w:hAnsi="Arial"/>
                <w:sz w:val="14"/>
                <w:szCs w:val="14"/>
                <w:color w:val="auto"/>
              </w:rPr>
              <w:t>(4)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310" w:lineRule="exact"/>
        <w:rPr>
          <w:sz w:val="20"/>
          <w:szCs w:val="20"/>
          <w:color w:val="auto"/>
        </w:rPr>
      </w:pPr>
    </w:p>
    <w:p>
      <w:pPr>
        <w:jc w:val="both"/>
        <w:ind w:left="660" w:hanging="328"/>
        <w:spacing w:after="0" w:line="267"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CenterPoint Energy’s lower effective tax rate on income from continuing operations for the three months ended March 31, 2021 compared to the higher effective tax rate on a loss from continuing operations for the three months ended March 31, 2020 was primarily driven by an increase in the amount of amortization of the net regulatory EDIT liability. The higher effective tax rate on the loss from continuing operations for the three months ended March 31, 2020 was primarily due to lower earnings from the impairment of CenterPoint Energy’s investment in Enable. Other effective tax rate drivers include the non-deductible goodwill impairment at the Indiana Electric reporting unit, the impact of NOL carryback claims allowed under the CARES Act, and an increase in the amount of remeasurement of state deferred tax liabilities for changes in apportionment, the effects of which were compounded by the book loss in the three months ended March 31, 2020.</w:t>
      </w:r>
    </w:p>
    <w:p>
      <w:pPr>
        <w:spacing w:after="0" w:line="4" w:lineRule="exact"/>
        <w:rPr>
          <w:rFonts w:ascii="Arial" w:cs="Arial" w:eastAsia="Arial" w:hAnsi="Arial"/>
          <w:sz w:val="17"/>
          <w:szCs w:val="17"/>
          <w:color w:val="auto"/>
        </w:rPr>
      </w:pPr>
    </w:p>
    <w:p>
      <w:pPr>
        <w:ind w:left="660" w:hanging="328"/>
        <w:spacing w:after="0" w:line="265"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CenterPoint Energy’s lower than statutory tax rate on the loss from discontinued operations for the three months ended March 31, 2020 was primarily due to the non-deductible portions of goodwill impairments on the Energy Services and Infrastructure Services Disposal Groups.</w:t>
      </w:r>
    </w:p>
    <w:p>
      <w:pPr>
        <w:ind w:left="660" w:hanging="328"/>
        <w:spacing w:after="0" w:line="265"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CERC’s higher effective tax rate on income from continuing operations for the three months ended March 31, 2021 compared to the three months ended March 31, 2020 was primarily driven by a decrease in the amount of amortization of the net regulatory EDIT liability.</w:t>
      </w:r>
    </w:p>
    <w:p>
      <w:pPr>
        <w:ind w:left="660" w:right="20" w:hanging="328"/>
        <w:spacing w:after="0" w:line="26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CERC’s lower than statutory tax rate on the loss from discontinued operations for the three months ended March 31, 2020 was primarily due to the non-deductible portion of the goodwill impairment on the Energy Services Disposal Group.</w:t>
      </w:r>
    </w:p>
    <w:p>
      <w:pPr>
        <w:spacing w:after="0" w:line="2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March 11, 2021, the ARPA was enacted in response to continued economic and health impacts of the COVID-19 pandemic. The ARPA expands the definition of “covered employee” under section 162(m) beginning in 2027, and extends the employee retention tax credit through December 31, 2021, among other provisions. CenterPoint Energy does not currently anticipate any material impacts from this legislation. On March 27, 2020, the CARES Act was enacted in response to the COVID-19 pandemic. The CARES Act provides relief to corporate taxpayers by permitting a five-year carryback of 2018-2020 NOLs, deferring the payment of the employer share of payroll taxes for the remaining months of 2020 until 2021 and 2022, increasing the 30% limitation on interest expense deductibility to 50% of adjusted taxable income for 2019 and 2020, and accelerating refunds for minimum tax credit carryforwards, among other provisions. Based on the CARES Act NOL carryback provision, during the three months ended March 31, 2020, CenterPoint Energy recorded a $19 million benefit resulting from carryback claims to be filed to refund taxes paid.</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reported a net uncertain tax liability, inclusive of interest and penalties, of $10 million as of March 31, 2021. Interest and penalties of $1 million were recorded on the uncertain tax liability for the three month period ending March 31, 2021. The Registrants believe that it is reasonably possible that a decrease of up to $6 million in unrecognized tax benefits may occur in the next 12 months as a result of a lapse of statutes on older exposures and/or the acceptance of an application for an accounting method change. For CenterPoint Energy, tax years through 2018 have been audited and settled with the IRS. For the 2019 through 2021 tax years CenterPoint Energy is a participant in the IRS’s Compliance Assurance Process. Vectren’s pre-Merger 2017 through 2019 tax years are still open for examination.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rFonts w:ascii="Arial" w:cs="Arial" w:eastAsia="Arial" w:hAnsi="Arial"/>
          <w:sz w:val="18"/>
          <w:szCs w:val="18"/>
          <w:b w:val="1"/>
          <w:bCs w:val="1"/>
          <w:color w:val="auto"/>
        </w:rPr>
      </w:pPr>
    </w:p>
    <w:p>
      <w:pPr>
        <w:ind w:left="640" w:hanging="308"/>
        <w:spacing w:after="0"/>
        <w:tabs>
          <w:tab w:leader="none" w:pos="640" w:val="left"/>
        </w:tabs>
        <w:numPr>
          <w:ilvl w:val="1"/>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Obligations (CenterPoint Energy and CERC)</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March 31, 2021 and December 31, 2020. These contracts meet an exception as “normal purchases contracts” or do not meet the definition of a derivative. Natural gas and coal supply commitments also include transportation contracts that do not meet the definition of a derivative.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9, 2021, Indiana Electric entered into a BTA with a subsidiary of Capital Dynamics. Pursuant to the BTA, Capital Dynamics, with its partner Tenaska, will build a 300 MW solar array in Posey County, Indiana through a special purpose entity Posey Solar. Upon completion of construction, currently projected to be at the end of 2023, and subject to IURC approval, Indiana Electric will acquire Posey Solar and its solar array assets for a fixed purchase price.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undiscounted minimum purchase obligations are approximately: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30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4"/>
              </w:rPr>
              <w:t>CenterPoint Energy</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80" w:type="dxa"/>
            <w:vAlign w:val="bottom"/>
          </w:tcPr>
          <w:p>
            <w:pPr>
              <w:jc w:val="center"/>
              <w:ind w:left="261"/>
              <w:spacing w:after="0" w:line="135" w:lineRule="exact"/>
              <w:rPr>
                <w:sz w:val="20"/>
                <w:szCs w:val="20"/>
                <w:color w:val="auto"/>
              </w:rPr>
            </w:pPr>
            <w:r>
              <w:rPr>
                <w:rFonts w:ascii="Arial" w:cs="Arial" w:eastAsia="Arial" w:hAnsi="Arial"/>
                <w:sz w:val="14"/>
                <w:szCs w:val="14"/>
                <w:b w:val="1"/>
                <w:bCs w:val="1"/>
                <w:color w:val="auto"/>
                <w:w w:val="94"/>
              </w:rPr>
              <w:t>Natural Gas</w:t>
            </w:r>
          </w:p>
        </w:tc>
        <w:tc>
          <w:tcPr>
            <w:tcW w:w="400" w:type="dxa"/>
            <w:vAlign w:val="bottom"/>
          </w:tcPr>
          <w:p>
            <w:pPr>
              <w:spacing w:after="0"/>
              <w:rPr>
                <w:sz w:val="11"/>
                <w:szCs w:val="11"/>
                <w:color w:val="auto"/>
              </w:rPr>
            </w:pPr>
          </w:p>
        </w:tc>
        <w:tc>
          <w:tcPr>
            <w:tcW w:w="14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0"/>
                <w:szCs w:val="10"/>
                <w:b w:val="1"/>
                <w:bCs w:val="1"/>
                <w:color w:val="auto"/>
              </w:rPr>
              <w:t>(1)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Natural Gas Supply</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480" w:type="dxa"/>
            <w:vAlign w:val="bottom"/>
            <w:tcBorders>
              <w:bottom w:val="single" w:sz="8" w:color="auto"/>
            </w:tcBorders>
          </w:tcPr>
          <w:p>
            <w:pPr>
              <w:jc w:val="center"/>
              <w:ind w:left="301"/>
              <w:spacing w:after="0"/>
              <w:rPr>
                <w:sz w:val="20"/>
                <w:szCs w:val="20"/>
                <w:color w:val="auto"/>
              </w:rPr>
            </w:pPr>
            <w:r>
              <w:rPr>
                <w:rFonts w:ascii="Arial" w:cs="Arial" w:eastAsia="Arial" w:hAnsi="Arial"/>
                <w:sz w:val="14"/>
                <w:szCs w:val="14"/>
                <w:b w:val="1"/>
                <w:bCs w:val="1"/>
                <w:color w:val="auto"/>
                <w:w w:val="92"/>
              </w:rPr>
              <w:t>and Coal Supply</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20" w:type="dxa"/>
            <w:vAlign w:val="bottom"/>
            <w:gridSpan w:val="2"/>
          </w:tcPr>
          <w:p>
            <w:pPr>
              <w:jc w:val="center"/>
              <w:ind w:right="919"/>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nine months of 2021</w:t>
            </w:r>
          </w:p>
        </w:tc>
        <w:tc>
          <w:tcPr>
            <w:tcW w:w="1480" w:type="dxa"/>
            <w:vAlign w:val="bottom"/>
            <w:shd w:val="clear" w:color="auto" w:fill="CCEEFF"/>
          </w:tcPr>
          <w:p>
            <w:pPr>
              <w:jc w:val="right"/>
              <w:ind w:right="12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3"/>
              </w:rPr>
              <w:t>429</w:t>
            </w:r>
          </w:p>
        </w:tc>
        <w:tc>
          <w:tcPr>
            <w:tcW w:w="142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2022</w:t>
            </w:r>
          </w:p>
        </w:tc>
        <w:tc>
          <w:tcPr>
            <w:tcW w:w="148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color w:val="auto"/>
                <w:w w:val="93"/>
              </w:rPr>
              <w:t>547</w:t>
            </w: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3"/>
              </w:rPr>
              <w:t>470</w:t>
            </w: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2024</w:t>
            </w:r>
          </w:p>
        </w:tc>
        <w:tc>
          <w:tcPr>
            <w:tcW w:w="148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color w:val="auto"/>
                <w:w w:val="93"/>
              </w:rPr>
              <w:t>392</w:t>
            </w: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3"/>
              </w:rPr>
              <w:t>337</w:t>
            </w: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2026</w:t>
            </w:r>
          </w:p>
        </w:tc>
        <w:tc>
          <w:tcPr>
            <w:tcW w:w="148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color w:val="auto"/>
                <w:w w:val="93"/>
              </w:rPr>
              <w:t>304</w:t>
            </w:r>
          </w:p>
        </w:tc>
        <w:tc>
          <w:tcPr>
            <w:tcW w:w="1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beyond</w:t>
            </w:r>
          </w:p>
        </w:tc>
        <w:tc>
          <w:tcPr>
            <w:tcW w:w="18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1,634</w:t>
            </w: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660" w:hanging="328"/>
        <w:spacing w:after="0" w:line="263"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CenterPoint Energy’s undiscounted minimum payment obligations related to its 25-year agreement for its solar PPA in Warrick County, Indiana and its purchase commitment under its BTA in Posey County, Indiana are included above. The remaining undiscounted payment obligations relate primarily to technology hardware and software agreements.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normal course of business, ESG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Specific to ESG’s role as a general contractor in the performance contracting industry, as of March 31, 2021, there were 51 open surety bonds supporting future performance with an aggregate face amount of approximately $527 million. ESG’s exposure is less than the face amount of the surety bonds and is limited to the level of uncompleted work under the contracts. As of March 31, 2021, approximately 47% of the work was yet to be completed on projects with open surety bonds. Further, various subcontractors issue surety bonds to ESG. In addition to these performance obligations, ESG also warrants the functionality of certain installed infrastructure generally for one year and the associated energy savings over a specified number of years. As of March 31, 2021, there were 32 warranties totaling $554 million and an additional $1.2 billion in energy savings commitments not guaranteed by Vectren. Since ESG’s inception in 1994, CenterPoint Energy believes ESG has had a history of generally meeting its performance obligations and energy savings guarantees and its installed products operating effectively.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CenterPoint Energy assessed the fair value of its obligation for such guarantees as of March 31, 2021 and no amounts were recorded on CenterPoint Energy’s Condensed Consolidated Balance Sheets.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CenterPoint Energy issues parent company level guarantees to certain vendors, customers and other commercial counterparties of ESG. These guarantees do not represent incremental consolidated obligations, but rather, represent guarantees of subsidiary obligations to allow those subsidiaries to conduct business without posting other forms of assurance. As of March 31, 2021, CenterPoint Energy, primarily through Vectren, has issued parent company level guarantees supporting ESG’s obligations. For those obligations where potential exposure can be estimated, management estimates the maximum exposure under these guarantees to be approximately $517 million as of March 31, 2021.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Guarantees and Product Warranties (CenterPoint Energy and CERC)</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February 24, 2020, CenterPoint Energy, through its subsidiary CERC Corp., entered into the Equity Purchase Agreement to sell the Energy Services Disposal Group. The transaction closed on June 1, 2020. 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CES’s counterparties to guarantee the payment of CES’s obligations. When CES remained wholly owned by CERC Corp., these guarantees did not represent incremental consolidated obligations, but rather, these guarantees represented guarantees of CES’s obligations to allow it to conduct business without posting other forms of assurance.</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CERC Corp. guarantee primarily had a one- or two-year term, although CERC Corp. would generally not be released from obligations incurred by CES prior to the termination of such guarantee unless the beneficiary of the guarantee affirmatively released CERC Corp. from its obligations under the guarantee. Throughout CERC Corp.’s ownership of CES and subsequent to the sale of the Energy Services Disposal Group through March 31, 2021, CERC Corp. did not pay any amounts under guarantees of CES’s obligations.</w:t>
      </w:r>
    </w:p>
    <w:p>
      <w:pPr>
        <w:spacing w:after="0" w:line="2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terms of the Equity Purchase Agreement, Symmetry Energy Solutions Acquisition must generally use reasonable best efforts to replace existing CERC Corp. guarantees with credit support provided by a party other than CERC Corp. as of and after the closing of the transaction. Additionally, to the extent that CERC Corp. retains any exposure relating to certain guarantees of CES’s obligations 90 days after closing of the transaction, Symmetry Energy Solutions Acquisition will pay a 3% annualized fee on such exposure, increasing by 1% on an annualized basis every three months. As of March 31, 2021, management estimates approximately $51 million of exposure remained outstanding under CERC Corp. guarantees issued prior to the closing of the transaction on June 1, 2020. On May 3, 2021, the estimated remaining exposure under these obligations decreased to $41 million. CES has provided replacement credit support to counterparties to whom CERC Corp. had issued guarantees prior to closing representing the full amount of CERC’s remaining exposure under the guarantees. CERC believes that counterparties to whom replacement credit support has been provided would seek payment if needed under such replacement credit support instead of a CERC Corp. guarantee. No additional guarantees were provided by CERC Corp. to CES subsequent to the closing of the transaction on June 1, 2020.</w:t>
      </w:r>
    </w:p>
    <w:p>
      <w:pPr>
        <w:spacing w:after="0" w:line="2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CERC Corp. is required to pay a counterparty under a guarantee in respect of obligations of CES, Symmetry Energy Solutions Acquisition is required to promptly reimburse CERC Corp. for all amounts paid. If Symmetry Energy Solutions Acquisition fails to reimburse CERC Corp., CERC Corp. has the contractual right to seek payment from Shell Energy North America (US), L.P. in an amount up to $40 million in the aggregate. While there can be no assurance that payment under any of these guarantees will not be required in the future, CenterPoint Energy and CERC consider the likelihood of a material amount being incurred as remote.</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CenterPoint Energy and CERC recorded no amounts on their respective Condensed Consolidated Balance Sheets as of March 31, 2021 and December 31, 2020 related to the performance of these guarantees.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right="7600" w:firstLine="152"/>
        <w:spacing w:after="0" w:line="532" w:lineRule="auto"/>
        <w:tabs>
          <w:tab w:leader="none" w:pos="597"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Minnehaha Academy (CenterPoint Energy and CERC). </w:t>
      </w:r>
      <w:r>
        <w:rPr>
          <w:rFonts w:ascii="Arial" w:cs="Arial" w:eastAsia="Arial" w:hAnsi="Arial"/>
          <w:sz w:val="16"/>
          <w:szCs w:val="16"/>
          <w:color w:val="auto"/>
        </w:rPr>
        <w:t>On August 2, 2017, a natural gas explosion occurred at the Minnehaha Academy in</w:t>
      </w:r>
      <w:r>
        <w:rPr>
          <w:rFonts w:ascii="Arial" w:cs="Arial" w:eastAsia="Arial" w:hAnsi="Arial"/>
          <w:sz w:val="16"/>
          <w:szCs w:val="16"/>
          <w:i w:val="1"/>
          <w:iCs w:val="1"/>
          <w:color w:val="auto"/>
        </w:rPr>
        <w:t xml:space="preserve"> </w:t>
      </w:r>
      <w:r>
        <w:rPr>
          <w:rFonts w:ascii="Arial" w:cs="Arial" w:eastAsia="Arial" w:hAnsi="Arial"/>
          <w:sz w:val="16"/>
          <w:szCs w:val="16"/>
          <w:color w:val="auto"/>
        </w:rPr>
        <w:t>Minneapolis, Minnesota, resulting in the deaths of two school employees, serious injuries to others and significant property damage to the school. CenterPoint Energy and CERC cooperated with the investigation conducted by the National Transportation Safety Board, which concluded its investigation in December 2019 and issued a report without making any recommendations. Further, CenterPoint Energy and CERC contested and reached a settlement regarding approximately $200,000 in fines imposed by the Minnesota Office of Pipeline Safety. In early 2018, the Minnesota Occupational Safety and Health Administration concluded its investigation without any adverse findings against CenterPoint Energy or CERC. CenterPoint Energy, certain of its subsidiaries, including CERC, and the contractor company working in the school were named in wrongful death, property damage and personal injury litigation arising out of the incident and have now reached confidential settlement agreements in all litigation. CenterPoint Energy’s and CERC’s general and excess liability insurance policies provide coverage for third party bodily injury and property damage claims.</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Litigation Related to the Merger (CenterPoint Energy). </w:t>
      </w:r>
      <w:r>
        <w:rPr>
          <w:rFonts w:ascii="Arial" w:cs="Arial" w:eastAsia="Arial" w:hAnsi="Arial"/>
          <w:sz w:val="17"/>
          <w:szCs w:val="17"/>
          <w:color w:val="auto"/>
        </w:rPr>
        <w:t>With respect to the Merger, in July 2018, seven separate lawsuits were filed against Vectren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individual directors of Vectren’s Board of Directors in the U.S. District Court for the Southern District of Indiana. These lawsuits alleged violations of Sections 14(a) of the Exchange Act and SEC Rule 14a-9 on the grounds that the Vectren Proxy Statement filed on June 18, 2018 was materially incomplete because it omitted material information concerning the Merger. In August 2018, the seven lawsuits were consolidated, and the Court denied the plaintiffs’ request for a preliminary injunction. In October 2018, the plaintiffs filed their Consolidated Amended Class Action Complaint. In December 2018, two plaintiffs voluntarily dismissed their lawsuits. In September 2019, the court granted the defendants’ motion to dismiss and dismissed the remaining plaintiffs’ claims with prejudice, which the plaintiffs appealed in October 2019. The U.S. Court of Appeals for the Seventh Circuit heard oral arguments in September 2020, and a ruling is expected in 2021. The defendants believe that the allegations asserted are without merit and intend to vigorously defend themselves against the claims raised. CenterPoint Energy does not expect the ultimate outcome of this matter to have a material adverse effect on its financial condition, results of operations or cash flows.</w:t>
      </w:r>
    </w:p>
    <w:p>
      <w:pPr>
        <w:spacing w:after="0" w:line="253"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i w:val="1"/>
          <w:iCs w:val="1"/>
          <w:color w:val="auto"/>
        </w:rPr>
        <w:t xml:space="preserve">Litigation Related to the February 2021 Winter Storm Event. </w:t>
      </w:r>
      <w:r>
        <w:rPr>
          <w:rFonts w:ascii="Arial" w:cs="Arial" w:eastAsia="Arial" w:hAnsi="Arial"/>
          <w:sz w:val="16"/>
          <w:szCs w:val="16"/>
          <w:color w:val="auto"/>
        </w:rPr>
        <w:t>With respect to the February 2021 Winter Storm Event, CenterPoint Energy, CERC and</w:t>
      </w:r>
      <w:r>
        <w:rPr>
          <w:rFonts w:ascii="Arial" w:cs="Arial" w:eastAsia="Arial" w:hAnsi="Arial"/>
          <w:sz w:val="16"/>
          <w:szCs w:val="16"/>
          <w:i w:val="1"/>
          <w:iCs w:val="1"/>
          <w:color w:val="auto"/>
        </w:rPr>
        <w:t xml:space="preserve"> </w:t>
      </w:r>
      <w:r>
        <w:rPr>
          <w:rFonts w:ascii="Arial" w:cs="Arial" w:eastAsia="Arial" w:hAnsi="Arial"/>
          <w:sz w:val="16"/>
          <w:szCs w:val="16"/>
          <w:color w:val="auto"/>
        </w:rPr>
        <w:t>Houston Electric, along with ERCOT, have received claims and lawsuits filed by plaintiffs alleging personal injury, property damage and other injuries and damages. Additionally, various regulatory and governmental entities have announced that they intend to conduct or are conducting inquiries, investigations and other reviews of the February 2021 Winter Storm Event and the efforts made by various entities to prepare for, and respond to, this event, including the</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generation shortfall issues. Entities that have announced that they plan to conduct or are conducting such inquiries, investigations and other reviews include the United States Congress, FERC, NERC, Texas RE, ERCOT, Texas government entities and officials such as the Texas Governor’s office, the Texas Legislature, the Texas Attorney General, the PUCT, the City of Houston and other municipal and county entities in Houston Electric’s service territory, among other entities.</w:t>
      </w:r>
    </w:p>
    <w:p>
      <w:pPr>
        <w:spacing w:after="0" w:line="21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Like other Texas TDUs, Houston Electric may become involved in certain of the above-referenced investigations, litigation or other regulatory and legal proceedings regarding their efforts to restore power and their compliance with NERC, ERCOT and PUCT rules and directives. CenterPoint Energy and Houston Electric are responding to inquiries from the Texas Attorney General and the Galveston County District Attorney’s Office, and CenterPoint Energy and CERC are responding to inquiries from the Arkansas, Minnesota and Oklahoma Attorneys General. CenterPoint Energy, Houston Electric and CERC are subject to, and may be further subject to, litigation and claims. Such claims include, or in the future could include, wrongful death, personal injury and property damage claims, lawsuits for impacts on businesses and other organizations and entities and shareholder claims, among other claims or litigation matters. As of April 29, 2021, CenterPoint Energy and Houston Electric have been named as a defendant in approximately 60 lawsuits related to the February 2021 Winter Storm Event. CenterPoint Energy and Houston Electric intend to vigorously defend themselves against the claims raised. CenterPoint Energy, Houston Electric and CERC are unable to predict the consequences of any such matters or to estimate a range of potential losses.</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Litigation Related to the Enable Merger. </w:t>
      </w:r>
      <w:r>
        <w:rPr>
          <w:rFonts w:ascii="Arial" w:cs="Arial" w:eastAsia="Arial" w:hAnsi="Arial"/>
          <w:sz w:val="17"/>
          <w:szCs w:val="17"/>
          <w:color w:val="auto"/>
        </w:rPr>
        <w:t>In March 2021, several lawsuits were filed by persons claiming to be Enable unitholders against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defendants, including Enable, the members of Enable GP’s Board of Directors, Energy Transfer, and other parties to the Enable Merger Agreement, challenging the Enable Merger and the disclosures made in connection therewith. CenterPoint Energy has been named in one such lawsuit pending in the United States District Court for the Southern District of New York. The lawsuits allege violations of Section 14(a) of the Exchange Act and SEC Rule 14a-9 on the grounds that the Registration Statement on Form S-4 filed by Energy Transfer on March 19, 2021, was materially incomplete because it omitted material information about, among other things, Enable's and Energy Transfer's financial projections and the analyses conducted by Enable's financial advisors. The lawsuits further allege that the individual defendants, including, among others,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Energy Transfer and CenterPoint Energy, violated Section 20(a) of the Exchange Act as controlling persons of Enable. Plaintiffs seek to have the court enjoin the Enable Merger, require defendants to disseminate a new registration statement disclosing the allegedly omitted information, declare that defendants violated the Exchange Act, rescind the Enable Merger or award rescissory damages in the event the Enable Merger is consummated, along with attorneys’ fees, costs, and other relief. CenterPoint Energy’s dates to respond to the lawsuit in which it was sued have not yet been set. CenterPoint Energy cannot predict the outcome of litigation related to the Enable Merger Agreement, but believes the litigation is without merit, intends to defend vigorously against such litigation, and does not expect the ultimate outcome of such litigation to have a material adverse effect on its financial condition, results of operations or cash flows.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MGP Sites. </w:t>
      </w:r>
      <w:r>
        <w:rPr>
          <w:rFonts w:ascii="Arial" w:cs="Arial" w:eastAsia="Arial" w:hAnsi="Arial"/>
          <w:sz w:val="18"/>
          <w:szCs w:val="18"/>
          <w:color w:val="auto"/>
        </w:rPr>
        <w:t>CenterPoint Energy, CERC and their predecessors operated MGPs in the past. In addition, certain of CenterPoint Energy’s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through the Merger operated MGPs in 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all costs which they presently are obligated to incur in connection with activities at these sites, it is possible that future events may require remedial activities which are not presently foreseen, and those costs may not be subject to PRP or insurance recovery.</w:t>
      </w:r>
    </w:p>
    <w:p>
      <w:pPr>
        <w:spacing w:after="0" w:line="219" w:lineRule="exact"/>
        <w:rPr>
          <w:sz w:val="20"/>
          <w:szCs w:val="20"/>
          <w:color w:val="auto"/>
        </w:rPr>
      </w:pPr>
    </w:p>
    <w:p>
      <w:pPr>
        <w:jc w:val="both"/>
        <w:ind w:left="660" w:hanging="328"/>
        <w:spacing w:after="0" w:line="286" w:lineRule="auto"/>
        <w:tabs>
          <w:tab w:leader="none" w:pos="654"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2" w:lineRule="exact"/>
        <w:rPr>
          <w:rFonts w:ascii="Arial" w:cs="Arial" w:eastAsia="Arial" w:hAnsi="Arial"/>
          <w:sz w:val="17"/>
          <w:szCs w:val="17"/>
          <w:color w:val="auto"/>
        </w:rPr>
      </w:pPr>
    </w:p>
    <w:p>
      <w:pPr>
        <w:jc w:val="both"/>
        <w:ind w:left="660" w:hanging="328"/>
        <w:spacing w:after="0" w:line="293" w:lineRule="auto"/>
        <w:tabs>
          <w:tab w:leader="none" w:pos="65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Indiana MGPs (CenterPoint Energy)</w:t>
      </w:r>
      <w:r>
        <w:rPr>
          <w:rFonts w:ascii="Arial" w:cs="Arial" w:eastAsia="Arial" w:hAnsi="Arial"/>
          <w:sz w:val="16"/>
          <w:szCs w:val="16"/>
          <w:color w:val="auto"/>
        </w:rPr>
        <w:t>. In the Indiana Gas service territory, the existence, location and certain general characteristics of 26 gas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storage sites have been identified for which CenterPoint Energy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5 manufactured gas plant sites in SIGECO’s service territory, all of which are currently enrolled in the IDEM’s VRP. CenterPoint Energy is currently conducting some level of remedial activities, including groundwater monitoring at certain sites.</w:t>
      </w:r>
    </w:p>
    <w:p>
      <w:pPr>
        <w:spacing w:after="0" w:line="191"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Other MGPs (CenterPoint Energy and CERC). </w:t>
      </w:r>
      <w:r>
        <w:rPr>
          <w:rFonts w:ascii="Arial" w:cs="Arial" w:eastAsia="Arial" w:hAnsi="Arial"/>
          <w:sz w:val="16"/>
          <w:szCs w:val="16"/>
          <w:color w:val="auto"/>
        </w:rPr>
        <w:t>In addition to the Minnesota and Indiana sites, the EPA and other regulators have investigated</w:t>
      </w:r>
      <w:r>
        <w:rPr>
          <w:rFonts w:ascii="Arial" w:cs="Arial" w:eastAsia="Arial" w:hAnsi="Arial"/>
          <w:sz w:val="16"/>
          <w:szCs w:val="16"/>
          <w:i w:val="1"/>
          <w:iCs w:val="1"/>
          <w:color w:val="auto"/>
        </w:rPr>
        <w:t xml:space="preserve"> </w:t>
      </w:r>
      <w:r>
        <w:rPr>
          <w:rFonts w:ascii="Arial" w:cs="Arial" w:eastAsia="Arial" w:hAnsi="Arial"/>
          <w:sz w:val="16"/>
          <w:szCs w:val="16"/>
          <w:color w:val="auto"/>
        </w:rPr>
        <w:t>MGP sites that were owned or operated by CenterPoint Energy or CERC or may have been owned by one of their former affiliates.</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 2021</w:t>
            </w:r>
          </w:p>
        </w:tc>
        <w:tc>
          <w:tcPr>
            <w:tcW w:w="1220" w:type="dxa"/>
            <w:vAlign w:val="bottom"/>
            <w:tcBorders>
              <w:bottom w:val="single" w:sz="8" w:color="auto"/>
            </w:tcBorders>
          </w:tcPr>
          <w:p>
            <w:pPr>
              <w:spacing w:after="0"/>
              <w:rPr>
                <w:sz w:val="16"/>
                <w:szCs w:val="16"/>
                <w:color w:val="auto"/>
              </w:rPr>
            </w:pPr>
          </w:p>
        </w:tc>
      </w:tr>
      <w:tr>
        <w:trPr>
          <w:trHeight w:val="187"/>
        </w:trPr>
        <w:tc>
          <w:tcPr>
            <w:tcW w:w="7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7"/>
              </w:rPr>
              <w:t>CenterPoint Energy</w:t>
            </w:r>
          </w:p>
        </w:tc>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CERC</w:t>
            </w:r>
          </w:p>
        </w:tc>
      </w:tr>
      <w:tr>
        <w:trPr>
          <w:trHeight w:val="183"/>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gridSpan w:val="3"/>
          </w:tcPr>
          <w:p>
            <w:pPr>
              <w:jc w:val="right"/>
              <w:ind w:right="953"/>
              <w:spacing w:after="0"/>
              <w:rPr>
                <w:sz w:val="20"/>
                <w:szCs w:val="20"/>
                <w:color w:val="auto"/>
              </w:rPr>
            </w:pPr>
            <w:r>
              <w:rPr>
                <w:rFonts w:ascii="Arial" w:cs="Arial" w:eastAsia="Arial" w:hAnsi="Arial"/>
                <w:sz w:val="14"/>
                <w:szCs w:val="14"/>
                <w:b w:val="1"/>
                <w:bCs w:val="1"/>
                <w:color w:val="auto"/>
              </w:rPr>
              <w:t>(in millions, except years)</w:t>
            </w: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accrued for remediation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Minimum estimated remediation costs</w:t>
            </w:r>
          </w:p>
        </w:tc>
        <w:tc>
          <w:tcPr>
            <w:tcW w:w="20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estimated remediation costs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Minimum years of remediation</w:t>
            </w:r>
          </w:p>
        </w:tc>
        <w:tc>
          <w:tcPr>
            <w:tcW w:w="20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years of remediation</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1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1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CCR Rule (CenterPoint Energy). </w:t>
      </w:r>
      <w:r>
        <w:rPr>
          <w:rFonts w:ascii="Arial" w:cs="Arial" w:eastAsia="Arial" w:hAnsi="Arial"/>
          <w:sz w:val="17"/>
          <w:szCs w:val="17"/>
          <w:color w:val="auto"/>
        </w:rPr>
        <w:t>In April 2015, the EPA finalized its CCR Rule, which regulates ash as non-hazardous material under the RCRA.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The EPA published the final Part B amendments in November 2020. The Part A amendments do not restrict Indiana Electric’s current beneficial reuse of its fly ash. CenterPoint Energy continues to evaluate the Part B amendments to determine potential impacts.</w:t>
      </w:r>
    </w:p>
    <w:p>
      <w:pPr>
        <w:spacing w:after="0" w:line="20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is required to cease disposal of new ash in the ponds and commence closure of the ponds by April 11, 2021. CenterPoint Energy has applied for the extensions available under the CCR Rule that would allow Indiana Electric to continue to use the ponds through October 15, 2023. The inability to take these extensions may result in increased and potentially significant operational costs in connection with the accelerated implementation of an alternative ash disposal system or adversely impact Indiana Electric’s future operations. Failure to comply with these requirements could also result in an enforcement proceeding including the imposition of fines and penalties.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Indiana Electric continues to refine site specific estimates of closure costs for its ten-acre Culley East pond.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spacing w:after="0" w:line="2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March 31, 2021, CenterPoint Energy has recorded an approximate $88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removal costs, Indiana Electric also anticipates equipment purchases of between $60 million and $80 million to complete the A.B. Brown closure project.</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Environmental. </w:t>
      </w:r>
      <w:r>
        <w:rPr>
          <w:rFonts w:ascii="Arial" w:cs="Arial" w:eastAsia="Arial" w:hAnsi="Arial"/>
          <w:sz w:val="18"/>
          <w:szCs w:val="18"/>
          <w:color w:val="auto"/>
        </w:rPr>
        <w:t>From time to time, the Registrants identify the presence of environmental contaminants during operations or on property where</w:t>
      </w:r>
      <w:r>
        <w:rPr>
          <w:rFonts w:ascii="Arial" w:cs="Arial" w:eastAsia="Arial" w:hAnsi="Arial"/>
          <w:sz w:val="18"/>
          <w:szCs w:val="18"/>
          <w:i w:val="1"/>
          <w:iCs w:val="1"/>
          <w:color w:val="auto"/>
        </w:rPr>
        <w:t xml:space="preserve"> </w:t>
      </w:r>
      <w:r>
        <w:rPr>
          <w:rFonts w:ascii="Arial" w:cs="Arial" w:eastAsia="Arial" w:hAnsi="Arial"/>
          <w:sz w:val="18"/>
          <w:szCs w:val="18"/>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 (CenterPoint Energy)</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Series C Preferred Stock issued in May 2020 are considered participating securities since these shares participate in dividends on Common Stock on a pari passu, pro rata, as-converted basis. As a result, beginning June 30, 2020, earnings per share on Common Stock is computed using the two-class method required for participating securities.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two-class method uses an earnings allocation formula that treats participating securities as having rights to earnings that otherwise would have been available only to common shareholders. Under the two-class method, income (loss) available to common shareholders from continuing operations is derived by subtracting the following from income (loss) from continuing operations:</w:t>
      </w:r>
    </w:p>
    <w:p>
      <w:pPr>
        <w:spacing w:after="0" w:line="21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preferred share dividend requirement;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deemed dividends for the amortization of the beneficial conversion feature recognized at issuance of the Series C Preferred Stock; and</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allocation of undistributed earnings to preferred shareholders of participating securities (Series C Preferred Stock) based on the securities’ right to receive dividends.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Undistributed earnings are calculated by subtracting dividends declared on Common Stock, the preferred share dividend requirement and deemed dividends for the amortization of the beneficial conversion feature from net income. Net losses are not allocated to the Series C Preferred Stock as it does not have a contractual obligation to share in the losses of CenterPoint Energy.</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Series C Preferred Stock includes conversion features at a price that is below the fair value of the Common Stock on the commitment date. This beneficial conversion feature, which was approximately $32 million, represents the difference between the fair value per share of the Common Stock as of the commitment date and the conversion price, multiplied by the number of common shares issuable upon conversion. The beneficial conversion feature is recognized as a discount to Series C Preferred Stock and was amortized as a deemed dividend over the period from the issue date to the first allowable conversion date, which was November 6, 2020.</w:t>
      </w:r>
    </w:p>
    <w:p>
      <w:pPr>
        <w:spacing w:after="0" w:line="21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Basic earnings per common share is computed by dividing income available to common shareholders from continuing operations by the basic weighted average number of common shares outstanding during the period. Participating securities are excluded from basic weighted average number of common shares outstanding. Diluted earnings per common share is computed by dividing income available to common shareholders from continuing operations by the weighted average number of common shares outstanding, including all potentially dilutive common shares, if the effect of such common shares is dilutive.</w:t>
      </w:r>
    </w:p>
    <w:p>
      <w:pPr>
        <w:spacing w:after="0" w:line="21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Diluted earnings per share reflects the dilutive effect of potential common shares from share-based awards and convertible preferred shares. The dilutive effect of the restricted stock, Series B Preferred Stock and Series C Preferred Stock is computed using the if-converted method, which assumes conversion of the restricted stock, Series B Preferred Stock and Series C Preferred Stock at the beginning of the period, giving income recognition for the add-back of the preferred share dividends, amortization of beneficial conversion feature, and undistributed earnings allocated to preferred shareholders.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7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7280" w:type="dxa"/>
            <w:vAlign w:val="bottom"/>
          </w:tcPr>
          <w:p>
            <w:pPr>
              <w:spacing w:after="0"/>
              <w:rPr>
                <w:sz w:val="14"/>
                <w:szCs w:val="14"/>
                <w:color w:val="auto"/>
              </w:rPr>
            </w:pPr>
          </w:p>
        </w:tc>
        <w:tc>
          <w:tcPr>
            <w:tcW w:w="39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and share amounts)</w:t>
            </w: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Less: Preferred stock dividend requirement (Note 19)</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Undistributed earnings allocated to preferred shareholders</w:t>
            </w:r>
          </w:p>
        </w:tc>
        <w:tc>
          <w:tcPr>
            <w:tcW w:w="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280" w:type="dxa"/>
            <w:vAlign w:val="bottom"/>
          </w:tcPr>
          <w:p>
            <w:pPr>
              <w:ind w:left="20"/>
              <w:spacing w:after="0"/>
              <w:rPr>
                <w:sz w:val="20"/>
                <w:szCs w:val="20"/>
                <w:color w:val="auto"/>
              </w:rPr>
            </w:pPr>
            <w:r>
              <w:rPr>
                <w:rFonts w:ascii="Arial" w:cs="Arial" w:eastAsia="Arial" w:hAnsi="Arial"/>
                <w:sz w:val="16"/>
                <w:szCs w:val="16"/>
                <w:color w:val="auto"/>
              </w:rPr>
              <w:t>Income (loss) available to common shareholders from continuing operations - basic</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common shareholders from discontinued operations - basic and diluted</w:t>
            </w: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Add back: Series B Preferred Stock dividend</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Undistributed earnings allocated to preferred shareholders</w:t>
            </w:r>
          </w:p>
        </w:tc>
        <w:tc>
          <w:tcPr>
            <w:tcW w:w="9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Income (loss) available to common shareholders - diluted</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551,546,000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502,388,000</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Incremental shares from assumed conversions:</w:t>
            </w: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12"/>
                <w:szCs w:val="12"/>
                <w:color w:val="auto"/>
              </w:rPr>
              <w:t>(1)</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3,114,000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Series B Preferred Stock </w:t>
            </w:r>
            <w:r>
              <w:rPr>
                <w:rFonts w:ascii="Arial" w:cs="Arial" w:eastAsia="Arial" w:hAnsi="Arial"/>
                <w:sz w:val="12"/>
                <w:szCs w:val="12"/>
                <w:color w:val="auto"/>
              </w:rPr>
              <w:t>(2)</w:t>
            </w: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Series C Preferred Stock</w:t>
            </w:r>
          </w:p>
        </w:tc>
        <w:tc>
          <w:tcPr>
            <w:tcW w:w="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40,823,000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9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631,420,000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502,388,000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common share - continuing operations</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Basic earnings (loss) per common share - discontinued operations</w:t>
            </w:r>
          </w:p>
        </w:tc>
        <w:tc>
          <w:tcPr>
            <w:tcW w:w="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Basic Earnings (Loss) Per Common Share</w:t>
            </w: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0"/>
              <w:spacing w:after="0"/>
              <w:rPr>
                <w:sz w:val="20"/>
                <w:szCs w:val="20"/>
                <w:color w:val="auto"/>
              </w:rPr>
            </w:pPr>
            <w:r>
              <w:rPr>
                <w:rFonts w:ascii="Arial" w:cs="Arial" w:eastAsia="Arial" w:hAnsi="Arial"/>
                <w:sz w:val="16"/>
                <w:szCs w:val="16"/>
                <w:color w:val="auto"/>
              </w:rPr>
              <w:t>Diluted earnings (loss) per common share - continuing operations</w:t>
            </w: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80" w:type="dxa"/>
            <w:vAlign w:val="bottom"/>
            <w:vMerge w:val="continue"/>
          </w:tcPr>
          <w:p>
            <w:pPr>
              <w:spacing w:after="0"/>
              <w:rPr>
                <w:sz w:val="16"/>
                <w:szCs w:val="16"/>
                <w:color w:val="auto"/>
              </w:rPr>
            </w:pP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common share - discontinued operations</w:t>
            </w:r>
          </w:p>
        </w:tc>
        <w:tc>
          <w:tcPr>
            <w:tcW w:w="9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12"/>
        </w:trPr>
        <w:tc>
          <w:tcPr>
            <w:tcW w:w="7280" w:type="dxa"/>
            <w:vAlign w:val="bottom"/>
          </w:tcPr>
          <w:p>
            <w:pPr>
              <w:ind w:left="140"/>
              <w:spacing w:after="0"/>
              <w:rPr>
                <w:sz w:val="20"/>
                <w:szCs w:val="20"/>
                <w:color w:val="auto"/>
              </w:rPr>
            </w:pPr>
            <w:r>
              <w:rPr>
                <w:rFonts w:ascii="Arial" w:cs="Arial" w:eastAsia="Arial" w:hAnsi="Arial"/>
                <w:sz w:val="16"/>
                <w:szCs w:val="16"/>
                <w:b w:val="1"/>
                <w:bCs w:val="1"/>
                <w:color w:val="auto"/>
              </w:rPr>
              <w:t>Diluted Earnings (Loss) Per Common Share</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20" w:hanging="328"/>
        <w:spacing w:after="0" w:line="277" w:lineRule="auto"/>
        <w:tabs>
          <w:tab w:leader="none" w:pos="654" w:val="left"/>
        </w:tabs>
        <w:numPr>
          <w:ilvl w:val="1"/>
          <w:numId w:val="35"/>
        </w:numPr>
        <w:rPr>
          <w:rFonts w:ascii="Arial" w:cs="Arial" w:eastAsia="Arial" w:hAnsi="Arial"/>
          <w:sz w:val="18"/>
          <w:szCs w:val="18"/>
          <w:color w:val="auto"/>
        </w:rPr>
      </w:pPr>
      <w:r>
        <w:rPr>
          <w:rFonts w:ascii="Arial" w:cs="Arial" w:eastAsia="Arial" w:hAnsi="Arial"/>
          <w:sz w:val="18"/>
          <w:szCs w:val="18"/>
          <w:color w:val="auto"/>
        </w:rPr>
        <w:t>2,567,000 incremental common shares from assumed conversions of restricted stock have not been included in the computation of diluted earnings (loss) per share for the three months ended March 31, 2020, as their inclusion would be anti-dilutive.</w:t>
      </w:r>
    </w:p>
    <w:p>
      <w:pPr>
        <w:spacing w:after="0" w:line="197" w:lineRule="exact"/>
        <w:rPr>
          <w:rFonts w:ascii="Arial" w:cs="Arial" w:eastAsia="Arial" w:hAnsi="Arial"/>
          <w:sz w:val="18"/>
          <w:szCs w:val="18"/>
          <w:color w:val="auto"/>
        </w:rPr>
      </w:pPr>
    </w:p>
    <w:p>
      <w:pPr>
        <w:ind w:left="660" w:hanging="328"/>
        <w:spacing w:after="0" w:line="277" w:lineRule="auto"/>
        <w:tabs>
          <w:tab w:leader="none" w:pos="65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computation of diluted earnings per common share outstanding for the three months ended March 31, 2020 excludes 35,923,000 potentially dilutive shares from the denominator, because the shares would be anti-dilutive.</w:t>
      </w:r>
    </w:p>
    <w:p>
      <w:pPr>
        <w:spacing w:after="0" w:line="193"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 Certain prior year amounts have been reclassified to conform to the current year reportable segment presentation described in the Registrants’ combined 2020 Form 10-K.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reportable segments by Registrant were as follows: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CenterPoint Energy</w:t>
      </w:r>
    </w:p>
    <w:p>
      <w:pPr>
        <w:spacing w:after="0" w:line="256" w:lineRule="exact"/>
        <w:rPr>
          <w:sz w:val="20"/>
          <w:szCs w:val="20"/>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CenterPoint Energy’s Electric reportable segment consists of electric transmission services to transmission service customers in the ERCOT region and distribution services to REPs serving the Texas Gulf Coast area and electric transmission and distribution services primarily to southwestern Indiana and includes power generation and wholesale power operations.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CenterPoint Energy’s Natural Gas reportable segment consists of (i) intrastate natural gas sales to, and natural gas transportation and distribution for residential, commercial, industrial and institutional customers in Arkansas, Indiana, Louisiana, Minnesota, Mississippi, Ohio, Oklahoma and Texas; (ii) permanent pipeline connections through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interconnects with various interstate and intrastate pipeline companies through CEIP; and (iii) temporary delivery of LNG and CNG throughout the contiguous 48 states through MES.</w:t>
      </w:r>
    </w:p>
    <w:p>
      <w:pPr>
        <w:spacing w:after="0" w:line="197" w:lineRule="exact"/>
        <w:rPr>
          <w:sz w:val="20"/>
          <w:szCs w:val="20"/>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CenterPoint Energy’s Midstream Investments reportable segment consists of the equity investment in Enable (excluding the Enable Series A Preferred Units). See Note 9 regarding the impact of the Enable Merger.</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Energy’s Corporate and Other consists of energy performance contracting and sustainable infrastructure services through ESG and other corporate operations which support all of the business operations of CenterPoint Energy.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Houston Electric</w:t>
      </w:r>
    </w:p>
    <w:p>
      <w:pPr>
        <w:spacing w:after="0" w:line="256" w:lineRule="exact"/>
        <w:rPr>
          <w:sz w:val="20"/>
          <w:szCs w:val="20"/>
          <w:color w:val="auto"/>
        </w:rPr>
      </w:pPr>
    </w:p>
    <w:p>
      <w:pPr>
        <w:ind w:left="660" w:hanging="328"/>
        <w:spacing w:after="0" w:line="277" w:lineRule="auto"/>
        <w:tabs>
          <w:tab w:leader="none" w:pos="655"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Houston Electric’s single reportable segment consists of electric transmission services to transmission service customers in the ERCOT region and distribution services to REPs serving the Texas Gulf Coast area.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CERC</w:t>
      </w:r>
    </w:p>
    <w:p>
      <w:pPr>
        <w:spacing w:after="0" w:line="256" w:lineRule="exact"/>
        <w:rPr>
          <w:sz w:val="20"/>
          <w:szCs w:val="20"/>
          <w:color w:val="auto"/>
        </w:rPr>
      </w:pPr>
    </w:p>
    <w:p>
      <w:pPr>
        <w:jc w:val="both"/>
        <w:ind w:left="660" w:hanging="328"/>
        <w:spacing w:after="0" w:line="259" w:lineRule="auto"/>
        <w:tabs>
          <w:tab w:leader="none" w:pos="655"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CERC’s single reportable segment consists of (i) intrastate natural gas sales to, and natural gas transportation and distribution for residential, commercial, industrial and institutional customers in Arkansas, Louisiana, Minnesota, Mississippi, Oklahoma and Texas; (ii) permanent pipeline connections through interconnects with various interstate and intrastate pipeline companies through CEIP; and (iii) temporary delivery of LNG and CNG throughout the contiguous 48 states through MES.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Financial data for reportable segments is as follows, including Corporate and Other, and Discontinued Operations for reconciliation purposes: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400" w:type="dxa"/>
            <w:vAlign w:val="bottom"/>
            <w:gridSpan w:val="3"/>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138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4"/>
              </w:rPr>
              <w:t>Equity in Earnings</w:t>
            </w:r>
          </w:p>
        </w:tc>
        <w:tc>
          <w:tcPr>
            <w:tcW w:w="14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1"/>
                <w:szCs w:val="11"/>
                <w:color w:val="auto"/>
              </w:rPr>
            </w:pPr>
          </w:p>
        </w:tc>
        <w:tc>
          <w:tcPr>
            <w:tcW w:w="1400" w:type="dxa"/>
            <w:vAlign w:val="bottom"/>
            <w:gridSpan w:val="3"/>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Revenues from</w:t>
            </w:r>
          </w:p>
        </w:tc>
        <w:tc>
          <w:tcPr>
            <w:tcW w:w="1540" w:type="dxa"/>
            <w:vAlign w:val="bottom"/>
            <w:gridSpan w:val="6"/>
          </w:tcPr>
          <w:p>
            <w:pPr>
              <w:jc w:val="center"/>
              <w:ind w:right="170"/>
              <w:spacing w:after="0" w:line="130" w:lineRule="exact"/>
              <w:rPr>
                <w:sz w:val="20"/>
                <w:szCs w:val="20"/>
                <w:color w:val="auto"/>
              </w:rPr>
            </w:pPr>
            <w:r>
              <w:rPr>
                <w:rFonts w:ascii="Arial" w:cs="Arial" w:eastAsia="Arial" w:hAnsi="Arial"/>
                <w:sz w:val="14"/>
                <w:szCs w:val="14"/>
                <w:b w:val="1"/>
                <w:bCs w:val="1"/>
                <w:color w:val="auto"/>
                <w:w w:val="94"/>
              </w:rPr>
              <w:t>Equity in Earnings</w:t>
            </w:r>
          </w:p>
        </w:tc>
        <w:tc>
          <w:tcPr>
            <w:tcW w:w="9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Net Income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7"/>
              </w:rPr>
              <w:t>External</w:t>
            </w: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of Unconsolidated</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7"/>
              </w:rPr>
              <w:t>External</w:t>
            </w:r>
          </w:p>
        </w:tc>
        <w:tc>
          <w:tcPr>
            <w:tcW w:w="1540" w:type="dxa"/>
            <w:vAlign w:val="bottom"/>
            <w:gridSpan w:val="6"/>
          </w:tcPr>
          <w:p>
            <w:pPr>
              <w:jc w:val="center"/>
              <w:ind w:right="150"/>
              <w:spacing w:after="0" w:line="135" w:lineRule="exact"/>
              <w:rPr>
                <w:sz w:val="20"/>
                <w:szCs w:val="20"/>
                <w:color w:val="auto"/>
              </w:rPr>
            </w:pPr>
            <w:r>
              <w:rPr>
                <w:rFonts w:ascii="Arial" w:cs="Arial" w:eastAsia="Arial" w:hAnsi="Arial"/>
                <w:sz w:val="14"/>
                <w:szCs w:val="14"/>
                <w:b w:val="1"/>
                <w:bCs w:val="1"/>
                <w:color w:val="auto"/>
                <w:w w:val="90"/>
              </w:rPr>
              <w:t>of Unconsolidated</w:t>
            </w: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Customers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Affiliates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Customers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ind w:right="530"/>
              <w:spacing w:after="0"/>
              <w:rPr>
                <w:sz w:val="20"/>
                <w:szCs w:val="20"/>
                <w:color w:val="auto"/>
              </w:rPr>
            </w:pPr>
            <w:r>
              <w:rPr>
                <w:rFonts w:ascii="Arial" w:cs="Arial" w:eastAsia="Arial" w:hAnsi="Arial"/>
                <w:sz w:val="14"/>
                <w:szCs w:val="14"/>
                <w:b w:val="1"/>
                <w:bCs w:val="1"/>
                <w:color w:val="auto"/>
                <w:w w:val="94"/>
              </w:rPr>
              <w:t>Affiliates</w:t>
            </w: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ind w:left="66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830 </w:t>
            </w:r>
            <w:r>
              <w:rPr>
                <w:rFonts w:ascii="Arial" w:cs="Arial" w:eastAsia="Arial" w:hAnsi="Arial"/>
                <w:sz w:val="14"/>
                <w:szCs w:val="14"/>
                <w:color w:val="auto"/>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767 </w:t>
            </w:r>
            <w:r>
              <w:rPr>
                <w:rFonts w:ascii="Arial" w:cs="Arial" w:eastAsia="Arial" w:hAnsi="Arial"/>
                <w:sz w:val="14"/>
                <w:szCs w:val="14"/>
                <w:color w:val="auto"/>
              </w:rPr>
              <w:t>(1)</w:t>
            </w: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Midstream Investments </w:t>
            </w:r>
            <w:r>
              <w:rPr>
                <w:rFonts w:ascii="Arial" w:cs="Arial" w:eastAsia="Arial" w:hAnsi="Arial"/>
                <w:sz w:val="14"/>
                <w:szCs w:val="14"/>
                <w:color w:val="auto"/>
              </w:rPr>
              <w:t>(2)</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Discontinued Operations,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gridSpan w:val="3"/>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9080" w:type="dxa"/>
            <w:vAlign w:val="bottom"/>
            <w:gridSpan w:val="15"/>
          </w:tcPr>
          <w:p>
            <w:pPr>
              <w:ind w:left="320"/>
              <w:spacing w:after="0"/>
              <w:rPr>
                <w:sz w:val="20"/>
                <w:szCs w:val="20"/>
                <w:color w:val="auto"/>
              </w:rPr>
            </w:pPr>
            <w:r>
              <w:rPr>
                <w:rFonts w:ascii="Arial" w:cs="Arial" w:eastAsia="Arial" w:hAnsi="Arial"/>
                <w:sz w:val="18"/>
                <w:szCs w:val="18"/>
                <w:color w:val="auto"/>
                <w:w w:val="91"/>
              </w:rPr>
              <w:t>(1) Houston Electric revenues from major external customers are as follows (CenterPoint Energy and Houston Electric):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6"/>
          </w:tcPr>
          <w:p>
            <w:pPr>
              <w:jc w:val="right"/>
              <w:ind w:right="650"/>
              <w:spacing w:after="0"/>
              <w:rPr>
                <w:sz w:val="20"/>
                <w:szCs w:val="20"/>
                <w:color w:val="auto"/>
              </w:rPr>
            </w:pPr>
            <w:r>
              <w:rPr>
                <w:rFonts w:ascii="Arial" w:cs="Arial" w:eastAsia="Arial" w:hAnsi="Arial"/>
                <w:sz w:val="14"/>
                <w:szCs w:val="14"/>
                <w:b w:val="1"/>
                <w:bCs w:val="1"/>
                <w:color w:val="auto"/>
                <w:w w:val="99"/>
              </w:rPr>
              <w:t>(in millions)</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Affiliates of NRG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920" w:type="dxa"/>
            <w:vAlign w:val="bottom"/>
            <w:gridSpan w:val="3"/>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Affiliates of Vistra Energy Corp.</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hanging="328"/>
        <w:spacing w:after="0" w:line="277"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the impairment of CenterPoint Energy’s equity method investment in Enable of $1,541 million recorded during the three months ended March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600" w:type="dxa"/>
            <w:vAlign w:val="bottom"/>
            <w:tcBorders>
              <w:bottom w:val="single" w:sz="8" w:color="auto"/>
            </w:tcBorders>
          </w:tcPr>
          <w:p>
            <w:pPr>
              <w:spacing w:after="0"/>
              <w:rPr>
                <w:sz w:val="16"/>
                <w:szCs w:val="16"/>
                <w:color w:val="auto"/>
              </w:rPr>
            </w:pPr>
          </w:p>
        </w:tc>
      </w:tr>
      <w:tr>
        <w:trPr>
          <w:trHeight w:val="187"/>
        </w:trPr>
        <w:tc>
          <w:tcPr>
            <w:tcW w:w="7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3"/>
              </w:rPr>
              <w:t>December 31, 2020</w:t>
            </w:r>
          </w:p>
        </w:tc>
      </w:tr>
      <w:tr>
        <w:trPr>
          <w:trHeight w:val="183"/>
        </w:trPr>
        <w:tc>
          <w:tcPr>
            <w:tcW w:w="7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5"/>
                <w:szCs w:val="15"/>
                <w:color w:val="auto"/>
              </w:rPr>
            </w:pPr>
          </w:p>
        </w:tc>
      </w:tr>
      <w:tr>
        <w:trPr>
          <w:trHeight w:val="231"/>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17,208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14,976</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Investments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Corporate and Other, net of eliminations </w:t>
            </w:r>
            <w:r>
              <w:rPr>
                <w:rFonts w:ascii="Arial" w:cs="Arial" w:eastAsia="Arial" w:hAnsi="Arial"/>
                <w:sz w:val="14"/>
                <w:szCs w:val="14"/>
                <w:color w:val="auto"/>
              </w:rPr>
              <w:t>(1)</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w:t>
            </w:r>
          </w:p>
        </w:tc>
      </w:tr>
      <w:tr>
        <w:trPr>
          <w:trHeight w:val="248"/>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right="20" w:hanging="328"/>
        <w:spacing w:after="0" w:line="277" w:lineRule="auto"/>
        <w:tabs>
          <w:tab w:leader="none" w:pos="6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assets included pension and other postemployment-related regulatory assets of $533 million and $540 million as of March 31, 2021 and December 31,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CERC consists of a single reportable segment; therefore, a tabular reportable segment presentation has not been included.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Disclosure of Cash Flow Information</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 and CERC elected not to separately disclose discontinued operations on their respective Condensed Statements of Consolidated Cash Flows. The table below provides supplemental disclosure of cash flow information and has not been recast to exclude the Infrastructure Services and Energy Services Disposal Groups prior to the closing of the respective transactions.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w w:val="95"/>
              </w:rPr>
              <w:t>Three Months Ended March 31,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48"/>
              <w:spacing w:after="0" w:line="130" w:lineRule="exact"/>
              <w:rPr>
                <w:sz w:val="20"/>
                <w:szCs w:val="20"/>
                <w:color w:val="auto"/>
              </w:rPr>
            </w:pPr>
            <w:r>
              <w:rPr>
                <w:rFonts w:ascii="Arial" w:cs="Arial" w:eastAsia="Arial" w:hAnsi="Arial"/>
                <w:sz w:val="14"/>
                <w:szCs w:val="14"/>
                <w:b w:val="1"/>
                <w:bCs w:val="1"/>
                <w:color w:val="auto"/>
                <w:w w:val="98"/>
              </w:rPr>
              <w:t>CenterPoint</w:t>
            </w:r>
          </w:p>
        </w:tc>
        <w:tc>
          <w:tcPr>
            <w:tcW w:w="240" w:type="dxa"/>
            <w:vAlign w:val="bottom"/>
          </w:tcPr>
          <w:p>
            <w:pPr>
              <w:spacing w:after="0"/>
              <w:rPr>
                <w:sz w:val="11"/>
                <w:szCs w:val="11"/>
                <w:color w:val="auto"/>
              </w:rPr>
            </w:pPr>
          </w:p>
        </w:tc>
        <w:tc>
          <w:tcPr>
            <w:tcW w:w="880" w:type="dxa"/>
            <w:vAlign w:val="bottom"/>
          </w:tcPr>
          <w:p>
            <w:pPr>
              <w:jc w:val="right"/>
              <w:ind w:right="208"/>
              <w:spacing w:after="0" w:line="130" w:lineRule="exact"/>
              <w:rPr>
                <w:sz w:val="20"/>
                <w:szCs w:val="20"/>
                <w:color w:val="auto"/>
              </w:rPr>
            </w:pPr>
            <w:r>
              <w:rPr>
                <w:rFonts w:ascii="Arial" w:cs="Arial" w:eastAsia="Arial" w:hAnsi="Arial"/>
                <w:sz w:val="14"/>
                <w:szCs w:val="14"/>
                <w:b w:val="1"/>
                <w:bCs w:val="1"/>
                <w:color w:val="auto"/>
              </w:rPr>
              <w:t>Houston</w:t>
            </w:r>
          </w:p>
        </w:tc>
        <w:tc>
          <w:tcPr>
            <w:tcW w:w="180" w:type="dxa"/>
            <w:vAlign w:val="bottom"/>
          </w:tcPr>
          <w:p>
            <w:pPr>
              <w:spacing w:after="0"/>
              <w:rPr>
                <w:sz w:val="11"/>
                <w:szCs w:val="11"/>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000" w:type="dxa"/>
            <w:vAlign w:val="bottom"/>
          </w:tcPr>
          <w:p>
            <w:pPr>
              <w:jc w:val="right"/>
              <w:ind w:right="128"/>
              <w:spacing w:after="0" w:line="130" w:lineRule="exact"/>
              <w:rPr>
                <w:sz w:val="20"/>
                <w:szCs w:val="20"/>
                <w:color w:val="auto"/>
              </w:rPr>
            </w:pPr>
            <w:r>
              <w:rPr>
                <w:rFonts w:ascii="Arial" w:cs="Arial" w:eastAsia="Arial" w:hAnsi="Arial"/>
                <w:sz w:val="14"/>
                <w:szCs w:val="14"/>
                <w:b w:val="1"/>
                <w:bCs w:val="1"/>
                <w:color w:val="auto"/>
                <w:w w:val="98"/>
              </w:rPr>
              <w:t>CenterPoint</w:t>
            </w:r>
          </w:p>
        </w:tc>
        <w:tc>
          <w:tcPr>
            <w:tcW w:w="260" w:type="dxa"/>
            <w:vAlign w:val="bottom"/>
          </w:tcPr>
          <w:p>
            <w:pPr>
              <w:spacing w:after="0"/>
              <w:rPr>
                <w:sz w:val="11"/>
                <w:szCs w:val="11"/>
                <w:color w:val="auto"/>
              </w:rPr>
            </w:pPr>
          </w:p>
        </w:tc>
        <w:tc>
          <w:tcPr>
            <w:tcW w:w="920" w:type="dxa"/>
            <w:vAlign w:val="bottom"/>
          </w:tcPr>
          <w:p>
            <w:pPr>
              <w:jc w:val="right"/>
              <w:ind w:right="228"/>
              <w:spacing w:after="0" w:line="130"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Energy</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Electric</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Cash Payments/Receipts: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net of capitalized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4280" w:type="dxa"/>
            <w:vAlign w:val="bottom"/>
          </w:tcPr>
          <w:p>
            <w:pPr>
              <w:ind w:left="220"/>
              <w:spacing w:after="0"/>
              <w:rPr>
                <w:sz w:val="20"/>
                <w:szCs w:val="20"/>
                <w:color w:val="auto"/>
              </w:rPr>
            </w:pPr>
            <w:r>
              <w:rPr>
                <w:rFonts w:ascii="Arial" w:cs="Arial" w:eastAsia="Arial" w:hAnsi="Arial"/>
                <w:sz w:val="14"/>
                <w:szCs w:val="14"/>
                <w:color w:val="auto"/>
              </w:rPr>
              <w:t>Income tax payments, net</w:t>
            </w:r>
          </w:p>
        </w:tc>
        <w:tc>
          <w:tcPr>
            <w:tcW w:w="1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transactions: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80" w:type="dxa"/>
            <w:vAlign w:val="bottom"/>
          </w:tcPr>
          <w:p>
            <w:pPr>
              <w:ind w:left="220"/>
              <w:spacing w:after="0"/>
              <w:rPr>
                <w:sz w:val="20"/>
                <w:szCs w:val="20"/>
                <w:color w:val="auto"/>
              </w:rPr>
            </w:pPr>
            <w:r>
              <w:rPr>
                <w:rFonts w:ascii="Arial" w:cs="Arial" w:eastAsia="Arial" w:hAnsi="Arial"/>
                <w:sz w:val="14"/>
                <w:szCs w:val="14"/>
                <w:color w:val="auto"/>
              </w:rPr>
              <w:t>Accounts payable related to capital expenditures</w:t>
            </w:r>
          </w:p>
        </w:tc>
        <w:tc>
          <w:tcPr>
            <w:tcW w:w="1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ROU assets obtained in exchange for lease liabilities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(1)</w:t>
      </w:r>
    </w:p>
    <w:p>
      <w:pPr>
        <w:spacing w:after="0" w:line="28" w:lineRule="exact"/>
        <w:rPr>
          <w:sz w:val="20"/>
          <w:szCs w:val="20"/>
          <w:color w:val="auto"/>
        </w:rPr>
      </w:pPr>
    </w:p>
    <w:p>
      <w:pPr>
        <w:ind w:left="180" w:right="300" w:hanging="161"/>
        <w:spacing w:after="0" w:line="236" w:lineRule="auto"/>
        <w:rPr>
          <w:sz w:val="20"/>
          <w:szCs w:val="20"/>
          <w:color w:val="auto"/>
        </w:rPr>
      </w:pPr>
      <w:r>
        <w:rPr>
          <w:rFonts w:ascii="Arial" w:cs="Arial" w:eastAsia="Arial" w:hAnsi="Arial"/>
          <w:sz w:val="14"/>
          <w:szCs w:val="14"/>
          <w:color w:val="auto"/>
        </w:rPr>
        <w:t>Restricted cash included in Prepaid expenses and other current assets</w:t>
      </w:r>
    </w:p>
    <w:p>
      <w:pPr>
        <w:spacing w:after="0" w:line="7" w:lineRule="exact"/>
        <w:rPr>
          <w:sz w:val="20"/>
          <w:szCs w:val="20"/>
          <w:color w:val="auto"/>
        </w:rPr>
      </w:pPr>
    </w:p>
    <w:p>
      <w:pPr>
        <w:ind w:left="520" w:hanging="161"/>
        <w:spacing w:after="0" w:line="224" w:lineRule="auto"/>
        <w:rPr>
          <w:sz w:val="20"/>
          <w:szCs w:val="20"/>
          <w:color w:val="auto"/>
        </w:rPr>
      </w:pPr>
      <w:r>
        <w:rPr>
          <w:rFonts w:ascii="Arial" w:cs="Arial" w:eastAsia="Arial" w:hAnsi="Arial"/>
          <w:sz w:val="14"/>
          <w:szCs w:val="14"/>
          <w:color w:val="auto"/>
        </w:rPr>
        <w:t>Total cash, cash equivalents and restricted cash shown in Condensed Statements of Consolidated Cash Flows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31, 2021</w:t>
            </w: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CenterPoint</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48"/>
              <w:spacing w:after="0" w:line="135" w:lineRule="exact"/>
              <w:rPr>
                <w:sz w:val="20"/>
                <w:szCs w:val="20"/>
                <w:color w:val="auto"/>
              </w:rPr>
            </w:pPr>
            <w:r>
              <w:rPr>
                <w:rFonts w:ascii="Arial" w:cs="Arial" w:eastAsia="Arial" w:hAnsi="Arial"/>
                <w:sz w:val="14"/>
                <w:szCs w:val="14"/>
                <w:b w:val="1"/>
                <w:bCs w:val="1"/>
                <w:color w:val="auto"/>
              </w:rPr>
              <w:t>CenterPoint</w:t>
            </w:r>
          </w:p>
        </w:tc>
        <w:tc>
          <w:tcPr>
            <w:tcW w:w="100" w:type="dxa"/>
            <w:vAlign w:val="bottom"/>
          </w:tcPr>
          <w:p>
            <w:pPr>
              <w:spacing w:after="0"/>
              <w:rPr>
                <w:sz w:val="11"/>
                <w:szCs w:val="11"/>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240" w:type="dxa"/>
            <w:vAlign w:val="bottom"/>
          </w:tcPr>
          <w:p>
            <w:pPr>
              <w:spacing w:after="0"/>
              <w:rPr>
                <w:sz w:val="11"/>
                <w:szCs w:val="11"/>
                <w:color w:val="auto"/>
              </w:rPr>
            </w:pPr>
          </w:p>
        </w:tc>
        <w:tc>
          <w:tcPr>
            <w:tcW w:w="9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Energy</w:t>
            </w:r>
          </w:p>
        </w:tc>
        <w:tc>
          <w:tcPr>
            <w:tcW w:w="128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4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5"/>
                <w:szCs w:val="15"/>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147</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30"/>
        </w:trPr>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2"/>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4"/>
                <w:szCs w:val="24"/>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167</w:t>
            </w:r>
          </w:p>
        </w:tc>
        <w:tc>
          <w:tcPr>
            <w:tcW w:w="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1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-633730</wp:posOffset>
            </wp:positionV>
            <wp:extent cx="7115175"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-307975</wp:posOffset>
            </wp:positionV>
            <wp:extent cx="7115175"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140"/>
            <w:col w:w="7620"/>
          </w:cols>
          <w:pgMar w:left="320" w:top="125" w:right="339" w:bottom="1440" w:gutter="0" w:footer="0" w:header="0"/>
          <w:type w:val="continuous"/>
        </w:sectPr>
      </w:pPr>
    </w:p>
    <w:p>
      <w:pPr>
        <w:spacing w:after="0" w:line="123" w:lineRule="exact"/>
        <w:rPr>
          <w:sz w:val="20"/>
          <w:szCs w:val="20"/>
          <w:color w:val="auto"/>
        </w:rPr>
      </w:pPr>
    </w:p>
    <w:p>
      <w:pPr>
        <w:ind w:left="660" w:hanging="328"/>
        <w:spacing w:after="0" w:line="277"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Houston Electric’s Cash and cash equivalents as of March 31, 2021 and December 31, 2020 included $142 million and $139 million, respectively, of cash related to the Bond Companies.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 (Houston Electric and CERC)</w:t>
      </w:r>
    </w:p>
    <w:p>
      <w:pPr>
        <w:spacing w:after="0" w:line="25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7"/>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7"/>
              </w:rPr>
              <w:t>Houston Electric</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CERC</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Houston Electric</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CERC</w:t>
            </w:r>
          </w:p>
        </w:tc>
      </w:tr>
      <w:tr>
        <w:trPr>
          <w:trHeight w:val="18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 except interest rates)</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Money pool investments (borrowings) </w:t>
            </w:r>
            <w:r>
              <w:rPr>
                <w:rFonts w:ascii="Arial" w:cs="Arial" w:eastAsia="Arial" w:hAnsi="Arial"/>
                <w:sz w:val="12"/>
                <w:szCs w:val="12"/>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665</w:t>
            </w:r>
          </w:p>
        </w:tc>
        <w:tc>
          <w:tcPr>
            <w:tcW w:w="5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r>
      <w:tr>
        <w:trPr>
          <w:trHeight w:val="210"/>
        </w:trPr>
        <w:tc>
          <w:tcPr>
            <w:tcW w:w="4920" w:type="dxa"/>
            <w:vAlign w:val="bottom"/>
          </w:tcPr>
          <w:p>
            <w:pPr>
              <w:ind w:left="20"/>
              <w:spacing w:after="0"/>
              <w:rPr>
                <w:sz w:val="20"/>
                <w:szCs w:val="20"/>
                <w:color w:val="auto"/>
              </w:rPr>
            </w:pPr>
            <w:r>
              <w:rPr>
                <w:rFonts w:ascii="Arial" w:cs="Arial" w:eastAsia="Arial" w:hAnsi="Arial"/>
                <w:sz w:val="16"/>
                <w:szCs w:val="16"/>
                <w:color w:val="auto"/>
              </w:rPr>
              <w:t>Weighted average interest rate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0.21 %</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0.24 %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0.24 %</w:t>
            </w:r>
          </w:p>
        </w:tc>
      </w:tr>
    </w:tbl>
    <w:p>
      <w:pPr>
        <w:spacing w:after="0" w:line="316" w:lineRule="exact"/>
        <w:rPr>
          <w:sz w:val="20"/>
          <w:szCs w:val="20"/>
          <w:color w:val="auto"/>
        </w:rPr>
      </w:pPr>
    </w:p>
    <w:p>
      <w:pPr>
        <w:ind w:left="660" w:right="20" w:hanging="328"/>
        <w:spacing w:after="0" w:line="277"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44"/>
              <w:spacing w:after="0" w:line="130" w:lineRule="exact"/>
              <w:rPr>
                <w:sz w:val="20"/>
                <w:szCs w:val="20"/>
                <w:color w:val="auto"/>
              </w:rPr>
            </w:pPr>
            <w:r>
              <w:rPr>
                <w:rFonts w:ascii="Arial" w:cs="Arial" w:eastAsia="Arial" w:hAnsi="Arial"/>
                <w:sz w:val="14"/>
                <w:szCs w:val="14"/>
                <w:b w:val="1"/>
                <w:bCs w:val="1"/>
                <w:color w:val="auto"/>
                <w:w w:val="91"/>
              </w:rPr>
              <w:t>Houston</w:t>
            </w:r>
          </w:p>
        </w:tc>
        <w:tc>
          <w:tcPr>
            <w:tcW w:w="26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80" w:type="dxa"/>
            <w:vAlign w:val="bottom"/>
          </w:tcPr>
          <w:p>
            <w:pPr>
              <w:jc w:val="center"/>
              <w:ind w:right="124"/>
              <w:spacing w:after="0" w:line="130" w:lineRule="exact"/>
              <w:rPr>
                <w:sz w:val="20"/>
                <w:szCs w:val="20"/>
                <w:color w:val="auto"/>
              </w:rPr>
            </w:pPr>
            <w:r>
              <w:rPr>
                <w:rFonts w:ascii="Arial" w:cs="Arial" w:eastAsia="Arial" w:hAnsi="Arial"/>
                <w:sz w:val="14"/>
                <w:szCs w:val="14"/>
                <w:b w:val="1"/>
                <w:bCs w:val="1"/>
                <w:color w:val="auto"/>
                <w:w w:val="91"/>
              </w:rPr>
              <w:t>Houston</w:t>
            </w:r>
          </w:p>
        </w:tc>
        <w:tc>
          <w:tcPr>
            <w:tcW w:w="240" w:type="dxa"/>
            <w:vAlign w:val="bottom"/>
          </w:tcPr>
          <w:p>
            <w:pPr>
              <w:spacing w:after="0"/>
              <w:rPr>
                <w:sz w:val="11"/>
                <w:szCs w:val="11"/>
                <w:color w:val="auto"/>
              </w:rPr>
            </w:pPr>
          </w:p>
        </w:tc>
        <w:tc>
          <w:tcPr>
            <w:tcW w:w="8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Electric</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Electric</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4"/>
          </w:tcPr>
          <w:p>
            <w:pPr>
              <w:jc w:val="center"/>
              <w:ind w:right="164"/>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service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6"/>
                <w:szCs w:val="16"/>
                <w:color w:val="auto"/>
              </w:rPr>
              <w:t>Net affiliate service charges (billings)</w:t>
            </w:r>
          </w:p>
        </w:tc>
        <w:tc>
          <w:tcPr>
            <w:tcW w:w="1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transactions among Houston Electric, CERC and their parent, CenterPoint Energy.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ind w:left="60"/>
              <w:spacing w:after="0" w:line="130" w:lineRule="exact"/>
              <w:rPr>
                <w:sz w:val="20"/>
                <w:szCs w:val="20"/>
                <w:color w:val="auto"/>
              </w:rPr>
            </w:pPr>
            <w:r>
              <w:rPr>
                <w:rFonts w:ascii="Arial" w:cs="Arial" w:eastAsia="Arial" w:hAnsi="Arial"/>
                <w:sz w:val="14"/>
                <w:szCs w:val="14"/>
                <w:b w:val="1"/>
                <w:bCs w:val="1"/>
                <w:color w:val="auto"/>
              </w:rPr>
              <w:t>Houston</w:t>
            </w: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Houston</w:t>
            </w:r>
          </w:p>
        </w:tc>
        <w:tc>
          <w:tcPr>
            <w:tcW w:w="180" w:type="dxa"/>
            <w:vAlign w:val="bottom"/>
          </w:tcPr>
          <w:p>
            <w:pPr>
              <w:spacing w:after="0"/>
              <w:rPr>
                <w:sz w:val="11"/>
                <w:szCs w:val="11"/>
                <w:color w:val="auto"/>
              </w:rPr>
            </w:pPr>
          </w:p>
        </w:tc>
        <w:tc>
          <w:tcPr>
            <w:tcW w:w="8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center"/>
              <w:ind w:right="226"/>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to parent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   $</w:t>
            </w:r>
          </w:p>
        </w:tc>
        <w:tc>
          <w:tcPr>
            <w:tcW w:w="1060" w:type="dxa"/>
            <w:vAlign w:val="bottom"/>
            <w:gridSpan w:val="3"/>
            <w:shd w:val="clear" w:color="auto" w:fill="CCEEFF"/>
          </w:tcPr>
          <w:p>
            <w:pPr>
              <w:jc w:val="center"/>
              <w:ind w:left="425"/>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Dividends Declared</w:t>
            </w:r>
          </w:p>
        </w:tc>
        <w:tc>
          <w:tcPr>
            <w:tcW w:w="220" w:type="dxa"/>
            <w:vAlign w:val="bottom"/>
          </w:tcPr>
          <w:p>
            <w:pPr>
              <w:spacing w:after="0"/>
              <w:rPr>
                <w:sz w:val="14"/>
                <w:szCs w:val="14"/>
                <w:color w:val="auto"/>
              </w:rPr>
            </w:pPr>
          </w:p>
        </w:tc>
        <w:tc>
          <w:tcPr>
            <w:tcW w:w="1860" w:type="dxa"/>
            <w:vAlign w:val="bottom"/>
            <w:gridSpan w:val="4"/>
          </w:tcPr>
          <w:p>
            <w:pPr>
              <w:jc w:val="center"/>
              <w:ind w:right="181"/>
              <w:spacing w:after="0"/>
              <w:rPr>
                <w:sz w:val="20"/>
                <w:szCs w:val="20"/>
                <w:color w:val="auto"/>
              </w:rPr>
            </w:pPr>
            <w:r>
              <w:rPr>
                <w:rFonts w:ascii="Arial" w:cs="Arial" w:eastAsia="Arial" w:hAnsi="Arial"/>
                <w:sz w:val="14"/>
                <w:szCs w:val="14"/>
                <w:b w:val="1"/>
                <w:bCs w:val="1"/>
                <w:color w:val="auto"/>
                <w:w w:val="91"/>
              </w:rPr>
              <w:t>Dividends Paid</w:t>
            </w:r>
          </w:p>
        </w:tc>
      </w:tr>
      <w:tr>
        <w:trPr>
          <w:trHeight w:val="188"/>
        </w:trPr>
        <w:tc>
          <w:tcPr>
            <w:tcW w:w="6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383"/>
              <w:spacing w:after="0"/>
              <w:rPr>
                <w:sz w:val="20"/>
                <w:szCs w:val="20"/>
                <w:color w:val="auto"/>
              </w:rPr>
            </w:pPr>
            <w:r>
              <w:rPr>
                <w:rFonts w:ascii="Arial" w:cs="Arial" w:eastAsia="Arial" w:hAnsi="Arial"/>
                <w:sz w:val="14"/>
                <w:szCs w:val="14"/>
                <w:b w:val="1"/>
                <w:bCs w:val="1"/>
                <w:color w:val="auto"/>
                <w:w w:val="91"/>
              </w:rPr>
              <w:t>Per Share</w:t>
            </w:r>
          </w:p>
        </w:tc>
        <w:tc>
          <w:tcPr>
            <w:tcW w:w="680" w:type="dxa"/>
            <w:vAlign w:val="bottom"/>
            <w:tcBorders>
              <w:bottom w:val="single" w:sz="8" w:color="auto"/>
            </w:tcBorders>
          </w:tcPr>
          <w:p>
            <w:pPr>
              <w:spacing w:after="0"/>
              <w:rPr>
                <w:sz w:val="16"/>
                <w:szCs w:val="16"/>
                <w:color w:val="auto"/>
              </w:rPr>
            </w:pPr>
          </w:p>
        </w:tc>
      </w:tr>
      <w:tr>
        <w:trPr>
          <w:trHeight w:val="183"/>
        </w:trPr>
        <w:tc>
          <w:tcPr>
            <w:tcW w:w="6760" w:type="dxa"/>
            <w:vAlign w:val="bottom"/>
          </w:tcPr>
          <w:p>
            <w:pPr>
              <w:spacing w:after="0"/>
              <w:rPr>
                <w:sz w:val="15"/>
                <w:szCs w:val="15"/>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Pr>
          <w:p>
            <w:pPr>
              <w:spacing w:after="0"/>
              <w:rPr>
                <w:sz w:val="15"/>
                <w:szCs w:val="15"/>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83"/>
        </w:trPr>
        <w:tc>
          <w:tcPr>
            <w:tcW w:w="67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760" w:type="dxa"/>
            <w:vAlign w:val="bottom"/>
            <w:shd w:val="clear" w:color="auto" w:fill="CCEEFF"/>
          </w:tcPr>
          <w:p>
            <w:pPr>
              <w:jc w:val="right"/>
              <w:ind w:right="586"/>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0.2900</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Series A Preferred Stock</w:t>
            </w:r>
          </w:p>
        </w:tc>
        <w:tc>
          <w:tcPr>
            <w:tcW w:w="760" w:type="dxa"/>
            <w:vAlign w:val="bottom"/>
          </w:tcPr>
          <w:p>
            <w:pPr>
              <w:spacing w:after="0"/>
              <w:rPr>
                <w:sz w:val="18"/>
                <w:szCs w:val="18"/>
                <w:color w:val="auto"/>
              </w:rPr>
            </w:pPr>
          </w:p>
        </w:tc>
        <w:tc>
          <w:tcPr>
            <w:tcW w:w="76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30.6250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30.6250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30.6250</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Preferred Stock</w:t>
            </w: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(1)</w:t>
            </w:r>
          </w:p>
        </w:tc>
        <w:tc>
          <w:tcPr>
            <w:tcW w:w="760" w:type="dxa"/>
            <w:vAlign w:val="bottom"/>
          </w:tcPr>
          <w:p>
            <w:pPr>
              <w:spacing w:after="0"/>
              <w:rPr>
                <w:sz w:val="18"/>
                <w:szCs w:val="18"/>
                <w:color w:val="auto"/>
              </w:rPr>
            </w:pPr>
          </w:p>
        </w:tc>
        <w:tc>
          <w:tcPr>
            <w:tcW w:w="76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0.1600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43" w:lineRule="exact"/>
        <w:rPr>
          <w:sz w:val="20"/>
          <w:szCs w:val="20"/>
          <w:color w:val="auto"/>
        </w:rPr>
      </w:pPr>
    </w:p>
    <w:p>
      <w:pPr>
        <w:jc w:val="both"/>
        <w:ind w:left="660" w:hanging="328"/>
        <w:spacing w:after="0" w:line="263"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Series C Preferred Stock is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(CenterPoint Energy)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123"/>
              <w:spacing w:after="0"/>
              <w:rPr>
                <w:sz w:val="20"/>
                <w:szCs w:val="20"/>
                <w:color w:val="auto"/>
              </w:rPr>
            </w:pPr>
            <w:r>
              <w:rPr>
                <w:rFonts w:ascii="Arial" w:cs="Arial" w:eastAsia="Arial" w:hAnsi="Arial"/>
                <w:sz w:val="14"/>
                <w:szCs w:val="14"/>
                <w:b w:val="1"/>
                <w:bCs w:val="1"/>
                <w:color w:val="auto"/>
                <w:w w:val="92"/>
              </w:rPr>
              <w:t>Liquidation Preference</w:t>
            </w:r>
          </w:p>
        </w:tc>
        <w:tc>
          <w:tcPr>
            <w:tcW w:w="336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Shares Outstanding as of</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Outstanding Value as of</w:t>
            </w:r>
          </w:p>
        </w:tc>
      </w:tr>
      <w:tr>
        <w:trPr>
          <w:trHeight w:val="201"/>
        </w:trPr>
        <w:tc>
          <w:tcPr>
            <w:tcW w:w="2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Per Share</w:t>
            </w:r>
          </w:p>
        </w:tc>
        <w:tc>
          <w:tcPr>
            <w:tcW w:w="17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March 31, 2021</w:t>
            </w:r>
          </w:p>
        </w:tc>
        <w:tc>
          <w:tcPr>
            <w:tcW w:w="1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5"/>
              </w:rPr>
              <w:t>December 31, 2020</w:t>
            </w:r>
          </w:p>
        </w:tc>
      </w:tr>
      <w:tr>
        <w:trPr>
          <w:trHeight w:val="183"/>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0"/>
              </w:rPr>
              <w:t>(in millions, except shares and per share amounts)</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1,000</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Series B Preferred Stock</w:t>
            </w:r>
          </w:p>
        </w:tc>
        <w:tc>
          <w:tcPr>
            <w:tcW w:w="100" w:type="dxa"/>
            <w:vAlign w:val="bottom"/>
          </w:tcPr>
          <w:p>
            <w:pPr>
              <w:spacing w:after="0"/>
              <w:rPr>
                <w:sz w:val="18"/>
                <w:szCs w:val="18"/>
                <w:color w:val="auto"/>
              </w:rPr>
            </w:pPr>
          </w:p>
        </w:tc>
        <w:tc>
          <w:tcPr>
            <w:tcW w:w="1620" w:type="dxa"/>
            <w:vAlign w:val="bottom"/>
          </w:tcPr>
          <w:p>
            <w:pPr>
              <w:jc w:val="right"/>
              <w:ind w:right="103"/>
              <w:spacing w:after="0"/>
              <w:rPr>
                <w:sz w:val="20"/>
                <w:szCs w:val="20"/>
                <w:color w:val="auto"/>
              </w:rPr>
            </w:pPr>
            <w:r>
              <w:rPr>
                <w:rFonts w:ascii="Arial" w:cs="Arial" w:eastAsia="Arial" w:hAnsi="Arial"/>
                <w:sz w:val="16"/>
                <w:szCs w:val="16"/>
                <w:color w:val="auto"/>
              </w:rPr>
              <w:t>1,000</w:t>
            </w:r>
          </w:p>
        </w:tc>
        <w:tc>
          <w:tcPr>
            <w:tcW w:w="1640" w:type="dxa"/>
            <w:vAlign w:val="bottom"/>
          </w:tcPr>
          <w:p>
            <w:pPr>
              <w:jc w:val="right"/>
              <w:ind w:right="3"/>
              <w:spacing w:after="0"/>
              <w:rPr>
                <w:sz w:val="20"/>
                <w:szCs w:val="20"/>
                <w:color w:val="auto"/>
              </w:rPr>
            </w:pPr>
            <w:r>
              <w:rPr>
                <w:rFonts w:ascii="Arial" w:cs="Arial" w:eastAsia="Arial" w:hAnsi="Arial"/>
                <w:sz w:val="16"/>
                <w:szCs w:val="16"/>
                <w:color w:val="auto"/>
              </w:rPr>
              <w:t>977,400</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977,400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950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C Preferred Stock</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1,000</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625,000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0"/>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2,402,400</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2,402,400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2,363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w:t>
            </w:r>
          </w:p>
        </w:tc>
      </w:tr>
      <w:tr>
        <w:trPr>
          <w:trHeight w:val="2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Allocated to Preferred Shareholders (CenterPoint Energy)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r>
      <w:tr>
        <w:trPr>
          <w:trHeight w:val="170"/>
        </w:trPr>
        <w:tc>
          <w:tcPr>
            <w:tcW w:w="8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4"/>
                <w:szCs w:val="14"/>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B Preferred Stock</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8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income allocated to preferred shareholders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 March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140" w:type="dxa"/>
            <w:vAlign w:val="bottom"/>
          </w:tcPr>
          <w:p>
            <w:pPr>
              <w:spacing w:after="0"/>
              <w:rPr>
                <w:sz w:val="11"/>
                <w:szCs w:val="11"/>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Houston Electric</w:t>
            </w:r>
          </w:p>
        </w:tc>
        <w:tc>
          <w:tcPr>
            <w:tcW w:w="220" w:type="dxa"/>
            <w:vAlign w:val="bottom"/>
          </w:tcPr>
          <w:p>
            <w:pPr>
              <w:spacing w:after="0"/>
              <w:rPr>
                <w:sz w:val="11"/>
                <w:szCs w:val="11"/>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w w:val="96"/>
              </w:rPr>
              <w:t>(15)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38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8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w w:val="99"/>
              </w:rPr>
              <w:t>Other comprehensive income (loss) from unconsolidated</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center"/>
              <w:ind w:left="40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affiliates</w:t>
            </w: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80" w:type="dxa"/>
            <w:vAlign w:val="bottom"/>
          </w:tcPr>
          <w:p>
            <w:pPr>
              <w:ind w:left="20"/>
              <w:spacing w:after="0"/>
              <w:rPr>
                <w:sz w:val="20"/>
                <w:szCs w:val="20"/>
                <w:color w:val="auto"/>
              </w:rPr>
            </w:pPr>
            <w:r>
              <w:rPr>
                <w:rFonts w:ascii="Arial" w:cs="Arial" w:eastAsia="Arial" w:hAnsi="Arial"/>
                <w:sz w:val="14"/>
                <w:szCs w:val="14"/>
                <w:color w:val="auto"/>
                <w:w w:val="93"/>
              </w:rPr>
              <w:t>Amounts reclassified from accumulated other comprehensive loss: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0"/>
                <w:szCs w:val="10"/>
                <w:color w:val="auto"/>
              </w:rPr>
              <w:t>(1)</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left="40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Pr>
          <w:p>
            <w:pPr>
              <w:ind w:left="360"/>
              <w:spacing w:after="0"/>
              <w:rPr>
                <w:sz w:val="20"/>
                <w:szCs w:val="20"/>
                <w:color w:val="auto"/>
              </w:rPr>
            </w:pPr>
            <w:r>
              <w:rPr>
                <w:rFonts w:ascii="Arial" w:cs="Arial" w:eastAsia="Arial" w:hAnsi="Arial"/>
                <w:sz w:val="14"/>
                <w:szCs w:val="14"/>
                <w:color w:val="auto"/>
              </w:rPr>
              <w:t>Tax expense</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center"/>
              <w:ind w:left="40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center"/>
              <w:ind w:left="528"/>
              <w:spacing w:after="0"/>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w w:val="96"/>
              </w:rPr>
              <w:t>(15)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line="277"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(expense), net in each of the Registrants’ respective Statements of Consolidated Income.</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720"/>
        <w:spacing w:after="0"/>
        <w:rPr>
          <w:sz w:val="20"/>
          <w:szCs w:val="20"/>
          <w:color w:val="auto"/>
        </w:rPr>
      </w:pPr>
      <w:r>
        <w:rPr>
          <w:rFonts w:ascii="Arial" w:cs="Arial" w:eastAsia="Arial" w:hAnsi="Arial"/>
          <w:sz w:val="16"/>
          <w:szCs w:val="16"/>
          <w:b w:val="1"/>
          <w:bCs w:val="1"/>
          <w:color w:val="auto"/>
        </w:rPr>
        <w:t>(20) Subsequent Events (CenterPoint Energy)</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CenterPoint Energy Dividend Declarations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Equity Instrument</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Per Share</w:t>
            </w:r>
          </w:p>
        </w:tc>
      </w:tr>
      <w:tr>
        <w:trPr>
          <w:trHeight w:val="215"/>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April 23, 2021</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May 20, 2021</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June 10, 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0.1600</w:t>
            </w:r>
          </w:p>
        </w:tc>
      </w:tr>
      <w:tr>
        <w:trPr>
          <w:trHeight w:val="210"/>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Series B Preferred Stock</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April 23, 2021</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May 15, 2021</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June 1, 2021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17.5000</w:t>
            </w:r>
          </w:p>
        </w:tc>
      </w:tr>
    </w:tbl>
    <w:p>
      <w:pPr>
        <w:spacing w:after="0" w:line="3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Enable Distributions Declarations (CenterPoint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4"/>
                <w:szCs w:val="14"/>
                <w:color w:val="auto"/>
              </w:rPr>
            </w:pPr>
          </w:p>
        </w:tc>
        <w:tc>
          <w:tcPr>
            <w:tcW w:w="1180" w:type="dxa"/>
            <w:vAlign w:val="bottom"/>
          </w:tcPr>
          <w:p>
            <w:pPr>
              <w:jc w:val="right"/>
              <w:ind w:right="124"/>
              <w:spacing w:after="0"/>
              <w:rPr>
                <w:sz w:val="20"/>
                <w:szCs w:val="20"/>
                <w:color w:val="auto"/>
              </w:rPr>
            </w:pPr>
            <w:r>
              <w:rPr>
                <w:rFonts w:ascii="Arial" w:cs="Arial" w:eastAsia="Arial" w:hAnsi="Arial"/>
                <w:sz w:val="14"/>
                <w:szCs w:val="14"/>
                <w:b w:val="1"/>
                <w:bCs w:val="1"/>
                <w:color w:val="auto"/>
                <w:w w:val="95"/>
              </w:rPr>
              <w:t>Expected Cash</w:t>
            </w:r>
          </w:p>
        </w:tc>
        <w:tc>
          <w:tcPr>
            <w:tcW w:w="0" w:type="dxa"/>
            <w:vAlign w:val="bottom"/>
          </w:tcPr>
          <w:p>
            <w:pPr>
              <w:spacing w:after="0"/>
              <w:rPr>
                <w:sz w:val="1"/>
                <w:szCs w:val="1"/>
                <w:color w:val="auto"/>
              </w:rPr>
            </w:pPr>
          </w:p>
        </w:tc>
      </w:tr>
      <w:tr>
        <w:trPr>
          <w:trHeight w:val="135"/>
        </w:trPr>
        <w:tc>
          <w:tcPr>
            <w:tcW w:w="28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vMerge w:val="restart"/>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00" w:type="dxa"/>
            <w:vAlign w:val="bottom"/>
            <w:vMerge w:val="restart"/>
          </w:tcPr>
          <w:p>
            <w:pPr>
              <w:spacing w:after="0"/>
              <w:rPr>
                <w:sz w:val="11"/>
                <w:szCs w:val="11"/>
                <w:color w:val="auto"/>
              </w:rPr>
            </w:pPr>
          </w:p>
        </w:tc>
        <w:tc>
          <w:tcPr>
            <w:tcW w:w="17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204"/>
              <w:spacing w:after="0" w:line="135" w:lineRule="exact"/>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88"/>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1"/>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Enable common units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April 26, 2021</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May 13, 2021</w:t>
            </w:r>
          </w:p>
        </w:tc>
        <w:tc>
          <w:tcPr>
            <w:tcW w:w="18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May 25,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0.16525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 xml:space="preserve">Enable Series A Preferred Units </w:t>
            </w:r>
            <w:r>
              <w:rPr>
                <w:rFonts w:ascii="Arial" w:cs="Arial" w:eastAsia="Arial" w:hAnsi="Arial"/>
                <w:sz w:val="12"/>
                <w:szCs w:val="12"/>
                <w:color w:val="auto"/>
              </w:rPr>
              <w:t>(1)</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April 26, 2021</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April 26, 2021</w:t>
            </w:r>
          </w:p>
        </w:tc>
        <w:tc>
          <w:tcPr>
            <w:tcW w:w="1840" w:type="dxa"/>
            <w:vAlign w:val="bottom"/>
            <w:gridSpan w:val="2"/>
          </w:tcPr>
          <w:p>
            <w:pPr>
              <w:ind w:left="420"/>
              <w:spacing w:after="0"/>
              <w:rPr>
                <w:sz w:val="20"/>
                <w:szCs w:val="20"/>
                <w:color w:val="auto"/>
              </w:rPr>
            </w:pPr>
            <w:r>
              <w:rPr>
                <w:rFonts w:ascii="Arial" w:cs="Arial" w:eastAsia="Arial" w:hAnsi="Arial"/>
                <w:sz w:val="16"/>
                <w:szCs w:val="16"/>
                <w:color w:val="auto"/>
              </w:rPr>
              <w:t>May 14, 2021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0.58730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660" w:hanging="328"/>
        <w:spacing w:after="0" w:line="277"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February 18, 2021, the Enable Series A Preferred Units converted to the floating rate period where the distribution rate is equal to the sum of three-month LIBOR, as calculated on each applicable date of determination, and 8.50%.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April 2021, CenterPoint Energy received two notifications of intent by shareholders to convert their Series C Preferred Stock to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two notifications.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of Notice</w:t>
            </w:r>
          </w:p>
        </w:tc>
        <w:tc>
          <w:tcPr>
            <w:tcW w:w="100" w:type="dxa"/>
            <w:vAlign w:val="bottom"/>
            <w:vMerge w:val="restart"/>
          </w:tcPr>
          <w:p>
            <w:pPr>
              <w:spacing w:after="0"/>
              <w:rPr>
                <w:sz w:val="14"/>
                <w:szCs w:val="14"/>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Conversion Date</w:t>
            </w:r>
          </w:p>
        </w:tc>
        <w:tc>
          <w:tcPr>
            <w:tcW w:w="120" w:type="dxa"/>
            <w:vAlign w:val="bottom"/>
            <w:vMerge w:val="restart"/>
          </w:tcPr>
          <w:p>
            <w:pPr>
              <w:spacing w:after="0"/>
              <w:rPr>
                <w:sz w:val="14"/>
                <w:szCs w:val="14"/>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Shares of Series C Preferred Stock</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 Common Stock</w:t>
            </w:r>
          </w:p>
        </w:tc>
        <w:tc>
          <w:tcPr>
            <w:tcW w:w="0" w:type="dxa"/>
            <w:vAlign w:val="bottom"/>
          </w:tcPr>
          <w:p>
            <w:pPr>
              <w:spacing w:after="0"/>
              <w:rPr>
                <w:sz w:val="1"/>
                <w:szCs w:val="1"/>
                <w:color w:val="auto"/>
              </w:rPr>
            </w:pPr>
          </w:p>
        </w:tc>
      </w:tr>
      <w:tr>
        <w:trPr>
          <w:trHeight w:val="188"/>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Converted</w:t>
            </w:r>
          </w:p>
        </w:tc>
        <w:tc>
          <w:tcPr>
            <w:tcW w:w="10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be Issued</w:t>
            </w:r>
          </w:p>
        </w:tc>
        <w:tc>
          <w:tcPr>
            <w:tcW w:w="0" w:type="dxa"/>
            <w:vAlign w:val="bottom"/>
          </w:tcPr>
          <w:p>
            <w:pPr>
              <w:spacing w:after="0"/>
              <w:rPr>
                <w:sz w:val="1"/>
                <w:szCs w:val="1"/>
                <w:color w:val="auto"/>
              </w:rPr>
            </w:pPr>
          </w:p>
        </w:tc>
      </w:tr>
      <w:tr>
        <w:trPr>
          <w:trHeight w:val="211"/>
        </w:trPr>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April 5, 2021</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April 5, 2021</w:t>
            </w:r>
          </w:p>
        </w:tc>
        <w:tc>
          <w:tcPr>
            <w:tcW w:w="2820" w:type="dxa"/>
            <w:vAlign w:val="bottom"/>
            <w:shd w:val="clear" w:color="auto" w:fill="CCEEFF"/>
          </w:tcPr>
          <w:p>
            <w:pPr>
              <w:jc w:val="right"/>
              <w:ind w:right="1084"/>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26,126,714</w:t>
            </w:r>
          </w:p>
        </w:tc>
        <w:tc>
          <w:tcPr>
            <w:tcW w:w="0" w:type="dxa"/>
            <w:vAlign w:val="bottom"/>
          </w:tcPr>
          <w:p>
            <w:pPr>
              <w:spacing w:after="0"/>
              <w:rPr>
                <w:sz w:val="1"/>
                <w:szCs w:val="1"/>
                <w:color w:val="auto"/>
              </w:rPr>
            </w:pPr>
          </w:p>
        </w:tc>
      </w:tr>
      <w:tr>
        <w:trPr>
          <w:trHeight w:val="210"/>
        </w:trPr>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April 16, 2021</w:t>
            </w:r>
          </w:p>
        </w:tc>
        <w:tc>
          <w:tcPr>
            <w:tcW w:w="29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April 16. 2021</w:t>
            </w:r>
          </w:p>
        </w:tc>
        <w:tc>
          <w:tcPr>
            <w:tcW w:w="2820" w:type="dxa"/>
            <w:vAlign w:val="bottom"/>
          </w:tcPr>
          <w:p>
            <w:pPr>
              <w:jc w:val="right"/>
              <w:ind w:right="1124"/>
              <w:spacing w:after="0"/>
              <w:rPr>
                <w:sz w:val="20"/>
                <w:szCs w:val="20"/>
                <w:color w:val="auto"/>
              </w:rPr>
            </w:pPr>
            <w:r>
              <w:rPr>
                <w:rFonts w:ascii="Arial" w:cs="Arial" w:eastAsia="Arial" w:hAnsi="Arial"/>
                <w:sz w:val="16"/>
                <w:szCs w:val="16"/>
                <w:color w:val="auto"/>
              </w:rPr>
              <w:t>37,500</w:t>
            </w:r>
          </w:p>
        </w:tc>
        <w:tc>
          <w:tcPr>
            <w:tcW w:w="100" w:type="dxa"/>
            <w:vAlign w:val="bottom"/>
          </w:tcPr>
          <w:p>
            <w:pPr>
              <w:spacing w:after="0"/>
              <w:rPr>
                <w:sz w:val="18"/>
                <w:szCs w:val="18"/>
                <w:color w:val="auto"/>
              </w:rPr>
            </w:pPr>
          </w:p>
        </w:tc>
        <w:tc>
          <w:tcPr>
            <w:tcW w:w="2460" w:type="dxa"/>
            <w:vAlign w:val="bottom"/>
          </w:tcPr>
          <w:p>
            <w:pPr>
              <w:jc w:val="right"/>
              <w:ind w:right="824"/>
              <w:spacing w:after="0"/>
              <w:rPr>
                <w:sz w:val="20"/>
                <w:szCs w:val="20"/>
                <w:color w:val="auto"/>
              </w:rPr>
            </w:pPr>
            <w:r>
              <w:rPr>
                <w:rFonts w:ascii="Arial" w:cs="Arial" w:eastAsia="Arial" w:hAnsi="Arial"/>
                <w:sz w:val="16"/>
                <w:szCs w:val="16"/>
                <w:color w:val="auto"/>
              </w:rPr>
              <w:t>2,449,379</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Conversion of the remaining Series C Preferred Stock is mandatory on May 7, 2021, the 12-month anniversary date of the preferred stock purchase agreements. The remaining 187,500 shares of Series C Preferred Stock are expected to convert into 12,246,897 shares of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Arkansas and Oklahoma Natural Gas Businesses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29, 2021, CenterPoint Energy, through its subsidiary CERC Corp., entered into an Asset Purchase Agreement to sell its Arkansas and Oklahoma Natural Gas businesses for $2.15 billion in cash, including recovery of approximately $425 million of storm-related incremental natural gas costs incurred in the February 2021 Winter Storm Event, subject to certain adjustments set forth in the Asset Purchase Agreement. The assets include approximately 17,000 miles of main pipeline in Arkansas, Oklahoma and certain portions of Bowie County, Texas serving more than half a million customers. The transaction is anticipated to close by the end of 2021, subject to customary closing conditions, including Hart-Scott-Rodino antitrust clearance and state regulatory approvals.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combined Form 10-Q and the Registrants’ combined 2020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combined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February 2021 Winter Storm Event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2021, portions of the United States experienced an extreme and unprecedented winter weather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corresponding electricity generation shortages, including in Texas, and natural gas shortages and increased wholesale prices of natural gas in the United States. Many customers of Houston Electric’s REPs and, to a lesser extent, of CERC were severely impacted by outages in electricity and natural gas delivery during the February 2021 Winter Storm Event. As a result of this weather event, the governors of Texas, Oklahoma and Louisiana declared states of either disaster or emergencies in their respective states. Subsequently, President Biden also approved major disaster declarations for all or parts of Texas, Oklahoma and Louisiana.</w:t>
      </w: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CenterPoint Energy has a corporate response planning team comprised of employees across the organization, including members of senior management, that assesses risks to its business, including for health, safety and environmental matters and personnel issues, and has addressed various impacts of the February 2021 Winter Storm Event. The corporate response planning team coordinated additional support for operations and other personnel that responded directly to the February 2021 Winter Storm Event.</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February 2021 Winter Storm Event has had, and may continue to have, financial impacts on CenterPoint Energy, Houston Electric and CERC, including substantial increases in prices for natural gas, decreased revenues at Houston Electric due to ERCOT-mandated outages, additional interest expense related to external financing to pay for natural gas working capital, potential impacts to credit metrics, significant impacts to the REPs, including the REPs’ ability to pay invoices from Houston Electric, increases in bad debt expense, issues with counterparties and customers, litigation and investigations or inquiries from government or regulatory agencies and entities, and other financial impacts. CenterPoint Energy does not anticipate meaningful long-term changes to its credit profile or credit ratings given its access to external financing sources and the regulatory mechanisms that are in place to seek recovery of these excess costs. For more information regarding regulatory impacts, debt transactions and litigation, see Notes 6, 12 and 14 to the Interim Condensed Financial Statements and “—Liquidity and Capital Resources” below.</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Sale of Arkansas and Oklahoma Natural Gas Businesses. </w:t>
      </w:r>
      <w:r>
        <w:rPr>
          <w:rFonts w:ascii="Arial" w:cs="Arial" w:eastAsia="Arial" w:hAnsi="Arial"/>
          <w:sz w:val="18"/>
          <w:szCs w:val="18"/>
          <w:color w:val="auto"/>
        </w:rPr>
        <w:t>On April 29, 2021, CenterPoint Energy, through its subsidiary CERC Corp.,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Purchase Agreement to sell its Arkansas and Oklahoma Natural Gas businesses for $2.15 billion in cash, including recovery of approximately $425 million of storm-related incremental natural gas costs incurred in the February 2021 Winter Storm Event, subject to certain adjustments set forth in the Asset Purchase Agreement. The transaction is anticipated to close by the end of 2021, subject to satisfaction of customary closing conditions. For further information, see Note 20 to the Interim Condensed Financial Statements.</w:t>
      </w:r>
    </w:p>
    <w:p>
      <w:pPr>
        <w:spacing w:after="0" w:line="21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i w:val="1"/>
          <w:iCs w:val="1"/>
          <w:color w:val="auto"/>
        </w:rPr>
        <w:t>Enable Merger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February 16, 2021, Enable entered into the Enable Merger Agreement. At the closing of the transactions contemplated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Enable Merger Agreement, if and when it occurs, Energy Transfer will acquire all of Enable’s outstanding equity interests, including all Enable common units and Enable Series A Preferred Units held by CenterPoint Energy, and in return CenterPoint Energy will receive Energy Transfer common units and Energy Transfer Series G Preferred Units. For more information, see Notes 1 and 9 to the Interim Condensed Financial Statements.</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Regulatory Proceedings. </w:t>
      </w:r>
      <w:r>
        <w:rPr>
          <w:rFonts w:ascii="Arial" w:cs="Arial" w:eastAsia="Arial" w:hAnsi="Arial"/>
          <w:sz w:val="18"/>
          <w:szCs w:val="18"/>
          <w:color w:val="auto"/>
        </w:rPr>
        <w:t>For details related to our pending and completed regulatory proceedings to date in 2021, see “—Liquidity and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—Regulatory Matters” below.</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Debt Transactions. </w:t>
      </w:r>
      <w:r>
        <w:rPr>
          <w:rFonts w:ascii="Arial" w:cs="Arial" w:eastAsia="Arial" w:hAnsi="Arial"/>
          <w:sz w:val="18"/>
          <w:szCs w:val="18"/>
          <w:color w:val="auto"/>
        </w:rPr>
        <w:t>In February 2021, each of CenterPoint Energy, Houston Electric, CERC Corp. and VUHI replaced their existing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with new amended and restated credit facilities. Also, in February 2021, CERC Corp. received financing commitments totaling $1.7 billion on a 364-day term loan facility to bridge any working capital needs related to the February 2021 Winter Storm Event. In March 2021, CERC Corp. issued $1.7 billion aggregate principal amount of senior notes and Houston Electric issued $1.1 billion aggregate principal amount of general mortgage bonds. Upon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consummation of its senior notes offerings, in March 2021, CERC Corp. terminated all of the commitments for the 364-day term loan facility. Additionally, in March 2021, Houston Electric repaid all of its remaining outstanding $102 million first mortgage bonds at maturity. In April 2021, Houston Electric provided notice of redemption relating to $300 million aggregate principal amount of its outstanding general mortgage bonds (which were redeemed on May 1, 2021) and CenterPoint Energy amended its existing term loan agreement to provide for a 30-day extension of its maturity date. For more information, see Note 12 to the Interim Condensed Financial Statements.</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 xml:space="preserve">Series C Preferred Stock Conversions. </w:t>
      </w:r>
      <w:r>
        <w:rPr>
          <w:rFonts w:ascii="Arial" w:cs="Arial" w:eastAsia="Arial" w:hAnsi="Arial"/>
          <w:sz w:val="17"/>
          <w:szCs w:val="17"/>
          <w:color w:val="auto"/>
        </w:rPr>
        <w:t>In April 2021, CenterPoint Energy received two notifications of intent by shareholders to convert their Series 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to Common Stock. For further information, see Note 20 to the Interim Condensed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2020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available to common shareholders for the three months ended March 31, 2021 and 2020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10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4"/>
        </w:trPr>
        <w:tc>
          <w:tcPr>
            <w:tcW w:w="7360" w:type="dxa"/>
            <w:vAlign w:val="bottom"/>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34"/>
              <w:spacing w:after="0" w:line="135" w:lineRule="exact"/>
              <w:rPr>
                <w:sz w:val="20"/>
                <w:szCs w:val="20"/>
                <w:color w:val="auto"/>
              </w:rPr>
            </w:pPr>
            <w:r>
              <w:rPr>
                <w:rFonts w:ascii="Arial" w:cs="Arial" w:eastAsia="Arial" w:hAnsi="Arial"/>
                <w:sz w:val="14"/>
                <w:szCs w:val="14"/>
                <w:b w:val="1"/>
                <w:bCs w:val="1"/>
                <w:color w:val="auto"/>
                <w:w w:val="93"/>
              </w:rPr>
              <w:t>Favorable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0"/>
        </w:trPr>
        <w:tc>
          <w:tcPr>
            <w:tcW w:w="73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(in millions)</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Utility Operations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 xml:space="preserve">Midstream Investments </w:t>
            </w:r>
            <w:r>
              <w:rPr>
                <w:rFonts w:ascii="Arial" w:cs="Arial" w:eastAsia="Arial" w:hAnsi="Arial"/>
                <w:sz w:val="14"/>
                <w:szCs w:val="14"/>
                <w:color w:val="auto"/>
              </w:rPr>
              <w:t>(1)</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4"/>
                <w:szCs w:val="14"/>
                <w:color w:val="auto"/>
              </w:rPr>
              <w:t>(2)</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7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CenterPoint Energy</w:t>
            </w: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right="20" w:hanging="328"/>
        <w:spacing w:after="0" w:line="258"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a discussion of the components of equity in earnings from CenterPoint Energy’s equity investment in Enable, see Note 9 to the Interim Condensed Financial Statements.</w:t>
      </w:r>
    </w:p>
    <w:p>
      <w:pPr>
        <w:spacing w:after="0" w:line="1" w:lineRule="exact"/>
        <w:rPr>
          <w:rFonts w:ascii="Arial" w:cs="Arial" w:eastAsia="Arial" w:hAnsi="Arial"/>
          <w:sz w:val="18"/>
          <w:szCs w:val="18"/>
          <w:color w:val="auto"/>
        </w:rPr>
      </w:pPr>
    </w:p>
    <w:p>
      <w:pPr>
        <w:ind w:left="660" w:hanging="328"/>
        <w:spacing w:after="0" w:line="260"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energy performance contracting and sustainable infrastructure services through ESG, unallocated corporate costs, interest income and interest expense, intercompany eliminations and the reduction of income allocated to preferred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Income available to common shareholders increased $1,562 million primarily due to the following items in the first quarter of 2020 which did not repeat in the first quarter of 2021:</w:t>
      </w:r>
    </w:p>
    <w:p>
      <w:pPr>
        <w:spacing w:after="0" w:line="197"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impairment of our investment in Enable further discussed in Note 9 to the Interim Condensed Financial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impairment of Indiana Electric;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losses from discontinued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partially offset by the favorable income tax impact of the CARES Act.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those items, income available to common shareholders increased $73 million primarily due to the following key factors:</w:t>
      </w:r>
    </w:p>
    <w:p>
      <w:pPr>
        <w:spacing w:after="0" w:line="25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rate relief, net of increases in depreciation and amortization and taxes other than income taxes;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favorable weather and usage, net of the impacts of COVID-19;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customer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operation and maintenance expense discipline;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interest expense;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earnings at Enable.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ENERGY’S RESULTS OF OPERATIONS BY REPORTABLE SEGMENT</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Energy’s CODM views net income as the measure of profit or loss for the reportable segments. Segment results include inter-segment interest income and expense, which may result in inter-segment profit and loss. Certain prior year amounts have been reclassified to conform to the current year presentation described in the Registrants’ combined 2020 Form 10-K.</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discussion of results of operations by reportable segment concentrates on CenterPoint Energy’s Utility Operations, conducted through two reportable segments, Electric and Natural Gas. A discussion of CenterPoint Energy’s Midstream Investments reportable segment results is included in the discussion of CenterPoint Energy’s consolidated results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(CenterPoint Energy)</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Electric reportable segment, please read “Risk Factors — Risk Factors Associated with Our Consolidated Financial Condition,” “— Risk Factors Affecting Electric Generation, Transmission and Distribution Businesses,” “— Risk Factors Affecting Our Businesses” and “— General Risk Factors Affecting Our Businesses and/or CenterPoint Energy’s Interests in Enable Midstream Partners, LP” in Item 1A of Part I of the Registrants’ combined 2020 Form 10-K.</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the Electric reportable segment: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right"/>
              <w:ind w:right="9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5"/>
        </w:trPr>
        <w:tc>
          <w:tcPr>
            <w:tcW w:w="7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8"/>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0"/>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gridSpan w:val="7"/>
          </w:tcPr>
          <w:p>
            <w:pPr>
              <w:jc w:val="right"/>
              <w:ind w:right="828"/>
              <w:spacing w:after="0"/>
              <w:rPr>
                <w:sz w:val="20"/>
                <w:szCs w:val="20"/>
                <w:color w:val="auto"/>
              </w:rPr>
            </w:pPr>
            <w:r>
              <w:rPr>
                <w:rFonts w:ascii="Arial" w:cs="Arial" w:eastAsia="Arial" w:hAnsi="Arial"/>
                <w:sz w:val="14"/>
                <w:szCs w:val="14"/>
                <w:b w:val="1"/>
                <w:bCs w:val="1"/>
                <w:color w:val="auto"/>
              </w:rPr>
              <w:t>(in millions, except operating statistics)</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Revenues less Cost of revenues</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6"/>
        </w:trPr>
        <w:tc>
          <w:tcPr>
            <w:tcW w:w="704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70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7040" w:type="dxa"/>
            <w:vAlign w:val="bottom"/>
          </w:tcPr>
          <w:p>
            <w:pPr>
              <w:ind w:left="140"/>
              <w:spacing w:after="0"/>
              <w:rPr>
                <w:sz w:val="20"/>
                <w:szCs w:val="20"/>
                <w:color w:val="auto"/>
              </w:rPr>
            </w:pPr>
            <w:r>
              <w:rPr>
                <w:rFonts w:ascii="Arial" w:cs="Arial" w:eastAsia="Arial" w:hAnsi="Arial"/>
                <w:sz w:val="14"/>
                <w:szCs w:val="14"/>
                <w:color w:val="auto"/>
              </w:rPr>
              <w:t>Goodwill impairment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6"/>
        </w:trPr>
        <w:tc>
          <w:tcPr>
            <w:tcW w:w="7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652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810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72"/>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04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net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04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Throughput (in GWh):</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040" w:type="dxa"/>
            <w:vAlign w:val="bottom"/>
          </w:tcPr>
          <w:p>
            <w:pPr>
              <w:ind w:left="360"/>
              <w:spacing w:after="0"/>
              <w:rPr>
                <w:sz w:val="20"/>
                <w:szCs w:val="20"/>
                <w:color w:val="auto"/>
              </w:rPr>
            </w:pPr>
            <w:r>
              <w:rPr>
                <w:rFonts w:ascii="Arial" w:cs="Arial" w:eastAsia="Arial" w:hAnsi="Arial"/>
                <w:sz w:val="14"/>
                <w:szCs w:val="14"/>
                <w:color w:val="auto"/>
              </w:rPr>
              <w:t>Residential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7040" w:type="dxa"/>
            <w:vAlign w:val="bottom"/>
          </w:tcPr>
          <w:p>
            <w:pPr>
              <w:ind w:left="20"/>
              <w:spacing w:after="0"/>
              <w:rPr>
                <w:sz w:val="20"/>
                <w:szCs w:val="20"/>
                <w:color w:val="auto"/>
              </w:rPr>
            </w:pPr>
            <w:r>
              <w:rPr>
                <w:rFonts w:ascii="Arial" w:cs="Arial" w:eastAsia="Arial" w:hAnsi="Arial"/>
                <w:sz w:val="14"/>
                <w:szCs w:val="14"/>
                <w:color w:val="auto"/>
              </w:rPr>
              <w:t>Weather (percentage of 10-year average for service area):</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Cooling degree days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6"/>
        </w:trPr>
        <w:tc>
          <w:tcPr>
            <w:tcW w:w="7040" w:type="dxa"/>
            <w:vAlign w:val="bottom"/>
          </w:tcPr>
          <w:p>
            <w:pPr>
              <w:ind w:left="360"/>
              <w:spacing w:after="0"/>
              <w:rPr>
                <w:sz w:val="20"/>
                <w:szCs w:val="20"/>
                <w:color w:val="auto"/>
              </w:rPr>
            </w:pPr>
            <w:r>
              <w:rPr>
                <w:rFonts w:ascii="Arial" w:cs="Arial" w:eastAsia="Arial" w:hAnsi="Arial"/>
                <w:sz w:val="14"/>
                <w:szCs w:val="14"/>
                <w:color w:val="auto"/>
              </w:rPr>
              <w:t>Heating degree days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40" w:type="dxa"/>
            <w:vAlign w:val="bottom"/>
          </w:tcPr>
          <w:p>
            <w:pPr>
              <w:ind w:left="360"/>
              <w:spacing w:after="0"/>
              <w:rPr>
                <w:sz w:val="20"/>
                <w:szCs w:val="20"/>
                <w:color w:val="auto"/>
              </w:rPr>
            </w:pPr>
            <w:r>
              <w:rPr>
                <w:rFonts w:ascii="Arial" w:cs="Arial" w:eastAsia="Arial" w:hAnsi="Arial"/>
                <w:sz w:val="14"/>
                <w:szCs w:val="14"/>
                <w:color w:val="auto"/>
              </w:rPr>
              <w:t>Residential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2,448,439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2,389,585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2"/>
        </w:trPr>
        <w:tc>
          <w:tcPr>
            <w:tcW w:w="7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2,765,496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2,701,004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Utility natural gas, fuel and purchased power.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The following table provides variance explanations for the three months ended March 31, 2021 compared to three months ended March 31, 2020 by major income statement caption for the Electric reportable segment:</w:t>
      </w:r>
    </w:p>
    <w:tbl>
      <w:tblPr>
        <w:tblLayout w:type="fixed"/>
        <w:tblInd w:w="0" w:type="dxa"/>
        <w:tblCellMar>
          <w:top w:w="0" w:type="dxa"/>
          <w:left w:w="0" w:type="dxa"/>
          <w:bottom w:w="0" w:type="dxa"/>
          <w:right w:w="0" w:type="dxa"/>
        </w:tblCellMar>
      </w:tblPr>
      <w:tr>
        <w:trPr>
          <w:trHeight w:val="192"/>
        </w:trPr>
        <w:tc>
          <w:tcPr>
            <w:tcW w:w="9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w w:val="97"/>
              </w:rPr>
              <w:t>Favorable (Unfavorable)</w:t>
            </w:r>
          </w:p>
        </w:tc>
        <w:tc>
          <w:tcPr>
            <w:tcW w:w="0" w:type="dxa"/>
            <w:vAlign w:val="bottom"/>
          </w:tcPr>
          <w:p>
            <w:pPr>
              <w:spacing w:after="0"/>
              <w:rPr>
                <w:sz w:val="1"/>
                <w:szCs w:val="1"/>
                <w:color w:val="auto"/>
              </w:rPr>
            </w:pPr>
          </w:p>
        </w:tc>
      </w:tr>
      <w:tr>
        <w:trPr>
          <w:trHeight w:val="179"/>
        </w:trPr>
        <w:tc>
          <w:tcPr>
            <w:tcW w:w="9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47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2"/>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 less Cost of revenues</w:t>
            </w:r>
          </w:p>
        </w:tc>
        <w:tc>
          <w:tcPr>
            <w:tcW w:w="200" w:type="dxa"/>
            <w:vAlign w:val="bottom"/>
            <w:tcBorders>
              <w:bottom w:val="single" w:sz="8" w:color="CCEEFF"/>
            </w:tcBorders>
            <w:gridSpan w:val="2"/>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9480" w:type="dxa"/>
            <w:vAlign w:val="bottom"/>
            <w:gridSpan w:val="3"/>
            <w:shd w:val="clear" w:color="auto" w:fill="CCEEFF"/>
          </w:tcPr>
          <w:p>
            <w:pPr>
              <w:ind w:left="20"/>
              <w:spacing w:after="0" w:line="165" w:lineRule="exact"/>
              <w:rPr>
                <w:sz w:val="20"/>
                <w:szCs w:val="20"/>
                <w:color w:val="auto"/>
              </w:rPr>
            </w:pPr>
            <w:r>
              <w:rPr>
                <w:rFonts w:ascii="Arial" w:cs="Arial" w:eastAsia="Arial" w:hAnsi="Arial"/>
                <w:sz w:val="16"/>
                <w:szCs w:val="16"/>
                <w:color w:val="auto"/>
              </w:rPr>
              <w:t>Transmission Revenues, including TCOS and TCRF and impact of the change in rate design, inclusive of costs billed by transmission</w:t>
            </w: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2"/>
        </w:trPr>
        <w:tc>
          <w:tcPr>
            <w:tcW w:w="94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providers, partially offset in operation and maintenance</w:t>
            </w:r>
          </w:p>
        </w:tc>
        <w:tc>
          <w:tcPr>
            <w:tcW w:w="28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Customer growth</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Weather impacts and other usage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Impacts from increased peak demand in 2020, collected in rates in 2021</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Bond Companies equity return, related to the annual true-up of transition charges for amounts over or under collected in prior periods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Miscellaneous revenues, primarily related right-of-way revenue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Impacts on usage of COVID-19</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Customer rates and impact of the change in rate design</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7"/>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Operation and maintenance</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Support services</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Labor and benefits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Energy efficiency, offset in revenues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 less cost of revenues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Depreciation and amortization</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Ongoing additions to plant-in-service</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Taxes other than income taxes</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Franchise fees and other taxes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Goodwill Impairment</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Indiana Electric goodwill impairment charge in 2020</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0"/>
        </w:trPr>
        <w:tc>
          <w:tcPr>
            <w:tcW w:w="9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Interest expense and other finance charges</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Debt to fund incremental capital projects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Other income (expense), net</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Reduction to non-service benefit cost</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Investments in CenterPoint Energy Money Pool interest income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Bond Companies interest income, offset in other line items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(CenterPoint Energy)</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CenterPoint Energy’s Natural Gas reportable segment, please read “Risk Factors — Risk Factors Associated with Our Consolidated Financial Condition,” “— Risk Factors Affecting Natural Gas' Business,” “— Risk Factors Affecting Our Businesses” and “— General Risk Factors Affecting Our Businesses and/or CenterPoint Energy’s Interests in Enable Midstream Partners, LP” in Item 1A of Part I of the Registrants’ combined 2020 Form 10-K.</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CenterPoint Energy’s Natural Gas reportable segment: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center"/>
              <w:ind w:right="228"/>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34"/>
        </w:trPr>
        <w:tc>
          <w:tcPr>
            <w:tcW w:w="7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1"/>
                <w:szCs w:val="11"/>
                <w:color w:val="auto"/>
              </w:rPr>
            </w:pPr>
          </w:p>
        </w:tc>
        <w:tc>
          <w:tcPr>
            <w:tcW w:w="116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8"/>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83"/>
        </w:trPr>
        <w:tc>
          <w:tcPr>
            <w:tcW w:w="7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0" w:type="dxa"/>
            <w:vAlign w:val="bottom"/>
            <w:gridSpan w:val="6"/>
          </w:tcPr>
          <w:p>
            <w:pPr>
              <w:jc w:val="center"/>
              <w:ind w:right="228"/>
              <w:spacing w:after="0"/>
              <w:rPr>
                <w:sz w:val="20"/>
                <w:szCs w:val="20"/>
                <w:color w:val="auto"/>
              </w:rPr>
            </w:pPr>
            <w:r>
              <w:rPr>
                <w:rFonts w:ascii="Arial" w:cs="Arial" w:eastAsia="Arial" w:hAnsi="Arial"/>
                <w:sz w:val="14"/>
                <w:szCs w:val="14"/>
                <w:b w:val="1"/>
                <w:bCs w:val="1"/>
                <w:color w:val="auto"/>
                <w:w w:val="90"/>
              </w:rPr>
              <w:t>(in millions, except operating statistics)</w:t>
            </w:r>
          </w:p>
        </w:tc>
        <w:tc>
          <w:tcPr>
            <w:tcW w:w="0" w:type="dxa"/>
            <w:vAlign w:val="bottom"/>
          </w:tcPr>
          <w:p>
            <w:pPr>
              <w:spacing w:after="0"/>
              <w:rPr>
                <w:sz w:val="1"/>
                <w:szCs w:val="1"/>
                <w:color w:val="auto"/>
              </w:rPr>
            </w:pPr>
          </w:p>
        </w:tc>
      </w:tr>
      <w:tr>
        <w:trPr>
          <w:trHeight w:val="19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1,321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580</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6"/>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Revenues less Cost of revenues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741</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6"/>
        </w:trPr>
        <w:tc>
          <w:tcPr>
            <w:tcW w:w="7140" w:type="dxa"/>
            <w:vAlign w:val="bottom"/>
          </w:tcPr>
          <w:p>
            <w:pPr>
              <w:ind w:left="2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272</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71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67</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9"/>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450</w:t>
            </w:r>
          </w:p>
        </w:tc>
        <w:tc>
          <w:tcPr>
            <w:tcW w:w="24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291</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6"/>
        </w:trPr>
        <w:tc>
          <w:tcPr>
            <w:tcW w:w="71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7140" w:type="dxa"/>
            <w:vAlign w:val="bottom"/>
          </w:tcPr>
          <w:p>
            <w:pPr>
              <w:ind w:left="140"/>
              <w:spacing w:after="0"/>
              <w:rPr>
                <w:sz w:val="20"/>
                <w:szCs w:val="20"/>
                <w:color w:val="auto"/>
              </w:rPr>
            </w:pPr>
            <w:r>
              <w:rPr>
                <w:rFonts w:ascii="Arial" w:cs="Arial" w:eastAsia="Arial" w:hAnsi="Arial"/>
                <w:sz w:val="14"/>
                <w:szCs w:val="14"/>
                <w:color w:val="auto"/>
              </w:rPr>
              <w:t>Other expense, net</w:t>
            </w:r>
          </w:p>
        </w:tc>
        <w:tc>
          <w:tcPr>
            <w:tcW w:w="30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285</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248</w:t>
            </w: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4"/>
        </w:trPr>
        <w:tc>
          <w:tcPr>
            <w:tcW w:w="714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48"/>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28"/>
              <w:spacing w:after="0" w:line="159" w:lineRule="exact"/>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8"/>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line="159" w:lineRule="exact"/>
              <w:rPr>
                <w:sz w:val="20"/>
                <w:szCs w:val="20"/>
                <w:color w:val="auto"/>
              </w:rPr>
            </w:pPr>
            <w:r>
              <w:rPr>
                <w:rFonts w:ascii="Arial" w:cs="Arial" w:eastAsia="Arial" w:hAnsi="Arial"/>
                <w:sz w:val="14"/>
                <w:szCs w:val="14"/>
                <w:color w:val="auto"/>
              </w:rPr>
              <w:t>201</w:t>
            </w: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108"/>
              <w:spacing w:after="0" w:line="15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Throughput (in Bcf):</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1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Commercial and Industrial</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1"/>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Weather (percentage of 10-year average for service area):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1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Heating degree days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6"/>
        </w:trPr>
        <w:tc>
          <w:tcPr>
            <w:tcW w:w="714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4,343,863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4,266,685</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Commercial and Industrial</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351,363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350,009</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1"/>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4,695,226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4,616,694</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Utility natural gas, fuel and purchased power and Non-utility cost of revenues, including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The following table provides variance explanations for the three months ended March 31, 2021 compared to three months ended March 31, 2020 by major income statement caption for the Natural Gas reportable segment:</w:t>
      </w:r>
    </w:p>
    <w:tbl>
      <w:tblPr>
        <w:tblLayout w:type="fixed"/>
        <w:tblInd w:w="0" w:type="dxa"/>
        <w:tblCellMar>
          <w:top w:w="0" w:type="dxa"/>
          <w:left w:w="0" w:type="dxa"/>
          <w:bottom w:w="0" w:type="dxa"/>
          <w:right w:w="0" w:type="dxa"/>
        </w:tblCellMar>
      </w:tblPr>
      <w:tr>
        <w:trPr>
          <w:trHeight w:val="192"/>
        </w:trPr>
        <w:tc>
          <w:tcPr>
            <w:tcW w:w="9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w w:val="97"/>
              </w:rPr>
              <w:t>Favorable (Unfavorable)</w:t>
            </w:r>
          </w:p>
        </w:tc>
      </w:tr>
      <w:tr>
        <w:trPr>
          <w:trHeight w:val="179"/>
        </w:trPr>
        <w:tc>
          <w:tcPr>
            <w:tcW w:w="9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479"/>
              <w:spacing w:after="0"/>
              <w:rPr>
                <w:sz w:val="20"/>
                <w:szCs w:val="20"/>
                <w:color w:val="auto"/>
              </w:rPr>
            </w:pPr>
            <w:r>
              <w:rPr>
                <w:rFonts w:ascii="Arial" w:cs="Arial" w:eastAsia="Arial" w:hAnsi="Arial"/>
                <w:sz w:val="14"/>
                <w:szCs w:val="14"/>
                <w:b w:val="1"/>
                <w:bCs w:val="1"/>
                <w:color w:val="auto"/>
              </w:rPr>
              <w:t>(in millions)</w:t>
            </w:r>
          </w:p>
        </w:tc>
      </w:tr>
      <w:tr>
        <w:trPr>
          <w:trHeight w:val="192"/>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 less Cost of revenues</w:t>
            </w:r>
          </w:p>
        </w:tc>
        <w:tc>
          <w:tcPr>
            <w:tcW w:w="200" w:type="dxa"/>
            <w:vAlign w:val="bottom"/>
            <w:tcBorders>
              <w:bottom w:val="single" w:sz="8" w:color="CCEEFF"/>
            </w:tcBorders>
            <w:gridSpan w:val="2"/>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r>
      <w:tr>
        <w:trPr>
          <w:trHeight w:val="215"/>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Weather and usage, excluding impacts from COVID-19</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Customer growth</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Gross receipts tax, offset in taxes other than income taxes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Customer rates and impact of the change in rate design, exclusive of the TCJA impact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Impacts of COVID-19, including usage and other miscellaneous charges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Non-volumetric and miscellaneous revenue, excluding impacts from COVID-19</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Operation and maintenance</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and maintenance expenses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Support Services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Merger related expenses, primarily severance and technology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Contracted services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Materials and supplies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Bad Debt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Energy efficiency, offset in revenues less cost of revenues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68"/>
        </w:trPr>
        <w:tc>
          <w:tcPr>
            <w:tcW w:w="9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Depreciation and amortization</w:t>
            </w: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7"/>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Taxes other than income taxes</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06"/>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Gross receipts tax, offset in revenues less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Interest expense and other finance charges</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06"/>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Reduced interest rates on outstanding borrowings, partially offset by incremental borrowings for capital expenditures</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 expense, net</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Reduction to non-service benefit cost</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Money pool investments with CenterPoint Energy interest income</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Houston Electric’s CODM views net income as the measure of profit or loss for its reportable segment. Houston Electric consists of a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 Risk Factors Affecting Our Businesses” and “— General Risk Factors Affecting Our Businesses and/or CenterPoint Energy’s Interests in Enable Midstream Partners, LP” in Item 1A of Part I of the Registrants’ combined 2020 Form 10-K.</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right"/>
              <w:ind w:right="9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5"/>
        </w:trPr>
        <w:tc>
          <w:tcPr>
            <w:tcW w:w="7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30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8"/>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65"/>
        </w:trPr>
        <w:tc>
          <w:tcPr>
            <w:tcW w:w="7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gridSpan w:val="6"/>
          </w:tcPr>
          <w:p>
            <w:pPr>
              <w:jc w:val="right"/>
              <w:ind w:right="828"/>
              <w:spacing w:after="0"/>
              <w:rPr>
                <w:sz w:val="20"/>
                <w:szCs w:val="20"/>
                <w:color w:val="auto"/>
              </w:rPr>
            </w:pPr>
            <w:r>
              <w:rPr>
                <w:rFonts w:ascii="Arial" w:cs="Arial" w:eastAsia="Arial" w:hAnsi="Arial"/>
                <w:sz w:val="14"/>
                <w:szCs w:val="14"/>
                <w:b w:val="1"/>
                <w:bCs w:val="1"/>
                <w:color w:val="auto"/>
              </w:rPr>
              <w:t>(in millions, except operating statistics)</w:t>
            </w:r>
          </w:p>
        </w:tc>
        <w:tc>
          <w:tcPr>
            <w:tcW w:w="0" w:type="dxa"/>
            <w:vAlign w:val="bottom"/>
          </w:tcPr>
          <w:p>
            <w:pPr>
              <w:spacing w:after="0"/>
              <w:rPr>
                <w:sz w:val="1"/>
                <w:szCs w:val="1"/>
                <w:color w:val="auto"/>
              </w:rPr>
            </w:pPr>
          </w:p>
        </w:tc>
      </w:tr>
      <w:tr>
        <w:trPr>
          <w:trHeight w:val="188"/>
        </w:trPr>
        <w:tc>
          <w:tcPr>
            <w:tcW w:w="7140" w:type="dxa"/>
            <w:vAlign w:val="bottom"/>
          </w:tcPr>
          <w:p>
            <w:pPr>
              <w:ind w:left="20"/>
              <w:spacing w:after="0"/>
              <w:rPr>
                <w:sz w:val="20"/>
                <w:szCs w:val="20"/>
                <w:color w:val="auto"/>
              </w:rPr>
            </w:pPr>
            <w:r>
              <w:rPr>
                <w:rFonts w:ascii="Arial" w:cs="Arial" w:eastAsia="Arial" w:hAnsi="Arial"/>
                <w:sz w:val="14"/>
                <w:szCs w:val="14"/>
                <w:color w:val="auto"/>
              </w:rPr>
              <w:t>Revenues: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TDU</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596</w:t>
            </w:r>
          </w:p>
        </w:tc>
        <w:tc>
          <w:tcPr>
            <w:tcW w:w="1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Bond Companies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w:t>
            </w:r>
          </w:p>
        </w:tc>
        <w:tc>
          <w:tcPr>
            <w:tcW w:w="140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634</w:t>
            </w:r>
          </w:p>
        </w:tc>
        <w:tc>
          <w:tcPr>
            <w:tcW w:w="1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6"/>
        </w:trPr>
        <w:tc>
          <w:tcPr>
            <w:tcW w:w="7140" w:type="dxa"/>
            <w:vAlign w:val="bottom"/>
          </w:tcPr>
          <w:p>
            <w:pPr>
              <w:ind w:left="2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 excluding Bond Companies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358</w:t>
            </w:r>
          </w:p>
        </w:tc>
        <w:tc>
          <w:tcPr>
            <w:tcW w:w="1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7140" w:type="dxa"/>
            <w:vAlign w:val="bottom"/>
          </w:tcPr>
          <w:p>
            <w:pPr>
              <w:ind w:left="140"/>
              <w:spacing w:after="0"/>
              <w:rPr>
                <w:sz w:val="20"/>
                <w:szCs w:val="20"/>
                <w:color w:val="auto"/>
              </w:rPr>
            </w:pPr>
            <w:r>
              <w:rPr>
                <w:rFonts w:ascii="Arial" w:cs="Arial" w:eastAsia="Arial" w:hAnsi="Arial"/>
                <w:sz w:val="14"/>
                <w:szCs w:val="14"/>
                <w:color w:val="auto"/>
              </w:rPr>
              <w:t>Depreciation and amortization, excluding Bond Companies</w:t>
            </w:r>
          </w:p>
        </w:tc>
        <w:tc>
          <w:tcPr>
            <w:tcW w:w="3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99</w:t>
            </w:r>
          </w:p>
        </w:tc>
        <w:tc>
          <w:tcPr>
            <w:tcW w:w="1400" w:type="dxa"/>
            <w:vAlign w:val="bottom"/>
            <w:gridSpan w:val="2"/>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c>
          <w:tcPr>
            <w:tcW w:w="1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Bond Companies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w:t>
            </w:r>
          </w:p>
        </w:tc>
        <w:tc>
          <w:tcPr>
            <w:tcW w:w="140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552</w:t>
            </w:r>
          </w:p>
        </w:tc>
        <w:tc>
          <w:tcPr>
            <w:tcW w:w="1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w:t>
            </w:r>
          </w:p>
        </w:tc>
        <w:tc>
          <w:tcPr>
            <w:tcW w:w="140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14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30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1400" w:type="dxa"/>
            <w:vAlign w:val="bottom"/>
            <w:gridSpan w:val="2"/>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on Securitization Bonds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w:t>
            </w:r>
          </w:p>
        </w:tc>
        <w:tc>
          <w:tcPr>
            <w:tcW w:w="1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w:t>
            </w:r>
          </w:p>
        </w:tc>
        <w:tc>
          <w:tcPr>
            <w:tcW w:w="1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140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Throughput (in GWh):</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1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6"/>
        </w:trPr>
        <w:tc>
          <w:tcPr>
            <w:tcW w:w="7140" w:type="dxa"/>
            <w:vAlign w:val="bottom"/>
          </w:tcPr>
          <w:p>
            <w:pPr>
              <w:ind w:left="36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20,102</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Weather (percentage of 10-year average for service area):</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Pr>
          <w:p>
            <w:pPr>
              <w:ind w:left="360"/>
              <w:spacing w:after="0"/>
              <w:rPr>
                <w:sz w:val="20"/>
                <w:szCs w:val="20"/>
                <w:color w:val="auto"/>
              </w:rPr>
            </w:pPr>
            <w:r>
              <w:rPr>
                <w:rFonts w:ascii="Arial" w:cs="Arial" w:eastAsia="Arial" w:hAnsi="Arial"/>
                <w:sz w:val="14"/>
                <w:szCs w:val="14"/>
                <w:color w:val="auto"/>
              </w:rPr>
              <w:t>Cooling degree days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185 %</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Heating degree days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6"/>
        </w:trPr>
        <w:tc>
          <w:tcPr>
            <w:tcW w:w="714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2,318,030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2,260,352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2"/>
        </w:trPr>
        <w:tc>
          <w:tcPr>
            <w:tcW w:w="7140" w:type="dxa"/>
            <w:vAlign w:val="bottom"/>
          </w:tcPr>
          <w:p>
            <w:pPr>
              <w:ind w:left="36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2,615,917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2,552,739</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ind w:firstLine="324"/>
        <w:spacing w:after="0" w:line="277" w:lineRule="auto"/>
        <w:rPr>
          <w:sz w:val="20"/>
          <w:szCs w:val="20"/>
          <w:color w:val="auto"/>
        </w:rPr>
      </w:pPr>
      <w:r>
        <w:rPr>
          <w:rFonts w:ascii="Arial" w:cs="Arial" w:eastAsia="Arial" w:hAnsi="Arial"/>
          <w:sz w:val="18"/>
          <w:szCs w:val="18"/>
          <w:color w:val="auto"/>
        </w:rPr>
        <w:t>The following table provides variance explanations for the three months ended March 31, 2021 compared to three months ended March 31, 2020 by major income statement caption for Houston Electric: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w w:val="97"/>
              </w:rPr>
              <w:t>Favorable (Unfavorable)</w:t>
            </w:r>
          </w:p>
        </w:tc>
        <w:tc>
          <w:tcPr>
            <w:tcW w:w="0" w:type="dxa"/>
            <w:vAlign w:val="bottom"/>
          </w:tcPr>
          <w:p>
            <w:pPr>
              <w:spacing w:after="0"/>
              <w:rPr>
                <w:sz w:val="1"/>
                <w:szCs w:val="1"/>
                <w:color w:val="auto"/>
              </w:rPr>
            </w:pPr>
          </w:p>
        </w:tc>
      </w:tr>
      <w:tr>
        <w:trPr>
          <w:trHeight w:val="179"/>
        </w:trPr>
        <w:tc>
          <w:tcPr>
            <w:tcW w:w="9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47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2"/>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Borders>
              <w:bottom w:val="single" w:sz="8" w:color="CCEEFF"/>
            </w:tcBorders>
            <w:gridSpan w:val="2"/>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9480" w:type="dxa"/>
            <w:vAlign w:val="bottom"/>
            <w:gridSpan w:val="3"/>
            <w:shd w:val="clear" w:color="auto" w:fill="CCEEFF"/>
          </w:tcPr>
          <w:p>
            <w:pPr>
              <w:ind w:left="20"/>
              <w:spacing w:after="0" w:line="165" w:lineRule="exact"/>
              <w:rPr>
                <w:sz w:val="20"/>
                <w:szCs w:val="20"/>
                <w:color w:val="auto"/>
              </w:rPr>
            </w:pPr>
            <w:r>
              <w:rPr>
                <w:rFonts w:ascii="Arial" w:cs="Arial" w:eastAsia="Arial" w:hAnsi="Arial"/>
                <w:sz w:val="16"/>
                <w:szCs w:val="16"/>
                <w:color w:val="auto"/>
              </w:rPr>
              <w:t>Transmission Revenues, including TCOS and TCRF and impact of the change in rate design, inclusive of costs billed by transmission</w:t>
            </w: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2"/>
        </w:trPr>
        <w:tc>
          <w:tcPr>
            <w:tcW w:w="94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providers</w:t>
            </w:r>
          </w:p>
        </w:tc>
        <w:tc>
          <w:tcPr>
            <w:tcW w:w="28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Customer growth</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Weather impacts and other usage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Impacts from increased peak demand in 2020, collected in rates in 2021</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Equity return, related to the annual true-up of transition charges for amounts over or under collected in prior periods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Miscellaneous revenues, primarily related to right-of-way revenues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Impacts on usage of COVID-19</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Customer rates and impact of the change in rate design</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7"/>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Operation and maintenance, excluding Bond Companies</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Support services</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Labor and benefits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Energy efficiency, offset in revenues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Depreciation and amortization, excluding Bond Companies</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Ongoing additions to plant-in-service</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Taxes other than income taxes</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Franchise fees and other taxes</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Bond Companies expense</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Operations and maintenance and depreciation expense, offset in other line items</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9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 expense and other finance charges</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Debt to fund incremental capital projects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Interest expense on Securitization Bonds</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Lower outstanding principal balance, offset in other line items</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Other income (expense), net</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Reduction to non-service benefit cost</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Investments in CenterPoint Energy Money Pool interest income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Bond Companies interest income, offset in other line items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9480" w:type="dxa"/>
            <w:vAlign w:val="bottom"/>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CERC’s CODM views net income as the measure of profit or loss for its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please read “Risk Factors — Risk Factors Associated with Our Consolidated Financial Condition,” “— Risk Factors Affecting Natural Gas’ Business,” “— Risk Factors Affecting Our Businesses” and “— General Risk Factors Affecting Our Businesses and/or CenterPoint Energy’s Interests in Enable Midstream Partners, LP” in Item 1A of Part I of the Registrants’ combined 2020 Form 10-K.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center"/>
              <w:ind w:right="228"/>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35"/>
        </w:trPr>
        <w:tc>
          <w:tcPr>
            <w:tcW w:w="7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1"/>
                <w:szCs w:val="11"/>
                <w:color w:val="auto"/>
              </w:rPr>
            </w:pPr>
          </w:p>
        </w:tc>
        <w:tc>
          <w:tcPr>
            <w:tcW w:w="1160" w:type="dxa"/>
            <w:vAlign w:val="bottom"/>
          </w:tcPr>
          <w:p>
            <w:pPr>
              <w:ind w:left="200"/>
              <w:spacing w:after="0" w:line="135"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8"/>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83"/>
        </w:trPr>
        <w:tc>
          <w:tcPr>
            <w:tcW w:w="7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0" w:type="dxa"/>
            <w:vAlign w:val="bottom"/>
            <w:gridSpan w:val="6"/>
          </w:tcPr>
          <w:p>
            <w:pPr>
              <w:jc w:val="center"/>
              <w:ind w:right="228"/>
              <w:spacing w:after="0"/>
              <w:rPr>
                <w:sz w:val="20"/>
                <w:szCs w:val="20"/>
                <w:color w:val="auto"/>
              </w:rPr>
            </w:pPr>
            <w:r>
              <w:rPr>
                <w:rFonts w:ascii="Arial" w:cs="Arial" w:eastAsia="Arial" w:hAnsi="Arial"/>
                <w:sz w:val="14"/>
                <w:szCs w:val="14"/>
                <w:b w:val="1"/>
                <w:bCs w:val="1"/>
                <w:color w:val="auto"/>
                <w:w w:val="90"/>
              </w:rPr>
              <w:t>(in millions, except operating statistics)</w:t>
            </w:r>
          </w:p>
        </w:tc>
        <w:tc>
          <w:tcPr>
            <w:tcW w:w="0" w:type="dxa"/>
            <w:vAlign w:val="bottom"/>
          </w:tcPr>
          <w:p>
            <w:pPr>
              <w:spacing w:after="0"/>
              <w:rPr>
                <w:sz w:val="1"/>
                <w:szCs w:val="1"/>
                <w:color w:val="auto"/>
              </w:rPr>
            </w:pPr>
          </w:p>
        </w:tc>
      </w:tr>
      <w:tr>
        <w:trPr>
          <w:trHeight w:val="19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478</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6"/>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Revenues less Cost of revenues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533</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6"/>
        </w:trPr>
        <w:tc>
          <w:tcPr>
            <w:tcW w:w="7140" w:type="dxa"/>
            <w:vAlign w:val="bottom"/>
          </w:tcPr>
          <w:p>
            <w:pPr>
              <w:ind w:left="2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209</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71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16"/>
                <w:szCs w:val="16"/>
                <w:color w:val="auto"/>
              </w:rPr>
            </w:pPr>
          </w:p>
        </w:tc>
        <w:tc>
          <w:tcPr>
            <w:tcW w:w="1160" w:type="dxa"/>
            <w:vAlign w:val="bottom"/>
          </w:tcPr>
          <w:p>
            <w:pPr>
              <w:ind w:left="8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9"/>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333</w:t>
            </w:r>
          </w:p>
        </w:tc>
        <w:tc>
          <w:tcPr>
            <w:tcW w:w="24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200</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6"/>
        </w:trPr>
        <w:tc>
          <w:tcPr>
            <w:tcW w:w="714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expense, net</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131</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7140" w:type="dxa"/>
            <w:vAlign w:val="bottom"/>
          </w:tcPr>
          <w:p>
            <w:pPr>
              <w:ind w:left="20"/>
              <w:spacing w:after="0"/>
              <w:rPr>
                <w:sz w:val="20"/>
                <w:szCs w:val="20"/>
                <w:color w:val="auto"/>
              </w:rPr>
            </w:pPr>
            <w:r>
              <w:rPr>
                <w:rFonts w:ascii="Arial" w:cs="Arial" w:eastAsia="Arial" w:hAnsi="Arial"/>
                <w:sz w:val="14"/>
                <w:szCs w:val="14"/>
                <w:color w:val="auto"/>
              </w:rPr>
              <w:t>Loss from Discontinued Operations (net of tax benefit of $-0- and $11, respectively)</w:t>
            </w:r>
          </w:p>
        </w:tc>
        <w:tc>
          <w:tcPr>
            <w:tcW w:w="30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240" w:type="dxa"/>
            <w:vAlign w:val="bottom"/>
          </w:tcPr>
          <w:p>
            <w:pPr>
              <w:spacing w:after="0"/>
              <w:rPr>
                <w:sz w:val="16"/>
                <w:szCs w:val="16"/>
                <w:color w:val="auto"/>
              </w:rPr>
            </w:pPr>
          </w:p>
        </w:tc>
        <w:tc>
          <w:tcPr>
            <w:tcW w:w="1160" w:type="dxa"/>
            <w:vAlign w:val="bottom"/>
          </w:tcPr>
          <w:p>
            <w:pPr>
              <w:ind w:left="8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11"/>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Throughput (in Bcf):</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1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4"/>
                <w:szCs w:val="14"/>
                <w:color w:val="auto"/>
                <w:w w:val="93"/>
              </w:rPr>
              <w:t>26 %</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Commercial and Industrial</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w w:val="93"/>
              </w:rPr>
              <w:t>10 %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Weather (percentage of 10-year average for service area):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1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Heating degree days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4"/>
                <w:szCs w:val="14"/>
                <w:color w:val="auto"/>
                <w:w w:val="93"/>
              </w:rPr>
              <w:t>16 %</w:t>
            </w:r>
          </w:p>
        </w:tc>
        <w:tc>
          <w:tcPr>
            <w:tcW w:w="0" w:type="dxa"/>
            <w:vAlign w:val="bottom"/>
          </w:tcPr>
          <w:p>
            <w:pPr>
              <w:spacing w:after="0"/>
              <w:rPr>
                <w:sz w:val="1"/>
                <w:szCs w:val="1"/>
                <w:color w:val="auto"/>
              </w:rPr>
            </w:pPr>
          </w:p>
        </w:tc>
      </w:tr>
      <w:tr>
        <w:trPr>
          <w:trHeight w:val="186"/>
        </w:trPr>
        <w:tc>
          <w:tcPr>
            <w:tcW w:w="714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3,362,902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3,299,011</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Commercial and Industrial</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261,944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261,120</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211"/>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3,624,846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3,560,131</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Utility natural gas and Non-utility cost of revenues, including natural gas.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variance explanations for the three months ended March 31, 2021 compared to three months ended March 31, 2020 by major income statement caption for CERC: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w w:val="97"/>
              </w:rPr>
              <w:t>Favorable (Unfavorable)</w:t>
            </w:r>
          </w:p>
        </w:tc>
      </w:tr>
      <w:tr>
        <w:trPr>
          <w:trHeight w:val="179"/>
        </w:trPr>
        <w:tc>
          <w:tcPr>
            <w:tcW w:w="9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479"/>
              <w:spacing w:after="0"/>
              <w:rPr>
                <w:sz w:val="20"/>
                <w:szCs w:val="20"/>
                <w:color w:val="auto"/>
              </w:rPr>
            </w:pPr>
            <w:r>
              <w:rPr>
                <w:rFonts w:ascii="Arial" w:cs="Arial" w:eastAsia="Arial" w:hAnsi="Arial"/>
                <w:sz w:val="14"/>
                <w:szCs w:val="14"/>
                <w:b w:val="1"/>
                <w:bCs w:val="1"/>
                <w:color w:val="auto"/>
              </w:rPr>
              <w:t>(in millions)</w:t>
            </w:r>
          </w:p>
        </w:tc>
      </w:tr>
      <w:tr>
        <w:trPr>
          <w:trHeight w:val="192"/>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 less Cost of revenues</w:t>
            </w:r>
          </w:p>
        </w:tc>
        <w:tc>
          <w:tcPr>
            <w:tcW w:w="200" w:type="dxa"/>
            <w:vAlign w:val="bottom"/>
            <w:tcBorders>
              <w:bottom w:val="single" w:sz="8" w:color="CCEEFF"/>
            </w:tcBorders>
            <w:gridSpan w:val="2"/>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r>
      <w:tr>
        <w:trPr>
          <w:trHeight w:val="215"/>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Weather and usage, excluding impacts from COVID-19</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Customer growth</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Gross receipts tax, offset in taxes other than income taxes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Non-volumetric and miscellaneous revenue, excluding impacts from COVID-19</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Impacts of COVID-19, including usage and other miscellaneous charges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Customer rates and impact of the change in rate design, exclusive of the TCJA impact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Operation and maintenance</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and maintenance expense and support services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Merger related expenses, primarily severance and technology</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Materials and supplies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Contracted services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Bad Debt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Energy efficiency, offset in revenues less cost of revenues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Depreciation and amortization</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Taxes other than income taxes</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06"/>
        </w:trPr>
        <w:tc>
          <w:tcPr>
            <w:tcW w:w="9480" w:type="dxa"/>
            <w:vAlign w:val="bottom"/>
            <w:gridSpan w:val="3"/>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Gross receipts tax, offset in revenues less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9480" w:type="dxa"/>
            <w:vAlign w:val="bottom"/>
            <w:tcBorders>
              <w:bottom w:val="single" w:sz="8" w:color="CCEEFF"/>
            </w:tcBorders>
            <w:gridSpan w:val="3"/>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72"/>
        </w:trPr>
        <w:tc>
          <w:tcPr>
            <w:tcW w:w="9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Interest expense and other finance charges</w:t>
            </w:r>
          </w:p>
        </w:tc>
        <w:tc>
          <w:tcPr>
            <w:tcW w:w="20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06"/>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Reduced interest rates on outstanding borrowings, partially offset by incremental borrowings for capital expenditures</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168"/>
        </w:trPr>
        <w:tc>
          <w:tcPr>
            <w:tcW w:w="9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 expense, net</w:t>
            </w:r>
          </w:p>
        </w:tc>
        <w:tc>
          <w:tcPr>
            <w:tcW w:w="2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r>
      <w:tr>
        <w:trPr>
          <w:trHeight w:val="211"/>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Reduction to non-service benefit cost</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Money pool investments with CenterPoint Energy interest income</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9480" w:type="dxa"/>
            <w:vAlign w:val="bottom"/>
            <w:gridSpan w:val="3"/>
            <w:shd w:val="clear" w:color="auto" w:fill="CCEEFF"/>
          </w:tcPr>
          <w:p>
            <w:pPr>
              <w:ind w:left="89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2020 Form 10-K and “Cautionary Statement Regarding Forward-Looking Information” in this combined Form 10-Q.</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net cash provided by (used in) operating, investing and financing activities during the three months ended March 31,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4"/>
                <w:szCs w:val="14"/>
                <w:b w:val="1"/>
                <w:bCs w:val="1"/>
                <w:color w:val="auto"/>
                <w:w w:val="95"/>
              </w:rPr>
              <w:t>Three Months Ended March 31,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28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282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CenterPoint Energy</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3"/>
              </w:rPr>
              <w:t>Houston Electric</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CenterPoint Energy</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Houston Electric</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CERC</w:t>
            </w:r>
          </w:p>
        </w:tc>
      </w:tr>
      <w:tr>
        <w:trPr>
          <w:trHeight w:val="181"/>
        </w:trPr>
        <w:tc>
          <w:tcPr>
            <w:tcW w:w="2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657"/>
              <w:spacing w:after="0"/>
              <w:rPr>
                <w:sz w:val="20"/>
                <w:szCs w:val="20"/>
                <w:color w:val="auto"/>
              </w:rPr>
            </w:pPr>
            <w:r>
              <w:rPr>
                <w:rFonts w:ascii="Arial" w:cs="Arial" w:eastAsia="Arial" w:hAnsi="Arial"/>
                <w:sz w:val="18"/>
                <w:szCs w:val="18"/>
                <w:color w:val="auto"/>
                <w:w w:val="86"/>
              </w:rPr>
              <w:t>103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86"/>
              </w:rPr>
              <w:t>381</w:t>
            </w:r>
          </w:p>
        </w:tc>
      </w:tr>
      <w:tr>
        <w:trPr>
          <w:trHeight w:val="229"/>
        </w:trPr>
        <w:tc>
          <w:tcPr>
            <w:tcW w:w="28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9"/>
                <w:szCs w:val="19"/>
                <w:color w:val="auto"/>
              </w:rPr>
            </w:pPr>
          </w:p>
        </w:tc>
        <w:tc>
          <w:tcPr>
            <w:tcW w:w="1240" w:type="dxa"/>
            <w:vAlign w:val="bottom"/>
          </w:tcPr>
          <w:p>
            <w:pPr>
              <w:jc w:val="center"/>
              <w:ind w:left="657"/>
              <w:spacing w:after="0"/>
              <w:rPr>
                <w:sz w:val="20"/>
                <w:szCs w:val="20"/>
                <w:color w:val="auto"/>
              </w:rPr>
            </w:pPr>
            <w:r>
              <w:rPr>
                <w:rFonts w:ascii="Arial" w:cs="Arial" w:eastAsia="Arial" w:hAnsi="Arial"/>
                <w:sz w:val="18"/>
                <w:szCs w:val="18"/>
                <w:color w:val="auto"/>
                <w:w w:val="86"/>
              </w:rPr>
              <w:t>192</w:t>
            </w:r>
          </w:p>
        </w:tc>
        <w:tc>
          <w:tcPr>
            <w:tcW w:w="340" w:type="dxa"/>
            <w:vAlign w:val="bottom"/>
          </w:tcPr>
          <w:p>
            <w:pPr>
              <w:spacing w:after="0"/>
              <w:rPr>
                <w:sz w:val="19"/>
                <w:szCs w:val="19"/>
                <w:color w:val="auto"/>
              </w:rPr>
            </w:pPr>
          </w:p>
        </w:tc>
        <w:tc>
          <w:tcPr>
            <w:tcW w:w="1020" w:type="dxa"/>
            <w:vAlign w:val="bottom"/>
          </w:tcPr>
          <w:p>
            <w:pPr>
              <w:jc w:val="center"/>
              <w:ind w:left="495"/>
              <w:spacing w:after="0"/>
              <w:rPr>
                <w:sz w:val="20"/>
                <w:szCs w:val="20"/>
                <w:color w:val="auto"/>
              </w:rPr>
            </w:pPr>
            <w:r>
              <w:rPr>
                <w:rFonts w:ascii="Arial" w:cs="Arial" w:eastAsia="Arial" w:hAnsi="Arial"/>
                <w:sz w:val="18"/>
                <w:szCs w:val="18"/>
                <w:color w:val="auto"/>
                <w:w w:val="95"/>
              </w:rPr>
              <w:t>(177)</w:t>
            </w: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940</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0"/>
              </w:rPr>
              <w:t>(315)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5"/>
              </w:rPr>
              <w:t>(205)</w:t>
            </w: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The following items contributed to increased (decreased) net cash provided by operating activities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2021 compared to the three months ended March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net income after adjusting for non-cash items</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Increase in regulatory assets </w:t>
            </w:r>
            <w:r>
              <w:rPr>
                <w:rFonts w:ascii="Arial" w:cs="Arial" w:eastAsia="Arial" w:hAnsi="Arial"/>
                <w:sz w:val="14"/>
                <w:szCs w:val="14"/>
                <w:color w:val="auto"/>
              </w:rPr>
              <w:t>(1)</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Change in equity in earnings of unconsolidated affiliates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distributions from unconsolidated affiliates </w:t>
            </w:r>
            <w:r>
              <w:rPr>
                <w:rFonts w:ascii="Arial" w:cs="Arial" w:eastAsia="Arial" w:hAnsi="Arial"/>
                <w:sz w:val="14"/>
                <w:szCs w:val="14"/>
                <w:color w:val="auto"/>
              </w:rPr>
              <w:t>(2)</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Higher pension contribution</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hanging="328"/>
        <w:spacing w:after="0" w:line="258" w:lineRule="auto"/>
        <w:tabs>
          <w:tab w:leader="none" w:pos="6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increase in regulatory assets is primarily due to the incurred natural gas costs associated with the February 2021 Winter Storm Event. See Note 6 to the Interim Condensed Financial Statements for more information on the February 2021 Winter Storm Event.</w:t>
      </w:r>
    </w:p>
    <w:p>
      <w:pPr>
        <w:spacing w:after="0" w:line="1" w:lineRule="exact"/>
        <w:rPr>
          <w:rFonts w:ascii="Arial" w:cs="Arial" w:eastAsia="Arial" w:hAnsi="Arial"/>
          <w:sz w:val="18"/>
          <w:szCs w:val="18"/>
          <w:color w:val="auto"/>
        </w:rPr>
      </w:pPr>
    </w:p>
    <w:p>
      <w:pPr>
        <w:ind w:left="660" w:hanging="328"/>
        <w:spacing w:after="0" w:line="260" w:lineRule="auto"/>
        <w:tabs>
          <w:tab w:leader="none" w:pos="6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change is partially offset by the change in distributions from Enable in excess of cumulative earnings in investing activities noted in the table below.</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The following items contributed to (increased) decreased net cash used in investing activities for the three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compared to the three months ended March 31,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change in notes receivable from affiliated companies</w:t>
            </w:r>
          </w:p>
        </w:tc>
        <w:tc>
          <w:tcPr>
            <w:tcW w:w="6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distributions from Enable in excess of cumulative earnings</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The following items contributed to (increased) decreased net cash used in financing activities for the three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compared to the three months ended March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commercial paper outstanding</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changes in long-term debt outstanding, excluding commercial paper</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long-term revolving credit facilities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changes in debt issuance costs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Decreased payment of Common Stock dividends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Increased payment of preferred stock dividends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payable from affiliated companies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Dividend to parent</w:t>
            </w:r>
          </w:p>
        </w:tc>
        <w:tc>
          <w:tcPr>
            <w:tcW w:w="4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Series B Preferred Stock, Series C Preferred Stock and Common Stock, and in addition to interest payments on debt, the Registrants’ principal anticipated cash requirements for the remaining nine months of 2021 include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3"/>
              </w:rPr>
              <w:t>CenterPoint Energy</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Houston Electric</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CERC</w:t>
            </w:r>
          </w:p>
        </w:tc>
      </w:tr>
      <w:tr>
        <w:trPr>
          <w:trHeight w:val="187"/>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2,778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1,365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30"/>
        </w:trPr>
        <w:tc>
          <w:tcPr>
            <w:tcW w:w="6400" w:type="dxa"/>
            <w:vAlign w:val="bottom"/>
          </w:tcPr>
          <w:p>
            <w:pPr>
              <w:ind w:left="20"/>
              <w:spacing w:after="0"/>
              <w:rPr>
                <w:sz w:val="20"/>
                <w:szCs w:val="20"/>
                <w:color w:val="auto"/>
              </w:rPr>
            </w:pPr>
            <w:r>
              <w:rPr>
                <w:rFonts w:ascii="Arial" w:cs="Arial" w:eastAsia="Arial" w:hAnsi="Arial"/>
                <w:sz w:val="16"/>
                <w:szCs w:val="16"/>
                <w:color w:val="auto"/>
              </w:rPr>
              <w:t>Scheduled principal payments on Securitization Bonds</w:t>
            </w:r>
          </w:p>
        </w:tc>
        <w:tc>
          <w:tcPr>
            <w:tcW w:w="14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contributions to pension plans and other post-retirement plans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Maturing CenterPoint Energy term loans</w:t>
            </w:r>
          </w:p>
        </w:tc>
        <w:tc>
          <w:tcPr>
            <w:tcW w:w="14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Arial" w:cs="Arial" w:eastAsia="Arial" w:hAnsi="Arial"/>
                <w:sz w:val="16"/>
                <w:szCs w:val="16"/>
                <w:color w:val="auto"/>
              </w:rPr>
              <w:t>700</w:t>
            </w:r>
          </w:p>
        </w:tc>
        <w:tc>
          <w:tcPr>
            <w:tcW w:w="26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Maturing CenterPoint Energy and VUHI senior notes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555</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Maturing Houston Electric general mortgage bonds</w:t>
            </w:r>
          </w:p>
        </w:tc>
        <w:tc>
          <w:tcPr>
            <w:tcW w:w="14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Arial" w:cs="Arial" w:eastAsia="Arial" w:hAnsi="Arial"/>
                <w:sz w:val="16"/>
                <w:szCs w:val="16"/>
                <w:color w:val="auto"/>
              </w:rPr>
              <w:t>300</w:t>
            </w:r>
          </w:p>
        </w:tc>
        <w:tc>
          <w:tcPr>
            <w:tcW w:w="26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February 2021 Winter Storm Even</w:t>
      </w:r>
      <w:r>
        <w:rPr>
          <w:rFonts w:ascii="Arial" w:cs="Arial" w:eastAsia="Arial" w:hAnsi="Arial"/>
          <w:sz w:val="16"/>
          <w:szCs w:val="16"/>
          <w:color w:val="auto"/>
        </w:rPr>
        <w:t>t. In February 2021, portions of the United States experienced an extreme and unprecedented winter weather event</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corresponding electricity generation shortages, including in Texas, and natural gas shortages and increased wholesale prices of natural gas in the United States. As a result of this weather event, the governors of Texas, Oklahoma and Louisiana declared states of either disaster or emergencies in their respective states. Subsequently, President Biden also approved major disaster declarations for all or parts of Texas, Oklahoma and Louisiana.</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a result of the February 2021 Winter Storm Event, from February 12, 2021 to February 22, 2021, management estimates CenterPoint Energy spent approximately an incremental $2.2 billion more on natural gas supplies (inclusive of an incremental $2.1 billion more spent by CERC on natural gas supplies). These amounts are preliminary estimates as of April 29, 2021 and remain subject to final settlement. While CenterPoint Energy and CERC will seek to recover the increased costs from its customers (although timing of recovery is uncertain), in the interim, CERC has issued additional external debt financing to pay for such natural gas working capital. For further details, see Note 12 to the Interim Condensed Financial Statements. The proceeds from the debt financing, along with existing sources of liquidity, provide CERC with sufficient capital to address the settlement of natural gas purchases, including the associated upstream supply charges, at the end of March 2021. Any additional external debt financing and/or partial or delayed recovery may negatively impact CenterPoint Energy’s or CERC’s credit metrics, and may lead to a downgrade of CenterPoint Energy’s or CERC’s credit rating.</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CenterPoint Energy’s and CERC’s excess costs from the increase in natural gas prices are subject to available natural gas recovery mechanisms in their jurisdictions (although timing of recovery is uncertain), until such amounts are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ultimately recovered from customers, CenterPoint Energy and CERC will continue to incur increased finance-related costs, resulting in a significant use of cash. See “— Regulatory Matters — February 2021 Winter Storm Event” below.</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Registrants expect that anticipated cash needs for the remaining nine months of 2021 will be met with borrowings under their credit facilities, proceeds from the issuance of long-term debt, term loans or common stock, anticipated cash flows from operations, with respect to CenterPoint Energy and CERC, proceeds from commercial paper, with respect to CenterPoint Energy, distributions from Enable until the closing of the Enable Merger expected in the second half of 2021, including any proceeds therefrom, distributions from Energy Transfer or proceeds from dispositions of Energy Transfer common units or Energy Transfer Series G Preferred Units after the expected closing of the Enable Merger, and, with respect to CERC, proceeds from any potential asset sales, including the announced sale of our Natural Gas businesses in Arkansas and Oklahoma, which is expected to close by the end of 2021, subject to satisfaction of customary closing conditions. Discretionary financing or refinancing may result in the issuance of equity securities of CenterPoint Energy or debt securities of the Registrants in the capital markets or the arrangement of additional credit facilities or term bank loans. Issuances of equity or debt in the capital markets, funds raised in the commercial paper markets and additional credit facilities may not, however, be available on acceptable terms. For further information about the Enable Merger and the announced sale of our Arkansas and Oklahoma Natural Gas businesses, see Notes 9 and 20, respectively, to the Interim Condensed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12, guarantees as discussed in Note 14(b) to the Interim Condensed Financial Statements, we have no off-balance sheet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about COVID-19 regulatory matters, see Note 6 to the Interim Condensed Financial Statements.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Texas Legislature conducted in late February and March initial hearings on the February 2021 Winter Storm Event. Immediately after the February 2021 Winter Storm Event, five unaffiliated directors of the ERCOT Board resigned. Three ERCOT market segment directors have also resigned and their replacements were appointed. Presently, the Texas legislature is considering legislation that would require unaffiliated directors of ERCOT to be Texas residents. On March 3, 2021, the ERCOT Board terminated the employment agreement with the ERCOT President and CEO with 60 days’ notice. On April 27, 2021, the ERCOT Board announced a new interim President and CEO. Following the February 2021 Winter Storm Event, all three PUCT commissioners have also either resigned or announced their resignation. To date, Governor Abbott has announced two new PUCT commissioners and both have been confirmed by the Texas Senate. Under consideration at the Texas Legislature is legislation requiring the number of appointed PUCT commissioners to be increased from three to five. For the two additional PUCT commissioner appointees, one will be appointed by the Texas Lieutenant Governor and one will be appointed by the Texas Speaker of the House.</w:t>
      </w:r>
    </w:p>
    <w:p>
      <w:pPr>
        <w:spacing w:after="0" w:line="2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February 13, 2021, the Railroad Commission authorized each Texas natural gas distribution utility to record in a regulatory asset the extraordinary expenses associated with the February 2021 Winter Storm Event, including, but not limited to, natural gas cost and other costs related to the procurement and transportation of natural gas supply, subject to recovery in future proceedings. In addition, CenterPoint Energy’s and CERC’s Natural Gas utilities in jurisdictions outside of Texas deferred natural gas cost under existing recovery mechanisms and have either sought or intend to seek recovery of the increased cost of natural gas, which will be subject to customary regulatory prudency reviews that may impact the amounts recovered. Amounts for the under recovery of natural gas costs are reflected in regulatory assets and are probable of recovery; however, the timing of recovery for each jurisdiction for the estimated incremental gas cost attributable to the February 2021 Winter Storm Event within each regulatory asset is uncertain.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presents the estimated incremental natural gas costs included in regulatory assets as of March 31, 2021 by state as a result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2021 Winter Storm Event and CenterPoint Energy’s and CERC’s requested recovery status as of April 29,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State</w:t>
            </w:r>
          </w:p>
        </w:tc>
        <w:tc>
          <w:tcPr>
            <w:tcW w:w="3900" w:type="dxa"/>
            <w:vAlign w:val="bottom"/>
          </w:tcPr>
          <w:p>
            <w:pPr>
              <w:ind w:left="1340"/>
              <w:spacing w:after="0"/>
              <w:rPr>
                <w:sz w:val="20"/>
                <w:szCs w:val="20"/>
                <w:color w:val="auto"/>
              </w:rPr>
            </w:pPr>
            <w:r>
              <w:rPr>
                <w:rFonts w:ascii="Arial" w:cs="Arial" w:eastAsia="Arial" w:hAnsi="Arial"/>
                <w:sz w:val="18"/>
                <w:szCs w:val="18"/>
                <w:b w:val="1"/>
                <w:bCs w:val="1"/>
                <w:color w:val="auto"/>
              </w:rPr>
              <w:t>Recovery Status</w:t>
            </w:r>
          </w:p>
        </w:tc>
      </w:tr>
      <w:tr>
        <w:trPr>
          <w:trHeight w:val="169"/>
        </w:trPr>
        <w:tc>
          <w:tcPr>
            <w:tcW w:w="1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Arkansas</w:t>
            </w:r>
          </w:p>
        </w:tc>
        <w:tc>
          <w:tcPr>
            <w:tcW w:w="200" w:type="dxa"/>
            <w:vAlign w:val="bottom"/>
          </w:tcPr>
          <w:p>
            <w:pPr>
              <w:spacing w:after="0"/>
              <w:rPr>
                <w:sz w:val="14"/>
                <w:szCs w:val="14"/>
                <w:color w:val="auto"/>
              </w:rPr>
            </w:pPr>
          </w:p>
        </w:tc>
        <w:tc>
          <w:tcPr>
            <w:tcW w:w="39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Filed application on April 16, 2021 to recover over a</w:t>
            </w:r>
          </w:p>
        </w:tc>
      </w:tr>
      <w:tr>
        <w:trPr>
          <w:trHeight w:val="176"/>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9"/>
              </w:rPr>
              <w:t>five-year period beginning May 1, 2021. On April</w:t>
            </w:r>
          </w:p>
        </w:tc>
      </w:tr>
      <w:tr>
        <w:trPr>
          <w:trHeight w:val="175"/>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4"/>
              </w:rPr>
              <w:t>28, 2021, APSC approved CERC to begin recovery</w:t>
            </w:r>
          </w:p>
        </w:tc>
      </w:tr>
      <w:tr>
        <w:trPr>
          <w:trHeight w:val="176"/>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0"/>
              </w:rPr>
              <w:t>effective May 2021 at a customer deposit interest rate</w:t>
            </w:r>
          </w:p>
        </w:tc>
      </w:tr>
      <w:tr>
        <w:trPr>
          <w:trHeight w:val="175"/>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4"/>
              </w:rPr>
              <w:t>of 0.8% over a five year period, subject to a true-up</w:t>
            </w:r>
          </w:p>
        </w:tc>
      </w:tr>
      <w:tr>
        <w:trPr>
          <w:trHeight w:val="176"/>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1"/>
              </w:rPr>
              <w:t>after APSC determines appropriate allocation, length</w:t>
            </w:r>
          </w:p>
        </w:tc>
      </w:tr>
      <w:tr>
        <w:trPr>
          <w:trHeight w:val="176"/>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rPr>
              <w:t>of recovery, and carrying charge. A hearing is</w:t>
            </w:r>
          </w:p>
        </w:tc>
      </w:tr>
      <w:tr>
        <w:trPr>
          <w:trHeight w:val="229"/>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scheduled in August 2021.</w:t>
            </w:r>
          </w:p>
        </w:tc>
      </w:tr>
      <w:tr>
        <w:trPr>
          <w:trHeight w:val="176"/>
        </w:trPr>
        <w:tc>
          <w:tcPr>
            <w:tcW w:w="158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3"/>
              </w:rPr>
              <w:t>Louisiana</w:t>
            </w: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rPr>
              <w:t>Filed application on April 16, 2021 for North</w:t>
            </w:r>
          </w:p>
        </w:tc>
      </w:tr>
      <w:tr>
        <w:trPr>
          <w:trHeight w:val="175"/>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rPr>
              <w:t>Louisiana to recover over a three-year period</w:t>
            </w:r>
          </w:p>
        </w:tc>
      </w:tr>
      <w:tr>
        <w:trPr>
          <w:trHeight w:val="176"/>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2"/>
              </w:rPr>
              <w:t>beginning May 1, 2021. LPSC approved on April 22,</w:t>
            </w:r>
          </w:p>
        </w:tc>
      </w:tr>
      <w:tr>
        <w:trPr>
          <w:trHeight w:val="229"/>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2021.</w:t>
            </w:r>
          </w:p>
        </w:tc>
      </w:tr>
      <w:tr>
        <w:trPr>
          <w:trHeight w:val="176"/>
        </w:trPr>
        <w:tc>
          <w:tcPr>
            <w:tcW w:w="158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1"/>
              </w:rPr>
              <w:t>Minnesota</w:t>
            </w: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7"/>
              </w:rPr>
              <w:t>Filed application on March 15, 2021 requesting to</w:t>
            </w:r>
          </w:p>
        </w:tc>
      </w:tr>
      <w:tr>
        <w:trPr>
          <w:trHeight w:val="175"/>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9"/>
              </w:rPr>
              <w:t>recover over a two-year period beginning May 1,</w:t>
            </w:r>
          </w:p>
        </w:tc>
      </w:tr>
      <w:tr>
        <w:trPr>
          <w:trHeight w:val="229"/>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2021.</w:t>
            </w:r>
          </w:p>
        </w:tc>
      </w:tr>
      <w:tr>
        <w:trPr>
          <w:trHeight w:val="176"/>
        </w:trPr>
        <w:tc>
          <w:tcPr>
            <w:tcW w:w="15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4"/>
              </w:rPr>
              <w:t>Mississippi</w:t>
            </w: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0"/>
              </w:rPr>
              <w:t>Recovery expected to begin September 2021 through</w:t>
            </w:r>
          </w:p>
        </w:tc>
      </w:tr>
      <w:tr>
        <w:trPr>
          <w:trHeight w:val="229"/>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normal gas cost recovery.</w:t>
            </w:r>
          </w:p>
        </w:tc>
      </w:tr>
      <w:tr>
        <w:trPr>
          <w:trHeight w:val="176"/>
        </w:trPr>
        <w:tc>
          <w:tcPr>
            <w:tcW w:w="158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2"/>
              </w:rPr>
              <w:t>Oklahoma</w:t>
            </w: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rPr>
              <w:t>Filed application on February 25, 2021 to defer</w:t>
            </w:r>
          </w:p>
        </w:tc>
      </w:tr>
      <w:tr>
        <w:trPr>
          <w:trHeight w:val="229"/>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incremental gas costs is pending at the OCC.</w:t>
            </w:r>
          </w:p>
        </w:tc>
      </w:tr>
      <w:tr>
        <w:trPr>
          <w:trHeight w:val="176"/>
        </w:trPr>
        <w:tc>
          <w:tcPr>
            <w:tcW w:w="15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5"/>
              </w:rPr>
              <w:t>Texas</w:t>
            </w: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1"/>
              </w:rPr>
              <w:t>Cost currently deferred to a regulatory asset pending</w:t>
            </w:r>
          </w:p>
        </w:tc>
      </w:tr>
      <w:tr>
        <w:trPr>
          <w:trHeight w:val="230"/>
        </w:trPr>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recovery method.</w:t>
            </w:r>
          </w:p>
        </w:tc>
      </w:tr>
      <w:tr>
        <w:trPr>
          <w:trHeight w:val="769"/>
        </w:trPr>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Indiana North</w:t>
            </w:r>
          </w:p>
        </w:tc>
        <w:tc>
          <w:tcPr>
            <w:tcW w:w="3900" w:type="dxa"/>
            <w:vAlign w:val="bottom"/>
          </w:tcPr>
          <w:p>
            <w:pPr>
              <w:ind w:left="20"/>
              <w:spacing w:after="0"/>
              <w:rPr>
                <w:sz w:val="20"/>
                <w:szCs w:val="20"/>
                <w:color w:val="auto"/>
              </w:rPr>
            </w:pPr>
            <w:r>
              <w:rPr>
                <w:rFonts w:ascii="Arial" w:cs="Arial" w:eastAsia="Arial" w:hAnsi="Arial"/>
                <w:sz w:val="18"/>
                <w:szCs w:val="18"/>
                <w:color w:val="auto"/>
                <w:w w:val="90"/>
              </w:rPr>
              <w:t>Recovery expected to begin September 2021 through</w:t>
            </w:r>
          </w:p>
        </w:tc>
      </w:tr>
      <w:tr>
        <w:trPr>
          <w:trHeight w:val="229"/>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normal gas recovery.</w:t>
            </w:r>
          </w:p>
        </w:tc>
      </w:tr>
      <w:tr>
        <w:trPr>
          <w:trHeight w:val="176"/>
        </w:trPr>
        <w:tc>
          <w:tcPr>
            <w:tcW w:w="158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89"/>
              </w:rPr>
              <w:t>Indiana South</w:t>
            </w:r>
          </w:p>
        </w:tc>
        <w:tc>
          <w:tcPr>
            <w:tcW w:w="3900" w:type="dxa"/>
            <w:vAlign w:val="bottom"/>
          </w:tcPr>
          <w:p>
            <w:pPr>
              <w:ind w:left="20"/>
              <w:spacing w:after="0" w:line="176" w:lineRule="exact"/>
              <w:rPr>
                <w:sz w:val="20"/>
                <w:szCs w:val="20"/>
                <w:color w:val="auto"/>
              </w:rPr>
            </w:pPr>
            <w:r>
              <w:rPr>
                <w:rFonts w:ascii="Arial" w:cs="Arial" w:eastAsia="Arial" w:hAnsi="Arial"/>
                <w:sz w:val="18"/>
                <w:szCs w:val="18"/>
                <w:color w:val="auto"/>
                <w:w w:val="97"/>
              </w:rPr>
              <w:t>Recovery expected to begin August 2021 through</w:t>
            </w:r>
          </w:p>
        </w:tc>
      </w:tr>
      <w:tr>
        <w:trPr>
          <w:trHeight w:val="230"/>
        </w:trPr>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normal gas recovery.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Legislative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7132320" cy="934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934720"/>
                    </a:xfrm>
                    <a:prstGeom prst="rect">
                      <a:avLst/>
                    </a:prstGeom>
                    <a:noFill/>
                  </pic:spPr>
                </pic:pic>
              </a:graphicData>
            </a:graphic>
          </wp:anchor>
        </w:drawing>
      </w:r>
    </w:p>
    <w:p>
      <w:pPr>
        <w:spacing w:after="0" w:line="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securitization bill has been passed and recovery via the securitization is beyond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-130175</wp:posOffset>
            </wp:positionV>
            <wp:extent cx="7132320" cy="3689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A securitization bill has passed in the Oklahoma legislature.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-256540</wp:posOffset>
            </wp:positionV>
            <wp:extent cx="7132320"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60"/>
        <w:spacing w:after="0" w:line="232" w:lineRule="auto"/>
        <w:rPr>
          <w:sz w:val="20"/>
          <w:szCs w:val="20"/>
          <w:color w:val="auto"/>
        </w:rPr>
      </w:pPr>
      <w:r>
        <w:rPr>
          <w:rFonts w:ascii="Arial" w:cs="Arial" w:eastAsia="Arial" w:hAnsi="Arial"/>
          <w:sz w:val="17"/>
          <w:szCs w:val="17"/>
          <w:color w:val="auto"/>
        </w:rPr>
        <w:t>A securitization bill is progressing through the Texas legislature. Approval of the bill could occur as early as the second quarter of 2021 which could allow recovery by the first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Total CERC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-130175</wp:posOffset>
            </wp:positionV>
            <wp:extent cx="713232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Total CenterPoint Energy</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Estimated</w:t>
      </w:r>
    </w:p>
    <w:p>
      <w:pPr>
        <w:jc w:val="center"/>
        <w:ind w:right="20"/>
        <w:spacing w:after="0" w:line="215" w:lineRule="auto"/>
        <w:rPr>
          <w:sz w:val="20"/>
          <w:szCs w:val="20"/>
          <w:color w:val="auto"/>
        </w:rPr>
      </w:pPr>
      <w:r>
        <w:rPr>
          <w:rFonts w:ascii="Arial" w:cs="Arial" w:eastAsia="Arial" w:hAnsi="Arial"/>
          <w:sz w:val="17"/>
          <w:szCs w:val="17"/>
          <w:b w:val="1"/>
          <w:bCs w:val="1"/>
          <w:color w:val="auto"/>
        </w:rPr>
        <w:t>Incremental Gas</w:t>
      </w:r>
    </w:p>
    <w:p>
      <w:pPr>
        <w:ind w:left="500"/>
        <w:spacing w:after="0" w:line="203" w:lineRule="auto"/>
        <w:rPr>
          <w:sz w:val="20"/>
          <w:szCs w:val="20"/>
          <w:color w:val="auto"/>
        </w:rPr>
      </w:pPr>
      <w:r>
        <w:rPr>
          <w:rFonts w:ascii="Arial" w:cs="Arial" w:eastAsia="Arial" w:hAnsi="Arial"/>
          <w:sz w:val="18"/>
          <w:szCs w:val="18"/>
          <w:b w:val="1"/>
          <w:bCs w:val="1"/>
          <w:color w:val="auto"/>
        </w:rPr>
        <w:t>Cost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p>
    <w:p>
      <w:pPr>
        <w:ind w:left="1080" w:hanging="107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75</w:t>
      </w:r>
    </w:p>
    <w:p>
      <w:pPr>
        <w:spacing w:after="0" w:line="200" w:lineRule="exact"/>
        <w:rPr>
          <w:sz w:val="20"/>
          <w:szCs w:val="20"/>
          <w:color w:val="auto"/>
        </w:rPr>
      </w:pPr>
    </w:p>
    <w:p>
      <w:pPr>
        <w:spacing w:after="0" w:line="37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470</w:t>
      </w:r>
    </w:p>
    <w:p>
      <w:pPr>
        <w:spacing w:after="0" w:line="374"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3</w:t>
      </w:r>
    </w:p>
    <w:p>
      <w:pPr>
        <w:spacing w:after="0" w:line="25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79</w:t>
      </w:r>
    </w:p>
    <w:p>
      <w:pPr>
        <w:spacing w:after="0" w:line="2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1,105</w:t>
      </w:r>
    </w:p>
    <w:p>
      <w:pPr>
        <w:spacing w:after="0" w:line="200" w:lineRule="exact"/>
        <w:rPr>
          <w:sz w:val="20"/>
          <w:szCs w:val="20"/>
          <w:color w:val="auto"/>
        </w:rPr>
      </w:pPr>
    </w:p>
    <w:p>
      <w:pPr>
        <w:spacing w:after="0" w:line="363" w:lineRule="exact"/>
        <w:rPr>
          <w:sz w:val="20"/>
          <w:szCs w:val="20"/>
          <w:color w:val="auto"/>
        </w:rPr>
      </w:pPr>
    </w:p>
    <w:p>
      <w:pPr>
        <w:ind w:left="940" w:hanging="933"/>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2,075</w:t>
      </w:r>
    </w:p>
    <w:p>
      <w:pPr>
        <w:spacing w:after="0" w:line="3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9086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140970</wp:posOffset>
            </wp:positionV>
            <wp:extent cx="9086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15" w:lineRule="exact"/>
        <w:rPr>
          <w:sz w:val="20"/>
          <w:szCs w:val="20"/>
          <w:color w:val="auto"/>
        </w:rPr>
      </w:pPr>
    </w:p>
    <w:p>
      <w:pPr>
        <w:ind w:left="940" w:hanging="933"/>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40640</wp:posOffset>
            </wp:positionV>
            <wp:extent cx="9086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480" w:space="220"/>
            <w:col w:w="3880" w:space="240"/>
            <w:col w:w="1420"/>
          </w:cols>
          <w:pgMar w:left="320" w:top="125" w:right="339" w:bottom="1440" w:gutter="0" w:footer="0" w:header="0"/>
          <w:type w:val="continuous"/>
        </w:sect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about February 2021 Winter Storm Event regulatory matters, see Note 6 to the Interim Condensed Financial Statements.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CPCN (CenterPoint Energy)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9, 2021, Indiana Electric entered into a BTA with a subsidiary of Capital Dynamics. Under the agreement, Capital Dynamics, with its partner Tenaska, will build a 300 MW solar array in Posey County, Indiana through a special purpose entity Posey Solar. Upon completion of construction, which is projected to be at the end of 2023, and subject to approval by the IURC, Indiana Electric will acquire Posey Solar and its solar array assets for a fixed purchase price. On February 23, 2021, Indiana Electric filed a CPCN with the IURC seeking approval to purchase the project. Indiana Electric is also seeking approval for a 100 MW solar PPA in Warrick County, Indiana. The request accounts for increased cost of debt related to this PPA, which provides equivalent equity return to offset imputed debt during the 25 year life of the PPA. A hearing is scheduled to begin in June 2021 and a decision on the CPCN is expected by the fourth quarter of 2021.</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Securitization of Planned Generation Retirements (CenterPoint Energy)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State of Indiana has enacted legislation, Senate Bill 386, that would enable CenterPoint Energy to request approval from the IURC to securitize the remaining book value and removal costs associated with generating facilities to be retired in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next twenty-four months. The Governor of Indiana signed the legislation on April 19, 2021. CenterPoint Energy intends to seek securitization in the future associated with planned coal generation retirements.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Space City Solar Transmission Interconnection Project (CenterPoint Energy and Houston Electric)</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December 17, 2020, Houston Electric filed a certificate of convenience and necessity application with the PUCT for approval to build a 345 kV transmission line in Wharton County, Texas connecting the Hillje substation on Houston Electric’s transmission system to the planned 610 MW Space City Solar Generation facility being developed by third-party developer EDF Renewables. Depending on the route ultimately approved by the PUCT, the estimated capital cost of the transmission line project ranges from approximately $23 million to $71 million. The actual capital costs of the project will depend on actual land acquisition costs, construction costs, and other factors in addition to route selection. In January 2021, Houston Electric executed a Standard Generation Interconnection Agreement for the Space City Solar Generation facility with EDF Renewables, which also provided security for the transmission line project in the form of a $23 million letter of credit, the amount of which is subject to change depending on the route approved. A hearing at the PUCT is scheduled for June 2021. The PUCT is required to issue its final decision on the transmission line project no later than December 2021. Subject to PUCT approval, Houston Electric expects to complete construction and energization of the transmission line by June 2022.</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Minnesota Base Rate Case (CenterPoint Energy and CERC)</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October 28, 2019, CERC filed a general rate case with the MPUC seeking approval for a revenue increase of approximately $62 million with a projected test year ended December 31, 2020. The revenue increase is based upon a requested ROE of 10.15% and an overall after-tax rate of return of 7.41% on a total rate base of approximately $1,307 million. CERC implemented interim rates reflecting $53 million for gas used on and after January 1, 2020. In September 2020, a settlement that addressed all issues except the Inclusive Financing/Tariffed On Bill Financing (TOB) proposal by the City of Minneapolis was signed by a majority of all parties and was filed with the Office of Administrative Hearings. A stipulation between the City of Minneapolis and CERC addressing the TOB proposal was filed on September 2, 2020. The settlement reflects a $38.5 million increase and was based on an overall after-tax rate of return of 6.86% and does not specify individual cost of capital components. On March 1, 2021, the MPUC issued a written final order approving the $38.5 million increase and rejected the TOB stipulation. The order also required CERC and the City of Minneapolis to submit a future filing to allow for further development of a potential TOB pilot program and additional or expanded low-income conservation improvement programs. A compliance filing was submitted on March 12, 2021 proposing a final rate implementation on June 1st and the interim refund occurring in June 2021, contingent on final MPUC approval.</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South Base Rate Case (CenterPoint Energy)</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October 30, 2020, and as subsequently amended, Indiana South filed its base rate case with the IURC seeking approval for a revenue increase of approximately $29 million. This rate case filing is required under Indiana TDSIC statutory requirements before the completion of Indiana South’s capital expenditure program, approved in 2014 for investments starting in 2014 through 2020. The revenue increase is based upon a requested ROE of 10.15% and an overall after-tax rate of return of 5.99% on total rate base of approximately $469 million. Indiana South has utilized a projected test year, reflecting its 2021 budget as the basis for the revenue increase requested, and proposes to implement rates in two phases. The first phase of rate implementation will occur as of the date of an order in this proceeding, expected in September 2021, and the second phase of rate implementation will occur at the completion of the test year, as of December 31, 2021. On April 16, 2021, Indiana South announced that an agreement in principle has been reached with certain parties. On April 23, 2021, a Stipulation and Settlement Agreement was filed resolving all issues in the case. The settlement recommended a revenue increase of $20.5 million based on a 9.7% ROE and an overall after-tax rate of return of 5.78% on total rate base of approximately $469 million. A settlement hearing is scheduled for June 24, 2021. A final order is expected in the second half of 2021. Under Indiana statutory requirements, the IURC has 300 days from the date of the filing of Indiana South’s case-in-chief to issue an order.</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North Base Rate Case (CenterPoint Energy)</w:t>
      </w:r>
    </w:p>
    <w:p>
      <w:pPr>
        <w:spacing w:after="0" w:line="23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December 18, 2020, Indiana North filed its base rate case with the IURC seeking approval for a revenue increase of approximately $21 million. This rate case filing is required under Indiana TDSIC statutory requirements before the completion of Indiana North’s capital expenditure program, approved in 2014 for investments starting in 2014 through 2020. The revenue increase is based upon a requested ROE of 10.15% and an overall after-tax rate of return of 6.32% on total rate base of approximately $1,611 million. Indiana North has utilized a projected test year, reflecting its 2021 budget as the basis for the revenue increase requested, and proposes to implement rates in two phases. The first phase of rate implementation will occur as of the date of an order in this proceeding, expected in October 2021, and the second phase of rate implementation will occur at the completion of the test year, as of December 31, 2021. Hearings at the IURC are currently scheduled to occur in May and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June 2021. Under Indiana statutory requirements, the IURC has a minimum of 300 days and maximum of 360 days from the date of the filing of Indiana North’s case-in-chief to issue an order.</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Arkansas, Louisiana, Mississippi and Oklahoma (FRP, RSP, RRA and PBRC, respectively), its decoupling mechanism in Minnesota, and its energy efficiency cost trackers in Arkansas, Minnesota, Mississippi and Oklahoma (EECR, CIP, EECR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 The table below reflects significant applications pending or completed since the Registrants’ combined 2020 Form 10-K was filed with the SEC.</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80" w:type="dxa"/>
            <w:vAlign w:val="bottom"/>
          </w:tcPr>
          <w:p>
            <w:pPr>
              <w:jc w:val="center"/>
              <w:ind w:left="29"/>
              <w:spacing w:after="0"/>
              <w:rPr>
                <w:sz w:val="20"/>
                <w:szCs w:val="20"/>
                <w:color w:val="auto"/>
              </w:rPr>
            </w:pPr>
            <w:r>
              <w:rPr>
                <w:rFonts w:ascii="Arial" w:cs="Arial" w:eastAsia="Arial" w:hAnsi="Arial"/>
                <w:sz w:val="14"/>
                <w:szCs w:val="14"/>
                <w:b w:val="1"/>
                <w:bCs w:val="1"/>
                <w:color w:val="auto"/>
                <w:w w:val="96"/>
              </w:rPr>
              <w:t>Annual</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80" w:type="dxa"/>
            <w:vAlign w:val="bottom"/>
          </w:tcPr>
          <w:p>
            <w:pPr>
              <w:jc w:val="center"/>
              <w:ind w:left="49"/>
              <w:spacing w:after="0" w:line="135" w:lineRule="exact"/>
              <w:rPr>
                <w:sz w:val="20"/>
                <w:szCs w:val="20"/>
                <w:color w:val="auto"/>
              </w:rPr>
            </w:pPr>
            <w:r>
              <w:rPr>
                <w:rFonts w:ascii="Arial" w:cs="Arial" w:eastAsia="Arial" w:hAnsi="Arial"/>
                <w:sz w:val="14"/>
                <w:szCs w:val="14"/>
                <w:b w:val="1"/>
                <w:bCs w:val="1"/>
                <w:color w:val="auto"/>
                <w:w w:val="91"/>
              </w:rPr>
              <w:t>Increase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6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Mechanism</w:t>
            </w:r>
          </w:p>
        </w:tc>
        <w:tc>
          <w:tcPr>
            <w:tcW w:w="1080" w:type="dxa"/>
            <w:vAlign w:val="bottom"/>
          </w:tcPr>
          <w:p>
            <w:pPr>
              <w:jc w:val="center"/>
              <w:ind w:left="49"/>
              <w:spacing w:after="0" w:line="13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10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940" w:type="dxa"/>
            <w:vAlign w:val="bottom"/>
            <w:vMerge w:val="continue"/>
          </w:tcPr>
          <w:p>
            <w:pPr>
              <w:spacing w:after="0"/>
              <w:rPr>
                <w:sz w:val="11"/>
                <w:szCs w:val="11"/>
                <w:color w:val="auto"/>
              </w:rPr>
            </w:pPr>
          </w:p>
        </w:tc>
        <w:tc>
          <w:tcPr>
            <w:tcW w:w="582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62"/>
        </w:trPr>
        <w:tc>
          <w:tcPr>
            <w:tcW w:w="12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jc w:val="center"/>
              <w:ind w:left="49"/>
              <w:spacing w:after="0"/>
              <w:rPr>
                <w:sz w:val="20"/>
                <w:szCs w:val="20"/>
                <w:color w:val="auto"/>
              </w:rPr>
            </w:pPr>
            <w:r>
              <w:rPr>
                <w:rFonts w:ascii="Arial" w:cs="Arial" w:eastAsia="Arial" w:hAnsi="Arial"/>
                <w:sz w:val="11"/>
                <w:szCs w:val="11"/>
                <w:b w:val="1"/>
                <w:bCs w:val="1"/>
                <w:color w:val="auto"/>
                <w:w w:val="90"/>
              </w:rPr>
              <w:t>(in millions)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7820" w:type="dxa"/>
            <w:vAlign w:val="bottom"/>
            <w:tcBorders>
              <w:bottom w:val="single" w:sz="8" w:color="auto"/>
            </w:tcBorders>
            <w:gridSpan w:val="3"/>
            <w:shd w:val="clear" w:color="auto" w:fill="CCEEFF"/>
          </w:tcPr>
          <w:p>
            <w:pPr>
              <w:jc w:val="center"/>
              <w:ind w:right="3328"/>
              <w:spacing w:after="0"/>
              <w:rPr>
                <w:sz w:val="20"/>
                <w:szCs w:val="20"/>
                <w:color w:val="auto"/>
              </w:rPr>
            </w:pPr>
            <w:r>
              <w:rPr>
                <w:rFonts w:ascii="Arial" w:cs="Arial" w:eastAsia="Arial" w:hAnsi="Arial"/>
                <w:sz w:val="14"/>
                <w:szCs w:val="14"/>
                <w:b w:val="1"/>
                <w:bCs w:val="1"/>
                <w:color w:val="auto"/>
                <w:w w:val="95"/>
              </w:rPr>
              <w:t>CenterPoint Energy and Houston Electric (PUCT)</w:t>
            </w:r>
          </w:p>
        </w:tc>
        <w:tc>
          <w:tcPr>
            <w:tcW w:w="0" w:type="dxa"/>
            <w:vAlign w:val="bottom"/>
          </w:tcPr>
          <w:p>
            <w:pPr>
              <w:spacing w:after="0"/>
              <w:rPr>
                <w:sz w:val="1"/>
                <w:szCs w:val="1"/>
                <w:color w:val="auto"/>
              </w:rPr>
            </w:pPr>
          </w:p>
        </w:tc>
      </w:tr>
      <w:tr>
        <w:trPr>
          <w:trHeight w:val="130"/>
        </w:trPr>
        <w:tc>
          <w:tcPr>
            <w:tcW w:w="1240" w:type="dxa"/>
            <w:vAlign w:val="bottom"/>
          </w:tcPr>
          <w:p>
            <w:pPr>
              <w:jc w:val="center"/>
              <w:spacing w:after="0" w:line="130" w:lineRule="exact"/>
              <w:rPr>
                <w:sz w:val="20"/>
                <w:szCs w:val="20"/>
                <w:color w:val="auto"/>
              </w:rPr>
            </w:pPr>
            <w:r>
              <w:rPr>
                <w:rFonts w:ascii="Arial" w:cs="Arial" w:eastAsia="Arial" w:hAnsi="Arial"/>
                <w:sz w:val="14"/>
                <w:szCs w:val="14"/>
                <w:color w:val="auto"/>
                <w:w w:val="92"/>
              </w:rPr>
              <w:t>TCOS</w:t>
            </w:r>
          </w:p>
        </w:tc>
        <w:tc>
          <w:tcPr>
            <w:tcW w:w="1080" w:type="dxa"/>
            <w:vAlign w:val="bottom"/>
          </w:tcPr>
          <w:p>
            <w:pPr>
              <w:jc w:val="center"/>
              <w:ind w:left="49"/>
              <w:spacing w:after="0" w:line="130" w:lineRule="exact"/>
              <w:rPr>
                <w:sz w:val="20"/>
                <w:szCs w:val="20"/>
                <w:color w:val="auto"/>
              </w:rPr>
            </w:pPr>
            <w:r>
              <w:rPr>
                <w:rFonts w:ascii="Arial" w:cs="Arial" w:eastAsia="Arial" w:hAnsi="Arial"/>
                <w:sz w:val="14"/>
                <w:szCs w:val="14"/>
                <w:b w:val="1"/>
                <w:bCs w:val="1"/>
                <w:color w:val="auto"/>
              </w:rPr>
              <w:t>9</w:t>
            </w: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4"/>
              </w:rPr>
              <w:t>March 2021</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rPr>
              <w:t>April</w:t>
            </w:r>
          </w:p>
        </w:tc>
        <w:tc>
          <w:tcPr>
            <w:tcW w:w="940" w:type="dxa"/>
            <w:vAlign w:val="bottom"/>
          </w:tcPr>
          <w:p>
            <w:pPr>
              <w:jc w:val="center"/>
              <w:spacing w:after="0" w:line="130" w:lineRule="exact"/>
              <w:rPr>
                <w:sz w:val="20"/>
                <w:szCs w:val="20"/>
                <w:color w:val="auto"/>
              </w:rPr>
            </w:pPr>
            <w:r>
              <w:rPr>
                <w:rFonts w:ascii="Arial" w:cs="Arial" w:eastAsia="Arial" w:hAnsi="Arial"/>
                <w:sz w:val="14"/>
                <w:szCs w:val="14"/>
                <w:color w:val="auto"/>
                <w:w w:val="98"/>
              </w:rPr>
              <w:t>April 2021</w:t>
            </w:r>
          </w:p>
        </w:tc>
        <w:tc>
          <w:tcPr>
            <w:tcW w:w="5820" w:type="dxa"/>
            <w:vAlign w:val="bottom"/>
          </w:tcPr>
          <w:p>
            <w:pPr>
              <w:ind w:left="100"/>
              <w:spacing w:after="0" w:line="130" w:lineRule="exact"/>
              <w:rPr>
                <w:sz w:val="20"/>
                <w:szCs w:val="20"/>
                <w:color w:val="auto"/>
              </w:rPr>
            </w:pPr>
            <w:r>
              <w:rPr>
                <w:rFonts w:ascii="Arial" w:cs="Arial" w:eastAsia="Arial" w:hAnsi="Arial"/>
                <w:sz w:val="14"/>
                <w:szCs w:val="14"/>
                <w:color w:val="auto"/>
              </w:rPr>
              <w:t>Based on net change in invested capital of $80 million.</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7820" w:type="dxa"/>
            <w:vAlign w:val="bottom"/>
            <w:tcBorders>
              <w:bottom w:val="single" w:sz="8" w:color="auto"/>
            </w:tcBorders>
            <w:gridSpan w:val="3"/>
            <w:shd w:val="clear" w:color="auto" w:fill="CCEEFF"/>
          </w:tcPr>
          <w:p>
            <w:pPr>
              <w:jc w:val="center"/>
              <w:ind w:right="3348"/>
              <w:spacing w:after="0"/>
              <w:rPr>
                <w:sz w:val="20"/>
                <w:szCs w:val="20"/>
                <w:color w:val="auto"/>
              </w:rPr>
            </w:pPr>
            <w:r>
              <w:rPr>
                <w:rFonts w:ascii="Arial" w:cs="Arial" w:eastAsia="Arial" w:hAnsi="Arial"/>
                <w:sz w:val="14"/>
                <w:szCs w:val="14"/>
                <w:b w:val="1"/>
                <w:bCs w:val="1"/>
                <w:color w:val="auto"/>
                <w:w w:val="95"/>
              </w:rPr>
              <w:t>CenterPoint Energy and CERC - Arkansas (APSC)</w:t>
            </w:r>
          </w:p>
        </w:tc>
        <w:tc>
          <w:tcPr>
            <w:tcW w:w="0" w:type="dxa"/>
            <w:vAlign w:val="bottom"/>
          </w:tcPr>
          <w:p>
            <w:pPr>
              <w:spacing w:after="0"/>
              <w:rPr>
                <w:sz w:val="1"/>
                <w:szCs w:val="1"/>
                <w:color w:val="auto"/>
              </w:rPr>
            </w:pPr>
          </w:p>
        </w:tc>
      </w:tr>
      <w:tr>
        <w:trPr>
          <w:trHeight w:val="137"/>
        </w:trPr>
        <w:tc>
          <w:tcPr>
            <w:tcW w:w="1240" w:type="dxa"/>
            <w:vAlign w:val="bottom"/>
          </w:tcPr>
          <w:p>
            <w:pPr>
              <w:jc w:val="center"/>
              <w:spacing w:after="0" w:line="137" w:lineRule="exact"/>
              <w:rPr>
                <w:sz w:val="20"/>
                <w:szCs w:val="20"/>
                <w:color w:val="auto"/>
              </w:rPr>
            </w:pPr>
            <w:r>
              <w:rPr>
                <w:rFonts w:ascii="Arial" w:cs="Arial" w:eastAsia="Arial" w:hAnsi="Arial"/>
                <w:sz w:val="14"/>
                <w:szCs w:val="14"/>
                <w:color w:val="auto"/>
                <w:w w:val="93"/>
              </w:rPr>
              <w:t xml:space="preserve">FRP </w:t>
            </w:r>
            <w:r>
              <w:rPr>
                <w:rFonts w:ascii="Arial" w:cs="Arial" w:eastAsia="Arial" w:hAnsi="Arial"/>
                <w:sz w:val="9"/>
                <w:szCs w:val="9"/>
                <w:color w:val="auto"/>
                <w:w w:val="93"/>
              </w:rPr>
              <w:t>(1)</w:t>
            </w:r>
          </w:p>
        </w:tc>
        <w:tc>
          <w:tcPr>
            <w:tcW w:w="1080" w:type="dxa"/>
            <w:vAlign w:val="bottom"/>
          </w:tcPr>
          <w:p>
            <w:pPr>
              <w:jc w:val="center"/>
              <w:ind w:left="29"/>
              <w:spacing w:after="0" w:line="137" w:lineRule="exact"/>
              <w:rPr>
                <w:sz w:val="20"/>
                <w:szCs w:val="20"/>
                <w:color w:val="auto"/>
              </w:rPr>
            </w:pPr>
            <w:r>
              <w:rPr>
                <w:rFonts w:ascii="Arial" w:cs="Arial" w:eastAsia="Arial" w:hAnsi="Arial"/>
                <w:sz w:val="14"/>
                <w:szCs w:val="14"/>
                <w:b w:val="1"/>
                <w:bCs w:val="1"/>
                <w:color w:val="auto"/>
                <w:w w:val="89"/>
              </w:rPr>
              <w:t>13</w:t>
            </w:r>
          </w:p>
        </w:tc>
        <w:tc>
          <w:tcPr>
            <w:tcW w:w="1100" w:type="dxa"/>
            <w:vAlign w:val="bottom"/>
          </w:tcPr>
          <w:p>
            <w:pPr>
              <w:jc w:val="center"/>
              <w:spacing w:after="0" w:line="137"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37" w:lineRule="exact"/>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line="137"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100"/>
              <w:spacing w:after="0" w:line="137" w:lineRule="exact"/>
              <w:rPr>
                <w:sz w:val="20"/>
                <w:szCs w:val="20"/>
                <w:color w:val="auto"/>
              </w:rPr>
            </w:pPr>
            <w:r>
              <w:rPr>
                <w:rFonts w:ascii="Arial" w:cs="Arial" w:eastAsia="Arial" w:hAnsi="Arial"/>
                <w:sz w:val="14"/>
                <w:szCs w:val="14"/>
                <w:color w:val="auto"/>
                <w:w w:val="94"/>
              </w:rPr>
              <w:t>Based on ROE of 9.50% with 50 basis point (+/-) earnings band. Revenue increase of $13 million</w:t>
            </w: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color w:val="auto"/>
                <w:w w:val="89"/>
              </w:rPr>
              <w:t>2021</w:t>
            </w: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20" w:type="dxa"/>
            <w:vAlign w:val="bottom"/>
          </w:tcPr>
          <w:p>
            <w:pPr>
              <w:ind w:left="100"/>
              <w:spacing w:after="0" w:line="129" w:lineRule="exact"/>
              <w:rPr>
                <w:sz w:val="20"/>
                <w:szCs w:val="20"/>
                <w:color w:val="auto"/>
              </w:rPr>
            </w:pPr>
            <w:r>
              <w:rPr>
                <w:rFonts w:ascii="Arial" w:cs="Arial" w:eastAsia="Arial" w:hAnsi="Arial"/>
                <w:sz w:val="14"/>
                <w:szCs w:val="14"/>
                <w:color w:val="auto"/>
                <w:w w:val="96"/>
              </w:rPr>
              <w:t>based on prior test year true-up earned return on equity of 11.43% combined with projected test</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20" w:type="dxa"/>
            <w:vAlign w:val="bottom"/>
          </w:tcPr>
          <w:p>
            <w:pPr>
              <w:ind w:left="100"/>
              <w:spacing w:after="0" w:line="135" w:lineRule="exact"/>
              <w:rPr>
                <w:sz w:val="20"/>
                <w:szCs w:val="20"/>
                <w:color w:val="auto"/>
              </w:rPr>
            </w:pPr>
            <w:r>
              <w:rPr>
                <w:rFonts w:ascii="Arial" w:cs="Arial" w:eastAsia="Arial" w:hAnsi="Arial"/>
                <w:sz w:val="14"/>
                <w:szCs w:val="14"/>
                <w:color w:val="auto"/>
                <w:w w:val="95"/>
              </w:rPr>
              <w:t>year earned return on equity of 3.59%. The initial term of Rider FRP will terminate on September</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20" w:type="dxa"/>
            <w:vAlign w:val="bottom"/>
          </w:tcPr>
          <w:p>
            <w:pPr>
              <w:ind w:left="100"/>
              <w:spacing w:after="0" w:line="135" w:lineRule="exact"/>
              <w:rPr>
                <w:sz w:val="20"/>
                <w:szCs w:val="20"/>
                <w:color w:val="auto"/>
              </w:rPr>
            </w:pPr>
            <w:r>
              <w:rPr>
                <w:rFonts w:ascii="Arial" w:cs="Arial" w:eastAsia="Arial" w:hAnsi="Arial"/>
                <w:sz w:val="14"/>
                <w:szCs w:val="14"/>
                <w:color w:val="auto"/>
                <w:w w:val="95"/>
              </w:rPr>
              <w:t>10, 2021; a request to extend the Rider FRP term for an additional five years was filed on May 5,</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20" w:type="dxa"/>
            <w:vAlign w:val="bottom"/>
          </w:tcPr>
          <w:p>
            <w:pPr>
              <w:ind w:left="10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0000" w:type="dxa"/>
            <w:vAlign w:val="bottom"/>
            <w:tcBorders>
              <w:bottom w:val="single" w:sz="8" w:color="auto"/>
            </w:tcBorders>
            <w:gridSpan w:val="5"/>
            <w:shd w:val="clear" w:color="auto" w:fill="CCEEFF"/>
          </w:tcPr>
          <w:p>
            <w:pPr>
              <w:jc w:val="center"/>
              <w:ind w:right="1148"/>
              <w:spacing w:after="0"/>
              <w:rPr>
                <w:sz w:val="20"/>
                <w:szCs w:val="20"/>
                <w:color w:val="auto"/>
              </w:rPr>
            </w:pPr>
            <w:r>
              <w:rPr>
                <w:rFonts w:ascii="Arial" w:cs="Arial" w:eastAsia="Arial" w:hAnsi="Arial"/>
                <w:sz w:val="14"/>
                <w:szCs w:val="14"/>
                <w:b w:val="1"/>
                <w:bCs w:val="1"/>
                <w:color w:val="auto"/>
                <w:w w:val="92"/>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80"/>
        </w:trPr>
        <w:tc>
          <w:tcPr>
            <w:tcW w:w="1240" w:type="dxa"/>
            <w:vAlign w:val="bottom"/>
          </w:tcPr>
          <w:p>
            <w:pPr>
              <w:jc w:val="center"/>
              <w:spacing w:after="0"/>
              <w:rPr>
                <w:sz w:val="20"/>
                <w:szCs w:val="20"/>
                <w:color w:val="auto"/>
              </w:rPr>
            </w:pPr>
            <w:r>
              <w:rPr>
                <w:rFonts w:ascii="Arial" w:cs="Arial" w:eastAsia="Arial" w:hAnsi="Arial"/>
                <w:sz w:val="14"/>
                <w:szCs w:val="14"/>
                <w:color w:val="auto"/>
                <w:w w:val="93"/>
              </w:rPr>
              <w:t xml:space="preserve">GRIP </w:t>
            </w:r>
            <w:r>
              <w:rPr>
                <w:rFonts w:ascii="Arial" w:cs="Arial" w:eastAsia="Arial" w:hAnsi="Arial"/>
                <w:sz w:val="9"/>
                <w:szCs w:val="9"/>
                <w:b w:val="1"/>
                <w:bCs w:val="1"/>
                <w:color w:val="auto"/>
                <w:w w:val="93"/>
              </w:rPr>
              <w:t>(1)</w:t>
            </w:r>
          </w:p>
        </w:tc>
        <w:tc>
          <w:tcPr>
            <w:tcW w:w="1080" w:type="dxa"/>
            <w:vAlign w:val="bottom"/>
          </w:tcPr>
          <w:p>
            <w:pPr>
              <w:jc w:val="center"/>
              <w:ind w:left="29"/>
              <w:spacing w:after="0"/>
              <w:rPr>
                <w:sz w:val="20"/>
                <w:szCs w:val="20"/>
                <w:color w:val="auto"/>
              </w:rPr>
            </w:pPr>
            <w:r>
              <w:rPr>
                <w:rFonts w:ascii="Arial" w:cs="Arial" w:eastAsia="Arial" w:hAnsi="Arial"/>
                <w:sz w:val="14"/>
                <w:szCs w:val="14"/>
                <w:color w:val="auto"/>
                <w:w w:val="89"/>
              </w:rPr>
              <w:t>28</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March 2021</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20" w:type="dxa"/>
            <w:vAlign w:val="bottom"/>
          </w:tcPr>
          <w:p>
            <w:pPr>
              <w:ind w:left="100"/>
              <w:spacing w:after="0"/>
              <w:rPr>
                <w:sz w:val="20"/>
                <w:szCs w:val="20"/>
                <w:color w:val="auto"/>
              </w:rPr>
            </w:pPr>
            <w:r>
              <w:rPr>
                <w:rFonts w:ascii="Arial" w:cs="Arial" w:eastAsia="Arial" w:hAnsi="Arial"/>
                <w:sz w:val="14"/>
                <w:szCs w:val="14"/>
                <w:color w:val="auto"/>
              </w:rPr>
              <w:t>Based on net change in invested capital of $197 million.</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7820" w:type="dxa"/>
            <w:vAlign w:val="bottom"/>
            <w:tcBorders>
              <w:bottom w:val="single" w:sz="8" w:color="auto"/>
            </w:tcBorders>
            <w:gridSpan w:val="3"/>
            <w:shd w:val="clear" w:color="auto" w:fill="CCEEFF"/>
          </w:tcPr>
          <w:p>
            <w:pPr>
              <w:jc w:val="center"/>
              <w:ind w:right="3348"/>
              <w:spacing w:after="0"/>
              <w:rPr>
                <w:sz w:val="20"/>
                <w:szCs w:val="20"/>
                <w:color w:val="auto"/>
              </w:rPr>
            </w:pPr>
            <w:r>
              <w:rPr>
                <w:rFonts w:ascii="Arial" w:cs="Arial" w:eastAsia="Arial" w:hAnsi="Arial"/>
                <w:sz w:val="14"/>
                <w:szCs w:val="14"/>
                <w:b w:val="1"/>
                <w:bCs w:val="1"/>
                <w:color w:val="auto"/>
                <w:w w:val="96"/>
              </w:rPr>
              <w:t>CenterPoint Energy and CERC - Minnesota (MPUC)</w:t>
            </w:r>
          </w:p>
        </w:tc>
        <w:tc>
          <w:tcPr>
            <w:tcW w:w="0" w:type="dxa"/>
            <w:vAlign w:val="bottom"/>
          </w:tcPr>
          <w:p>
            <w:pPr>
              <w:spacing w:after="0"/>
              <w:rPr>
                <w:sz w:val="1"/>
                <w:szCs w:val="1"/>
                <w:color w:val="auto"/>
              </w:rPr>
            </w:pPr>
          </w:p>
        </w:tc>
      </w:tr>
      <w:tr>
        <w:trPr>
          <w:trHeight w:val="130"/>
        </w:trPr>
        <w:tc>
          <w:tcPr>
            <w:tcW w:w="1240" w:type="dxa"/>
            <w:vAlign w:val="bottom"/>
          </w:tcPr>
          <w:p>
            <w:pPr>
              <w:jc w:val="center"/>
              <w:spacing w:after="0" w:line="130" w:lineRule="exact"/>
              <w:rPr>
                <w:sz w:val="20"/>
                <w:szCs w:val="20"/>
                <w:color w:val="auto"/>
              </w:rPr>
            </w:pPr>
            <w:r>
              <w:rPr>
                <w:rFonts w:ascii="Arial" w:cs="Arial" w:eastAsia="Arial" w:hAnsi="Arial"/>
                <w:sz w:val="14"/>
                <w:szCs w:val="14"/>
                <w:color w:val="auto"/>
                <w:w w:val="97"/>
              </w:rPr>
              <w:t>Decoupling</w:t>
            </w:r>
          </w:p>
        </w:tc>
        <w:tc>
          <w:tcPr>
            <w:tcW w:w="1080" w:type="dxa"/>
            <w:vAlign w:val="bottom"/>
          </w:tcPr>
          <w:p>
            <w:pPr>
              <w:jc w:val="center"/>
              <w:ind w:left="49"/>
              <w:spacing w:after="0" w:line="130" w:lineRule="exact"/>
              <w:rPr>
                <w:sz w:val="20"/>
                <w:szCs w:val="20"/>
                <w:color w:val="auto"/>
              </w:rPr>
            </w:pPr>
            <w:r>
              <w:rPr>
                <w:rFonts w:ascii="Arial" w:cs="Arial" w:eastAsia="Arial" w:hAnsi="Arial"/>
                <w:sz w:val="14"/>
                <w:szCs w:val="14"/>
                <w:color w:val="auto"/>
              </w:rPr>
              <w:t>N/A</w:t>
            </w: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0"/>
              </w:rPr>
              <w:t>September</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0"/>
              </w:rPr>
              <w:t>September</w:t>
            </w:r>
          </w:p>
        </w:tc>
        <w:tc>
          <w:tcPr>
            <w:tcW w:w="940" w:type="dxa"/>
            <w:vAlign w:val="bottom"/>
          </w:tcPr>
          <w:p>
            <w:pPr>
              <w:jc w:val="center"/>
              <w:spacing w:after="0" w:line="130" w:lineRule="exact"/>
              <w:rPr>
                <w:sz w:val="20"/>
                <w:szCs w:val="20"/>
                <w:color w:val="auto"/>
              </w:rPr>
            </w:pPr>
            <w:r>
              <w:rPr>
                <w:rFonts w:ascii="Arial" w:cs="Arial" w:eastAsia="Arial" w:hAnsi="Arial"/>
                <w:sz w:val="14"/>
                <w:szCs w:val="14"/>
                <w:color w:val="auto"/>
                <w:w w:val="94"/>
              </w:rPr>
              <w:t>March 2021</w:t>
            </w:r>
          </w:p>
        </w:tc>
        <w:tc>
          <w:tcPr>
            <w:tcW w:w="5820" w:type="dxa"/>
            <w:vAlign w:val="bottom"/>
          </w:tcPr>
          <w:p>
            <w:pPr>
              <w:ind w:left="100"/>
              <w:spacing w:after="0" w:line="130" w:lineRule="exact"/>
              <w:rPr>
                <w:sz w:val="20"/>
                <w:szCs w:val="20"/>
                <w:color w:val="auto"/>
              </w:rPr>
            </w:pPr>
            <w:r>
              <w:rPr>
                <w:rFonts w:ascii="Arial" w:cs="Arial" w:eastAsia="Arial" w:hAnsi="Arial"/>
                <w:sz w:val="14"/>
                <w:szCs w:val="14"/>
                <w:color w:val="auto"/>
                <w:w w:val="95"/>
              </w:rPr>
              <w:t>Represents under-recovery of approximately $2 million recorded for and during the period July 1,</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89"/>
              </w:rPr>
              <w:t>2020</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89"/>
              </w:rPr>
              <w:t>2020</w:t>
            </w:r>
          </w:p>
        </w:tc>
        <w:tc>
          <w:tcPr>
            <w:tcW w:w="940" w:type="dxa"/>
            <w:vAlign w:val="bottom"/>
          </w:tcPr>
          <w:p>
            <w:pPr>
              <w:spacing w:after="0"/>
              <w:rPr>
                <w:sz w:val="11"/>
                <w:szCs w:val="11"/>
                <w:color w:val="auto"/>
              </w:rPr>
            </w:pPr>
          </w:p>
        </w:tc>
        <w:tc>
          <w:tcPr>
            <w:tcW w:w="5820" w:type="dxa"/>
            <w:vAlign w:val="bottom"/>
          </w:tcPr>
          <w:p>
            <w:pPr>
              <w:ind w:left="100"/>
              <w:spacing w:after="0" w:line="135" w:lineRule="exact"/>
              <w:rPr>
                <w:sz w:val="20"/>
                <w:szCs w:val="20"/>
                <w:color w:val="auto"/>
              </w:rPr>
            </w:pPr>
            <w:r>
              <w:rPr>
                <w:rFonts w:ascii="Arial" w:cs="Arial" w:eastAsia="Arial" w:hAnsi="Arial"/>
                <w:sz w:val="14"/>
                <w:szCs w:val="14"/>
                <w:color w:val="auto"/>
                <w:w w:val="94"/>
              </w:rPr>
              <w:t>2019 through June 30, 2020, including approximately $1 million related to the period July 1, 2018</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20" w:type="dxa"/>
            <w:vAlign w:val="bottom"/>
          </w:tcPr>
          <w:p>
            <w:pPr>
              <w:ind w:left="100"/>
              <w:spacing w:after="0"/>
              <w:rPr>
                <w:sz w:val="20"/>
                <w:szCs w:val="20"/>
                <w:color w:val="auto"/>
              </w:rPr>
            </w:pPr>
            <w:r>
              <w:rPr>
                <w:rFonts w:ascii="Arial" w:cs="Arial" w:eastAsia="Arial" w:hAnsi="Arial"/>
                <w:sz w:val="14"/>
                <w:szCs w:val="14"/>
                <w:color w:val="auto"/>
              </w:rPr>
              <w:t>through June 30, 2019.</w:t>
            </w:r>
          </w:p>
        </w:tc>
        <w:tc>
          <w:tcPr>
            <w:tcW w:w="0" w:type="dxa"/>
            <w:vAlign w:val="bottom"/>
          </w:tcPr>
          <w:p>
            <w:pPr>
              <w:spacing w:after="0"/>
              <w:rPr>
                <w:sz w:val="1"/>
                <w:szCs w:val="1"/>
                <w:color w:val="auto"/>
              </w:rPr>
            </w:pPr>
          </w:p>
        </w:tc>
      </w:tr>
      <w:tr>
        <w:trPr>
          <w:trHeight w:val="145"/>
        </w:trPr>
        <w:tc>
          <w:tcPr>
            <w:tcW w:w="12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 xml:space="preserve">Rate Case </w:t>
            </w:r>
            <w:r>
              <w:rPr>
                <w:rFonts w:ascii="Arial" w:cs="Arial" w:eastAsia="Arial" w:hAnsi="Arial"/>
                <w:sz w:val="9"/>
                <w:szCs w:val="9"/>
                <w:color w:val="auto"/>
                <w:w w:val="88"/>
              </w:rPr>
              <w:t>(1)</w:t>
            </w:r>
          </w:p>
        </w:tc>
        <w:tc>
          <w:tcPr>
            <w:tcW w:w="1080" w:type="dxa"/>
            <w:vAlign w:val="bottom"/>
            <w:shd w:val="clear" w:color="auto" w:fill="CCEEFF"/>
          </w:tcPr>
          <w:p>
            <w:pPr>
              <w:jc w:val="center"/>
              <w:ind w:left="29"/>
              <w:spacing w:after="0" w:line="145" w:lineRule="exact"/>
              <w:rPr>
                <w:sz w:val="20"/>
                <w:szCs w:val="20"/>
                <w:color w:val="auto"/>
              </w:rPr>
            </w:pPr>
            <w:r>
              <w:rPr>
                <w:rFonts w:ascii="Arial" w:cs="Arial" w:eastAsia="Arial" w:hAnsi="Arial"/>
                <w:sz w:val="14"/>
                <w:szCs w:val="14"/>
                <w:color w:val="auto"/>
                <w:w w:val="89"/>
              </w:rPr>
              <w:t>39</w:t>
            </w:r>
          </w:p>
        </w:tc>
        <w:tc>
          <w:tcPr>
            <w:tcW w:w="11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October 2019</w:t>
            </w:r>
          </w:p>
        </w:tc>
        <w:tc>
          <w:tcPr>
            <w:tcW w:w="10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2"/>
              </w:rPr>
              <w:t>June</w:t>
            </w:r>
          </w:p>
        </w:tc>
        <w:tc>
          <w:tcPr>
            <w:tcW w:w="9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TBD</w:t>
            </w:r>
          </w:p>
        </w:tc>
        <w:tc>
          <w:tcPr>
            <w:tcW w:w="582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Minnesota Base Rate Case.</w:t>
            </w:r>
          </w:p>
        </w:tc>
        <w:tc>
          <w:tcPr>
            <w:tcW w:w="0" w:type="dxa"/>
            <w:vAlign w:val="bottom"/>
          </w:tcPr>
          <w:p>
            <w:pPr>
              <w:spacing w:after="0"/>
              <w:rPr>
                <w:sz w:val="1"/>
                <w:szCs w:val="1"/>
                <w:color w:val="auto"/>
              </w:rPr>
            </w:pPr>
          </w:p>
        </w:tc>
      </w:tr>
      <w:tr>
        <w:trPr>
          <w:trHeight w:val="182"/>
        </w:trPr>
        <w:tc>
          <w:tcPr>
            <w:tcW w:w="1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shd w:val="clear" w:color="auto" w:fill="CCEEFF"/>
          </w:tcPr>
          <w:p>
            <w:pPr>
              <w:spacing w:after="0"/>
              <w:rPr>
                <w:sz w:val="15"/>
                <w:szCs w:val="15"/>
                <w:color w:val="auto"/>
              </w:rPr>
            </w:pPr>
          </w:p>
        </w:tc>
        <w:tc>
          <w:tcPr>
            <w:tcW w:w="5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40" w:type="dxa"/>
            <w:vAlign w:val="bottom"/>
          </w:tcPr>
          <w:p>
            <w:pPr>
              <w:jc w:val="center"/>
              <w:spacing w:after="0" w:line="135" w:lineRule="exact"/>
              <w:rPr>
                <w:sz w:val="20"/>
                <w:szCs w:val="20"/>
                <w:color w:val="auto"/>
              </w:rPr>
            </w:pPr>
            <w:r>
              <w:rPr>
                <w:rFonts w:ascii="Arial" w:cs="Arial" w:eastAsia="Arial" w:hAnsi="Arial"/>
                <w:sz w:val="14"/>
                <w:szCs w:val="14"/>
                <w:color w:val="auto"/>
                <w:w w:val="96"/>
              </w:rPr>
              <w:t>CIP Financial</w:t>
            </w:r>
          </w:p>
        </w:tc>
        <w:tc>
          <w:tcPr>
            <w:tcW w:w="1080" w:type="dxa"/>
            <w:vAlign w:val="bottom"/>
          </w:tcPr>
          <w:p>
            <w:pPr>
              <w:jc w:val="center"/>
              <w:ind w:left="29"/>
              <w:spacing w:after="0" w:line="135" w:lineRule="exact"/>
              <w:rPr>
                <w:sz w:val="20"/>
                <w:szCs w:val="20"/>
                <w:color w:val="auto"/>
              </w:rPr>
            </w:pPr>
            <w:r>
              <w:rPr>
                <w:rFonts w:ascii="Arial" w:cs="Arial" w:eastAsia="Arial" w:hAnsi="Arial"/>
                <w:sz w:val="14"/>
                <w:szCs w:val="14"/>
                <w:color w:val="auto"/>
                <w:w w:val="89"/>
              </w:rPr>
              <w:t>10</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rPr>
              <w:t>May</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100"/>
              <w:spacing w:after="0" w:line="135" w:lineRule="exact"/>
              <w:rPr>
                <w:sz w:val="20"/>
                <w:szCs w:val="20"/>
                <w:color w:val="auto"/>
              </w:rPr>
            </w:pPr>
            <w:r>
              <w:rPr>
                <w:rFonts w:ascii="Arial" w:cs="Arial" w:eastAsia="Arial" w:hAnsi="Arial"/>
                <w:sz w:val="14"/>
                <w:szCs w:val="14"/>
                <w:color w:val="auto"/>
              </w:rPr>
              <w:t>CIP Financial Incentive based on 2020 activity.</w:t>
            </w:r>
          </w:p>
        </w:tc>
        <w:tc>
          <w:tcPr>
            <w:tcW w:w="0" w:type="dxa"/>
            <w:vAlign w:val="bottom"/>
          </w:tcPr>
          <w:p>
            <w:pPr>
              <w:spacing w:after="0"/>
              <w:rPr>
                <w:sz w:val="1"/>
                <w:szCs w:val="1"/>
                <w:color w:val="auto"/>
              </w:rPr>
            </w:pPr>
          </w:p>
        </w:tc>
      </w:tr>
      <w:tr>
        <w:trPr>
          <w:trHeight w:val="186"/>
        </w:trPr>
        <w:tc>
          <w:tcPr>
            <w:tcW w:w="1240" w:type="dxa"/>
            <w:vAlign w:val="bottom"/>
          </w:tcPr>
          <w:p>
            <w:pPr>
              <w:jc w:val="center"/>
              <w:spacing w:after="0"/>
              <w:rPr>
                <w:sz w:val="20"/>
                <w:szCs w:val="20"/>
                <w:color w:val="auto"/>
              </w:rPr>
            </w:pPr>
            <w:r>
              <w:rPr>
                <w:rFonts w:ascii="Arial" w:cs="Arial" w:eastAsia="Arial" w:hAnsi="Arial"/>
                <w:sz w:val="14"/>
                <w:szCs w:val="14"/>
                <w:color w:val="auto"/>
                <w:w w:val="95"/>
              </w:rPr>
              <w:t xml:space="preserve">Incentive </w:t>
            </w:r>
            <w:r>
              <w:rPr>
                <w:rFonts w:ascii="Arial" w:cs="Arial" w:eastAsia="Arial" w:hAnsi="Arial"/>
                <w:sz w:val="9"/>
                <w:szCs w:val="9"/>
                <w:color w:val="auto"/>
                <w:w w:val="95"/>
              </w:rPr>
              <w:t>(1)</w:t>
            </w:r>
          </w:p>
        </w:tc>
        <w:tc>
          <w:tcPr>
            <w:tcW w:w="10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7820" w:type="dxa"/>
            <w:vAlign w:val="bottom"/>
            <w:tcBorders>
              <w:bottom w:val="single" w:sz="8" w:color="auto"/>
            </w:tcBorders>
            <w:gridSpan w:val="3"/>
            <w:shd w:val="clear" w:color="auto" w:fill="CCEEFF"/>
          </w:tcPr>
          <w:p>
            <w:pPr>
              <w:jc w:val="center"/>
              <w:ind w:right="3348"/>
              <w:spacing w:after="0"/>
              <w:rPr>
                <w:sz w:val="20"/>
                <w:szCs w:val="20"/>
                <w:color w:val="auto"/>
              </w:rPr>
            </w:pPr>
            <w:r>
              <w:rPr>
                <w:rFonts w:ascii="Arial" w:cs="Arial" w:eastAsia="Arial" w:hAnsi="Arial"/>
                <w:sz w:val="14"/>
                <w:szCs w:val="14"/>
                <w:b w:val="1"/>
                <w:bCs w:val="1"/>
                <w:color w:val="auto"/>
                <w:w w:val="95"/>
              </w:rPr>
              <w:t>CenterPoint Energy and CERC - Mississippi (MPSC)</w:t>
            </w:r>
          </w:p>
        </w:tc>
        <w:tc>
          <w:tcPr>
            <w:tcW w:w="0" w:type="dxa"/>
            <w:vAlign w:val="bottom"/>
          </w:tcPr>
          <w:p>
            <w:pPr>
              <w:spacing w:after="0"/>
              <w:rPr>
                <w:sz w:val="1"/>
                <w:szCs w:val="1"/>
                <w:color w:val="auto"/>
              </w:rPr>
            </w:pPr>
          </w:p>
        </w:tc>
      </w:tr>
      <w:tr>
        <w:trPr>
          <w:trHeight w:val="130"/>
        </w:trPr>
        <w:tc>
          <w:tcPr>
            <w:tcW w:w="1240" w:type="dxa"/>
            <w:vAlign w:val="bottom"/>
          </w:tcPr>
          <w:p>
            <w:pPr>
              <w:jc w:val="center"/>
              <w:spacing w:after="0" w:line="130" w:lineRule="exact"/>
              <w:rPr>
                <w:sz w:val="20"/>
                <w:szCs w:val="20"/>
                <w:color w:val="auto"/>
              </w:rPr>
            </w:pPr>
            <w:r>
              <w:rPr>
                <w:rFonts w:ascii="Arial" w:cs="Arial" w:eastAsia="Arial" w:hAnsi="Arial"/>
                <w:sz w:val="14"/>
                <w:szCs w:val="14"/>
                <w:color w:val="auto"/>
                <w:w w:val="98"/>
              </w:rPr>
              <w:t xml:space="preserve">RRA </w:t>
            </w:r>
            <w:r>
              <w:rPr>
                <w:rFonts w:ascii="Arial" w:cs="Arial" w:eastAsia="Arial" w:hAnsi="Arial"/>
                <w:sz w:val="9"/>
                <w:szCs w:val="9"/>
                <w:color w:val="auto"/>
                <w:w w:val="98"/>
              </w:rPr>
              <w:t>(1)</w:t>
            </w:r>
          </w:p>
        </w:tc>
        <w:tc>
          <w:tcPr>
            <w:tcW w:w="1080" w:type="dxa"/>
            <w:vAlign w:val="bottom"/>
          </w:tcPr>
          <w:p>
            <w:pPr>
              <w:jc w:val="center"/>
              <w:ind w:left="49"/>
              <w:spacing w:after="0" w:line="130" w:lineRule="exact"/>
              <w:rPr>
                <w:sz w:val="20"/>
                <w:szCs w:val="20"/>
                <w:color w:val="auto"/>
              </w:rPr>
            </w:pPr>
            <w:r>
              <w:rPr>
                <w:rFonts w:ascii="Arial" w:cs="Arial" w:eastAsia="Arial" w:hAnsi="Arial"/>
                <w:sz w:val="14"/>
                <w:szCs w:val="14"/>
                <w:b w:val="1"/>
                <w:bCs w:val="1"/>
                <w:color w:val="auto"/>
              </w:rPr>
              <w:t>4</w:t>
            </w: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line="130"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100"/>
              <w:spacing w:after="0" w:line="130" w:lineRule="exact"/>
              <w:rPr>
                <w:sz w:val="20"/>
                <w:szCs w:val="20"/>
                <w:color w:val="auto"/>
              </w:rPr>
            </w:pPr>
            <w:r>
              <w:rPr>
                <w:rFonts w:ascii="Arial" w:cs="Arial" w:eastAsia="Arial" w:hAnsi="Arial"/>
                <w:sz w:val="14"/>
                <w:szCs w:val="14"/>
                <w:color w:val="auto"/>
              </w:rPr>
              <w:t>Based on ROE of 9.81% with 100 basis point (+/-) earnings band. Revenue increase of</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20" w:type="dxa"/>
            <w:vAlign w:val="bottom"/>
          </w:tcPr>
          <w:p>
            <w:pPr>
              <w:ind w:left="100"/>
              <w:spacing w:after="0"/>
              <w:rPr>
                <w:sz w:val="20"/>
                <w:szCs w:val="20"/>
                <w:color w:val="auto"/>
              </w:rPr>
            </w:pPr>
            <w:r>
              <w:rPr>
                <w:rFonts w:ascii="Arial" w:cs="Arial" w:eastAsia="Arial" w:hAnsi="Arial"/>
                <w:sz w:val="14"/>
                <w:szCs w:val="14"/>
                <w:color w:val="auto"/>
              </w:rPr>
              <w:t>approximately $4 million based on 2020 test year adjusted earned ROE of 6.97%.</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7820" w:type="dxa"/>
            <w:vAlign w:val="bottom"/>
            <w:tcBorders>
              <w:bottom w:val="single" w:sz="8" w:color="auto"/>
            </w:tcBorders>
            <w:gridSpan w:val="3"/>
            <w:shd w:val="clear" w:color="auto" w:fill="CCEEFF"/>
          </w:tcPr>
          <w:p>
            <w:pPr>
              <w:jc w:val="center"/>
              <w:ind w:right="3348"/>
              <w:spacing w:after="0"/>
              <w:rPr>
                <w:sz w:val="20"/>
                <w:szCs w:val="20"/>
                <w:color w:val="auto"/>
              </w:rPr>
            </w:pPr>
            <w:r>
              <w:rPr>
                <w:rFonts w:ascii="Arial" w:cs="Arial" w:eastAsia="Arial" w:hAnsi="Arial"/>
                <w:sz w:val="14"/>
                <w:szCs w:val="14"/>
                <w:b w:val="1"/>
                <w:bCs w:val="1"/>
                <w:color w:val="auto"/>
                <w:w w:val="96"/>
              </w:rPr>
              <w:t>CenterPoint Energy and CERC - Oklahoma (OCC)</w:t>
            </w:r>
          </w:p>
        </w:tc>
        <w:tc>
          <w:tcPr>
            <w:tcW w:w="0" w:type="dxa"/>
            <w:vAlign w:val="bottom"/>
          </w:tcPr>
          <w:p>
            <w:pPr>
              <w:spacing w:after="0"/>
              <w:rPr>
                <w:sz w:val="1"/>
                <w:szCs w:val="1"/>
                <w:color w:val="auto"/>
              </w:rPr>
            </w:pPr>
          </w:p>
        </w:tc>
      </w:tr>
      <w:tr>
        <w:trPr>
          <w:trHeight w:val="137"/>
        </w:trPr>
        <w:tc>
          <w:tcPr>
            <w:tcW w:w="1240" w:type="dxa"/>
            <w:vAlign w:val="bottom"/>
          </w:tcPr>
          <w:p>
            <w:pPr>
              <w:jc w:val="center"/>
              <w:spacing w:after="0" w:line="137" w:lineRule="exact"/>
              <w:rPr>
                <w:sz w:val="20"/>
                <w:szCs w:val="20"/>
                <w:color w:val="auto"/>
              </w:rPr>
            </w:pPr>
            <w:r>
              <w:rPr>
                <w:rFonts w:ascii="Arial" w:cs="Arial" w:eastAsia="Arial" w:hAnsi="Arial"/>
                <w:sz w:val="14"/>
                <w:szCs w:val="14"/>
                <w:color w:val="auto"/>
                <w:w w:val="92"/>
              </w:rPr>
              <w:t xml:space="preserve">PBRC </w:t>
            </w:r>
            <w:r>
              <w:rPr>
                <w:rFonts w:ascii="Arial" w:cs="Arial" w:eastAsia="Arial" w:hAnsi="Arial"/>
                <w:sz w:val="9"/>
                <w:szCs w:val="9"/>
                <w:color w:val="auto"/>
                <w:w w:val="92"/>
              </w:rPr>
              <w:t>(1)</w:t>
            </w:r>
          </w:p>
        </w:tc>
        <w:tc>
          <w:tcPr>
            <w:tcW w:w="1080" w:type="dxa"/>
            <w:vAlign w:val="bottom"/>
          </w:tcPr>
          <w:p>
            <w:pPr>
              <w:jc w:val="center"/>
              <w:ind w:left="49"/>
              <w:spacing w:after="0" w:line="137" w:lineRule="exact"/>
              <w:rPr>
                <w:sz w:val="20"/>
                <w:szCs w:val="20"/>
                <w:color w:val="auto"/>
              </w:rPr>
            </w:pPr>
            <w:r>
              <w:rPr>
                <w:rFonts w:ascii="Arial" w:cs="Arial" w:eastAsia="Arial" w:hAnsi="Arial"/>
                <w:sz w:val="14"/>
                <w:szCs w:val="14"/>
                <w:b w:val="1"/>
                <w:bCs w:val="1"/>
                <w:color w:val="auto"/>
                <w:w w:val="93"/>
              </w:rPr>
              <w:t>(1)</w:t>
            </w:r>
          </w:p>
        </w:tc>
        <w:tc>
          <w:tcPr>
            <w:tcW w:w="1100" w:type="dxa"/>
            <w:vAlign w:val="bottom"/>
          </w:tcPr>
          <w:p>
            <w:pPr>
              <w:jc w:val="center"/>
              <w:spacing w:after="0" w:line="137" w:lineRule="exact"/>
              <w:rPr>
                <w:sz w:val="20"/>
                <w:szCs w:val="20"/>
                <w:color w:val="auto"/>
              </w:rPr>
            </w:pPr>
            <w:r>
              <w:rPr>
                <w:rFonts w:ascii="Arial" w:cs="Arial" w:eastAsia="Arial" w:hAnsi="Arial"/>
                <w:sz w:val="14"/>
                <w:szCs w:val="14"/>
                <w:color w:val="auto"/>
                <w:w w:val="94"/>
              </w:rPr>
              <w:t>March 2021</w:t>
            </w:r>
          </w:p>
        </w:tc>
        <w:tc>
          <w:tcPr>
            <w:tcW w:w="1060" w:type="dxa"/>
            <w:vAlign w:val="bottom"/>
          </w:tcPr>
          <w:p>
            <w:pPr>
              <w:jc w:val="center"/>
              <w:spacing w:after="0" w:line="137" w:lineRule="exact"/>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line="137"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100"/>
              <w:spacing w:after="0" w:line="137" w:lineRule="exact"/>
              <w:rPr>
                <w:sz w:val="20"/>
                <w:szCs w:val="20"/>
                <w:color w:val="auto"/>
              </w:rPr>
            </w:pPr>
            <w:r>
              <w:rPr>
                <w:rFonts w:ascii="Arial" w:cs="Arial" w:eastAsia="Arial" w:hAnsi="Arial"/>
                <w:sz w:val="14"/>
                <w:szCs w:val="14"/>
                <w:color w:val="auto"/>
                <w:w w:val="96"/>
              </w:rPr>
              <w:t>Based on ROE of 10% with 50 basis point (+/-) earnings band. Revenue credit of approximately</w:t>
            </w: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20" w:type="dxa"/>
            <w:vAlign w:val="bottom"/>
          </w:tcPr>
          <w:p>
            <w:pPr>
              <w:ind w:left="100"/>
              <w:spacing w:after="0"/>
              <w:rPr>
                <w:sz w:val="20"/>
                <w:szCs w:val="20"/>
                <w:color w:val="auto"/>
              </w:rPr>
            </w:pPr>
            <w:r>
              <w:rPr>
                <w:rFonts w:ascii="Arial" w:cs="Arial" w:eastAsia="Arial" w:hAnsi="Arial"/>
                <w:sz w:val="14"/>
                <w:szCs w:val="14"/>
                <w:color w:val="auto"/>
              </w:rPr>
              <w:t>$1 million based on 2020 test year adjusted earned ROE of 12.42%.</w:t>
            </w: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7820" w:type="dxa"/>
            <w:vAlign w:val="bottom"/>
            <w:tcBorders>
              <w:bottom w:val="single" w:sz="8" w:color="auto"/>
            </w:tcBorders>
            <w:gridSpan w:val="3"/>
            <w:shd w:val="clear" w:color="auto" w:fill="CCEEFF"/>
          </w:tcPr>
          <w:p>
            <w:pPr>
              <w:jc w:val="center"/>
              <w:ind w:right="3348"/>
              <w:spacing w:after="0"/>
              <w:rPr>
                <w:sz w:val="20"/>
                <w:szCs w:val="20"/>
                <w:color w:val="auto"/>
              </w:rPr>
            </w:pPr>
            <w:r>
              <w:rPr>
                <w:rFonts w:ascii="Arial" w:cs="Arial" w:eastAsia="Arial" w:hAnsi="Arial"/>
                <w:sz w:val="14"/>
                <w:szCs w:val="14"/>
                <w:b w:val="1"/>
                <w:bCs w:val="1"/>
                <w:color w:val="auto"/>
                <w:w w:val="95"/>
              </w:rPr>
              <w:t>CenterPoint Energy - Indiana South - Gas (IURC)</w:t>
            </w:r>
          </w:p>
        </w:tc>
        <w:tc>
          <w:tcPr>
            <w:tcW w:w="0" w:type="dxa"/>
            <w:vAlign w:val="bottom"/>
          </w:tcPr>
          <w:p>
            <w:pPr>
              <w:spacing w:after="0"/>
              <w:rPr>
                <w:sz w:val="1"/>
                <w:szCs w:val="1"/>
                <w:color w:val="auto"/>
              </w:rPr>
            </w:pPr>
          </w:p>
        </w:tc>
      </w:tr>
      <w:tr>
        <w:trPr>
          <w:trHeight w:val="137"/>
        </w:trPr>
        <w:tc>
          <w:tcPr>
            <w:tcW w:w="1240" w:type="dxa"/>
            <w:vAlign w:val="bottom"/>
          </w:tcPr>
          <w:p>
            <w:pPr>
              <w:jc w:val="center"/>
              <w:spacing w:after="0" w:line="137" w:lineRule="exact"/>
              <w:rPr>
                <w:sz w:val="20"/>
                <w:szCs w:val="20"/>
                <w:color w:val="auto"/>
              </w:rPr>
            </w:pPr>
            <w:r>
              <w:rPr>
                <w:rFonts w:ascii="Arial" w:cs="Arial" w:eastAsia="Arial" w:hAnsi="Arial"/>
                <w:sz w:val="14"/>
                <w:szCs w:val="14"/>
                <w:color w:val="auto"/>
                <w:w w:val="88"/>
              </w:rPr>
              <w:t xml:space="preserve">Rate Case </w:t>
            </w:r>
            <w:r>
              <w:rPr>
                <w:rFonts w:ascii="Arial" w:cs="Arial" w:eastAsia="Arial" w:hAnsi="Arial"/>
                <w:sz w:val="9"/>
                <w:szCs w:val="9"/>
                <w:color w:val="auto"/>
                <w:w w:val="88"/>
              </w:rPr>
              <w:t>(1)</w:t>
            </w:r>
          </w:p>
        </w:tc>
        <w:tc>
          <w:tcPr>
            <w:tcW w:w="1080" w:type="dxa"/>
            <w:vAlign w:val="bottom"/>
          </w:tcPr>
          <w:p>
            <w:pPr>
              <w:jc w:val="center"/>
              <w:ind w:left="29"/>
              <w:spacing w:after="0" w:line="137" w:lineRule="exact"/>
              <w:rPr>
                <w:sz w:val="20"/>
                <w:szCs w:val="20"/>
                <w:color w:val="auto"/>
              </w:rPr>
            </w:pPr>
            <w:r>
              <w:rPr>
                <w:rFonts w:ascii="Arial" w:cs="Arial" w:eastAsia="Arial" w:hAnsi="Arial"/>
                <w:sz w:val="14"/>
                <w:szCs w:val="14"/>
                <w:color w:val="auto"/>
                <w:w w:val="89"/>
              </w:rPr>
              <w:t>29</w:t>
            </w:r>
          </w:p>
        </w:tc>
        <w:tc>
          <w:tcPr>
            <w:tcW w:w="1100" w:type="dxa"/>
            <w:vAlign w:val="bottom"/>
          </w:tcPr>
          <w:p>
            <w:pPr>
              <w:jc w:val="center"/>
              <w:spacing w:after="0" w:line="137" w:lineRule="exact"/>
              <w:rPr>
                <w:sz w:val="20"/>
                <w:szCs w:val="20"/>
                <w:color w:val="auto"/>
              </w:rPr>
            </w:pPr>
            <w:r>
              <w:rPr>
                <w:rFonts w:ascii="Arial" w:cs="Arial" w:eastAsia="Arial" w:hAnsi="Arial"/>
                <w:sz w:val="14"/>
                <w:szCs w:val="14"/>
                <w:color w:val="auto"/>
                <w:w w:val="94"/>
              </w:rPr>
              <w:t>October 2020</w:t>
            </w:r>
          </w:p>
        </w:tc>
        <w:tc>
          <w:tcPr>
            <w:tcW w:w="1060" w:type="dxa"/>
            <w:vAlign w:val="bottom"/>
          </w:tcPr>
          <w:p>
            <w:pPr>
              <w:jc w:val="center"/>
              <w:spacing w:after="0" w:line="137" w:lineRule="exact"/>
              <w:rPr>
                <w:sz w:val="20"/>
                <w:szCs w:val="20"/>
                <w:color w:val="auto"/>
              </w:rPr>
            </w:pPr>
            <w:r>
              <w:rPr>
                <w:rFonts w:ascii="Arial" w:cs="Arial" w:eastAsia="Arial" w:hAnsi="Arial"/>
                <w:sz w:val="14"/>
                <w:szCs w:val="14"/>
                <w:color w:val="auto"/>
                <w:w w:val="90"/>
              </w:rPr>
              <w:t>September</w:t>
            </w:r>
          </w:p>
        </w:tc>
        <w:tc>
          <w:tcPr>
            <w:tcW w:w="940" w:type="dxa"/>
            <w:vAlign w:val="bottom"/>
          </w:tcPr>
          <w:p>
            <w:pPr>
              <w:jc w:val="center"/>
              <w:spacing w:after="0" w:line="137"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100"/>
              <w:spacing w:after="0" w:line="137" w:lineRule="exact"/>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Indiana South Base Rate Case.</w:t>
            </w: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 xml:space="preserve">CSIA </w:t>
            </w:r>
            <w:r>
              <w:rPr>
                <w:rFonts w:ascii="Arial" w:cs="Arial" w:eastAsia="Arial" w:hAnsi="Arial"/>
                <w:sz w:val="9"/>
                <w:szCs w:val="9"/>
                <w:color w:val="auto"/>
                <w:w w:val="96"/>
              </w:rPr>
              <w:t>(1)</w:t>
            </w:r>
          </w:p>
        </w:tc>
        <w:tc>
          <w:tcPr>
            <w:tcW w:w="1080" w:type="dxa"/>
            <w:vAlign w:val="bottom"/>
            <w:shd w:val="clear" w:color="auto" w:fill="CCEEFF"/>
          </w:tcPr>
          <w:p>
            <w:pPr>
              <w:jc w:val="center"/>
              <w:ind w:left="49"/>
              <w:spacing w:after="0" w:line="142" w:lineRule="exact"/>
              <w:rPr>
                <w:sz w:val="20"/>
                <w:szCs w:val="20"/>
                <w:color w:val="auto"/>
              </w:rPr>
            </w:pPr>
            <w:r>
              <w:rPr>
                <w:rFonts w:ascii="Arial" w:cs="Arial" w:eastAsia="Arial" w:hAnsi="Arial"/>
                <w:sz w:val="14"/>
                <w:szCs w:val="14"/>
                <w:color w:val="auto"/>
                <w:w w:val="93"/>
              </w:rPr>
              <w:t>(1)</w:t>
            </w:r>
          </w:p>
        </w:tc>
        <w:tc>
          <w:tcPr>
            <w:tcW w:w="1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April</w:t>
            </w:r>
          </w:p>
        </w:tc>
        <w:tc>
          <w:tcPr>
            <w:tcW w:w="10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July</w:t>
            </w: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TBD</w:t>
            </w:r>
          </w:p>
        </w:tc>
        <w:tc>
          <w:tcPr>
            <w:tcW w:w="582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93"/>
              </w:rPr>
              <w:t>Requested an increase of $11 million to rate base, which reflects a $(1 million) annual decrease in</w:t>
            </w:r>
          </w:p>
        </w:tc>
        <w:tc>
          <w:tcPr>
            <w:tcW w:w="0" w:type="dxa"/>
            <w:vAlign w:val="bottom"/>
          </w:tcPr>
          <w:p>
            <w:pPr>
              <w:spacing w:after="0"/>
              <w:rPr>
                <w:sz w:val="1"/>
                <w:szCs w:val="1"/>
                <w:color w:val="auto"/>
              </w:rPr>
            </w:pPr>
          </w:p>
        </w:tc>
      </w:tr>
      <w:tr>
        <w:trPr>
          <w:trHeight w:val="128"/>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89"/>
              </w:rPr>
              <w:t>2021</w:t>
            </w:r>
          </w:p>
        </w:tc>
        <w:tc>
          <w:tcPr>
            <w:tcW w:w="10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89"/>
              </w:rPr>
              <w:t>2021</w:t>
            </w:r>
          </w:p>
        </w:tc>
        <w:tc>
          <w:tcPr>
            <w:tcW w:w="940" w:type="dxa"/>
            <w:vAlign w:val="bottom"/>
            <w:shd w:val="clear" w:color="auto" w:fill="CCEEFF"/>
          </w:tcPr>
          <w:p>
            <w:pPr>
              <w:spacing w:after="0"/>
              <w:rPr>
                <w:sz w:val="11"/>
                <w:szCs w:val="11"/>
                <w:color w:val="auto"/>
              </w:rPr>
            </w:pPr>
          </w:p>
        </w:tc>
        <w:tc>
          <w:tcPr>
            <w:tcW w:w="582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recovery variance of less than $1 million annually.</w:t>
            </w: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gridSpan w:val="3"/>
          </w:tcPr>
          <w:p>
            <w:pPr>
              <w:jc w:val="center"/>
              <w:ind w:right="3328"/>
              <w:spacing w:after="0"/>
              <w:rPr>
                <w:sz w:val="20"/>
                <w:szCs w:val="20"/>
                <w:color w:val="auto"/>
              </w:rPr>
            </w:pPr>
            <w:r>
              <w:rPr>
                <w:rFonts w:ascii="Arial" w:cs="Arial" w:eastAsia="Arial" w:hAnsi="Arial"/>
                <w:sz w:val="14"/>
                <w:szCs w:val="14"/>
                <w:b w:val="1"/>
                <w:bCs w:val="1"/>
                <w:color w:val="auto"/>
                <w:w w:val="96"/>
              </w:rPr>
              <w:t>CenterPoint Energy - Indiana North - Gas (IURC)</w:t>
            </w:r>
          </w:p>
        </w:tc>
        <w:tc>
          <w:tcPr>
            <w:tcW w:w="0" w:type="dxa"/>
            <w:vAlign w:val="bottom"/>
          </w:tcPr>
          <w:p>
            <w:pPr>
              <w:spacing w:after="0"/>
              <w:rPr>
                <w:sz w:val="1"/>
                <w:szCs w:val="1"/>
                <w:color w:val="auto"/>
              </w:rPr>
            </w:pPr>
          </w:p>
        </w:tc>
      </w:tr>
      <w:tr>
        <w:trPr>
          <w:trHeight w:val="184"/>
        </w:trPr>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 xml:space="preserve">Rate Case </w:t>
            </w:r>
            <w:r>
              <w:rPr>
                <w:rFonts w:ascii="Arial" w:cs="Arial" w:eastAsia="Arial" w:hAnsi="Arial"/>
                <w:sz w:val="9"/>
                <w:szCs w:val="9"/>
                <w:color w:val="auto"/>
                <w:w w:val="88"/>
              </w:rPr>
              <w:t>(1)</w:t>
            </w:r>
          </w:p>
        </w:tc>
        <w:tc>
          <w:tcPr>
            <w:tcW w:w="108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89"/>
              </w:rPr>
              <w:t>21</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December 2020</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October 2021</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Indiana North Base Rate Case.</w:t>
            </w:r>
          </w:p>
        </w:tc>
        <w:tc>
          <w:tcPr>
            <w:tcW w:w="0" w:type="dxa"/>
            <w:vAlign w:val="bottom"/>
          </w:tcPr>
          <w:p>
            <w:pPr>
              <w:spacing w:after="0"/>
              <w:rPr>
                <w:sz w:val="1"/>
                <w:szCs w:val="1"/>
                <w:color w:val="auto"/>
              </w:rPr>
            </w:pPr>
          </w:p>
        </w:tc>
      </w:tr>
      <w:tr>
        <w:trPr>
          <w:trHeight w:val="142"/>
        </w:trPr>
        <w:tc>
          <w:tcPr>
            <w:tcW w:w="1240" w:type="dxa"/>
            <w:vAlign w:val="bottom"/>
          </w:tcPr>
          <w:p>
            <w:pPr>
              <w:jc w:val="center"/>
              <w:spacing w:after="0" w:line="142" w:lineRule="exact"/>
              <w:rPr>
                <w:sz w:val="20"/>
                <w:szCs w:val="20"/>
                <w:color w:val="auto"/>
              </w:rPr>
            </w:pPr>
            <w:r>
              <w:rPr>
                <w:rFonts w:ascii="Arial" w:cs="Arial" w:eastAsia="Arial" w:hAnsi="Arial"/>
                <w:sz w:val="14"/>
                <w:szCs w:val="14"/>
                <w:color w:val="auto"/>
                <w:w w:val="96"/>
              </w:rPr>
              <w:t xml:space="preserve">CSIA </w:t>
            </w:r>
            <w:r>
              <w:rPr>
                <w:rFonts w:ascii="Arial" w:cs="Arial" w:eastAsia="Arial" w:hAnsi="Arial"/>
                <w:sz w:val="9"/>
                <w:szCs w:val="9"/>
                <w:color w:val="auto"/>
                <w:w w:val="96"/>
              </w:rPr>
              <w:t>(1)</w:t>
            </w:r>
          </w:p>
        </w:tc>
        <w:tc>
          <w:tcPr>
            <w:tcW w:w="1080" w:type="dxa"/>
            <w:vAlign w:val="bottom"/>
          </w:tcPr>
          <w:p>
            <w:pPr>
              <w:jc w:val="center"/>
              <w:ind w:left="49"/>
              <w:spacing w:after="0" w:line="142" w:lineRule="exact"/>
              <w:rPr>
                <w:sz w:val="20"/>
                <w:szCs w:val="20"/>
                <w:color w:val="auto"/>
              </w:rPr>
            </w:pPr>
            <w:r>
              <w:rPr>
                <w:rFonts w:ascii="Arial" w:cs="Arial" w:eastAsia="Arial" w:hAnsi="Arial"/>
                <w:sz w:val="14"/>
                <w:szCs w:val="14"/>
                <w:color w:val="auto"/>
              </w:rPr>
              <w:t>5</w:t>
            </w:r>
          </w:p>
        </w:tc>
        <w:tc>
          <w:tcPr>
            <w:tcW w:w="1100" w:type="dxa"/>
            <w:vAlign w:val="bottom"/>
          </w:tcPr>
          <w:p>
            <w:pPr>
              <w:jc w:val="center"/>
              <w:spacing w:after="0" w:line="142"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w w:val="96"/>
              </w:rPr>
              <w:t>July</w:t>
            </w:r>
          </w:p>
        </w:tc>
        <w:tc>
          <w:tcPr>
            <w:tcW w:w="940" w:type="dxa"/>
            <w:vAlign w:val="bottom"/>
          </w:tcPr>
          <w:p>
            <w:pPr>
              <w:jc w:val="center"/>
              <w:spacing w:after="0" w:line="142"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100"/>
              <w:spacing w:after="0" w:line="142" w:lineRule="exact"/>
              <w:rPr>
                <w:sz w:val="20"/>
                <w:szCs w:val="20"/>
                <w:color w:val="auto"/>
              </w:rPr>
            </w:pPr>
            <w:r>
              <w:rPr>
                <w:rFonts w:ascii="Arial" w:cs="Arial" w:eastAsia="Arial" w:hAnsi="Arial"/>
                <w:sz w:val="14"/>
                <w:szCs w:val="14"/>
                <w:color w:val="auto"/>
                <w:w w:val="96"/>
              </w:rPr>
              <w:t>Requested an increase of $37 million to rate base, which reflects a $5 million annual increase in</w:t>
            </w: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color w:val="auto"/>
                <w:w w:val="89"/>
              </w:rPr>
              <w:t>2021</w:t>
            </w:r>
          </w:p>
        </w:tc>
        <w:tc>
          <w:tcPr>
            <w:tcW w:w="1060" w:type="dxa"/>
            <w:vAlign w:val="bottom"/>
          </w:tcPr>
          <w:p>
            <w:pPr>
              <w:jc w:val="center"/>
              <w:spacing w:after="0" w:line="129" w:lineRule="exact"/>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1"/>
                <w:szCs w:val="11"/>
                <w:color w:val="auto"/>
              </w:rPr>
            </w:pPr>
          </w:p>
        </w:tc>
        <w:tc>
          <w:tcPr>
            <w:tcW w:w="5820" w:type="dxa"/>
            <w:vAlign w:val="bottom"/>
          </w:tcPr>
          <w:p>
            <w:pPr>
              <w:ind w:left="100"/>
              <w:spacing w:after="0" w:line="129"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20" w:type="dxa"/>
            <w:vAlign w:val="bottom"/>
          </w:tcPr>
          <w:p>
            <w:pPr>
              <w:ind w:left="100"/>
              <w:spacing w:after="0" w:line="135"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20" w:type="dxa"/>
            <w:vAlign w:val="bottom"/>
          </w:tcPr>
          <w:p>
            <w:pPr>
              <w:ind w:left="100"/>
              <w:spacing w:after="0" w:line="135"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20" w:type="dxa"/>
            <w:vAlign w:val="bottom"/>
          </w:tcPr>
          <w:p>
            <w:pPr>
              <w:ind w:left="100"/>
              <w:spacing w:after="0"/>
              <w:rPr>
                <w:sz w:val="20"/>
                <w:szCs w:val="20"/>
                <w:color w:val="auto"/>
              </w:rPr>
            </w:pPr>
            <w:r>
              <w:rPr>
                <w:rFonts w:ascii="Arial" w:cs="Arial" w:eastAsia="Arial" w:hAnsi="Arial"/>
                <w:sz w:val="14"/>
                <w:szCs w:val="14"/>
                <w:color w:val="auto"/>
              </w:rPr>
              <w:t>recovery variance of $6 million annually.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4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Annual</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40" w:type="dxa"/>
            <w:vAlign w:val="bottom"/>
          </w:tcPr>
          <w:p>
            <w:pPr>
              <w:jc w:val="center"/>
              <w:ind w:left="51"/>
              <w:spacing w:after="0" w:line="135" w:lineRule="exact"/>
              <w:rPr>
                <w:sz w:val="20"/>
                <w:szCs w:val="20"/>
                <w:color w:val="auto"/>
              </w:rPr>
            </w:pPr>
            <w:r>
              <w:rPr>
                <w:rFonts w:ascii="Arial" w:cs="Arial" w:eastAsia="Arial" w:hAnsi="Arial"/>
                <w:sz w:val="14"/>
                <w:szCs w:val="14"/>
                <w:b w:val="1"/>
                <w:bCs w:val="1"/>
                <w:color w:val="auto"/>
                <w:w w:val="87"/>
              </w:rPr>
              <w:t>Increase</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40" w:type="dxa"/>
            <w:vAlign w:val="bottom"/>
          </w:tcPr>
          <w:p>
            <w:pPr>
              <w:spacing w:after="0"/>
              <w:rPr>
                <w:sz w:val="11"/>
                <w:szCs w:val="11"/>
                <w:color w:val="auto"/>
              </w:rPr>
            </w:pPr>
          </w:p>
        </w:tc>
        <w:tc>
          <w:tcPr>
            <w:tcW w:w="9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Approval</w:t>
            </w:r>
          </w:p>
        </w:tc>
        <w:tc>
          <w:tcPr>
            <w:tcW w:w="5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1"/>
              </w:rPr>
              <w:t>Mechanism</w:t>
            </w:r>
          </w:p>
        </w:tc>
        <w:tc>
          <w:tcPr>
            <w:tcW w:w="1140" w:type="dxa"/>
            <w:vAlign w:val="bottom"/>
          </w:tcPr>
          <w:p>
            <w:pPr>
              <w:jc w:val="center"/>
              <w:ind w:left="51"/>
              <w:spacing w:after="0" w:line="135" w:lineRule="exact"/>
              <w:rPr>
                <w:sz w:val="20"/>
                <w:szCs w:val="20"/>
                <w:color w:val="auto"/>
              </w:rPr>
            </w:pPr>
            <w:r>
              <w:rPr>
                <w:rFonts w:ascii="Arial" w:cs="Arial" w:eastAsia="Arial" w:hAnsi="Arial"/>
                <w:sz w:val="14"/>
                <w:szCs w:val="14"/>
                <w:b w:val="1"/>
                <w:bCs w:val="1"/>
                <w:color w:val="auto"/>
                <w:w w:val="93"/>
              </w:rPr>
              <w:t xml:space="preserve">(Decrease) </w:t>
            </w:r>
            <w:r>
              <w:rPr>
                <w:rFonts w:ascii="Arial" w:cs="Arial" w:eastAsia="Arial" w:hAnsi="Arial"/>
                <w:sz w:val="10"/>
                <w:szCs w:val="10"/>
                <w:b w:val="1"/>
                <w:bCs w:val="1"/>
                <w:color w:val="auto"/>
                <w:w w:val="93"/>
              </w:rPr>
              <w:t>(1)</w:t>
            </w:r>
          </w:p>
        </w:tc>
        <w:tc>
          <w:tcPr>
            <w:tcW w:w="1040" w:type="dxa"/>
            <w:vAlign w:val="bottom"/>
            <w:vMerge w:val="continue"/>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940" w:type="dxa"/>
            <w:vAlign w:val="bottom"/>
            <w:vMerge w:val="continue"/>
          </w:tcPr>
          <w:p>
            <w:pPr>
              <w:spacing w:after="0"/>
              <w:rPr>
                <w:sz w:val="11"/>
                <w:szCs w:val="11"/>
                <w:color w:val="auto"/>
              </w:rPr>
            </w:pPr>
          </w:p>
        </w:tc>
        <w:tc>
          <w:tcPr>
            <w:tcW w:w="586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1140" w:type="dxa"/>
            <w:vAlign w:val="bottom"/>
          </w:tcPr>
          <w:p>
            <w:pPr>
              <w:jc w:val="center"/>
              <w:ind w:left="51"/>
              <w:spacing w:after="0"/>
              <w:rPr>
                <w:sz w:val="20"/>
                <w:szCs w:val="20"/>
                <w:color w:val="auto"/>
              </w:rPr>
            </w:pPr>
            <w:r>
              <w:rPr>
                <w:rFonts w:ascii="Arial" w:cs="Arial" w:eastAsia="Arial" w:hAnsi="Arial"/>
                <w:sz w:val="11"/>
                <w:szCs w:val="11"/>
                <w:b w:val="1"/>
                <w:bCs w:val="1"/>
                <w:color w:val="auto"/>
                <w:w w:val="87"/>
              </w:rPr>
              <w:t>(in millions)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vMerge w:val="continue"/>
          </w:tcPr>
          <w:p>
            <w:pPr>
              <w:spacing w:after="0"/>
              <w:rPr>
                <w:sz w:val="14"/>
                <w:szCs w:val="14"/>
                <w:color w:val="auto"/>
              </w:rPr>
            </w:pPr>
          </w:p>
        </w:tc>
        <w:tc>
          <w:tcPr>
            <w:tcW w:w="94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Date</w:t>
            </w:r>
          </w:p>
        </w:tc>
        <w:tc>
          <w:tcPr>
            <w:tcW w:w="5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800" w:type="dxa"/>
            <w:vAlign w:val="bottom"/>
            <w:tcBorders>
              <w:bottom w:val="single" w:sz="8" w:color="auto"/>
            </w:tcBorders>
            <w:gridSpan w:val="2"/>
            <w:shd w:val="clear" w:color="auto" w:fill="CCEEFF"/>
          </w:tcPr>
          <w:p>
            <w:pPr>
              <w:jc w:val="center"/>
              <w:ind w:right="4368"/>
              <w:spacing w:after="0"/>
              <w:rPr>
                <w:sz w:val="20"/>
                <w:szCs w:val="20"/>
                <w:color w:val="auto"/>
              </w:rPr>
            </w:pPr>
            <w:r>
              <w:rPr>
                <w:rFonts w:ascii="Arial" w:cs="Arial" w:eastAsia="Arial" w:hAnsi="Arial"/>
                <w:sz w:val="14"/>
                <w:szCs w:val="14"/>
                <w:b w:val="1"/>
                <w:bCs w:val="1"/>
                <w:color w:val="auto"/>
                <w:w w:val="96"/>
              </w:rPr>
              <w:t>CenterPoint Energy - Ohio (PUCO)</w:t>
            </w:r>
          </w:p>
        </w:tc>
        <w:tc>
          <w:tcPr>
            <w:tcW w:w="0" w:type="dxa"/>
            <w:vAlign w:val="bottom"/>
          </w:tcPr>
          <w:p>
            <w:pPr>
              <w:spacing w:after="0"/>
              <w:rPr>
                <w:sz w:val="1"/>
                <w:szCs w:val="1"/>
                <w:color w:val="auto"/>
              </w:rPr>
            </w:pPr>
          </w:p>
        </w:tc>
      </w:tr>
      <w:tr>
        <w:trPr>
          <w:trHeight w:val="130"/>
        </w:trPr>
        <w:tc>
          <w:tcPr>
            <w:tcW w:w="1220" w:type="dxa"/>
            <w:vAlign w:val="bottom"/>
          </w:tcPr>
          <w:p>
            <w:pPr>
              <w:jc w:val="center"/>
              <w:ind w:left="8"/>
              <w:spacing w:after="0" w:line="130" w:lineRule="exact"/>
              <w:rPr>
                <w:sz w:val="20"/>
                <w:szCs w:val="20"/>
                <w:color w:val="auto"/>
              </w:rPr>
            </w:pPr>
            <w:r>
              <w:rPr>
                <w:rFonts w:ascii="Arial" w:cs="Arial" w:eastAsia="Arial" w:hAnsi="Arial"/>
                <w:sz w:val="14"/>
                <w:szCs w:val="14"/>
                <w:color w:val="auto"/>
                <w:w w:val="92"/>
              </w:rPr>
              <w:t xml:space="preserve">DRR </w:t>
            </w:r>
            <w:r>
              <w:rPr>
                <w:rFonts w:ascii="Arial" w:cs="Arial" w:eastAsia="Arial" w:hAnsi="Arial"/>
                <w:sz w:val="9"/>
                <w:szCs w:val="9"/>
                <w:color w:val="auto"/>
                <w:w w:val="92"/>
              </w:rPr>
              <w:t>(1)</w:t>
            </w:r>
          </w:p>
        </w:tc>
        <w:tc>
          <w:tcPr>
            <w:tcW w:w="1140" w:type="dxa"/>
            <w:vAlign w:val="bottom"/>
          </w:tcPr>
          <w:p>
            <w:pPr>
              <w:jc w:val="center"/>
              <w:ind w:left="51"/>
              <w:spacing w:after="0" w:line="130" w:lineRule="exact"/>
              <w:rPr>
                <w:sz w:val="20"/>
                <w:szCs w:val="20"/>
                <w:color w:val="auto"/>
              </w:rPr>
            </w:pPr>
            <w:r>
              <w:rPr>
                <w:rFonts w:ascii="Arial" w:cs="Arial" w:eastAsia="Arial" w:hAnsi="Arial"/>
                <w:sz w:val="14"/>
                <w:szCs w:val="14"/>
                <w:b w:val="1"/>
                <w:bCs w:val="1"/>
                <w:color w:val="auto"/>
                <w:w w:val="76"/>
              </w:rPr>
              <w:t>9</w:t>
            </w:r>
          </w:p>
        </w:tc>
        <w:tc>
          <w:tcPr>
            <w:tcW w:w="1040" w:type="dxa"/>
            <w:vAlign w:val="bottom"/>
          </w:tcPr>
          <w:p>
            <w:pPr>
              <w:jc w:val="center"/>
              <w:spacing w:after="0" w:line="130" w:lineRule="exact"/>
              <w:rPr>
                <w:sz w:val="20"/>
                <w:szCs w:val="20"/>
                <w:color w:val="auto"/>
              </w:rPr>
            </w:pPr>
            <w:r>
              <w:rPr>
                <w:rFonts w:ascii="Arial" w:cs="Arial" w:eastAsia="Arial" w:hAnsi="Arial"/>
                <w:sz w:val="14"/>
                <w:szCs w:val="14"/>
                <w:color w:val="auto"/>
              </w:rPr>
              <w:t>April</w:t>
            </w:r>
          </w:p>
        </w:tc>
        <w:tc>
          <w:tcPr>
            <w:tcW w:w="1040" w:type="dxa"/>
            <w:vAlign w:val="bottom"/>
          </w:tcPr>
          <w:p>
            <w:pPr>
              <w:jc w:val="center"/>
              <w:spacing w:after="0" w:line="130" w:lineRule="exact"/>
              <w:rPr>
                <w:sz w:val="20"/>
                <w:szCs w:val="20"/>
                <w:color w:val="auto"/>
              </w:rPr>
            </w:pPr>
            <w:r>
              <w:rPr>
                <w:rFonts w:ascii="Arial" w:cs="Arial" w:eastAsia="Arial" w:hAnsi="Arial"/>
                <w:sz w:val="14"/>
                <w:szCs w:val="14"/>
                <w:color w:val="auto"/>
                <w:w w:val="90"/>
              </w:rPr>
              <w:t>September</w:t>
            </w:r>
          </w:p>
        </w:tc>
        <w:tc>
          <w:tcPr>
            <w:tcW w:w="940" w:type="dxa"/>
            <w:vAlign w:val="bottom"/>
          </w:tcPr>
          <w:p>
            <w:pPr>
              <w:jc w:val="center"/>
              <w:ind w:left="28"/>
              <w:spacing w:after="0" w:line="130" w:lineRule="exact"/>
              <w:rPr>
                <w:sz w:val="20"/>
                <w:szCs w:val="20"/>
                <w:color w:val="auto"/>
              </w:rPr>
            </w:pPr>
            <w:r>
              <w:rPr>
                <w:rFonts w:ascii="Arial" w:cs="Arial" w:eastAsia="Arial" w:hAnsi="Arial"/>
                <w:sz w:val="14"/>
                <w:szCs w:val="14"/>
                <w:color w:val="auto"/>
                <w:w w:val="99"/>
              </w:rPr>
              <w:t>TBD</w:t>
            </w:r>
          </w:p>
        </w:tc>
        <w:tc>
          <w:tcPr>
            <w:tcW w:w="5860" w:type="dxa"/>
            <w:vAlign w:val="bottom"/>
          </w:tcPr>
          <w:p>
            <w:pPr>
              <w:ind w:left="140"/>
              <w:spacing w:after="0" w:line="130" w:lineRule="exact"/>
              <w:rPr>
                <w:sz w:val="20"/>
                <w:szCs w:val="20"/>
                <w:color w:val="auto"/>
              </w:rPr>
            </w:pPr>
            <w:r>
              <w:rPr>
                <w:rFonts w:ascii="Arial" w:cs="Arial" w:eastAsia="Arial" w:hAnsi="Arial"/>
                <w:sz w:val="14"/>
                <w:szCs w:val="14"/>
                <w:color w:val="auto"/>
                <w:w w:val="95"/>
              </w:rPr>
              <w:t>Requested an increase of $71 million to rate base for investments made in 2020, which reflects a</w:t>
            </w:r>
          </w:p>
        </w:tc>
        <w:tc>
          <w:tcPr>
            <w:tcW w:w="0" w:type="dxa"/>
            <w:vAlign w:val="bottom"/>
          </w:tcPr>
          <w:p>
            <w:pPr>
              <w:spacing w:after="0"/>
              <w:rPr>
                <w:sz w:val="1"/>
                <w:szCs w:val="1"/>
                <w:color w:val="auto"/>
              </w:rPr>
            </w:pPr>
          </w:p>
        </w:tc>
      </w:tr>
      <w:tr>
        <w:trPr>
          <w:trHeight w:val="128"/>
        </w:trPr>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color w:val="auto"/>
                <w:w w:val="89"/>
              </w:rPr>
              <w:t>2021</w:t>
            </w:r>
          </w:p>
        </w:tc>
        <w:tc>
          <w:tcPr>
            <w:tcW w:w="1040" w:type="dxa"/>
            <w:vAlign w:val="bottom"/>
          </w:tcPr>
          <w:p>
            <w:pPr>
              <w:jc w:val="center"/>
              <w:spacing w:after="0" w:line="129" w:lineRule="exact"/>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1"/>
                <w:szCs w:val="11"/>
                <w:color w:val="auto"/>
              </w:rPr>
            </w:pPr>
          </w:p>
        </w:tc>
        <w:tc>
          <w:tcPr>
            <w:tcW w:w="5860" w:type="dxa"/>
            <w:vAlign w:val="bottom"/>
          </w:tcPr>
          <w:p>
            <w:pPr>
              <w:ind w:left="140"/>
              <w:spacing w:after="0" w:line="129" w:lineRule="exact"/>
              <w:rPr>
                <w:sz w:val="20"/>
                <w:szCs w:val="20"/>
                <w:color w:val="auto"/>
              </w:rPr>
            </w:pPr>
            <w:r>
              <w:rPr>
                <w:rFonts w:ascii="Arial" w:cs="Arial" w:eastAsia="Arial" w:hAnsi="Arial"/>
                <w:sz w:val="14"/>
                <w:szCs w:val="14"/>
                <w:color w:val="auto"/>
                <w:w w:val="95"/>
              </w:rPr>
              <w:t>$9 million annual increase in current revenues. A change in (over)/under-recovery variance of $5</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60" w:type="dxa"/>
            <w:vAlign w:val="bottom"/>
          </w:tcPr>
          <w:p>
            <w:pPr>
              <w:ind w:left="140"/>
              <w:spacing w:after="0"/>
              <w:rPr>
                <w:sz w:val="20"/>
                <w:szCs w:val="20"/>
                <w:color w:val="auto"/>
              </w:rPr>
            </w:pPr>
            <w:r>
              <w:rPr>
                <w:rFonts w:ascii="Arial" w:cs="Arial" w:eastAsia="Arial" w:hAnsi="Arial"/>
                <w:sz w:val="14"/>
                <w:szCs w:val="14"/>
                <w:color w:val="auto"/>
              </w:rPr>
              <w:t>million annually is also included in rates.</w:t>
            </w: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28"/>
              <w:spacing w:after="0"/>
              <w:rPr>
                <w:sz w:val="20"/>
                <w:szCs w:val="20"/>
                <w:color w:val="auto"/>
              </w:rPr>
            </w:pPr>
            <w:r>
              <w:rPr>
                <w:rFonts w:ascii="Arial" w:cs="Arial" w:eastAsia="Arial" w:hAnsi="Arial"/>
                <w:sz w:val="14"/>
                <w:szCs w:val="14"/>
                <w:b w:val="1"/>
                <w:bCs w:val="1"/>
                <w:color w:val="auto"/>
                <w:w w:val="96"/>
              </w:rPr>
              <w:t>CenterPoint Energy - Indiana Electric (IURC)</w:t>
            </w:r>
          </w:p>
        </w:tc>
        <w:tc>
          <w:tcPr>
            <w:tcW w:w="0" w:type="dxa"/>
            <w:vAlign w:val="bottom"/>
          </w:tcPr>
          <w:p>
            <w:pPr>
              <w:spacing w:after="0"/>
              <w:rPr>
                <w:sz w:val="1"/>
                <w:szCs w:val="1"/>
                <w:color w:val="auto"/>
              </w:rPr>
            </w:pPr>
          </w:p>
        </w:tc>
      </w:tr>
      <w:tr>
        <w:trPr>
          <w:trHeight w:val="143"/>
        </w:trPr>
        <w:tc>
          <w:tcPr>
            <w:tcW w:w="1220" w:type="dxa"/>
            <w:vAlign w:val="bottom"/>
          </w:tcPr>
          <w:p>
            <w:pPr>
              <w:jc w:val="center"/>
              <w:ind w:left="8"/>
              <w:spacing w:after="0" w:line="143" w:lineRule="exact"/>
              <w:rPr>
                <w:sz w:val="20"/>
                <w:szCs w:val="20"/>
                <w:color w:val="auto"/>
              </w:rPr>
            </w:pPr>
            <w:r>
              <w:rPr>
                <w:rFonts w:ascii="Arial" w:cs="Arial" w:eastAsia="Arial" w:hAnsi="Arial"/>
                <w:sz w:val="14"/>
                <w:szCs w:val="14"/>
                <w:color w:val="auto"/>
                <w:w w:val="94"/>
              </w:rPr>
              <w:t xml:space="preserve">TDSIC </w:t>
            </w:r>
            <w:r>
              <w:rPr>
                <w:rFonts w:ascii="Arial" w:cs="Arial" w:eastAsia="Arial" w:hAnsi="Arial"/>
                <w:sz w:val="9"/>
                <w:szCs w:val="9"/>
                <w:color w:val="auto"/>
                <w:w w:val="94"/>
              </w:rPr>
              <w:t>(1)</w:t>
            </w:r>
          </w:p>
        </w:tc>
        <w:tc>
          <w:tcPr>
            <w:tcW w:w="1140" w:type="dxa"/>
            <w:vAlign w:val="bottom"/>
          </w:tcPr>
          <w:p>
            <w:pPr>
              <w:jc w:val="center"/>
              <w:ind w:left="51"/>
              <w:spacing w:after="0" w:line="143" w:lineRule="exact"/>
              <w:rPr>
                <w:sz w:val="20"/>
                <w:szCs w:val="20"/>
                <w:color w:val="auto"/>
              </w:rPr>
            </w:pPr>
            <w:r>
              <w:rPr>
                <w:rFonts w:ascii="Arial" w:cs="Arial" w:eastAsia="Arial" w:hAnsi="Arial"/>
                <w:sz w:val="14"/>
                <w:szCs w:val="14"/>
                <w:color w:val="auto"/>
                <w:w w:val="76"/>
              </w:rPr>
              <w:t>3</w:t>
            </w:r>
          </w:p>
        </w:tc>
        <w:tc>
          <w:tcPr>
            <w:tcW w:w="1040" w:type="dxa"/>
            <w:vAlign w:val="bottom"/>
          </w:tcPr>
          <w:p>
            <w:pPr>
              <w:jc w:val="center"/>
              <w:spacing w:after="0" w:line="143" w:lineRule="exact"/>
              <w:rPr>
                <w:sz w:val="20"/>
                <w:szCs w:val="20"/>
                <w:color w:val="auto"/>
              </w:rPr>
            </w:pPr>
            <w:r>
              <w:rPr>
                <w:rFonts w:ascii="Arial" w:cs="Arial" w:eastAsia="Arial" w:hAnsi="Arial"/>
                <w:sz w:val="14"/>
                <w:szCs w:val="14"/>
                <w:color w:val="auto"/>
                <w:w w:val="92"/>
              </w:rPr>
              <w:t>February 2021</w:t>
            </w:r>
          </w:p>
        </w:tc>
        <w:tc>
          <w:tcPr>
            <w:tcW w:w="1040" w:type="dxa"/>
            <w:vAlign w:val="bottom"/>
          </w:tcPr>
          <w:p>
            <w:pPr>
              <w:jc w:val="center"/>
              <w:spacing w:after="0" w:line="143" w:lineRule="exact"/>
              <w:rPr>
                <w:sz w:val="20"/>
                <w:szCs w:val="20"/>
                <w:color w:val="auto"/>
              </w:rPr>
            </w:pPr>
            <w:r>
              <w:rPr>
                <w:rFonts w:ascii="Arial" w:cs="Arial" w:eastAsia="Arial" w:hAnsi="Arial"/>
                <w:sz w:val="14"/>
                <w:szCs w:val="14"/>
                <w:color w:val="auto"/>
                <w:w w:val="98"/>
              </w:rPr>
              <w:t>May</w:t>
            </w:r>
          </w:p>
        </w:tc>
        <w:tc>
          <w:tcPr>
            <w:tcW w:w="940" w:type="dxa"/>
            <w:vAlign w:val="bottom"/>
          </w:tcPr>
          <w:p>
            <w:pPr>
              <w:jc w:val="center"/>
              <w:ind w:left="28"/>
              <w:spacing w:after="0" w:line="143" w:lineRule="exact"/>
              <w:rPr>
                <w:sz w:val="20"/>
                <w:szCs w:val="20"/>
                <w:color w:val="auto"/>
              </w:rPr>
            </w:pPr>
            <w:r>
              <w:rPr>
                <w:rFonts w:ascii="Arial" w:cs="Arial" w:eastAsia="Arial" w:hAnsi="Arial"/>
                <w:sz w:val="14"/>
                <w:szCs w:val="14"/>
                <w:color w:val="auto"/>
                <w:w w:val="99"/>
              </w:rPr>
              <w:t>TBD</w:t>
            </w:r>
          </w:p>
        </w:tc>
        <w:tc>
          <w:tcPr>
            <w:tcW w:w="5860" w:type="dxa"/>
            <w:vAlign w:val="bottom"/>
          </w:tcPr>
          <w:p>
            <w:pPr>
              <w:ind w:left="140"/>
              <w:spacing w:after="0" w:line="143" w:lineRule="exact"/>
              <w:rPr>
                <w:sz w:val="20"/>
                <w:szCs w:val="20"/>
                <w:color w:val="auto"/>
              </w:rPr>
            </w:pPr>
            <w:r>
              <w:rPr>
                <w:rFonts w:ascii="Arial" w:cs="Arial" w:eastAsia="Arial" w:hAnsi="Arial"/>
                <w:sz w:val="14"/>
                <w:szCs w:val="14"/>
                <w:color w:val="auto"/>
                <w:w w:val="96"/>
              </w:rPr>
              <w:t>Requested an increase of $28 million to rate base, which reflects a $3 million annual increase in</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7"/>
                <w:szCs w:val="17"/>
                <w:color w:val="auto"/>
              </w:rPr>
            </w:pPr>
          </w:p>
        </w:tc>
        <w:tc>
          <w:tcPr>
            <w:tcW w:w="5860" w:type="dxa"/>
            <w:vAlign w:val="bottom"/>
          </w:tcPr>
          <w:p>
            <w:pPr>
              <w:ind w:left="140"/>
              <w:spacing w:after="0"/>
              <w:rPr>
                <w:sz w:val="20"/>
                <w:szCs w:val="20"/>
                <w:color w:val="auto"/>
              </w:rPr>
            </w:pPr>
            <w:r>
              <w:rPr>
                <w:rFonts w:ascii="Arial" w:cs="Arial" w:eastAsia="Arial" w:hAnsi="Arial"/>
                <w:sz w:val="14"/>
                <w:szCs w:val="14"/>
                <w:color w:val="auto"/>
                <w:w w:val="93"/>
              </w:rPr>
              <w:t>current revenues. 80% of the revenue requirement is included in requested rate increase and 20%</w:t>
            </w:r>
          </w:p>
        </w:tc>
        <w:tc>
          <w:tcPr>
            <w:tcW w:w="0" w:type="dxa"/>
            <w:vAlign w:val="bottom"/>
          </w:tcPr>
          <w:p>
            <w:pPr>
              <w:spacing w:after="0"/>
              <w:rPr>
                <w:sz w:val="1"/>
                <w:szCs w:val="1"/>
                <w:color w:val="auto"/>
              </w:rPr>
            </w:pPr>
          </w:p>
        </w:tc>
      </w:tr>
    </w:tbl>
    <w:p>
      <w:pPr>
        <w:ind w:left="5520"/>
        <w:spacing w:after="0"/>
        <w:rPr>
          <w:sz w:val="20"/>
          <w:szCs w:val="20"/>
          <w:color w:val="auto"/>
        </w:rPr>
      </w:pPr>
      <w:r>
        <w:rPr>
          <w:rFonts w:ascii="Arial" w:cs="Arial" w:eastAsia="Arial" w:hAnsi="Arial"/>
          <w:sz w:val="13"/>
          <w:szCs w:val="13"/>
          <w:color w:val="auto"/>
        </w:rPr>
        <w:t>is deferred until next rate case. The mechanism also includes a change in (over)/under-recovery</w:t>
      </w:r>
    </w:p>
    <w:p>
      <w:pPr>
        <w:spacing w:after="0" w:line="1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variance of less than $1 million.</w:t>
      </w:r>
    </w:p>
    <w:p>
      <w:pPr>
        <w:sectPr>
          <w:pgSz w:w="11900" w:h="16838" w:orient="portrait"/>
          <w:cols w:equalWidth="0" w:num="1">
            <w:col w:w="11240"/>
          </w:cols>
          <w:pgMar w:left="320" w:top="125" w:right="339" w:bottom="1440" w:gutter="0" w:footer="0" w:header="0"/>
        </w:sectPr>
      </w:pPr>
    </w:p>
    <w:p>
      <w:pPr>
        <w:spacing w:after="0" w:line="1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960" w:type="dxa"/>
            <w:vAlign w:val="bottom"/>
          </w:tcPr>
          <w:p>
            <w:pPr>
              <w:jc w:val="center"/>
              <w:ind w:right="388"/>
              <w:spacing w:after="0"/>
              <w:rPr>
                <w:sz w:val="20"/>
                <w:szCs w:val="20"/>
                <w:color w:val="auto"/>
              </w:rPr>
            </w:pPr>
            <w:r>
              <w:rPr>
                <w:rFonts w:ascii="Arial" w:cs="Arial" w:eastAsia="Arial" w:hAnsi="Arial"/>
                <w:sz w:val="14"/>
                <w:szCs w:val="14"/>
                <w:color w:val="auto"/>
                <w:w w:val="92"/>
              </w:rPr>
              <w:t xml:space="preserve">CECA </w:t>
            </w:r>
            <w:r>
              <w:rPr>
                <w:rFonts w:ascii="Arial" w:cs="Arial" w:eastAsia="Arial" w:hAnsi="Arial"/>
                <w:sz w:val="9"/>
                <w:szCs w:val="9"/>
                <w:color w:val="auto"/>
                <w:w w:val="92"/>
              </w:rPr>
              <w:t>(1)</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8</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w w:val="92"/>
              </w:rPr>
              <w:t>February 2021</w:t>
            </w:r>
          </w:p>
        </w:tc>
        <w:tc>
          <w:tcPr>
            <w:tcW w:w="1120" w:type="dxa"/>
            <w:vAlign w:val="bottom"/>
          </w:tcPr>
          <w:p>
            <w:pPr>
              <w:jc w:val="center"/>
              <w:ind w:right="88"/>
              <w:spacing w:after="0"/>
              <w:rPr>
                <w:sz w:val="20"/>
                <w:szCs w:val="20"/>
                <w:color w:val="auto"/>
              </w:rPr>
            </w:pPr>
            <w:r>
              <w:rPr>
                <w:rFonts w:ascii="Arial" w:cs="Arial" w:eastAsia="Arial" w:hAnsi="Arial"/>
                <w:sz w:val="14"/>
                <w:szCs w:val="14"/>
                <w:color w:val="auto"/>
                <w:w w:val="92"/>
              </w:rPr>
              <w:t>June</w:t>
            </w:r>
          </w:p>
        </w:tc>
        <w:tc>
          <w:tcPr>
            <w:tcW w:w="540" w:type="dxa"/>
            <w:vAlign w:val="bottom"/>
          </w:tcPr>
          <w:p>
            <w:pPr>
              <w:ind w:left="260"/>
              <w:spacing w:after="0"/>
              <w:rPr>
                <w:sz w:val="20"/>
                <w:szCs w:val="20"/>
                <w:color w:val="auto"/>
              </w:rPr>
            </w:pPr>
            <w:r>
              <w:rPr>
                <w:rFonts w:ascii="Arial" w:cs="Arial" w:eastAsia="Arial" w:hAnsi="Arial"/>
                <w:sz w:val="14"/>
                <w:szCs w:val="14"/>
                <w:color w:val="auto"/>
                <w:w w:val="92"/>
              </w:rPr>
              <w:t>TBD</w:t>
            </w:r>
          </w:p>
        </w:tc>
      </w:tr>
      <w:tr>
        <w:trPr>
          <w:trHeight w:val="182"/>
        </w:trPr>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color w:val="auto"/>
                <w:w w:val="89"/>
              </w:rPr>
              <w:t>2021</w:t>
            </w:r>
          </w:p>
        </w:tc>
        <w:tc>
          <w:tcPr>
            <w:tcW w:w="540" w:type="dxa"/>
            <w:vAlign w:val="bottom"/>
          </w:tcPr>
          <w:p>
            <w:pPr>
              <w:spacing w:after="0"/>
              <w:rPr>
                <w:sz w:val="15"/>
                <w:szCs w:val="15"/>
                <w:color w:val="auto"/>
              </w:rPr>
            </w:pPr>
          </w:p>
        </w:tc>
      </w:tr>
      <w:tr>
        <w:trPr>
          <w:trHeight w:val="231"/>
        </w:trPr>
        <w:tc>
          <w:tcPr>
            <w:tcW w:w="960" w:type="dxa"/>
            <w:vAlign w:val="bottom"/>
          </w:tcPr>
          <w:p>
            <w:pPr>
              <w:jc w:val="center"/>
              <w:ind w:right="388"/>
              <w:spacing w:after="0"/>
              <w:rPr>
                <w:sz w:val="20"/>
                <w:szCs w:val="20"/>
                <w:color w:val="auto"/>
              </w:rPr>
            </w:pPr>
            <w:r>
              <w:rPr>
                <w:rFonts w:ascii="Arial" w:cs="Arial" w:eastAsia="Arial" w:hAnsi="Arial"/>
                <w:sz w:val="14"/>
                <w:szCs w:val="14"/>
                <w:color w:val="auto"/>
                <w:w w:val="95"/>
              </w:rPr>
              <w:t>ECA</w:t>
            </w:r>
            <w:r>
              <w:rPr>
                <w:rFonts w:ascii="Arial" w:cs="Arial" w:eastAsia="Arial" w:hAnsi="Arial"/>
                <w:sz w:val="9"/>
                <w:szCs w:val="9"/>
                <w:color w:val="auto"/>
                <w:w w:val="95"/>
              </w:rPr>
              <w:t>(1)</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w w:val="97"/>
              </w:rPr>
              <w:t>May 2021</w:t>
            </w:r>
          </w:p>
        </w:tc>
        <w:tc>
          <w:tcPr>
            <w:tcW w:w="1120" w:type="dxa"/>
            <w:vAlign w:val="bottom"/>
          </w:tcPr>
          <w:p>
            <w:pPr>
              <w:jc w:val="center"/>
              <w:ind w:right="68"/>
              <w:spacing w:after="0"/>
              <w:rPr>
                <w:sz w:val="20"/>
                <w:szCs w:val="20"/>
                <w:color w:val="auto"/>
              </w:rPr>
            </w:pPr>
            <w:r>
              <w:rPr>
                <w:rFonts w:ascii="Arial" w:cs="Arial" w:eastAsia="Arial" w:hAnsi="Arial"/>
                <w:sz w:val="14"/>
                <w:szCs w:val="14"/>
                <w:color w:val="auto"/>
                <w:w w:val="94"/>
              </w:rPr>
              <w:t>August 2021</w:t>
            </w:r>
          </w:p>
        </w:tc>
        <w:tc>
          <w:tcPr>
            <w:tcW w:w="540" w:type="dxa"/>
            <w:vAlign w:val="bottom"/>
          </w:tcPr>
          <w:p>
            <w:pPr>
              <w:ind w:left="260"/>
              <w:spacing w:after="0"/>
              <w:rPr>
                <w:sz w:val="20"/>
                <w:szCs w:val="20"/>
                <w:color w:val="auto"/>
              </w:rPr>
            </w:pPr>
            <w:r>
              <w:rPr>
                <w:rFonts w:ascii="Arial" w:cs="Arial" w:eastAsia="Arial" w:hAnsi="Arial"/>
                <w:sz w:val="14"/>
                <w:szCs w:val="14"/>
                <w:color w:val="auto"/>
                <w:w w:val="92"/>
              </w:rPr>
              <w:t>TBD</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80"/>
        <w:spacing w:after="0" w:line="303" w:lineRule="auto"/>
        <w:rPr>
          <w:sz w:val="20"/>
          <w:szCs w:val="20"/>
          <w:color w:val="auto"/>
        </w:rPr>
      </w:pPr>
      <w:r>
        <w:rPr>
          <w:rFonts w:ascii="Arial" w:cs="Arial" w:eastAsia="Arial" w:hAnsi="Arial"/>
          <w:sz w:val="13"/>
          <w:szCs w:val="13"/>
          <w:color w:val="auto"/>
        </w:rPr>
        <w:t>Reflects an $8 million annual increase in current revenues through a non-traditional rate making approach related to a 50 MW universal solar array placed in service in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-244475</wp:posOffset>
            </wp:positionV>
            <wp:extent cx="713232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both"/>
        <w:ind w:right="140"/>
        <w:spacing w:after="0" w:line="252" w:lineRule="auto"/>
        <w:rPr>
          <w:sz w:val="20"/>
          <w:szCs w:val="20"/>
          <w:color w:val="auto"/>
        </w:rPr>
      </w:pPr>
      <w:r>
        <w:rPr>
          <w:rFonts w:ascii="Arial" w:cs="Arial" w:eastAsia="Arial" w:hAnsi="Arial"/>
          <w:sz w:val="14"/>
          <w:szCs w:val="14"/>
          <w:color w:val="auto"/>
        </w:rPr>
        <w:t>Requested an increase of $39 million to rate base, which reflects a $2 million annual increase in current revenues. 80% of the revenue requirement is included in requested rate increase and 20% is deferred until next rate case. The mechanism also included a change in (over)/under-recovery variance of less than $1 million annually.</w:t>
      </w:r>
    </w:p>
    <w:p>
      <w:pPr>
        <w:spacing w:after="0" w:line="200" w:lineRule="exact"/>
        <w:rPr>
          <w:sz w:val="20"/>
          <w:szCs w:val="20"/>
          <w:color w:val="auto"/>
        </w:rPr>
      </w:pPr>
    </w:p>
    <w:p>
      <w:pPr>
        <w:sectPr>
          <w:pgSz w:w="11900" w:h="16838" w:orient="portrait"/>
          <w:cols w:equalWidth="0" w:num="2">
            <w:col w:w="5100" w:space="420"/>
            <w:col w:w="5720"/>
          </w:cols>
          <w:pgMar w:left="320" w:top="125" w:right="339" w:bottom="1440" w:gutter="0" w:footer="0" w:header="0"/>
          <w:type w:val="continuous"/>
        </w:sectPr>
      </w:pPr>
    </w:p>
    <w:p>
      <w:pPr>
        <w:spacing w:after="0" w:line="127" w:lineRule="exact"/>
        <w:rPr>
          <w:sz w:val="20"/>
          <w:szCs w:val="20"/>
          <w:color w:val="auto"/>
        </w:rPr>
      </w:pPr>
    </w:p>
    <w:p>
      <w:pPr>
        <w:ind w:left="660" w:hanging="328"/>
        <w:spacing w:after="0" w:line="277"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CPP and ACE Rule (CenterPoint Energy)</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August 31, 2018, the EPA published its proposed CPP replacement rule, the ACE Rule, which was finalized on July 8, 2019 and requires states to implement a program of energy efficiency improvement targets for individual coal-fired electric generating units. On January 19, 2021, the ACE Rule was struck down by the U.S. District Court of Appeals for the D.C. Circuit. CenterPoint Energy is currently unable to predict whether the Biden Administration will continue its defense of the CPP or ACE Rule, or what a new replacement rule would look like. The Biden administration recommitted the United States to the Paris Agreement, which can be expected to drive a renewed regulatory push to require further GHG emission reductions from the energy sector. Shortly after taking office in January 2021, President Biden issued a series of executive orders designed to address climate change. President Biden has also signed an executive order requiring agencies to review environmental actions taken by the Trump administration, which would have included the ACE Rule, and the Biden administration has issued a memorandum to departments and agencies to refrain from proposing or issuing rules until a departmental or agency head appointed or designated by the Biden administration has reviewed and approved the rule. Reentry into the Paris Agreement and President Biden’s executive orders may result in the development of additional regulations or changes to existing regulations, and on April 22, 2021, President Biden announced a new goal of 50% reduction of economy-wide GHG emissions by 2035. On March 1, 2020, CenterPoint Energy announced corporate carbon emission goals, which are expected to be used to guide Indiana Electric’s transition to a low carbon fleet and position Indiana Electric to comply with anticipated future regulatory requirements from the Biden administration to further reduce GHG emissions from its electric fleet.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please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 billion as of March 31, 2021. As of April 29, 2021, the Registrants had the following revolving credit facilities and utilization of such facilities: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277"/>
              <w:spacing w:after="0"/>
              <w:rPr>
                <w:sz w:val="20"/>
                <w:szCs w:val="20"/>
                <w:color w:val="auto"/>
              </w:rPr>
            </w:pPr>
            <w:r>
              <w:rPr>
                <w:rFonts w:ascii="Arial" w:cs="Arial" w:eastAsia="Arial" w:hAnsi="Arial"/>
                <w:sz w:val="14"/>
                <w:szCs w:val="14"/>
                <w:b w:val="1"/>
                <w:bCs w:val="1"/>
                <w:color w:val="auto"/>
                <w:w w:val="94"/>
              </w:rPr>
              <w:t>Amount Utilized as of April 29, 2021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98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of Facility</w:t>
            </w:r>
          </w:p>
        </w:tc>
        <w:tc>
          <w:tcPr>
            <w:tcW w:w="24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Loans</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Letters of Credit</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Commercial Paper</w:t>
            </w:r>
          </w:p>
        </w:tc>
        <w:tc>
          <w:tcPr>
            <w:tcW w:w="100" w:type="dxa"/>
            <w:vAlign w:val="bottom"/>
          </w:tcPr>
          <w:p>
            <w:pPr>
              <w:spacing w:after="0"/>
              <w:rPr>
                <w:sz w:val="10"/>
                <w:szCs w:val="10"/>
                <w:color w:val="auto"/>
              </w:rPr>
            </w:pPr>
          </w:p>
        </w:tc>
        <w:tc>
          <w:tcPr>
            <w:tcW w:w="130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1"/>
              </w:rPr>
              <w:t>Weighted Average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88"/>
        </w:trPr>
        <w:tc>
          <w:tcPr>
            <w:tcW w:w="2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0.21%</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4, 2024</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0"/>
                <w:szCs w:val="10"/>
                <w:color w:val="auto"/>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0.18%</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February 4, 2024</w:t>
            </w:r>
          </w:p>
        </w:tc>
        <w:tc>
          <w:tcPr>
            <w:tcW w:w="0" w:type="dxa"/>
            <w:vAlign w:val="bottom"/>
          </w:tcPr>
          <w:p>
            <w:pPr>
              <w:spacing w:after="0"/>
              <w:rPr>
                <w:sz w:val="1"/>
                <w:szCs w:val="1"/>
                <w:color w:val="auto"/>
              </w:rPr>
            </w:pPr>
          </w:p>
        </w:tc>
      </w:tr>
      <w:tr>
        <w:trPr>
          <w:trHeight w:val="22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4, 2024</w:t>
            </w:r>
          </w:p>
        </w:tc>
        <w:tc>
          <w:tcPr>
            <w:tcW w:w="0" w:type="dxa"/>
            <w:vAlign w:val="bottom"/>
          </w:tcPr>
          <w:p>
            <w:pPr>
              <w:spacing w:after="0"/>
              <w:rPr>
                <w:sz w:val="1"/>
                <w:szCs w:val="1"/>
                <w:color w:val="auto"/>
              </w:rPr>
            </w:pPr>
          </w:p>
        </w:tc>
      </w:tr>
      <w:tr>
        <w:trPr>
          <w:trHeight w:val="229"/>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0.19%</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February 4, 2024</w:t>
            </w:r>
          </w:p>
        </w:tc>
        <w:tc>
          <w:tcPr>
            <w:tcW w:w="0" w:type="dxa"/>
            <w:vAlign w:val="bottom"/>
          </w:tcPr>
          <w:p>
            <w:pPr>
              <w:spacing w:after="0"/>
              <w:rPr>
                <w:sz w:val="1"/>
                <w:szCs w:val="1"/>
                <w:color w:val="auto"/>
              </w:rPr>
            </w:pPr>
          </w:p>
        </w:tc>
      </w:tr>
      <w:tr>
        <w:trPr>
          <w:trHeight w:val="248"/>
        </w:trPr>
        <w:tc>
          <w:tcPr>
            <w:tcW w:w="298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The credit facility was issued by VUHI and is guaranteed by SIGECO, Indiana Gas and VEDO.</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Each of the Registrant’s credit facilities provide for a mechanism to replace LIBOR with possible alternative benchmarks upon certain benchmark replacement events. The borrowers are currently in compliance with the various business and financial covenants in the four revolving credit facilities.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detailed information about the Registrants’ debt transactions in 2021, see Note 12 to the Interim Condensed Financial Statements.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29, 2020,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29, 2023. For information related to the Registrants’ debt issuances in 2021, see Note 12 to the Interim Condensed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29, 2021, the Registrants had no temporary investments.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Money Pool</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CenterPoint Energy money pool activity by Registrant as of April 29,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3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5"/>
              </w:rPr>
              <w:t>Houston Electric</w:t>
            </w:r>
          </w:p>
        </w:tc>
        <w:tc>
          <w:tcPr>
            <w:tcW w:w="50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65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pool investments (borrowings)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569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interest on borrowings under the credit facilities is based on each respective borrower’s credit ratings. As of April 29, 2021, Moody’s, S&amp;P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Fitch had assigned the following credit ratings to the borrowers: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rPr>
              <w:t>Moody’s</w:t>
            </w:r>
          </w:p>
        </w:tc>
        <w:tc>
          <w:tcPr>
            <w:tcW w:w="800" w:type="dxa"/>
            <w:vAlign w:val="bottom"/>
          </w:tcPr>
          <w:p>
            <w:pPr>
              <w:spacing w:after="0"/>
              <w:rPr>
                <w:sz w:val="16"/>
                <w:szCs w:val="16"/>
                <w:color w:val="auto"/>
              </w:rPr>
            </w:pPr>
          </w:p>
        </w:tc>
        <w:tc>
          <w:tcPr>
            <w:tcW w:w="136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76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70"/>
        </w:trPr>
        <w:tc>
          <w:tcPr>
            <w:tcW w:w="1800" w:type="dxa"/>
            <w:vAlign w:val="bottom"/>
            <w:tcBorders>
              <w:bottom w:val="single" w:sz="8" w:color="auto"/>
            </w:tcBorders>
          </w:tcPr>
          <w:p>
            <w:pPr>
              <w:ind w:left="620"/>
              <w:spacing w:after="0" w:line="146" w:lineRule="exact"/>
              <w:rPr>
                <w:sz w:val="20"/>
                <w:szCs w:val="20"/>
                <w:color w:val="auto"/>
              </w:rPr>
            </w:pPr>
            <w:r>
              <w:rPr>
                <w:rFonts w:ascii="Arial" w:cs="Arial" w:eastAsia="Arial" w:hAnsi="Arial"/>
                <w:sz w:val="13"/>
                <w:szCs w:val="13"/>
                <w:b w:val="1"/>
                <w:bCs w:val="1"/>
                <w:color w:val="auto"/>
              </w:rPr>
              <w:t>Registrant</w:t>
            </w:r>
          </w:p>
        </w:tc>
        <w:tc>
          <w:tcPr>
            <w:tcW w:w="120" w:type="dxa"/>
            <w:vAlign w:val="bottom"/>
            <w:tcBorders>
              <w:bottom w:val="single" w:sz="8" w:color="CCEEFF"/>
            </w:tcBorders>
          </w:tcPr>
          <w:p>
            <w:pPr>
              <w:spacing w:after="0"/>
              <w:rPr>
                <w:sz w:val="14"/>
                <w:szCs w:val="14"/>
                <w:color w:val="auto"/>
              </w:rPr>
            </w:pPr>
          </w:p>
        </w:tc>
        <w:tc>
          <w:tcPr>
            <w:tcW w:w="2780" w:type="dxa"/>
            <w:vAlign w:val="bottom"/>
            <w:tcBorders>
              <w:bottom w:val="single" w:sz="8" w:color="auto"/>
            </w:tcBorders>
          </w:tcPr>
          <w:p>
            <w:pPr>
              <w:ind w:left="800"/>
              <w:spacing w:after="0" w:line="146" w:lineRule="exact"/>
              <w:rPr>
                <w:sz w:val="20"/>
                <w:szCs w:val="20"/>
                <w:color w:val="auto"/>
              </w:rPr>
            </w:pPr>
            <w:r>
              <w:rPr>
                <w:rFonts w:ascii="Arial" w:cs="Arial" w:eastAsia="Arial" w:hAnsi="Arial"/>
                <w:sz w:val="13"/>
                <w:szCs w:val="13"/>
                <w:b w:val="1"/>
                <w:bCs w:val="1"/>
                <w:color w:val="auto"/>
              </w:rPr>
              <w:t>Borrower/Instrument</w:t>
            </w:r>
          </w:p>
        </w:tc>
        <w:tc>
          <w:tcPr>
            <w:tcW w:w="10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153"/>
              <w:spacing w:after="0"/>
              <w:rPr>
                <w:sz w:val="20"/>
                <w:szCs w:val="20"/>
                <w:color w:val="auto"/>
              </w:rPr>
            </w:pPr>
            <w:r>
              <w:rPr>
                <w:rFonts w:ascii="Arial" w:cs="Arial" w:eastAsia="Arial" w:hAnsi="Arial"/>
                <w:sz w:val="13"/>
                <w:szCs w:val="13"/>
                <w:b w:val="1"/>
                <w:bCs w:val="1"/>
                <w:color w:val="auto"/>
                <w:w w:val="88"/>
              </w:rPr>
              <w:t>Rating</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Outlook (1)</w:t>
            </w:r>
          </w:p>
        </w:tc>
        <w:tc>
          <w:tcPr>
            <w:tcW w:w="12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auto"/>
                <w:w w:val="88"/>
              </w:rPr>
              <w:t>Rating</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Outlook (2)</w:t>
            </w:r>
          </w:p>
        </w:tc>
        <w:tc>
          <w:tcPr>
            <w:tcW w:w="12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center"/>
              <w:ind w:left="113"/>
              <w:spacing w:after="0"/>
              <w:rPr>
                <w:sz w:val="20"/>
                <w:szCs w:val="20"/>
                <w:color w:val="auto"/>
              </w:rPr>
            </w:pPr>
            <w:r>
              <w:rPr>
                <w:rFonts w:ascii="Arial" w:cs="Arial" w:eastAsia="Arial" w:hAnsi="Arial"/>
                <w:sz w:val="13"/>
                <w:szCs w:val="13"/>
                <w:b w:val="1"/>
                <w:bCs w:val="1"/>
                <w:color w:val="auto"/>
                <w:w w:val="88"/>
              </w:rPr>
              <w:t>Rating</w:t>
            </w:r>
          </w:p>
        </w:tc>
        <w:tc>
          <w:tcPr>
            <w:tcW w:w="2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Outlook (3)</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CenterPoint Energy Senior</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ind w:left="173"/>
              <w:spacing w:after="0"/>
              <w:rPr>
                <w:sz w:val="20"/>
                <w:szCs w:val="20"/>
                <w:color w:val="auto"/>
              </w:rPr>
            </w:pPr>
            <w:r>
              <w:rPr>
                <w:rFonts w:ascii="Arial" w:cs="Arial" w:eastAsia="Arial" w:hAnsi="Arial"/>
                <w:sz w:val="18"/>
                <w:szCs w:val="18"/>
                <w:color w:val="auto"/>
                <w:w w:val="90"/>
              </w:rPr>
              <w:t>Baa2</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0"/>
              </w:rPr>
              <w:t>Stable</w:t>
            </w:r>
          </w:p>
        </w:tc>
        <w:tc>
          <w:tcPr>
            <w:tcW w:w="800" w:type="dxa"/>
            <w:vAlign w:val="bottom"/>
            <w:vMerge w:val="restart"/>
            <w:shd w:val="clear" w:color="auto" w:fill="CCEEFF"/>
          </w:tcPr>
          <w:p>
            <w:pPr>
              <w:jc w:val="center"/>
              <w:ind w:left="73"/>
              <w:spacing w:after="0"/>
              <w:rPr>
                <w:sz w:val="20"/>
                <w:szCs w:val="20"/>
                <w:color w:val="auto"/>
              </w:rPr>
            </w:pPr>
            <w:r>
              <w:rPr>
                <w:rFonts w:ascii="Arial" w:cs="Arial" w:eastAsia="Arial" w:hAnsi="Arial"/>
                <w:sz w:val="18"/>
                <w:szCs w:val="18"/>
                <w:color w:val="auto"/>
                <w:w w:val="99"/>
              </w:rPr>
              <w:t>BBB</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6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9"/>
              </w:rPr>
              <w:t>BBB</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Unsecured Debt</w:t>
            </w:r>
          </w:p>
        </w:tc>
        <w:tc>
          <w:tcPr>
            <w:tcW w:w="7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tcPr>
          <w:p>
            <w:pPr>
              <w:spacing w:after="0"/>
              <w:rPr>
                <w:sz w:val="20"/>
                <w:szCs w:val="20"/>
                <w:color w:val="auto"/>
              </w:rPr>
            </w:pPr>
            <w:r>
              <w:rPr>
                <w:rFonts w:ascii="Arial" w:cs="Arial" w:eastAsia="Arial" w:hAnsi="Arial"/>
                <w:sz w:val="18"/>
                <w:szCs w:val="18"/>
                <w:color w:val="auto"/>
              </w:rPr>
              <w:t>Vectren Corp. Issuer Rating</w:t>
            </w:r>
          </w:p>
        </w:tc>
        <w:tc>
          <w:tcPr>
            <w:tcW w:w="720" w:type="dxa"/>
            <w:vAlign w:val="bottom"/>
          </w:tcPr>
          <w:p>
            <w:pPr>
              <w:jc w:val="center"/>
              <w:ind w:left="173"/>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800" w:type="dxa"/>
            <w:vAlign w:val="bottom"/>
          </w:tcPr>
          <w:p>
            <w:pPr>
              <w:jc w:val="center"/>
              <w:ind w:left="73"/>
              <w:spacing w:after="0"/>
              <w:rPr>
                <w:sz w:val="20"/>
                <w:szCs w:val="20"/>
                <w:color w:val="auto"/>
              </w:rPr>
            </w:pPr>
            <w:r>
              <w:rPr>
                <w:rFonts w:ascii="Arial" w:cs="Arial" w:eastAsia="Arial" w:hAnsi="Arial"/>
                <w:sz w:val="18"/>
                <w:szCs w:val="18"/>
                <w:color w:val="auto"/>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60" w:type="dxa"/>
            <w:vAlign w:val="bottom"/>
          </w:tcPr>
          <w:p>
            <w:pPr>
              <w:jc w:val="center"/>
              <w:ind w:left="133"/>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VUHI Senior Unsecured Debt</w:t>
            </w:r>
          </w:p>
        </w:tc>
        <w:tc>
          <w:tcPr>
            <w:tcW w:w="72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Stable</w:t>
            </w:r>
          </w:p>
        </w:tc>
        <w:tc>
          <w:tcPr>
            <w:tcW w:w="80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6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tcPr>
          <w:p>
            <w:pPr>
              <w:spacing w:after="0"/>
              <w:rPr>
                <w:sz w:val="20"/>
                <w:szCs w:val="20"/>
                <w:color w:val="auto"/>
              </w:rPr>
            </w:pPr>
            <w:r>
              <w:rPr>
                <w:rFonts w:ascii="Arial" w:cs="Arial" w:eastAsia="Arial" w:hAnsi="Arial"/>
                <w:sz w:val="18"/>
                <w:szCs w:val="18"/>
                <w:color w:val="auto"/>
                <w:w w:val="98"/>
              </w:rPr>
              <w:t>Indiana Gas Senior Unsecured Debt</w:t>
            </w:r>
          </w:p>
        </w:tc>
        <w:tc>
          <w:tcPr>
            <w:tcW w:w="720" w:type="dxa"/>
            <w:vAlign w:val="bottom"/>
          </w:tcPr>
          <w:p>
            <w:pPr>
              <w:jc w:val="center"/>
              <w:ind w:left="173"/>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800" w:type="dxa"/>
            <w:vAlign w:val="bottom"/>
          </w:tcPr>
          <w:p>
            <w:pPr>
              <w:jc w:val="center"/>
              <w:ind w:left="73"/>
              <w:spacing w:after="0"/>
              <w:rPr>
                <w:sz w:val="20"/>
                <w:szCs w:val="20"/>
                <w:color w:val="auto"/>
              </w:rPr>
            </w:pPr>
            <w:r>
              <w:rPr>
                <w:rFonts w:ascii="Arial" w:cs="Arial" w:eastAsia="Arial" w:hAnsi="Arial"/>
                <w:sz w:val="18"/>
                <w:szCs w:val="18"/>
                <w:color w:val="auto"/>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60" w:type="dxa"/>
            <w:vAlign w:val="bottom"/>
          </w:tcPr>
          <w:p>
            <w:pPr>
              <w:jc w:val="center"/>
              <w:ind w:left="133"/>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SIGECO Senior Secured Debt</w:t>
            </w:r>
          </w:p>
        </w:tc>
        <w:tc>
          <w:tcPr>
            <w:tcW w:w="72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9"/>
              </w:rPr>
              <w:t>A1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Stable</w:t>
            </w:r>
          </w:p>
        </w:tc>
        <w:tc>
          <w:tcPr>
            <w:tcW w:w="80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9"/>
              </w:rPr>
              <w:t>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6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176"/>
        </w:trPr>
        <w:tc>
          <w:tcPr>
            <w:tcW w:w="1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Houston Electric</w:t>
            </w:r>
          </w:p>
        </w:tc>
        <w:tc>
          <w:tcPr>
            <w:tcW w:w="2880" w:type="dxa"/>
            <w:vAlign w:val="bottom"/>
            <w:gridSpan w:val="2"/>
          </w:tcPr>
          <w:p>
            <w:pPr>
              <w:spacing w:after="0" w:line="176" w:lineRule="exact"/>
              <w:rPr>
                <w:sz w:val="20"/>
                <w:szCs w:val="20"/>
                <w:color w:val="auto"/>
              </w:rPr>
            </w:pPr>
            <w:r>
              <w:rPr>
                <w:rFonts w:ascii="Arial" w:cs="Arial" w:eastAsia="Arial" w:hAnsi="Arial"/>
                <w:sz w:val="18"/>
                <w:szCs w:val="18"/>
                <w:color w:val="auto"/>
              </w:rPr>
              <w:t>Houston Electric Senior Secured</w:t>
            </w:r>
          </w:p>
        </w:tc>
        <w:tc>
          <w:tcPr>
            <w:tcW w:w="720" w:type="dxa"/>
            <w:vAlign w:val="bottom"/>
            <w:vMerge w:val="restart"/>
          </w:tcPr>
          <w:p>
            <w:pPr>
              <w:jc w:val="center"/>
              <w:ind w:left="173"/>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Stable</w:t>
            </w:r>
          </w:p>
        </w:tc>
        <w:tc>
          <w:tcPr>
            <w:tcW w:w="800" w:type="dxa"/>
            <w:vAlign w:val="bottom"/>
            <w:vMerge w:val="restart"/>
          </w:tcPr>
          <w:p>
            <w:pPr>
              <w:jc w:val="center"/>
              <w:ind w:left="73"/>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6"/>
              </w:rPr>
              <w:t>Stable</w:t>
            </w:r>
          </w:p>
        </w:tc>
        <w:tc>
          <w:tcPr>
            <w:tcW w:w="760" w:type="dxa"/>
            <w:vAlign w:val="bottom"/>
            <w:vMerge w:val="restart"/>
          </w:tcPr>
          <w:p>
            <w:pPr>
              <w:jc w:val="center"/>
              <w:ind w:left="113"/>
              <w:spacing w:after="0"/>
              <w:rPr>
                <w:sz w:val="20"/>
                <w:szCs w:val="20"/>
                <w:color w:val="auto"/>
              </w:rPr>
            </w:pPr>
            <w:r>
              <w:rPr>
                <w:rFonts w:ascii="Arial" w:cs="Arial" w:eastAsia="Arial" w:hAnsi="Arial"/>
                <w:sz w:val="18"/>
                <w:szCs w:val="18"/>
                <w:color w:val="auto"/>
                <w:w w:val="99"/>
              </w:rPr>
              <w:t>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7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CERC Corp. Senior Unsecured Debt</w:t>
            </w:r>
          </w:p>
        </w:tc>
        <w:tc>
          <w:tcPr>
            <w:tcW w:w="72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Negative</w:t>
            </w:r>
          </w:p>
        </w:tc>
        <w:tc>
          <w:tcPr>
            <w:tcW w:w="80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6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March 31, 2021,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$162 million as of March 31, 2021. The amount of collateral will depend on seasonal variations in transportation levels.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March 31, 2021, deferred taxes of approximately $490 million would have been payable in 2021. If all the ZENS-Related Securities had been sold on March 31, 2021, capital gains taxes of approximately $152 million would have been payable in 2021 based on 2021 tax rates in effect. For additional information about ZENS, see Note 11 to the Interim Condensed Financial Statements.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 Defaults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each of CenterPoint Energy’s (including VUHI’s), Houston Electric’s and CERC’s respective revolving credit facilities, as well as under CenterPoint Energy’s term loan agreement,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December 2020, CenterPoint Energy’s business strategy incorporated the Business Review and Evaluation Committee’s recommendations to increase its planned capital expenditures in its electric and natural gas businesses to support rate base growth and sell certain of its Natural Gas businesses located in Arkansas and Oklahoma as a means to efficiently finance a portion of such increased capital expenditures, among other recommendations. On April 29, 2021, CenterPoint Energy, through its subsidiary CERC Corp., entered into an Asset Purchase Agreement to sell its Arkansas and Oklahoma Natural Gas businesses for $2.15 billion in cash, including recovery of approximately $425 million of storm-related incremental natural gas costs incurred in the February 2021 Winter Storm Event, subject to certain adjustments set forth in the Asset Purchase Agreement. For further information regarding the announced sale of our Arkansas and Oklahoma Natural Gas businesses, see Note 20 to the Interim Condensed Financial Statements.</w:t>
      </w:r>
    </w:p>
    <w:p>
      <w:pPr>
        <w:spacing w:after="0" w:line="19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Additionally, CenterPoint Energy’s process of evaluating and optimizing the various businesses, assets and ownership interests currently held by it considered, among other things, various plans, proposals and other strategic alternatives with respect to Enable and CenterPoint Energy’s investment in Enable, which may result in the disposition of a portion or all of its ownership interest in Enable. In February 2021, CenterPoint Energy announced its support of the Enable Merger, which is expected to close in the second half of 2021, subject to customary closing conditions, including Hart-Scott-Rodino antitrust clearance. CenterPoint Energy may not realize any or all of the anticipated strategic, financial, operational or other benefits from the Enable Merger, if completed, or from any disposition or reduction of its anticipated resulting investment in Energy Transfer. There can be no assurances that any disposal of Energy Transfer common units or Energy Transfer Series G Preferred Units will be completed. Any disposal of such securities may involve significant costs and expenses, including in connection with any public offering, a significant underwriting discount. For information regarding the Enable Merger, see Note 9 to the Interim Condensed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Enable Midstream Partners (CenterPoint Energy)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 receives quarterly cash distributions from Enable on its common units and Enable Series A Preferred Units. A reduction in the cash distributions CenterPoint Energy receives from Enable could significantly impact CenterPoint Energy’s liquidity. For additional information about cash distributions from Enable, see Notes 9 and 20 to the Interim Condensed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Weather Hedge (CenterPoint Energy and CERC)</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CenterPoint Energy and CERC have historically entered into partial weather hedges for certain Natural Gas jurisdictions and electric operations’ Texas service territory to mitigate the impact of fluctuations from normal weather. CenterPoint Energy and CERC remain exposed to some weather risk as a result of the partial hedges. For more information about weather hedges, see Note 7(a) to the Interim Condensed Financial Statements.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25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further reductions in the cash distributions we receive from Enable;</w:t>
      </w:r>
    </w:p>
    <w:p>
      <w:pPr>
        <w:spacing w:after="0" w:line="23"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660" w:hanging="328"/>
        <w:spacing w:after="0" w:line="265"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acceleration of payment dates on certain gas supply contracts, under certain circumstances, as a result of increased natural gas prices, including as a result of the February 2021 Winter Storm Event, and concentration of natural gas suppliers (CenterPoint Energy and CERC);</w:t>
      </w:r>
    </w:p>
    <w:p>
      <w:pPr>
        <w:ind w:left="66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including as a result of the February 2021 Winter Storm Event (CenterPoint Energy and CERC);</w:t>
      </w:r>
    </w:p>
    <w:p>
      <w:pPr>
        <w:ind w:left="660" w:right="20" w:hanging="328"/>
        <w:spacing w:after="0" w:line="281"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increases in interest expense in connection with debt refinancings and borrowings under credit facilities or term loans or the use of alternative sources of financings due to the effects of COVID-19 and the February 2021 Winter Storm Event on capital and other financial markets;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 and the February 2021 Winter Storm Event;</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COVID-19 or the February 2021 Winter Storm Event (CenterPoint Energy and CERC);</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58"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restoration costs and revenue losses resulting from future natural disasters such as hurricanes and the timing of recovery of such restoration costs;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various other risks identified in “Risk Factors” in </w:t>
      </w:r>
      <w:hyperlink r:id="rId118">
        <w:r>
          <w:rPr>
            <w:rFonts w:ascii="Arial" w:cs="Arial" w:eastAsia="Arial" w:hAnsi="Arial"/>
            <w:sz w:val="18"/>
            <w:szCs w:val="18"/>
            <w:u w:val="single" w:color="auto"/>
            <w:color w:val="0000FF"/>
          </w:rPr>
          <w:t>Item 1A of Part I of the Registrants’ combined 2020 Form 10-K</w:t>
        </w:r>
      </w:hyperlink>
      <w:r>
        <w:rPr>
          <w:rFonts w:ascii="Arial" w:cs="Arial" w:eastAsia="Arial" w:hAnsi="Arial"/>
          <w:sz w:val="18"/>
          <w:szCs w:val="18"/>
          <w:color w:val="auto"/>
        </w:rPr>
        <w:t>.</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Houston Electric has contractually agreed that it will not issue additional first mortgage bonds, subject to certain exceptions. Additionally, certain provisions in note purchase agreements relating to debt issued by VUHI have the effect of restricting the amount of additional first mortgage bonds issued by SIGECO.</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about the total debt to capitalization financial covenants in the Registrants’ and certain of CenterPoint Energy’s subsidiaries’ revolving credit facilities, see Note 12 to the Interim Condensed Financial Statements.</w:t>
      </w:r>
    </w:p>
    <w:p>
      <w:pPr>
        <w:spacing w:after="0" w:line="19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CenterPoint Energy had outstanding long-term debt, lease obligations and obligations under its ZENS that subject it to the risk of loss associated with movements in market interest rates.</w:t>
      </w:r>
    </w:p>
    <w:p>
      <w:pPr>
        <w:spacing w:after="0" w:line="19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CenterPoint Energy’s floating rate obligations aggregated $3.4 billion and $2.4 billion as of March 31, 2021 and December 31, 2020, respectively. If the floating interest rates were to increase by 10% from March 31, 2021 rates, CenterPoint Energy’s combined interest expense would increase by approximately $1.7 million annually.</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2021 and December 31, 2020, CenterPoint Energy had outstanding fixed-rate debt (excluding indexed debt securities) aggregating $12.5 billion and $11.1 billion, respectively, in principal amount and having a fair value of $13.5 billion and $12.9 billion, respectively. Because these instruments are fixed-rate, they do not expose CenterPoint Energy to the risk of loss in earnings due to changes in market interest rates. However, the fair value of these instruments would increase by approximately $376 million if interest rates were to decline by 10% from levels at March 31, 2021. In general, such an increase in fair value would impact earnings and cash flows only if CenterPoint Energy were to reacquire all or a portion of these instruments in the open market prior to their maturity.</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general, such an increase in fair value would impact earnings and cash flows only if CenterPoint Energy were to reacquire all or a portion of these instruments in the open market prior to their maturity.</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ZENS obligation is bifurcated into a debt component and a derivative component. The debt component of $13 million as of March 31, 2021 was a fixed-rate obligation and, therefore, did not expose CenterPoint Energy to the risk of loss in earnings due to changes in market interest rates. However, the fair value of the debt component would increase by approximately $2 million if interest rates were to decline by 10% from levels at March 31, 2021. Changes in the fair value of the derivative component, a $927 million recorded liability at March 31, 2021,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March 31, 2021 levels, the fair value of the derivative component liability would decrease by approximately $1 million, which would be recorded as an unrealized gain in CenterPoint Energy’s Condensed Statements of Consolidated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is exposed to equity market value risk through its ownership of 10.2 million shares of AT&amp;T Common and 0.9 million shares of Charter Common, which CenterPoint Energy holds to facilitate its ability to meet its obligations under the ZENS. See Note 11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March 31, 2021 aggregate market value of these shares would result in a net loss of less than $1 million, which would be recorded as a loss in CenterPoint Energy’s Condensed Statements of Consolidated Income.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March 31, 2021, the recorded fair value of non-trading energy derivative liabilities was $7 million for CenterPoint Energy’s utility natural gas operations in Indiana, which is offset by a regulatory asset.</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CenterPoint Energy’s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March 31, 2021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has been no change in the Registrants’ internal controls over financial reporting that occurred during the three months ended March 31, 2021 that has materially affected, or is reasonably likely to materially affect, the Registrants’ internal controls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324"/>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For a description of certain legal and regulatory proceedings, please read Note 14(d) to the Interim Condensed Financial Statements and “Management’s Discussion and Analysis of Financial Condition and Results of Operations — Liquidity and Capital Resources — Future Sources and Uses </w:t>
      </w:r>
      <w:hyperlink r:id="rId120">
        <w:r>
          <w:rPr>
            <w:rFonts w:ascii="Arial" w:cs="Arial" w:eastAsia="Arial" w:hAnsi="Arial"/>
            <w:sz w:val="18"/>
            <w:szCs w:val="18"/>
            <w:color w:val="auto"/>
          </w:rPr>
          <w:t>of Cash” and “— Regulatory Matters,” each of which is incorporated herein by reference. See also “</w:t>
        </w:r>
        <w:r>
          <w:rPr>
            <w:rFonts w:ascii="Arial" w:cs="Arial" w:eastAsia="Arial" w:hAnsi="Arial"/>
            <w:sz w:val="18"/>
            <w:szCs w:val="18"/>
            <w:u w:val="single" w:color="auto"/>
            <w:color w:val="0000FF"/>
          </w:rPr>
          <w:t>Business — Regulation” and “— Environmental</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Matters</w:t>
        </w:r>
        <w:r>
          <w:rPr>
            <w:rFonts w:ascii="Arial" w:cs="Arial" w:eastAsia="Arial" w:hAnsi="Arial"/>
            <w:sz w:val="18"/>
            <w:szCs w:val="18"/>
            <w:color w:val="000000"/>
          </w:rPr>
          <w:t>” in Item 1 and “</w:t>
        </w:r>
      </w:hyperlink>
      <w:hyperlink r:id="rId121">
        <w:r>
          <w:rPr>
            <w:rFonts w:ascii="Arial" w:cs="Arial" w:eastAsia="Arial" w:hAnsi="Arial"/>
            <w:sz w:val="18"/>
            <w:szCs w:val="18"/>
            <w:u w:val="single" w:color="auto"/>
            <w:color w:val="0000FF"/>
          </w:rPr>
          <w:t>Legal Proceedings</w:t>
        </w:r>
      </w:hyperlink>
      <w:hyperlink r:id="rId120">
        <w:r>
          <w:rPr>
            <w:rFonts w:ascii="Arial" w:cs="Arial" w:eastAsia="Arial" w:hAnsi="Arial"/>
            <w:sz w:val="18"/>
            <w:szCs w:val="18"/>
            <w:color w:val="000000"/>
          </w:rPr>
          <w:t>” in Item 3 of the Registrants’ combined 2020 Form 10-K.</w:t>
        </w:r>
      </w:hyperlink>
    </w:p>
    <w:p>
      <w:pPr>
        <w:spacing w:after="0" w:line="210"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rFonts w:ascii="Arial" w:cs="Arial" w:eastAsia="Arial" w:hAnsi="Arial"/>
          <w:sz w:val="18"/>
          <w:szCs w:val="18"/>
          <w:color w:val="0000FF"/>
        </w:rPr>
      </w:pPr>
    </w:p>
    <w:p>
      <w:pPr>
        <w:ind w:left="340"/>
        <w:spacing w:after="0"/>
        <w:rPr>
          <w:sz w:val="20"/>
          <w:szCs w:val="20"/>
          <w:color w:val="auto"/>
        </w:rPr>
      </w:pPr>
      <w:r>
        <w:rPr>
          <w:rFonts w:ascii="Arial" w:cs="Arial" w:eastAsia="Arial" w:hAnsi="Arial"/>
          <w:sz w:val="18"/>
          <w:szCs w:val="18"/>
          <w:color w:val="auto"/>
        </w:rPr>
        <w:t>There have been no material changes from the risk factors disclosed in the Registrants’ combined 2020 Form 10-K.</w:t>
      </w:r>
    </w:p>
    <w:p>
      <w:pPr>
        <w:spacing w:after="0" w:line="200" w:lineRule="exact"/>
        <w:rPr>
          <w:rFonts w:ascii="Arial" w:cs="Arial" w:eastAsia="Arial" w:hAnsi="Arial"/>
          <w:sz w:val="18"/>
          <w:szCs w:val="18"/>
          <w:color w:val="0000FF"/>
        </w:rPr>
      </w:pPr>
    </w:p>
    <w:p>
      <w:pPr>
        <w:spacing w:after="0" w:line="241"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Exhibits filed herewith are designated by a cross ( †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Pursuant to Item 601(b)(4)(iii)(A) of Regulation S-K, the Registrants have not filed as exhibits to this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240"/>
          </w:cols>
          <w:pgMar w:left="320" w:top="125" w:right="339" w:bottom="1440" w:gutter="0" w:footer="0" w:header="0"/>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27"/>
            <w:vMerge w:val="restart"/>
          </w:tcPr>
          <w:p>
            <w:pPr>
              <w:ind w:left="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6"/>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30"/>
          </w:tcPr>
          <w:p>
            <w:pPr>
              <w:spacing w:after="0" w:line="143" w:lineRule="exact"/>
              <w:rPr>
                <w:rFonts w:ascii="Arial" w:cs="Arial" w:eastAsia="Arial" w:hAnsi="Arial"/>
                <w:sz w:val="14"/>
                <w:szCs w:val="14"/>
                <w:color w:val="0000FF"/>
              </w:rPr>
            </w:pPr>
            <w:hyperlink r:id="rId123">
              <w:r>
                <w:rPr>
                  <w:rFonts w:ascii="Arial" w:cs="Arial" w:eastAsia="Arial" w:hAnsi="Arial"/>
                  <w:sz w:val="14"/>
                  <w:szCs w:val="14"/>
                  <w:color w:val="0000FF"/>
                </w:rPr>
                <w:t>Agreement and Plan of Merger, dated as of</w:t>
              </w:r>
            </w:hyperlink>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8"/>
          </w:tcPr>
          <w:p>
            <w:pPr>
              <w:spacing w:after="0" w:line="102" w:lineRule="exact"/>
              <w:rPr>
                <w:rFonts w:ascii="Arial" w:cs="Arial" w:eastAsia="Arial" w:hAnsi="Arial"/>
                <w:sz w:val="11"/>
                <w:szCs w:val="11"/>
                <w:color w:val="0000FF"/>
              </w:rPr>
            </w:pPr>
            <w:hyperlink r:id="rId123">
              <w:r>
                <w:rPr>
                  <w:rFonts w:ascii="Arial" w:cs="Arial" w:eastAsia="Arial" w:hAnsi="Arial"/>
                  <w:sz w:val="11"/>
                  <w:szCs w:val="11"/>
                  <w:color w:val="0000FF"/>
                </w:rPr>
                <w:t>April 21, 2018, by and among Vectren</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tcBorders>
            <w:gridSpan w:val="10"/>
          </w:tcPr>
          <w:p>
            <w:pPr>
              <w:spacing w:after="0" w:line="122" w:lineRule="exact"/>
              <w:rPr>
                <w:rFonts w:ascii="Arial" w:cs="Arial" w:eastAsia="Arial" w:hAnsi="Arial"/>
                <w:sz w:val="14"/>
                <w:szCs w:val="14"/>
                <w:color w:val="0000FF"/>
                <w:w w:val="93"/>
              </w:rPr>
            </w:pPr>
            <w:hyperlink r:id="rId123">
              <w:r>
                <w:rPr>
                  <w:rFonts w:ascii="Arial" w:cs="Arial" w:eastAsia="Arial" w:hAnsi="Arial"/>
                  <w:sz w:val="14"/>
                  <w:szCs w:val="14"/>
                  <w:color w:val="0000FF"/>
                  <w:w w:val="93"/>
                </w:rPr>
                <w:t>Corporation, CenterPoint Energy, Inc.</w:t>
              </w:r>
            </w:hyperlink>
          </w:p>
        </w:tc>
        <w:tc>
          <w:tcPr>
            <w:tcW w:w="540" w:type="dxa"/>
            <w:vAlign w:val="bottom"/>
            <w:gridSpan w:val="20"/>
          </w:tcPr>
          <w:p>
            <w:pPr>
              <w:ind w:left="20"/>
              <w:spacing w:after="0" w:line="122" w:lineRule="exact"/>
              <w:rPr>
                <w:rFonts w:ascii="Arial" w:cs="Arial" w:eastAsia="Arial" w:hAnsi="Arial"/>
                <w:sz w:val="14"/>
                <w:szCs w:val="14"/>
                <w:color w:val="0000FF"/>
              </w:rPr>
            </w:pPr>
            <w:hyperlink r:id="rId123">
              <w:r>
                <w:rPr>
                  <w:rFonts w:ascii="Arial" w:cs="Arial" w:eastAsia="Arial" w:hAnsi="Arial"/>
                  <w:sz w:val="14"/>
                  <w:szCs w:val="14"/>
                  <w:color w:val="0000FF"/>
                </w:rPr>
                <w:t>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123">
              <w:r>
                <w:rPr>
                  <w:rFonts w:ascii="Arial" w:cs="Arial" w:eastAsia="Arial" w:hAnsi="Arial"/>
                  <w:sz w:val="13"/>
                  <w:szCs w:val="13"/>
                  <w:color w:val="0000FF"/>
                </w:rPr>
                <w:t>Pacer Merger Sub, Inc.</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6"/>
              </w:rPr>
              <w:t>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30"/>
          </w:tcPr>
          <w:p>
            <w:pPr>
              <w:spacing w:after="0"/>
              <w:rPr>
                <w:rFonts w:ascii="Arial" w:cs="Arial" w:eastAsia="Arial" w:hAnsi="Arial"/>
                <w:sz w:val="14"/>
                <w:szCs w:val="14"/>
                <w:color w:val="0000FF"/>
                <w:w w:val="99"/>
              </w:rPr>
            </w:pPr>
            <w:hyperlink r:id="rId124">
              <w:r>
                <w:rPr>
                  <w:rFonts w:ascii="Arial" w:cs="Arial" w:eastAsia="Arial" w:hAnsi="Arial"/>
                  <w:sz w:val="14"/>
                  <w:szCs w:val="14"/>
                  <w:color w:val="0000FF"/>
                  <w:w w:val="99"/>
                </w:rPr>
                <w:t>Securities Purchase Agreement, dated as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124">
              <w:r>
                <w:rPr>
                  <w:rFonts w:ascii="Arial" w:cs="Arial" w:eastAsia="Arial" w:hAnsi="Arial"/>
                  <w:sz w:val="13"/>
                  <w:szCs w:val="13"/>
                  <w:color w:val="0000FF"/>
                </w:rPr>
                <w:t>February 3, 2020, by and among Vectren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tcBorders>
              <w:bottom w:val="single" w:sz="8" w:color="0000FF"/>
            </w:tcBorders>
            <w:gridSpan w:val="21"/>
          </w:tcPr>
          <w:p>
            <w:pPr>
              <w:spacing w:after="0" w:line="115" w:lineRule="exact"/>
              <w:rPr>
                <w:rFonts w:ascii="Arial" w:cs="Arial" w:eastAsia="Arial" w:hAnsi="Arial"/>
                <w:sz w:val="13"/>
                <w:szCs w:val="13"/>
                <w:color w:val="0000FF"/>
              </w:rPr>
            </w:pPr>
            <w:hyperlink r:id="rId124">
              <w:r>
                <w:rPr>
                  <w:rFonts w:ascii="Arial" w:cs="Arial" w:eastAsia="Arial" w:hAnsi="Arial"/>
                  <w:sz w:val="13"/>
                  <w:szCs w:val="13"/>
                  <w:color w:val="0000FF"/>
                </w:rPr>
                <w:t>Utility Services, Inc., PowerTeam Services,</w:t>
              </w:r>
            </w:hyperlink>
          </w:p>
        </w:tc>
        <w:tc>
          <w:tcPr>
            <w:tcW w:w="20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gridSpan w:val="30"/>
          </w:tcPr>
          <w:p>
            <w:pPr>
              <w:spacing w:after="0" w:line="115" w:lineRule="exact"/>
              <w:rPr>
                <w:rFonts w:ascii="Arial" w:cs="Arial" w:eastAsia="Arial" w:hAnsi="Arial"/>
                <w:sz w:val="13"/>
                <w:szCs w:val="13"/>
                <w:color w:val="0000FF"/>
              </w:rPr>
            </w:pPr>
            <w:hyperlink r:id="rId124">
              <w:r>
                <w:rPr>
                  <w:rFonts w:ascii="Arial" w:cs="Arial" w:eastAsia="Arial" w:hAnsi="Arial"/>
                  <w:sz w:val="13"/>
                  <w:szCs w:val="13"/>
                  <w:color w:val="0000FF"/>
                </w:rPr>
                <w:t>LLC and, solely for purposes of Section 10.17</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27"/>
          </w:tcPr>
          <w:p>
            <w:pPr>
              <w:spacing w:after="0" w:line="115" w:lineRule="exact"/>
              <w:rPr>
                <w:rFonts w:ascii="Arial" w:cs="Arial" w:eastAsia="Arial" w:hAnsi="Arial"/>
                <w:sz w:val="13"/>
                <w:szCs w:val="13"/>
                <w:color w:val="0000FF"/>
                <w:w w:val="98"/>
              </w:rPr>
            </w:pPr>
            <w:hyperlink r:id="rId124">
              <w:r>
                <w:rPr>
                  <w:rFonts w:ascii="Arial" w:cs="Arial" w:eastAsia="Arial" w:hAnsi="Arial"/>
                  <w:sz w:val="13"/>
                  <w:szCs w:val="13"/>
                  <w:color w:val="0000FF"/>
                  <w:w w:val="98"/>
                </w:rPr>
                <w:t>of the Securities Purchase Agreement, Vectren</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0000FF"/>
            </w:tcBorders>
            <w:gridSpan w:val="3"/>
          </w:tcPr>
          <w:p>
            <w:pPr>
              <w:spacing w:after="0" w:line="115" w:lineRule="exact"/>
              <w:rPr>
                <w:rFonts w:ascii="Arial" w:cs="Arial" w:eastAsia="Arial" w:hAnsi="Arial"/>
                <w:sz w:val="13"/>
                <w:szCs w:val="13"/>
                <w:color w:val="0000FF"/>
              </w:rPr>
            </w:pPr>
            <w:hyperlink r:id="rId124">
              <w:r>
                <w:rPr>
                  <w:rFonts w:ascii="Arial" w:cs="Arial" w:eastAsia="Arial" w:hAnsi="Arial"/>
                  <w:sz w:val="13"/>
                  <w:szCs w:val="13"/>
                  <w:color w:val="0000FF"/>
                </w:rPr>
                <w:t>Corporation</w:t>
              </w:r>
            </w:hyperlink>
          </w:p>
        </w:tc>
        <w:tc>
          <w:tcPr>
            <w:tcW w:w="2000" w:type="dxa"/>
            <w:vAlign w:val="bottom"/>
            <w:gridSpan w:val="2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6"/>
              </w:rPr>
              <w:t>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30"/>
          </w:tcPr>
          <w:p>
            <w:pPr>
              <w:spacing w:after="0"/>
              <w:rPr>
                <w:rFonts w:ascii="Arial" w:cs="Arial" w:eastAsia="Arial" w:hAnsi="Arial"/>
                <w:sz w:val="14"/>
                <w:szCs w:val="14"/>
                <w:color w:val="0000FF"/>
              </w:rPr>
            </w:pPr>
            <w:hyperlink r:id="rId125">
              <w:r>
                <w:rPr>
                  <w:rFonts w:ascii="Arial" w:cs="Arial" w:eastAsia="Arial" w:hAnsi="Arial"/>
                  <w:sz w:val="14"/>
                  <w:szCs w:val="14"/>
                  <w:color w:val="0000FF"/>
                </w:rPr>
                <w:t>Equity Purchase Agreement, dated as of</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30"/>
          </w:tcPr>
          <w:p>
            <w:pPr>
              <w:spacing w:after="0" w:line="102" w:lineRule="exact"/>
              <w:rPr>
                <w:rFonts w:ascii="Arial" w:cs="Arial" w:eastAsia="Arial" w:hAnsi="Arial"/>
                <w:sz w:val="11"/>
                <w:szCs w:val="11"/>
                <w:color w:val="0000FF"/>
              </w:rPr>
            </w:pPr>
            <w:hyperlink r:id="rId125">
              <w:r>
                <w:rPr>
                  <w:rFonts w:ascii="Arial" w:cs="Arial" w:eastAsia="Arial" w:hAnsi="Arial"/>
                  <w:sz w:val="11"/>
                  <w:szCs w:val="11"/>
                  <w:color w:val="0000FF"/>
                </w:rPr>
                <w:t>February 24, 2020, by and between CERC</w:t>
              </w:r>
            </w:hyperlink>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17"/>
          </w:tcPr>
          <w:p>
            <w:pPr>
              <w:spacing w:after="0" w:line="122" w:lineRule="exact"/>
              <w:rPr>
                <w:rFonts w:ascii="Arial" w:cs="Arial" w:eastAsia="Arial" w:hAnsi="Arial"/>
                <w:sz w:val="14"/>
                <w:szCs w:val="14"/>
                <w:color w:val="0000FF"/>
                <w:w w:val="93"/>
              </w:rPr>
            </w:pPr>
            <w:hyperlink r:id="rId125">
              <w:r>
                <w:rPr>
                  <w:rFonts w:ascii="Arial" w:cs="Arial" w:eastAsia="Arial" w:hAnsi="Arial"/>
                  <w:sz w:val="14"/>
                  <w:szCs w:val="14"/>
                  <w:color w:val="0000FF"/>
                  <w:w w:val="93"/>
                </w:rPr>
                <w:t>Corp. and Athena Energy Services Buyer,</w:t>
              </w:r>
            </w:hyperlink>
          </w:p>
        </w:tc>
        <w:tc>
          <w:tcPr>
            <w:tcW w:w="280" w:type="dxa"/>
            <w:vAlign w:val="bottom"/>
            <w:tcBorders>
              <w:bottom w:val="single" w:sz="8" w:color="0000FF"/>
            </w:tcBorders>
            <w:gridSpan w:val="12"/>
          </w:tcPr>
          <w:p>
            <w:pPr>
              <w:spacing w:after="0" w:line="122" w:lineRule="exact"/>
              <w:rPr>
                <w:rFonts w:ascii="Arial" w:cs="Arial" w:eastAsia="Arial" w:hAnsi="Arial"/>
                <w:sz w:val="14"/>
                <w:szCs w:val="14"/>
                <w:color w:val="0000FF"/>
              </w:rPr>
            </w:pPr>
            <w:hyperlink r:id="rId125">
              <w:r>
                <w:rPr>
                  <w:rFonts w:ascii="Arial" w:cs="Arial" w:eastAsia="Arial" w:hAnsi="Arial"/>
                  <w:sz w:val="14"/>
                  <w:szCs w:val="14"/>
                  <w:color w:val="0000FF"/>
                </w:rPr>
                <w:t>LLC</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†2.4*</w:t>
            </w:r>
          </w:p>
        </w:tc>
        <w:tc>
          <w:tcPr>
            <w:tcW w:w="20" w:type="dxa"/>
            <w:vAlign w:val="bottom"/>
          </w:tcPr>
          <w:p>
            <w:pPr>
              <w:spacing w:after="0"/>
              <w:rPr>
                <w:sz w:val="14"/>
                <w:szCs w:val="14"/>
                <w:color w:val="auto"/>
              </w:rPr>
            </w:pPr>
          </w:p>
        </w:tc>
        <w:tc>
          <w:tcPr>
            <w:tcW w:w="2740" w:type="dxa"/>
            <w:vAlign w:val="bottom"/>
            <w:gridSpan w:val="30"/>
          </w:tcPr>
          <w:p>
            <w:pPr>
              <w:spacing w:after="0"/>
              <w:rPr>
                <w:rFonts w:ascii="Arial" w:cs="Arial" w:eastAsia="Arial" w:hAnsi="Arial"/>
                <w:sz w:val="14"/>
                <w:szCs w:val="14"/>
                <w:color w:val="0000FF"/>
                <w:w w:val="98"/>
              </w:rPr>
            </w:pPr>
            <w:hyperlink w:anchor="page91">
              <w:r>
                <w:rPr>
                  <w:rFonts w:ascii="Arial" w:cs="Arial" w:eastAsia="Arial" w:hAnsi="Arial"/>
                  <w:sz w:val="14"/>
                  <w:szCs w:val="14"/>
                  <w:color w:val="0000FF"/>
                  <w:w w:val="98"/>
                </w:rPr>
                <w:t>Asset Purchase Agreement, by and between</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bottom w:val="single" w:sz="8" w:color="0000FF"/>
            </w:tcBorders>
            <w:gridSpan w:val="14"/>
          </w:tcPr>
          <w:p>
            <w:pPr>
              <w:spacing w:after="0" w:line="115" w:lineRule="exact"/>
              <w:rPr>
                <w:rFonts w:ascii="Arial" w:cs="Arial" w:eastAsia="Arial" w:hAnsi="Arial"/>
                <w:sz w:val="13"/>
                <w:szCs w:val="13"/>
                <w:color w:val="0000FF"/>
                <w:w w:val="98"/>
              </w:rPr>
            </w:pPr>
            <w:hyperlink w:anchor="page91">
              <w:r>
                <w:rPr>
                  <w:rFonts w:ascii="Arial" w:cs="Arial" w:eastAsia="Arial" w:hAnsi="Arial"/>
                  <w:sz w:val="13"/>
                  <w:szCs w:val="13"/>
                  <w:color w:val="0000FF"/>
                  <w:w w:val="98"/>
                </w:rPr>
                <w:t>CenterPoint Energy Resources Corp. and</w:t>
              </w:r>
            </w:hyperlink>
          </w:p>
        </w:tc>
        <w:tc>
          <w:tcPr>
            <w:tcW w:w="18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gridSpan w:val="30"/>
          </w:tcPr>
          <w:p>
            <w:pPr>
              <w:spacing w:after="0" w:line="115" w:lineRule="exact"/>
              <w:rPr>
                <w:rFonts w:ascii="Arial" w:cs="Arial" w:eastAsia="Arial" w:hAnsi="Arial"/>
                <w:sz w:val="13"/>
                <w:szCs w:val="13"/>
                <w:color w:val="0000FF"/>
              </w:rPr>
            </w:pPr>
            <w:hyperlink w:anchor="page91">
              <w:r>
                <w:rPr>
                  <w:rFonts w:ascii="Arial" w:cs="Arial" w:eastAsia="Arial" w:hAnsi="Arial"/>
                  <w:sz w:val="13"/>
                  <w:szCs w:val="13"/>
                  <w:color w:val="0000FF"/>
                </w:rPr>
                <w:t>Southern Col Midco, LLC, dated as of April</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4"/>
              </w:rPr>
            </w:pPr>
            <w:hyperlink w:anchor="page91">
              <w:r>
                <w:rPr>
                  <w:rFonts w:ascii="Arial" w:cs="Arial" w:eastAsia="Arial" w:hAnsi="Arial"/>
                  <w:sz w:val="13"/>
                  <w:szCs w:val="13"/>
                  <w:color w:val="0000FF"/>
                  <w:w w:val="94"/>
                </w:rPr>
                <w:t>29, 2021</w:t>
              </w:r>
            </w:hyperlink>
          </w:p>
        </w:tc>
        <w:tc>
          <w:tcPr>
            <w:tcW w:w="20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30"/>
          </w:tcPr>
          <w:p>
            <w:pPr>
              <w:spacing w:after="0"/>
              <w:rPr>
                <w:rFonts w:ascii="Arial" w:cs="Arial" w:eastAsia="Arial" w:hAnsi="Arial"/>
                <w:sz w:val="14"/>
                <w:szCs w:val="14"/>
                <w:color w:val="0000FF"/>
              </w:rPr>
            </w:pPr>
            <w:hyperlink r:id="rId126">
              <w:r>
                <w:rPr>
                  <w:rFonts w:ascii="Arial" w:cs="Arial" w:eastAsia="Arial" w:hAnsi="Arial"/>
                  <w:sz w:val="14"/>
                  <w:szCs w:val="14"/>
                  <w:color w:val="0000FF"/>
                </w:rPr>
                <w:t>Restated Articles of Incorporation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w w:val="98"/>
              </w:rPr>
            </w:pPr>
            <w:hyperlink r:id="rId126">
              <w:r>
                <w:rPr>
                  <w:rFonts w:ascii="Arial" w:cs="Arial" w:eastAsia="Arial" w:hAnsi="Arial"/>
                  <w:sz w:val="13"/>
                  <w:szCs w:val="13"/>
                  <w:color w:val="0000FF"/>
                  <w:w w:val="98"/>
                </w:rPr>
                <w:t>CenterPoint Energy</w:t>
              </w:r>
            </w:hyperlink>
          </w:p>
        </w:tc>
        <w:tc>
          <w:tcPr>
            <w:tcW w:w="980" w:type="dxa"/>
            <w:vAlign w:val="bottom"/>
            <w:tcBorders>
              <w:top w:val="single" w:sz="8" w:color="0000FF"/>
            </w:tcBorders>
            <w:gridSpan w:val="5"/>
          </w:tcPr>
          <w:p>
            <w:pPr>
              <w:spacing w:after="0"/>
              <w:rPr>
                <w:sz w:val="10"/>
                <w:szCs w:val="10"/>
                <w:color w:val="auto"/>
              </w:rPr>
            </w:pPr>
          </w:p>
        </w:tc>
        <w:tc>
          <w:tcPr>
            <w:tcW w:w="1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0"/>
          </w:tcPr>
          <w:p>
            <w:pPr>
              <w:spacing w:after="0"/>
              <w:rPr>
                <w:rFonts w:ascii="Arial" w:cs="Arial" w:eastAsia="Arial" w:hAnsi="Arial"/>
                <w:sz w:val="14"/>
                <w:szCs w:val="14"/>
                <w:color w:val="0000FF"/>
                <w:w w:val="98"/>
              </w:rPr>
            </w:pPr>
            <w:hyperlink r:id="rId127">
              <w:r>
                <w:rPr>
                  <w:rFonts w:ascii="Arial" w:cs="Arial" w:eastAsia="Arial" w:hAnsi="Arial"/>
                  <w:sz w:val="14"/>
                  <w:szCs w:val="14"/>
                  <w:color w:val="0000FF"/>
                  <w:w w:val="98"/>
                </w:rPr>
                <w:t>Restated Certificate of Formation of Houston</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Electric</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bottom w:val="single" w:sz="8" w:color="0000FF"/>
            </w:tcBorders>
            <w:gridSpan w:val="21"/>
          </w:tcPr>
          <w:p>
            <w:pPr>
              <w:spacing w:after="0"/>
              <w:rPr>
                <w:rFonts w:ascii="Arial" w:cs="Arial" w:eastAsia="Arial" w:hAnsi="Arial"/>
                <w:sz w:val="14"/>
                <w:szCs w:val="14"/>
                <w:color w:val="0000FF"/>
                <w:w w:val="96"/>
              </w:rPr>
            </w:pPr>
            <w:hyperlink r:id="rId128">
              <w:r>
                <w:rPr>
                  <w:rFonts w:ascii="Arial" w:cs="Arial" w:eastAsia="Arial" w:hAnsi="Arial"/>
                  <w:sz w:val="14"/>
                  <w:szCs w:val="14"/>
                  <w:color w:val="0000FF"/>
                  <w:w w:val="96"/>
                </w:rPr>
                <w:t>Certificate of Incorporation of RERC Corp.</w:t>
              </w:r>
            </w:hyperlink>
          </w:p>
        </w:tc>
        <w:tc>
          <w:tcPr>
            <w:tcW w:w="2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6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0"/>
          </w:tcPr>
          <w:p>
            <w:pPr>
              <w:spacing w:after="0"/>
              <w:rPr>
                <w:rFonts w:ascii="Arial" w:cs="Arial" w:eastAsia="Arial" w:hAnsi="Arial"/>
                <w:sz w:val="14"/>
                <w:szCs w:val="14"/>
                <w:color w:val="0000FF"/>
                <w:w w:val="99"/>
              </w:rPr>
            </w:pPr>
            <w:hyperlink r:id="rId128">
              <w:r>
                <w:rPr>
                  <w:rFonts w:ascii="Arial" w:cs="Arial" w:eastAsia="Arial" w:hAnsi="Arial"/>
                  <w:sz w:val="14"/>
                  <w:szCs w:val="14"/>
                  <w:color w:val="0000FF"/>
                  <w:w w:val="99"/>
                </w:rPr>
                <w:t>Certificate of Merger merging former NorAm</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Energy Corp. with and into HI Merger, Inc.</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dated August 6, 1997</w:t>
              </w:r>
            </w:hyperlink>
          </w:p>
        </w:tc>
        <w:tc>
          <w:tcPr>
            <w:tcW w:w="12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30"/>
          </w:tcPr>
          <w:p>
            <w:pPr>
              <w:spacing w:after="0"/>
              <w:rPr>
                <w:rFonts w:ascii="Arial" w:cs="Arial" w:eastAsia="Arial" w:hAnsi="Arial"/>
                <w:sz w:val="14"/>
                <w:szCs w:val="14"/>
                <w:color w:val="0000FF"/>
                <w:w w:val="96"/>
              </w:rPr>
            </w:pPr>
            <w:hyperlink r:id="rId129">
              <w:r>
                <w:rPr>
                  <w:rFonts w:ascii="Arial" w:cs="Arial" w:eastAsia="Arial" w:hAnsi="Arial"/>
                  <w:sz w:val="14"/>
                  <w:szCs w:val="14"/>
                  <w:color w:val="0000FF"/>
                  <w:w w:val="96"/>
                </w:rPr>
                <w:t>Certificate of Amendment changing the name</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w w:val="98"/>
              </w:rPr>
            </w:pPr>
            <w:hyperlink r:id="rId129">
              <w:r>
                <w:rPr>
                  <w:rFonts w:ascii="Arial" w:cs="Arial" w:eastAsia="Arial" w:hAnsi="Arial"/>
                  <w:sz w:val="13"/>
                  <w:szCs w:val="13"/>
                  <w:color w:val="0000FF"/>
                  <w:w w:val="98"/>
                </w:rPr>
                <w:t>to Reliant Energy Resources Corp.</w:t>
              </w:r>
            </w:hyperlink>
          </w:p>
        </w:tc>
        <w:tc>
          <w:tcPr>
            <w:tcW w:w="640" w:type="dxa"/>
            <w:vAlign w:val="bottom"/>
            <w:tcBorders>
              <w:top w:val="single" w:sz="8" w:color="0000FF"/>
            </w:tcBorders>
            <w:gridSpan w:val="17"/>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0"/>
          </w:tcPr>
          <w:p>
            <w:pPr>
              <w:spacing w:after="0"/>
              <w:rPr>
                <w:rFonts w:ascii="Arial" w:cs="Arial" w:eastAsia="Arial" w:hAnsi="Arial"/>
                <w:sz w:val="14"/>
                <w:szCs w:val="14"/>
                <w:color w:val="0000FF"/>
                <w:w w:val="96"/>
              </w:rPr>
            </w:pPr>
            <w:hyperlink r:id="rId130">
              <w:r>
                <w:rPr>
                  <w:rFonts w:ascii="Arial" w:cs="Arial" w:eastAsia="Arial" w:hAnsi="Arial"/>
                  <w:sz w:val="14"/>
                  <w:szCs w:val="14"/>
                  <w:color w:val="0000FF"/>
                  <w:w w:val="96"/>
                </w:rPr>
                <w:t>Certificate of Amendment changing the name</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to CenterPoint Energy Resources Corp.</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0"/>
          </w:tcPr>
          <w:p>
            <w:pPr>
              <w:spacing w:after="0"/>
              <w:rPr>
                <w:rFonts w:ascii="Arial" w:cs="Arial" w:eastAsia="Arial" w:hAnsi="Arial"/>
                <w:sz w:val="14"/>
                <w:szCs w:val="14"/>
                <w:color w:val="0000FF"/>
              </w:rPr>
            </w:pPr>
            <w:hyperlink r:id="rId131">
              <w:r>
                <w:rPr>
                  <w:rFonts w:ascii="Arial" w:cs="Arial" w:eastAsia="Arial" w:hAnsi="Arial"/>
                  <w:sz w:val="14"/>
                  <w:szCs w:val="14"/>
                  <w:color w:val="0000FF"/>
                </w:rPr>
                <w:t>Third Amended and Restated Bylaws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w w:val="98"/>
              </w:rPr>
            </w:pPr>
            <w:hyperlink r:id="rId131">
              <w:r>
                <w:rPr>
                  <w:rFonts w:ascii="Arial" w:cs="Arial" w:eastAsia="Arial" w:hAnsi="Arial"/>
                  <w:sz w:val="13"/>
                  <w:szCs w:val="13"/>
                  <w:color w:val="0000FF"/>
                  <w:w w:val="98"/>
                </w:rPr>
                <w:t>CenterPoint Energy</w:t>
              </w:r>
            </w:hyperlink>
          </w:p>
        </w:tc>
        <w:tc>
          <w:tcPr>
            <w:tcW w:w="120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34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0"/>
          </w:tcPr>
          <w:p>
            <w:pPr>
              <w:spacing w:after="0"/>
              <w:rPr>
                <w:rFonts w:ascii="Arial" w:cs="Arial" w:eastAsia="Arial" w:hAnsi="Arial"/>
                <w:sz w:val="14"/>
                <w:szCs w:val="14"/>
                <w:color w:val="0000FF"/>
              </w:rPr>
            </w:pPr>
            <w:hyperlink r:id="rId132">
              <w:r>
                <w:rPr>
                  <w:rFonts w:ascii="Arial" w:cs="Arial" w:eastAsia="Arial" w:hAnsi="Arial"/>
                  <w:sz w:val="14"/>
                  <w:szCs w:val="14"/>
                  <w:color w:val="0000FF"/>
                </w:rPr>
                <w:t>Amended and Restated Limited Liability</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13"/>
          </w:tcPr>
          <w:p>
            <w:pPr>
              <w:spacing w:after="0" w:line="115" w:lineRule="exact"/>
              <w:rPr>
                <w:rFonts w:ascii="Arial" w:cs="Arial" w:eastAsia="Arial" w:hAnsi="Arial"/>
                <w:sz w:val="13"/>
                <w:szCs w:val="13"/>
                <w:color w:val="0000FF"/>
                <w:w w:val="99"/>
              </w:rPr>
            </w:pPr>
            <w:hyperlink r:id="rId132">
              <w:r>
                <w:rPr>
                  <w:rFonts w:ascii="Arial" w:cs="Arial" w:eastAsia="Arial" w:hAnsi="Arial"/>
                  <w:sz w:val="13"/>
                  <w:szCs w:val="13"/>
                  <w:color w:val="0000FF"/>
                  <w:w w:val="99"/>
                </w:rPr>
                <w:t>Company Agreement of Houston Electric</w:t>
              </w:r>
            </w:hyperlink>
          </w:p>
        </w:tc>
        <w:tc>
          <w:tcPr>
            <w:tcW w:w="40" w:type="dxa"/>
            <w:vAlign w:val="bottom"/>
            <w:tcBorders>
              <w:bottom w:val="single" w:sz="8" w:color="0000FF"/>
            </w:tcBorders>
            <w:gridSpan w:val="2"/>
          </w:tcPr>
          <w:p>
            <w:pPr>
              <w:spacing w:after="0"/>
              <w:rPr>
                <w:sz w:val="10"/>
                <w:szCs w:val="10"/>
                <w:color w:val="auto"/>
              </w:rPr>
            </w:pPr>
          </w:p>
        </w:tc>
        <w:tc>
          <w:tcPr>
            <w:tcW w:w="34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bottom w:val="single" w:sz="8" w:color="0000FF"/>
            </w:tcBorders>
            <w:gridSpan w:val="7"/>
          </w:tcPr>
          <w:p>
            <w:pPr>
              <w:spacing w:after="0"/>
              <w:rPr>
                <w:rFonts w:ascii="Arial" w:cs="Arial" w:eastAsia="Arial" w:hAnsi="Arial"/>
                <w:sz w:val="14"/>
                <w:szCs w:val="14"/>
                <w:color w:val="0000FF"/>
                <w:w w:val="94"/>
              </w:rPr>
            </w:pPr>
            <w:hyperlink r:id="rId128">
              <w:r>
                <w:rPr>
                  <w:rFonts w:ascii="Arial" w:cs="Arial" w:eastAsia="Arial" w:hAnsi="Arial"/>
                  <w:sz w:val="14"/>
                  <w:szCs w:val="14"/>
                  <w:color w:val="0000FF"/>
                  <w:w w:val="94"/>
                </w:rPr>
                <w:t>Bylaws of RERC Corp.</w:t>
              </w:r>
            </w:hyperlink>
          </w:p>
        </w:tc>
        <w:tc>
          <w:tcPr>
            <w:tcW w:w="13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CenterPoint Energy’s</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1"/>
                <w:szCs w:val="11"/>
                <w:color w:val="auto"/>
              </w:rPr>
            </w:pPr>
          </w:p>
        </w:tc>
        <w:tc>
          <w:tcPr>
            <w:tcW w:w="9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5"/>
              </w:rPr>
              <w:t>x</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April 21,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3, 2020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24, 2020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55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July 24,</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Houston Electric’s Form</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1"/>
              </w:rPr>
              <w:t>1-3187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10-Q for the quarter ended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10-K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5"/>
              </w:rPr>
              <w:t>3(a)(1)</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year ended December 31,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10-K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5"/>
              </w:rPr>
              <w:t>3(a)(2)</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year ended December 31,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10-K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5"/>
              </w:rPr>
              <w:t>3(a)(3)</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year ended December 31,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10-Q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5"/>
              </w:rPr>
              <w:t>3(a)(4)</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quarter ended June 30,</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21, 2017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Houston Electric’s Form</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1"/>
              </w:rPr>
              <w:t>1-3187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10-Q for the quarter ended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CERC Form 10-K for the</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1-13265</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6"/>
              </w:rPr>
              <w:t>3(b)</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year ended December 31,</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20" w:space="120"/>
            <w:col w:w="7300"/>
          </w:cols>
          <w:pgMar w:left="320" w:top="125" w:right="339" w:bottom="1440" w:gutter="0" w:footer="0" w:header="0"/>
          <w:type w:val="continuous"/>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38"/>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3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87"/>
              </w:rPr>
              <w:t>3.10</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40"/>
          </w:tcPr>
          <w:p>
            <w:pPr>
              <w:spacing w:after="0" w:line="143" w:lineRule="exact"/>
              <w:rPr>
                <w:rFonts w:ascii="Arial" w:cs="Arial" w:eastAsia="Arial" w:hAnsi="Arial"/>
                <w:sz w:val="14"/>
                <w:szCs w:val="14"/>
                <w:color w:val="0000FF"/>
              </w:rPr>
            </w:pPr>
            <w:hyperlink r:id="rId134">
              <w:r>
                <w:rPr>
                  <w:rFonts w:ascii="Arial" w:cs="Arial" w:eastAsia="Arial" w:hAnsi="Arial"/>
                  <w:sz w:val="14"/>
                  <w:szCs w:val="14"/>
                  <w:color w:val="0000FF"/>
                </w:rPr>
                <w:t>Statement of Resolutions Deleting Shares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r:id="rId134">
              <w:r>
                <w:rPr>
                  <w:rFonts w:ascii="Arial" w:cs="Arial" w:eastAsia="Arial" w:hAnsi="Arial"/>
                  <w:sz w:val="13"/>
                  <w:szCs w:val="13"/>
                  <w:color w:val="0000FF"/>
                </w:rPr>
                <w:t>Designated Series A Preferred Stock of</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8"/>
              </w:rPr>
            </w:pPr>
            <w:hyperlink r:id="rId134">
              <w:r>
                <w:rPr>
                  <w:rFonts w:ascii="Arial" w:cs="Arial" w:eastAsia="Arial" w:hAnsi="Arial"/>
                  <w:sz w:val="13"/>
                  <w:szCs w:val="13"/>
                  <w:color w:val="0000FF"/>
                  <w:w w:val="98"/>
                </w:rPr>
                <w:t>CenterPoint Energy</w:t>
              </w:r>
            </w:hyperlink>
          </w:p>
        </w:tc>
        <w:tc>
          <w:tcPr>
            <w:tcW w:w="1120" w:type="dxa"/>
            <w:vAlign w:val="bottom"/>
            <w:tcBorders>
              <w:top w:val="single" w:sz="8" w:color="0000FF"/>
            </w:tcBorders>
            <w:gridSpan w:val="10"/>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0"/>
          </w:tcPr>
          <w:p>
            <w:pPr>
              <w:spacing w:after="0"/>
              <w:rPr>
                <w:rFonts w:ascii="Arial" w:cs="Arial" w:eastAsia="Arial" w:hAnsi="Arial"/>
                <w:sz w:val="14"/>
                <w:szCs w:val="14"/>
                <w:color w:val="0000FF"/>
                <w:w w:val="97"/>
              </w:rPr>
            </w:pPr>
            <w:hyperlink r:id="rId135">
              <w:r>
                <w:rPr>
                  <w:rFonts w:ascii="Arial" w:cs="Arial" w:eastAsia="Arial" w:hAnsi="Arial"/>
                  <w:sz w:val="14"/>
                  <w:szCs w:val="14"/>
                  <w:color w:val="0000FF"/>
                  <w:w w:val="97"/>
                </w:rPr>
                <w:t>Statement of Resolution Establishing Series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35">
              <w:r>
                <w:rPr>
                  <w:rFonts w:ascii="Arial" w:cs="Arial" w:eastAsia="Arial" w:hAnsi="Arial"/>
                  <w:sz w:val="13"/>
                  <w:szCs w:val="13"/>
                  <w:color w:val="0000FF"/>
                </w:rPr>
                <w:t>Shares Designated Series A Fixed-to-Floating</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33"/>
          </w:tcPr>
          <w:p>
            <w:pPr>
              <w:spacing w:after="0" w:line="115" w:lineRule="exact"/>
              <w:rPr>
                <w:rFonts w:ascii="Arial" w:cs="Arial" w:eastAsia="Arial" w:hAnsi="Arial"/>
                <w:sz w:val="13"/>
                <w:szCs w:val="13"/>
                <w:color w:val="0000FF"/>
                <w:w w:val="99"/>
              </w:rPr>
            </w:pPr>
            <w:hyperlink r:id="rId135">
              <w:r>
                <w:rPr>
                  <w:rFonts w:ascii="Arial" w:cs="Arial" w:eastAsia="Arial" w:hAnsi="Arial"/>
                  <w:sz w:val="13"/>
                  <w:szCs w:val="13"/>
                  <w:color w:val="0000FF"/>
                  <w:w w:val="99"/>
                </w:rPr>
                <w:t>Rate Cumulative Redeemable Preferred Stock</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Borders>
              <w:bottom w:val="single" w:sz="8" w:color="0000FF"/>
            </w:tcBorders>
            <w:gridSpan w:val="4"/>
          </w:tcPr>
          <w:p>
            <w:pPr>
              <w:spacing w:after="0" w:line="115" w:lineRule="exact"/>
              <w:rPr>
                <w:rFonts w:ascii="Arial" w:cs="Arial" w:eastAsia="Arial" w:hAnsi="Arial"/>
                <w:sz w:val="13"/>
                <w:szCs w:val="13"/>
                <w:color w:val="0000FF"/>
              </w:rPr>
            </w:pPr>
            <w:hyperlink r:id="rId135">
              <w:r>
                <w:rPr>
                  <w:rFonts w:ascii="Arial" w:cs="Arial" w:eastAsia="Arial" w:hAnsi="Arial"/>
                  <w:sz w:val="13"/>
                  <w:szCs w:val="13"/>
                  <w:color w:val="0000FF"/>
                </w:rPr>
                <w:t>of CenterPoint Energy</w:t>
              </w:r>
            </w:hyperlink>
          </w:p>
        </w:tc>
        <w:tc>
          <w:tcPr>
            <w:tcW w:w="1400" w:type="dxa"/>
            <w:vAlign w:val="bottom"/>
            <w:gridSpan w:val="3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0"/>
          </w:tcPr>
          <w:p>
            <w:pPr>
              <w:spacing w:after="0"/>
              <w:rPr>
                <w:rFonts w:ascii="Arial" w:cs="Arial" w:eastAsia="Arial" w:hAnsi="Arial"/>
                <w:sz w:val="14"/>
                <w:szCs w:val="14"/>
                <w:color w:val="0000FF"/>
                <w:w w:val="97"/>
              </w:rPr>
            </w:pPr>
            <w:hyperlink r:id="rId136">
              <w:r>
                <w:rPr>
                  <w:rFonts w:ascii="Arial" w:cs="Arial" w:eastAsia="Arial" w:hAnsi="Arial"/>
                  <w:sz w:val="14"/>
                  <w:szCs w:val="14"/>
                  <w:color w:val="0000FF"/>
                  <w:w w:val="97"/>
                </w:rPr>
                <w:t>Statement of Resolution Establishing Series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36">
              <w:r>
                <w:rPr>
                  <w:rFonts w:ascii="Arial" w:cs="Arial" w:eastAsia="Arial" w:hAnsi="Arial"/>
                  <w:sz w:val="13"/>
                  <w:szCs w:val="13"/>
                  <w:color w:val="0000FF"/>
                </w:rPr>
                <w:t>Shares designated 7.00% Series B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136">
              <w:r>
                <w:rPr>
                  <w:rFonts w:ascii="Arial" w:cs="Arial" w:eastAsia="Arial" w:hAnsi="Arial"/>
                  <w:sz w:val="13"/>
                  <w:szCs w:val="13"/>
                  <w:color w:val="0000FF"/>
                </w:rPr>
                <w:t>Convertible Preferred Stock of CenterPoint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6"/>
              </w:rPr>
            </w:pPr>
            <w:hyperlink r:id="rId136">
              <w:r>
                <w:rPr>
                  <w:rFonts w:ascii="Arial" w:cs="Arial" w:eastAsia="Arial" w:hAnsi="Arial"/>
                  <w:sz w:val="13"/>
                  <w:szCs w:val="13"/>
                  <w:color w:val="0000FF"/>
                  <w:w w:val="96"/>
                </w:rPr>
                <w:t>Energy</w:t>
              </w:r>
            </w:hyperlink>
          </w:p>
        </w:tc>
        <w:tc>
          <w:tcPr>
            <w:tcW w:w="210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0"/>
          </w:tcPr>
          <w:p>
            <w:pPr>
              <w:spacing w:after="0"/>
              <w:rPr>
                <w:rFonts w:ascii="Arial" w:cs="Arial" w:eastAsia="Arial" w:hAnsi="Arial"/>
                <w:sz w:val="14"/>
                <w:szCs w:val="14"/>
                <w:color w:val="0000FF"/>
                <w:w w:val="97"/>
              </w:rPr>
            </w:pPr>
            <w:hyperlink r:id="rId137">
              <w:r>
                <w:rPr>
                  <w:rFonts w:ascii="Arial" w:cs="Arial" w:eastAsia="Arial" w:hAnsi="Arial"/>
                  <w:sz w:val="14"/>
                  <w:szCs w:val="14"/>
                  <w:color w:val="0000FF"/>
                  <w:w w:val="97"/>
                </w:rPr>
                <w:t>Statement of Resolution Establishing Series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w w:val="97"/>
              </w:rPr>
            </w:pPr>
            <w:hyperlink r:id="rId137">
              <w:r>
                <w:rPr>
                  <w:rFonts w:ascii="Arial" w:cs="Arial" w:eastAsia="Arial" w:hAnsi="Arial"/>
                  <w:sz w:val="13"/>
                  <w:szCs w:val="13"/>
                  <w:color w:val="0000FF"/>
                  <w:w w:val="97"/>
                </w:rPr>
                <w:t>Shares designated Series C Mandatory</w:t>
              </w:r>
            </w:hyperlink>
          </w:p>
        </w:tc>
        <w:tc>
          <w:tcPr>
            <w:tcW w:w="50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tcBorders>
              <w:bottom w:val="single" w:sz="8" w:color="0000FF"/>
            </w:tcBorders>
            <w:gridSpan w:val="24"/>
          </w:tcPr>
          <w:p>
            <w:pPr>
              <w:spacing w:after="0" w:line="115" w:lineRule="exact"/>
              <w:rPr>
                <w:rFonts w:ascii="Arial" w:cs="Arial" w:eastAsia="Arial" w:hAnsi="Arial"/>
                <w:sz w:val="13"/>
                <w:szCs w:val="13"/>
                <w:color w:val="0000FF"/>
              </w:rPr>
            </w:pPr>
            <w:hyperlink r:id="rId137">
              <w:r>
                <w:rPr>
                  <w:rFonts w:ascii="Arial" w:cs="Arial" w:eastAsia="Arial" w:hAnsi="Arial"/>
                  <w:sz w:val="13"/>
                  <w:szCs w:val="13"/>
                  <w:color w:val="0000FF"/>
                </w:rPr>
                <w:t>Convertible Preferred Stock of CenterPoint</w:t>
              </w:r>
            </w:hyperlink>
          </w:p>
        </w:tc>
        <w:tc>
          <w:tcPr>
            <w:tcW w:w="28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bottom w:val="single" w:sz="8" w:color="0000FF"/>
            </w:tcBorders>
            <w:gridSpan w:val="29"/>
          </w:tcPr>
          <w:p>
            <w:pPr>
              <w:spacing w:after="0" w:line="115" w:lineRule="exact"/>
              <w:rPr>
                <w:rFonts w:ascii="Arial" w:cs="Arial" w:eastAsia="Arial" w:hAnsi="Arial"/>
                <w:sz w:val="13"/>
                <w:szCs w:val="13"/>
                <w:color w:val="0000FF"/>
              </w:rPr>
            </w:pPr>
            <w:hyperlink r:id="rId137">
              <w:r>
                <w:rPr>
                  <w:rFonts w:ascii="Arial" w:cs="Arial" w:eastAsia="Arial" w:hAnsi="Arial"/>
                  <w:sz w:val="13"/>
                  <w:szCs w:val="13"/>
                  <w:color w:val="0000FF"/>
                </w:rPr>
                <w:t>Energy, Inc., filed with the Secretary of State</w:t>
              </w:r>
            </w:hyperlink>
          </w:p>
        </w:tc>
        <w:tc>
          <w:tcPr>
            <w:tcW w:w="2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tcBorders>
              <w:bottom w:val="single" w:sz="8" w:color="0000FF"/>
            </w:tcBorders>
            <w:gridSpan w:val="40"/>
          </w:tcPr>
          <w:p>
            <w:pPr>
              <w:spacing w:after="0" w:line="115" w:lineRule="exact"/>
              <w:rPr>
                <w:rFonts w:ascii="Arial" w:cs="Arial" w:eastAsia="Arial" w:hAnsi="Arial"/>
                <w:sz w:val="13"/>
                <w:szCs w:val="13"/>
                <w:color w:val="0000FF"/>
              </w:rPr>
            </w:pPr>
            <w:hyperlink r:id="rId137">
              <w:r>
                <w:rPr>
                  <w:rFonts w:ascii="Arial" w:cs="Arial" w:eastAsia="Arial" w:hAnsi="Arial"/>
                  <w:sz w:val="13"/>
                  <w:szCs w:val="13"/>
                  <w:color w:val="0000FF"/>
                </w:rPr>
                <w:t>of the State of Texas and effective May 7, 2020</w:t>
              </w:r>
            </w:hyperlink>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bottom w:val="single" w:sz="8" w:color="0000FF"/>
            </w:tcBorders>
            <w:gridSpan w:val="35"/>
          </w:tcPr>
          <w:p>
            <w:pPr>
              <w:spacing w:after="0"/>
              <w:rPr>
                <w:rFonts w:ascii="Arial" w:cs="Arial" w:eastAsia="Arial" w:hAnsi="Arial"/>
                <w:sz w:val="14"/>
                <w:szCs w:val="14"/>
                <w:color w:val="0000FF"/>
                <w:w w:val="96"/>
              </w:rPr>
            </w:pPr>
            <w:hyperlink r:id="rId138">
              <w:r>
                <w:rPr>
                  <w:rFonts w:ascii="Arial" w:cs="Arial" w:eastAsia="Arial" w:hAnsi="Arial"/>
                  <w:sz w:val="14"/>
                  <w:szCs w:val="14"/>
                  <w:color w:val="0000FF"/>
                  <w:w w:val="96"/>
                </w:rPr>
                <w:t>Form of CenterPoint Energy Stock Certificate</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96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40"/>
          </w:tcPr>
          <w:p>
            <w:pPr>
              <w:spacing w:after="0"/>
              <w:rPr>
                <w:rFonts w:ascii="Arial" w:cs="Arial" w:eastAsia="Arial" w:hAnsi="Arial"/>
                <w:sz w:val="14"/>
                <w:szCs w:val="14"/>
                <w:color w:val="0000FF"/>
              </w:rPr>
            </w:pPr>
            <w:hyperlink r:id="rId139">
              <w:r>
                <w:rPr>
                  <w:rFonts w:ascii="Arial" w:cs="Arial" w:eastAsia="Arial" w:hAnsi="Arial"/>
                  <w:sz w:val="14"/>
                  <w:szCs w:val="14"/>
                  <w:color w:val="0000FF"/>
                </w:rPr>
                <w:t>Form of Certificate representing the Series A</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39">
              <w:r>
                <w:rPr>
                  <w:rFonts w:ascii="Arial" w:cs="Arial" w:eastAsia="Arial" w:hAnsi="Arial"/>
                  <w:sz w:val="13"/>
                  <w:szCs w:val="13"/>
                  <w:color w:val="0000FF"/>
                </w:rPr>
                <w:t>Fixed-to-Floating Rate Cumulative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gridSpan w:val="40"/>
          </w:tcPr>
          <w:p>
            <w:pPr>
              <w:spacing w:after="0" w:line="115" w:lineRule="exact"/>
              <w:rPr>
                <w:rFonts w:ascii="Arial" w:cs="Arial" w:eastAsia="Arial" w:hAnsi="Arial"/>
                <w:sz w:val="13"/>
                <w:szCs w:val="13"/>
                <w:color w:val="0000FF"/>
              </w:rPr>
            </w:pPr>
            <w:hyperlink r:id="rId139">
              <w:r>
                <w:rPr>
                  <w:rFonts w:ascii="Arial" w:cs="Arial" w:eastAsia="Arial" w:hAnsi="Arial"/>
                  <w:sz w:val="13"/>
                  <w:szCs w:val="13"/>
                  <w:color w:val="0000FF"/>
                </w:rPr>
                <w:t>Redeemable Preferred Stock of CenterPoint</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6"/>
              </w:rPr>
            </w:pPr>
            <w:hyperlink r:id="rId139">
              <w:r>
                <w:rPr>
                  <w:rFonts w:ascii="Arial" w:cs="Arial" w:eastAsia="Arial" w:hAnsi="Arial"/>
                  <w:sz w:val="13"/>
                  <w:szCs w:val="13"/>
                  <w:color w:val="0000FF"/>
                  <w:w w:val="96"/>
                </w:rPr>
                <w:t>Energy</w:t>
              </w:r>
            </w:hyperlink>
          </w:p>
        </w:tc>
        <w:tc>
          <w:tcPr>
            <w:tcW w:w="2200" w:type="dxa"/>
            <w:vAlign w:val="bottom"/>
            <w:tcBorders>
              <w:top w:val="single" w:sz="8" w:color="0000FF"/>
            </w:tcBorders>
            <w:gridSpan w:val="26"/>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0"/>
          </w:tcPr>
          <w:p>
            <w:pPr>
              <w:spacing w:after="0"/>
              <w:rPr>
                <w:rFonts w:ascii="Arial" w:cs="Arial" w:eastAsia="Arial" w:hAnsi="Arial"/>
                <w:sz w:val="14"/>
                <w:szCs w:val="14"/>
                <w:color w:val="0000FF"/>
              </w:rPr>
            </w:pPr>
            <w:hyperlink r:id="rId136">
              <w:r>
                <w:rPr>
                  <w:rFonts w:ascii="Arial" w:cs="Arial" w:eastAsia="Arial" w:hAnsi="Arial"/>
                  <w:sz w:val="14"/>
                  <w:szCs w:val="14"/>
                  <w:color w:val="0000FF"/>
                </w:rPr>
                <w:t>Form of Certificate representing the 7.00%</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136">
              <w:r>
                <w:rPr>
                  <w:rFonts w:ascii="Arial" w:cs="Arial" w:eastAsia="Arial" w:hAnsi="Arial"/>
                  <w:sz w:val="13"/>
                  <w:szCs w:val="13"/>
                  <w:color w:val="0000FF"/>
                </w:rPr>
                <w:t>Series B Mandatory Convertible Preferred</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136">
              <w:r>
                <w:rPr>
                  <w:rFonts w:ascii="Arial" w:cs="Arial" w:eastAsia="Arial" w:hAnsi="Arial"/>
                  <w:sz w:val="13"/>
                  <w:szCs w:val="13"/>
                  <w:color w:val="0000FF"/>
                </w:rPr>
                <w:t>Stock of CenterPoint Energy (included as</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r:id="rId136">
              <w:r>
                <w:rPr>
                  <w:rFonts w:ascii="Arial" w:cs="Arial" w:eastAsia="Arial" w:hAnsi="Arial"/>
                  <w:sz w:val="13"/>
                  <w:szCs w:val="13"/>
                  <w:color w:val="0000FF"/>
                </w:rPr>
                <w:t>Exhibit A to Exhibit 3.12)</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0"/>
          </w:tcPr>
          <w:p>
            <w:pPr>
              <w:spacing w:after="0"/>
              <w:rPr>
                <w:rFonts w:ascii="Arial" w:cs="Arial" w:eastAsia="Arial" w:hAnsi="Arial"/>
                <w:sz w:val="14"/>
                <w:szCs w:val="14"/>
                <w:color w:val="0000FF"/>
              </w:rPr>
            </w:pPr>
            <w:hyperlink r:id="rId140">
              <w:r>
                <w:rPr>
                  <w:rFonts w:ascii="Arial" w:cs="Arial" w:eastAsia="Arial" w:hAnsi="Arial"/>
                  <w:sz w:val="14"/>
                  <w:szCs w:val="14"/>
                  <w:color w:val="0000FF"/>
                </w:rPr>
                <w:t>Deposit Agreement, dated as of October 1,</w:t>
              </w:r>
            </w:hyperlink>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1"/>
          </w:tcPr>
          <w:p>
            <w:pPr>
              <w:spacing w:after="0" w:line="102" w:lineRule="exact"/>
              <w:rPr>
                <w:rFonts w:ascii="Arial" w:cs="Arial" w:eastAsia="Arial" w:hAnsi="Arial"/>
                <w:sz w:val="11"/>
                <w:szCs w:val="11"/>
                <w:color w:val="0000FF"/>
              </w:rPr>
            </w:pPr>
            <w:hyperlink r:id="rId140">
              <w:r>
                <w:rPr>
                  <w:rFonts w:ascii="Arial" w:cs="Arial" w:eastAsia="Arial" w:hAnsi="Arial"/>
                  <w:sz w:val="11"/>
                  <w:szCs w:val="11"/>
                  <w:color w:val="0000FF"/>
                </w:rPr>
                <w:t>2018, among CenterPoint Energy and</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10"/>
          </w:tcPr>
          <w:p>
            <w:pPr>
              <w:spacing w:after="0" w:line="122" w:lineRule="exact"/>
              <w:rPr>
                <w:rFonts w:ascii="Arial" w:cs="Arial" w:eastAsia="Arial" w:hAnsi="Arial"/>
                <w:sz w:val="14"/>
                <w:szCs w:val="14"/>
                <w:color w:val="0000FF"/>
                <w:w w:val="88"/>
              </w:rPr>
            </w:pPr>
            <w:hyperlink r:id="rId140">
              <w:r>
                <w:rPr>
                  <w:rFonts w:ascii="Arial" w:cs="Arial" w:eastAsia="Arial" w:hAnsi="Arial"/>
                  <w:sz w:val="14"/>
                  <w:szCs w:val="14"/>
                  <w:color w:val="0000FF"/>
                  <w:w w:val="88"/>
                </w:rPr>
                <w:t>Broadridge Corporate Issuer Solutions,</w:t>
              </w:r>
            </w:hyperlink>
          </w:p>
        </w:tc>
        <w:tc>
          <w:tcPr>
            <w:tcW w:w="60" w:type="dxa"/>
            <w:vAlign w:val="bottom"/>
          </w:tcPr>
          <w:p>
            <w:pPr>
              <w:spacing w:after="0"/>
              <w:rPr>
                <w:sz w:val="10"/>
                <w:szCs w:val="10"/>
                <w:color w:val="auto"/>
              </w:rPr>
            </w:pPr>
          </w:p>
        </w:tc>
        <w:tc>
          <w:tcPr>
            <w:tcW w:w="600" w:type="dxa"/>
            <w:vAlign w:val="bottom"/>
            <w:gridSpan w:val="29"/>
          </w:tcPr>
          <w:p>
            <w:pPr>
              <w:ind w:left="60"/>
              <w:spacing w:after="0" w:line="122" w:lineRule="exact"/>
              <w:rPr>
                <w:rFonts w:ascii="Arial" w:cs="Arial" w:eastAsia="Arial" w:hAnsi="Arial"/>
                <w:sz w:val="14"/>
                <w:szCs w:val="14"/>
                <w:color w:val="0000FF"/>
              </w:rPr>
            </w:pPr>
            <w:hyperlink r:id="rId140">
              <w:r>
                <w:rPr>
                  <w:rFonts w:ascii="Arial" w:cs="Arial" w:eastAsia="Arial" w:hAnsi="Arial"/>
                  <w:sz w:val="14"/>
                  <w:szCs w:val="14"/>
                  <w:color w:val="0000FF"/>
                </w:rPr>
                <w:t>Inc., as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40">
              <w:r>
                <w:rPr>
                  <w:rFonts w:ascii="Arial" w:cs="Arial" w:eastAsia="Arial" w:hAnsi="Arial"/>
                  <w:sz w:val="13"/>
                  <w:szCs w:val="13"/>
                  <w:color w:val="0000FF"/>
                </w:rPr>
                <w:t>Depositary, and the holders from time to time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bottom w:val="single" w:sz="8" w:color="0000FF"/>
            </w:tcBorders>
            <w:gridSpan w:val="29"/>
          </w:tcPr>
          <w:p>
            <w:pPr>
              <w:spacing w:after="0" w:line="115" w:lineRule="exact"/>
              <w:rPr>
                <w:rFonts w:ascii="Arial" w:cs="Arial" w:eastAsia="Arial" w:hAnsi="Arial"/>
                <w:sz w:val="13"/>
                <w:szCs w:val="13"/>
                <w:color w:val="0000FF"/>
              </w:rPr>
            </w:pPr>
            <w:hyperlink r:id="rId140">
              <w:r>
                <w:rPr>
                  <w:rFonts w:ascii="Arial" w:cs="Arial" w:eastAsia="Arial" w:hAnsi="Arial"/>
                  <w:sz w:val="13"/>
                  <w:szCs w:val="13"/>
                  <w:color w:val="0000FF"/>
                </w:rPr>
                <w:t>of the Depositary Receipts described therein</w:t>
              </w:r>
            </w:hyperlink>
          </w:p>
        </w:tc>
        <w:tc>
          <w:tcPr>
            <w:tcW w:w="40" w:type="dxa"/>
            <w:vAlign w:val="bottom"/>
            <w:tcBorders>
              <w:top w:val="single" w:sz="8" w:color="0000FF"/>
            </w:tcBorders>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0"/>
          </w:tcPr>
          <w:p>
            <w:pPr>
              <w:spacing w:after="0"/>
              <w:rPr>
                <w:rFonts w:ascii="Arial" w:cs="Arial" w:eastAsia="Arial" w:hAnsi="Arial"/>
                <w:sz w:val="14"/>
                <w:szCs w:val="14"/>
                <w:color w:val="0000FF"/>
                <w:w w:val="98"/>
              </w:rPr>
            </w:pPr>
            <w:hyperlink r:id="rId140">
              <w:r>
                <w:rPr>
                  <w:rFonts w:ascii="Arial" w:cs="Arial" w:eastAsia="Arial" w:hAnsi="Arial"/>
                  <w:sz w:val="14"/>
                  <w:szCs w:val="14"/>
                  <w:color w:val="0000FF"/>
                  <w:w w:val="98"/>
                </w:rPr>
                <w:t>Form of Depositary Receipt for the Depositary</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bottom w:val="single" w:sz="8" w:color="0000FF"/>
            </w:tcBorders>
            <w:gridSpan w:val="29"/>
          </w:tcPr>
          <w:p>
            <w:pPr>
              <w:spacing w:after="0" w:line="115" w:lineRule="exact"/>
              <w:rPr>
                <w:rFonts w:ascii="Arial" w:cs="Arial" w:eastAsia="Arial" w:hAnsi="Arial"/>
                <w:sz w:val="13"/>
                <w:szCs w:val="13"/>
                <w:color w:val="0000FF"/>
              </w:rPr>
            </w:pPr>
            <w:hyperlink r:id="rId140">
              <w:r>
                <w:rPr>
                  <w:rFonts w:ascii="Arial" w:cs="Arial" w:eastAsia="Arial" w:hAnsi="Arial"/>
                  <w:sz w:val="13"/>
                  <w:szCs w:val="13"/>
                  <w:color w:val="0000FF"/>
                </w:rPr>
                <w:t>Shares (included as Exhibit A to Exhibit 4.4)</w:t>
              </w:r>
            </w:hyperlink>
          </w:p>
        </w:tc>
        <w:tc>
          <w:tcPr>
            <w:tcW w:w="16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40"/>
          </w:tcPr>
          <w:p>
            <w:pPr>
              <w:spacing w:after="0"/>
              <w:rPr>
                <w:rFonts w:ascii="Arial" w:cs="Arial" w:eastAsia="Arial" w:hAnsi="Arial"/>
                <w:sz w:val="14"/>
                <w:szCs w:val="14"/>
                <w:color w:val="0000FF"/>
                <w:w w:val="96"/>
              </w:rPr>
            </w:pPr>
            <w:hyperlink r:id="rId141">
              <w:r>
                <w:rPr>
                  <w:rFonts w:ascii="Arial" w:cs="Arial" w:eastAsia="Arial" w:hAnsi="Arial"/>
                  <w:sz w:val="14"/>
                  <w:szCs w:val="14"/>
                  <w:u w:val="single" w:color="auto"/>
                  <w:color w:val="0000FF"/>
                  <w:w w:val="96"/>
                </w:rPr>
                <w:t>$</w:t>
              </w:r>
              <w:r>
                <w:rPr>
                  <w:rFonts w:ascii="Arial" w:cs="Arial" w:eastAsia="Arial" w:hAnsi="Arial"/>
                  <w:sz w:val="14"/>
                  <w:szCs w:val="14"/>
                  <w:color w:val="0000FF"/>
                  <w:w w:val="96"/>
                </w:rPr>
                <w:t>2,400,000,000 Amended and Restated Credit</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141">
              <w:r>
                <w:rPr>
                  <w:rFonts w:ascii="Arial" w:cs="Arial" w:eastAsia="Arial" w:hAnsi="Arial"/>
                  <w:sz w:val="13"/>
                  <w:szCs w:val="13"/>
                  <w:color w:val="0000FF"/>
                </w:rPr>
                <w:t>Agreement dated as of February 4, 2021</w:t>
              </w:r>
            </w:hyperlink>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4"/>
          </w:tcPr>
          <w:p>
            <w:pPr>
              <w:spacing w:after="0" w:line="115" w:lineRule="exact"/>
              <w:rPr>
                <w:rFonts w:ascii="Arial" w:cs="Arial" w:eastAsia="Arial" w:hAnsi="Arial"/>
                <w:sz w:val="13"/>
                <w:szCs w:val="13"/>
                <w:color w:val="0000FF"/>
                <w:w w:val="96"/>
              </w:rPr>
            </w:pPr>
            <w:hyperlink r:id="rId141">
              <w:r>
                <w:rPr>
                  <w:rFonts w:ascii="Arial" w:cs="Arial" w:eastAsia="Arial" w:hAnsi="Arial"/>
                  <w:sz w:val="13"/>
                  <w:szCs w:val="13"/>
                  <w:color w:val="0000FF"/>
                  <w:w w:val="96"/>
                </w:rPr>
                <w:t>among CenterPoint Energy, as Borrower,</w:t>
              </w:r>
            </w:hyperlink>
          </w:p>
        </w:tc>
        <w:tc>
          <w:tcPr>
            <w:tcW w:w="4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3"/>
          </w:tcPr>
          <w:p>
            <w:pPr>
              <w:spacing w:after="0"/>
              <w:rPr>
                <w:sz w:val="10"/>
                <w:szCs w:val="10"/>
                <w:color w:val="auto"/>
              </w:rPr>
            </w:pPr>
          </w:p>
        </w:tc>
        <w:tc>
          <w:tcPr>
            <w:tcW w:w="18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60" w:type="dxa"/>
            <w:vAlign w:val="bottom"/>
            <w:tcBorders>
              <w:bottom w:val="single" w:sz="8" w:color="0000FF"/>
            </w:tcBorders>
            <w:gridSpan w:val="7"/>
          </w:tcPr>
          <w:p>
            <w:pPr>
              <w:spacing w:after="0" w:line="115" w:lineRule="exact"/>
              <w:rPr>
                <w:rFonts w:ascii="Arial" w:cs="Arial" w:eastAsia="Arial" w:hAnsi="Arial"/>
                <w:sz w:val="13"/>
                <w:szCs w:val="13"/>
                <w:color w:val="0000FF"/>
                <w:w w:val="98"/>
              </w:rPr>
            </w:pPr>
            <w:hyperlink r:id="rId141">
              <w:r>
                <w:rPr>
                  <w:rFonts w:ascii="Arial" w:cs="Arial" w:eastAsia="Arial" w:hAnsi="Arial"/>
                  <w:sz w:val="13"/>
                  <w:szCs w:val="13"/>
                  <w:color w:val="0000FF"/>
                  <w:w w:val="98"/>
                </w:rPr>
                <w:t>JPMorgan Chase Bank, N.A., as</w:t>
              </w:r>
            </w:hyperlink>
          </w:p>
        </w:tc>
        <w:tc>
          <w:tcPr>
            <w:tcW w:w="50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3"/>
          </w:tcPr>
          <w:p>
            <w:pPr>
              <w:spacing w:after="0"/>
              <w:rPr>
                <w:sz w:val="10"/>
                <w:szCs w:val="10"/>
                <w:color w:val="auto"/>
              </w:rPr>
            </w:pPr>
          </w:p>
        </w:tc>
        <w:tc>
          <w:tcPr>
            <w:tcW w:w="18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gridSpan w:val="40"/>
          </w:tcPr>
          <w:p>
            <w:pPr>
              <w:spacing w:after="0" w:line="115" w:lineRule="exact"/>
              <w:rPr>
                <w:rFonts w:ascii="Arial" w:cs="Arial" w:eastAsia="Arial" w:hAnsi="Arial"/>
                <w:sz w:val="13"/>
                <w:szCs w:val="13"/>
                <w:color w:val="0000FF"/>
              </w:rPr>
            </w:pPr>
            <w:hyperlink r:id="rId141">
              <w:r>
                <w:rPr>
                  <w:rFonts w:ascii="Arial" w:cs="Arial" w:eastAsia="Arial" w:hAnsi="Arial"/>
                  <w:sz w:val="13"/>
                  <w:szCs w:val="13"/>
                  <w:color w:val="0000FF"/>
                </w:rPr>
                <w:t>Administrative Agent, the financial institutions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141">
              <w:r>
                <w:rPr>
                  <w:rFonts w:ascii="Arial" w:cs="Arial" w:eastAsia="Arial" w:hAnsi="Arial"/>
                  <w:sz w:val="13"/>
                  <w:szCs w:val="13"/>
                  <w:color w:val="0000FF"/>
                </w:rPr>
                <w:t>as bank parties thereto and the other parties</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3"/>
              </w:rPr>
            </w:pPr>
            <w:hyperlink r:id="rId141">
              <w:r>
                <w:rPr>
                  <w:rFonts w:ascii="Arial" w:cs="Arial" w:eastAsia="Arial" w:hAnsi="Arial"/>
                  <w:sz w:val="13"/>
                  <w:szCs w:val="13"/>
                  <w:color w:val="0000FF"/>
                  <w:w w:val="93"/>
                </w:rPr>
                <w:t>thereto</w:t>
              </w:r>
            </w:hyperlink>
          </w:p>
        </w:tc>
        <w:tc>
          <w:tcPr>
            <w:tcW w:w="214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3"/>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92"/>
              </w:rPr>
              <w:t>4.7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0"/>
          </w:tcPr>
          <w:p>
            <w:pPr>
              <w:spacing w:after="0" w:line="155" w:lineRule="exact"/>
              <w:rPr>
                <w:rFonts w:ascii="Arial" w:cs="Arial" w:eastAsia="Arial" w:hAnsi="Arial"/>
                <w:sz w:val="14"/>
                <w:szCs w:val="14"/>
                <w:color w:val="0000FF"/>
              </w:rPr>
            </w:pPr>
            <w:hyperlink r:id="rId142">
              <w:r>
                <w:rPr>
                  <w:rFonts w:ascii="Arial" w:cs="Arial" w:eastAsia="Arial" w:hAnsi="Arial"/>
                  <w:sz w:val="14"/>
                  <w:szCs w:val="14"/>
                  <w:u w:val="single" w:color="auto"/>
                  <w:color w:val="0000FF"/>
                </w:rPr>
                <w:t>$</w:t>
              </w:r>
              <w:r>
                <w:rPr>
                  <w:rFonts w:ascii="Arial" w:cs="Arial" w:eastAsia="Arial" w:hAnsi="Arial"/>
                  <w:sz w:val="14"/>
                  <w:szCs w:val="14"/>
                  <w:color w:val="0000FF"/>
                </w:rPr>
                <w:t>300,000,000 Credit Agreement dated as of</w:t>
              </w:r>
            </w:hyperlink>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26"/>
          </w:tcPr>
          <w:p>
            <w:pPr>
              <w:spacing w:after="0" w:line="122" w:lineRule="exact"/>
              <w:rPr>
                <w:rFonts w:ascii="Arial" w:cs="Arial" w:eastAsia="Arial" w:hAnsi="Arial"/>
                <w:sz w:val="14"/>
                <w:szCs w:val="14"/>
                <w:color w:val="0000FF"/>
                <w:w w:val="97"/>
              </w:rPr>
            </w:pPr>
            <w:hyperlink r:id="rId142">
              <w:r>
                <w:rPr>
                  <w:rFonts w:ascii="Arial" w:cs="Arial" w:eastAsia="Arial" w:hAnsi="Arial"/>
                  <w:sz w:val="14"/>
                  <w:szCs w:val="14"/>
                  <w:color w:val="0000FF"/>
                  <w:w w:val="97"/>
                </w:rPr>
                <w:t>February 4, 2021 among Houston Electric,</w:t>
              </w:r>
            </w:hyperlink>
          </w:p>
        </w:tc>
        <w:tc>
          <w:tcPr>
            <w:tcW w:w="240" w:type="dxa"/>
            <w:vAlign w:val="bottom"/>
            <w:gridSpan w:val="14"/>
          </w:tcPr>
          <w:p>
            <w:pPr>
              <w:spacing w:after="0" w:line="122" w:lineRule="exact"/>
              <w:rPr>
                <w:rFonts w:ascii="Arial" w:cs="Arial" w:eastAsia="Arial" w:hAnsi="Arial"/>
                <w:sz w:val="14"/>
                <w:szCs w:val="14"/>
                <w:color w:val="0000FF"/>
              </w:rPr>
            </w:pPr>
            <w:hyperlink r:id="rId142">
              <w:r>
                <w:rPr>
                  <w:rFonts w:ascii="Arial" w:cs="Arial" w:eastAsia="Arial" w:hAnsi="Arial"/>
                  <w:sz w:val="14"/>
                  <w:szCs w:val="14"/>
                  <w:color w:val="0000FF"/>
                </w:rPr>
                <w:t>as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Borrower, Mizuho Bank, Ltd., as</w:t>
              </w:r>
            </w:hyperlink>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gridSpan w:val="40"/>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Administrative Agent, the financial institutions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as bank parties thereto and the other parties</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3"/>
              </w:rPr>
            </w:pPr>
            <w:hyperlink r:id="rId142">
              <w:r>
                <w:rPr>
                  <w:rFonts w:ascii="Arial" w:cs="Arial" w:eastAsia="Arial" w:hAnsi="Arial"/>
                  <w:sz w:val="13"/>
                  <w:szCs w:val="13"/>
                  <w:color w:val="0000FF"/>
                  <w:w w:val="93"/>
                </w:rPr>
                <w:t>thereto</w:t>
              </w:r>
            </w:hyperlink>
          </w:p>
        </w:tc>
        <w:tc>
          <w:tcPr>
            <w:tcW w:w="214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2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0"/>
          </w:tcPr>
          <w:p>
            <w:pPr>
              <w:spacing w:after="0"/>
              <w:rPr>
                <w:rFonts w:ascii="Arial" w:cs="Arial" w:eastAsia="Arial" w:hAnsi="Arial"/>
                <w:sz w:val="14"/>
                <w:szCs w:val="14"/>
                <w:color w:val="0000FF"/>
              </w:rPr>
            </w:pPr>
            <w:hyperlink r:id="rId143">
              <w:r>
                <w:rPr>
                  <w:rFonts w:ascii="Arial" w:cs="Arial" w:eastAsia="Arial" w:hAnsi="Arial"/>
                  <w:sz w:val="14"/>
                  <w:szCs w:val="14"/>
                  <w:u w:val="single" w:color="auto"/>
                  <w:color w:val="0000FF"/>
                </w:rPr>
                <w:t>$</w:t>
              </w:r>
              <w:r>
                <w:rPr>
                  <w:rFonts w:ascii="Arial" w:cs="Arial" w:eastAsia="Arial" w:hAnsi="Arial"/>
                  <w:sz w:val="14"/>
                  <w:szCs w:val="14"/>
                  <w:color w:val="0000FF"/>
                </w:rPr>
                <w:t>900,000,000 Credit Agreement dated as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February 4, 2021 among CERC Corp., as</w:t>
              </w:r>
            </w:hyperlink>
          </w:p>
        </w:tc>
        <w:tc>
          <w:tcPr>
            <w:tcW w:w="22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16"/>
          </w:tcPr>
          <w:p>
            <w:pPr>
              <w:spacing w:after="0" w:line="102" w:lineRule="exact"/>
              <w:rPr>
                <w:rFonts w:ascii="Arial" w:cs="Arial" w:eastAsia="Arial" w:hAnsi="Arial"/>
                <w:sz w:val="11"/>
                <w:szCs w:val="11"/>
                <w:color w:val="0000FF"/>
              </w:rPr>
            </w:pPr>
            <w:hyperlink r:id="rId143">
              <w:r>
                <w:rPr>
                  <w:rFonts w:ascii="Arial" w:cs="Arial" w:eastAsia="Arial" w:hAnsi="Arial"/>
                  <w:sz w:val="11"/>
                  <w:szCs w:val="11"/>
                  <w:color w:val="0000FF"/>
                </w:rPr>
                <w:t>Borrower, Wells Fargo Bank, National</w:t>
              </w:r>
            </w:hyperlink>
          </w:p>
        </w:tc>
        <w:tc>
          <w:tcPr>
            <w:tcW w:w="60" w:type="dxa"/>
            <w:vAlign w:val="bottom"/>
            <w:gridSpan w:val="3"/>
          </w:tcPr>
          <w:p>
            <w:pPr>
              <w:spacing w:after="0"/>
              <w:rPr>
                <w:sz w:val="9"/>
                <w:szCs w:val="9"/>
                <w:color w:val="auto"/>
              </w:rPr>
            </w:pPr>
          </w:p>
        </w:tc>
        <w:tc>
          <w:tcPr>
            <w:tcW w:w="120" w:type="dxa"/>
            <w:vAlign w:val="bottom"/>
            <w:gridSpan w:val="6"/>
          </w:tcPr>
          <w:p>
            <w:pPr>
              <w:spacing w:after="0"/>
              <w:rPr>
                <w:sz w:val="9"/>
                <w:szCs w:val="9"/>
                <w:color w:val="auto"/>
              </w:rPr>
            </w:pPr>
          </w:p>
        </w:tc>
        <w:tc>
          <w:tcPr>
            <w:tcW w:w="260" w:type="dxa"/>
            <w:vAlign w:val="bottom"/>
            <w:gridSpan w:val="15"/>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tcBorders>
              <w:top w:val="single" w:sz="8" w:color="0000FF"/>
            </w:tcBorders>
            <w:gridSpan w:val="11"/>
          </w:tcPr>
          <w:p>
            <w:pPr>
              <w:spacing w:after="0" w:line="122" w:lineRule="exact"/>
              <w:rPr>
                <w:rFonts w:ascii="Arial" w:cs="Arial" w:eastAsia="Arial" w:hAnsi="Arial"/>
                <w:sz w:val="14"/>
                <w:szCs w:val="14"/>
                <w:color w:val="0000FF"/>
                <w:w w:val="95"/>
              </w:rPr>
            </w:pPr>
            <w:hyperlink r:id="rId143">
              <w:r>
                <w:rPr>
                  <w:rFonts w:ascii="Arial" w:cs="Arial" w:eastAsia="Arial" w:hAnsi="Arial"/>
                  <w:sz w:val="14"/>
                  <w:szCs w:val="14"/>
                  <w:color w:val="0000FF"/>
                  <w:w w:val="95"/>
                </w:rPr>
                <w:t>Association, as Administrative Agent,</w:t>
              </w:r>
            </w:hyperlink>
          </w:p>
        </w:tc>
        <w:tc>
          <w:tcPr>
            <w:tcW w:w="600" w:type="dxa"/>
            <w:vAlign w:val="bottom"/>
            <w:gridSpan w:val="29"/>
          </w:tcPr>
          <w:p>
            <w:pPr>
              <w:spacing w:after="0" w:line="122" w:lineRule="exact"/>
              <w:rPr>
                <w:rFonts w:ascii="Arial" w:cs="Arial" w:eastAsia="Arial" w:hAnsi="Arial"/>
                <w:sz w:val="14"/>
                <w:szCs w:val="14"/>
                <w:color w:val="0000FF"/>
              </w:rPr>
            </w:pPr>
            <w:hyperlink r:id="rId143">
              <w:r>
                <w:rPr>
                  <w:rFonts w:ascii="Arial" w:cs="Arial" w:eastAsia="Arial" w:hAnsi="Arial"/>
                  <w:sz w:val="14"/>
                  <w:szCs w:val="14"/>
                  <w:color w:val="0000FF"/>
                </w:rPr>
                <w:t>the</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19"/>
          </w:tcPr>
          <w:p>
            <w:pPr>
              <w:spacing w:after="0" w:line="115" w:lineRule="exact"/>
              <w:rPr>
                <w:rFonts w:ascii="Arial" w:cs="Arial" w:eastAsia="Arial" w:hAnsi="Arial"/>
                <w:sz w:val="13"/>
                <w:szCs w:val="13"/>
                <w:color w:val="0000FF"/>
                <w:w w:val="97"/>
              </w:rPr>
            </w:pPr>
            <w:hyperlink r:id="rId143">
              <w:r>
                <w:rPr>
                  <w:rFonts w:ascii="Arial" w:cs="Arial" w:eastAsia="Arial" w:hAnsi="Arial"/>
                  <w:sz w:val="13"/>
                  <w:szCs w:val="13"/>
                  <w:color w:val="0000FF"/>
                  <w:w w:val="97"/>
                </w:rPr>
                <w:t>financial institutions as bank parties thereto</w:t>
              </w:r>
            </w:hyperlink>
          </w:p>
        </w:tc>
        <w:tc>
          <w:tcPr>
            <w:tcW w:w="120" w:type="dxa"/>
            <w:vAlign w:val="bottom"/>
            <w:tcBorders>
              <w:bottom w:val="single" w:sz="8" w:color="0000FF"/>
            </w:tcBorders>
            <w:gridSpan w:val="6"/>
          </w:tcPr>
          <w:p>
            <w:pPr>
              <w:spacing w:after="0"/>
              <w:rPr>
                <w:sz w:val="10"/>
                <w:szCs w:val="10"/>
                <w:color w:val="auto"/>
              </w:rPr>
            </w:pPr>
          </w:p>
        </w:tc>
        <w:tc>
          <w:tcPr>
            <w:tcW w:w="26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gridSpan w:val="25"/>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and the other parties thereto</w:t>
              </w:r>
            </w:hyperlink>
          </w:p>
        </w:tc>
        <w:tc>
          <w:tcPr>
            <w:tcW w:w="26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CenterPoint Energy’s</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1"/>
                <w:szCs w:val="11"/>
                <w:color w:val="auto"/>
              </w:rPr>
            </w:pPr>
          </w:p>
        </w:tc>
        <w:tc>
          <w:tcPr>
            <w:tcW w:w="9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1"/>
              </w:rPr>
              <w:t>3(c)</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5"/>
              </w:rPr>
              <w:t>x</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10-K for the year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ended December 31, 2011</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August</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22, 2018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Form 8-K dated September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25, 2018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May 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3-69502</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Registration Statement on</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Form S-4</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August</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22, 2018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Form 8-K dated September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25, 2018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Form 8-K dated September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25, 2018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Form 8-K dated September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25, 2018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4, 2021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4, 2021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4, 2021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84" w:lineRule="exact"/>
        <w:rPr>
          <w:sz w:val="20"/>
          <w:szCs w:val="20"/>
          <w:color w:val="auto"/>
        </w:rPr>
      </w:pPr>
    </w:p>
    <w:p>
      <w:pPr>
        <w:sectPr>
          <w:pgSz w:w="11900" w:h="16838" w:orient="portrait"/>
          <w:cols w:equalWidth="0" w:num="2">
            <w:col w:w="3820" w:space="120"/>
            <w:col w:w="7260"/>
          </w:cols>
          <w:pgMar w:left="320" w:top="125" w:right="379" w:bottom="1440" w:gutter="0" w:footer="0" w:header="0"/>
          <w:type w:val="continuous"/>
        </w:sect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6" w:name="page87"/>
    <w:bookmarkEnd w:id="86"/>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33"/>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80" w:type="dxa"/>
            <w:vAlign w:val="bottom"/>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4.9</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35"/>
          </w:tcPr>
          <w:p>
            <w:pPr>
              <w:spacing w:after="0" w:line="143" w:lineRule="exact"/>
              <w:rPr>
                <w:rFonts w:ascii="Arial" w:cs="Arial" w:eastAsia="Arial" w:hAnsi="Arial"/>
                <w:sz w:val="14"/>
                <w:szCs w:val="14"/>
                <w:color w:val="0000FF"/>
              </w:rPr>
            </w:pPr>
            <w:hyperlink r:id="rId145">
              <w:r>
                <w:rPr>
                  <w:rFonts w:ascii="Arial" w:cs="Arial" w:eastAsia="Arial" w:hAnsi="Arial"/>
                  <w:sz w:val="14"/>
                  <w:szCs w:val="14"/>
                  <w:u w:val="single" w:color="auto"/>
                  <w:color w:val="0000FF"/>
                </w:rPr>
                <w:t>$</w:t>
              </w:r>
              <w:r>
                <w:rPr>
                  <w:rFonts w:ascii="Arial" w:cs="Arial" w:eastAsia="Arial" w:hAnsi="Arial"/>
                  <w:sz w:val="14"/>
                  <w:szCs w:val="14"/>
                  <w:color w:val="0000FF"/>
                </w:rPr>
                <w:t>400,000,000 Credit Agreement dated as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w w:val="97"/>
              </w:rPr>
            </w:pPr>
            <w:hyperlink r:id="rId145">
              <w:r>
                <w:rPr>
                  <w:rFonts w:ascii="Arial" w:cs="Arial" w:eastAsia="Arial" w:hAnsi="Arial"/>
                  <w:sz w:val="13"/>
                  <w:szCs w:val="13"/>
                  <w:color w:val="0000FF"/>
                  <w:w w:val="97"/>
                </w:rPr>
                <w:t>February 4, 2021 among VUHI, as Borrower,</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294967217"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bottom w:val="single" w:sz="8" w:color="0000FF"/>
            </w:tcBorders>
            <w:gridSpan w:val="7"/>
          </w:tcPr>
          <w:p>
            <w:pPr>
              <w:spacing w:after="0" w:line="115" w:lineRule="exact"/>
              <w:rPr>
                <w:rFonts w:ascii="Arial" w:cs="Arial" w:eastAsia="Arial" w:hAnsi="Arial"/>
                <w:sz w:val="13"/>
                <w:szCs w:val="13"/>
                <w:color w:val="0000FF"/>
                <w:w w:val="99"/>
              </w:rPr>
            </w:pPr>
            <w:hyperlink r:id="rId145">
              <w:r>
                <w:rPr>
                  <w:rFonts w:ascii="Arial" w:cs="Arial" w:eastAsia="Arial" w:hAnsi="Arial"/>
                  <w:sz w:val="13"/>
                  <w:szCs w:val="13"/>
                  <w:color w:val="0000FF"/>
                  <w:w w:val="99"/>
                </w:rPr>
                <w:t>Indiana Gas, SIGECO and VEDO, as</w:t>
              </w:r>
            </w:hyperlink>
          </w:p>
        </w:tc>
        <w:tc>
          <w:tcPr>
            <w:tcW w:w="460" w:type="dxa"/>
            <w:vAlign w:val="bottom"/>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gridSpan w:val="35"/>
          </w:tcPr>
          <w:p>
            <w:pPr>
              <w:spacing w:after="0" w:line="102" w:lineRule="exact"/>
              <w:rPr>
                <w:rFonts w:ascii="Arial" w:cs="Arial" w:eastAsia="Arial" w:hAnsi="Arial"/>
                <w:sz w:val="11"/>
                <w:szCs w:val="11"/>
                <w:color w:val="0000FF"/>
              </w:rPr>
            </w:pPr>
            <w:hyperlink r:id="rId145">
              <w:r>
                <w:rPr>
                  <w:rFonts w:ascii="Arial" w:cs="Arial" w:eastAsia="Arial" w:hAnsi="Arial"/>
                  <w:sz w:val="11"/>
                  <w:szCs w:val="11"/>
                  <w:color w:val="0000FF"/>
                </w:rPr>
                <w:t>guarantors, Bank of America, N.A., as</w:t>
              </w:r>
            </w:hyperlink>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tcBorders>
              <w:top w:val="single" w:sz="8" w:color="0000FF"/>
            </w:tcBorders>
            <w:gridSpan w:val="9"/>
          </w:tcPr>
          <w:p>
            <w:pPr>
              <w:spacing w:after="0" w:line="122" w:lineRule="exact"/>
              <w:rPr>
                <w:rFonts w:ascii="Arial" w:cs="Arial" w:eastAsia="Arial" w:hAnsi="Arial"/>
                <w:sz w:val="14"/>
                <w:szCs w:val="14"/>
                <w:color w:val="0000FF"/>
              </w:rPr>
            </w:pPr>
            <w:hyperlink r:id="rId145">
              <w:r>
                <w:rPr>
                  <w:rFonts w:ascii="Arial" w:cs="Arial" w:eastAsia="Arial" w:hAnsi="Arial"/>
                  <w:sz w:val="14"/>
                  <w:szCs w:val="14"/>
                  <w:color w:val="0000FF"/>
                </w:rPr>
                <w:t>Administrative Agent, the financial</w:t>
              </w:r>
            </w:hyperlink>
          </w:p>
        </w:tc>
        <w:tc>
          <w:tcPr>
            <w:tcW w:w="560" w:type="dxa"/>
            <w:vAlign w:val="bottom"/>
            <w:gridSpan w:val="26"/>
          </w:tcPr>
          <w:p>
            <w:pPr>
              <w:spacing w:after="0" w:line="122" w:lineRule="exact"/>
              <w:rPr>
                <w:rFonts w:ascii="Arial" w:cs="Arial" w:eastAsia="Arial" w:hAnsi="Arial"/>
                <w:sz w:val="14"/>
                <w:szCs w:val="14"/>
                <w:color w:val="0000FF"/>
                <w:w w:val="81"/>
              </w:rPr>
            </w:pPr>
            <w:hyperlink r:id="rId145">
              <w:r>
                <w:rPr>
                  <w:rFonts w:ascii="Arial" w:cs="Arial" w:eastAsia="Arial" w:hAnsi="Arial"/>
                  <w:sz w:val="14"/>
                  <w:szCs w:val="14"/>
                  <w:color w:val="0000FF"/>
                  <w:w w:val="81"/>
                </w:rPr>
                <w:t>institutions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as bank parties thereto and the other parties</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thereto , Inc., as Borrower, Indiana Gas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gridSpan w:val="35"/>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Company, Inc., Southern Indiana Gas and</w:t>
              </w:r>
            </w:hyperlink>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3"/>
          </w:tcPr>
          <w:p>
            <w:pPr>
              <w:spacing w:after="0" w:line="102" w:lineRule="exact"/>
              <w:rPr>
                <w:rFonts w:ascii="Arial" w:cs="Arial" w:eastAsia="Arial" w:hAnsi="Arial"/>
                <w:sz w:val="11"/>
                <w:szCs w:val="11"/>
                <w:color w:val="0000FF"/>
              </w:rPr>
            </w:pPr>
            <w:hyperlink r:id="rId145">
              <w:r>
                <w:rPr>
                  <w:rFonts w:ascii="Arial" w:cs="Arial" w:eastAsia="Arial" w:hAnsi="Arial"/>
                  <w:sz w:val="11"/>
                  <w:szCs w:val="11"/>
                  <w:color w:val="0000FF"/>
                </w:rPr>
                <w:t>Electric Company and Vectren Energy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1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tcBorders>
            <w:gridSpan w:val="8"/>
          </w:tcPr>
          <w:p>
            <w:pPr>
              <w:spacing w:after="0" w:line="122" w:lineRule="exact"/>
              <w:rPr>
                <w:rFonts w:ascii="Arial" w:cs="Arial" w:eastAsia="Arial" w:hAnsi="Arial"/>
                <w:sz w:val="14"/>
                <w:szCs w:val="14"/>
                <w:color w:val="0000FF"/>
                <w:w w:val="97"/>
              </w:rPr>
            </w:pPr>
            <w:hyperlink r:id="rId145">
              <w:r>
                <w:rPr>
                  <w:rFonts w:ascii="Arial" w:cs="Arial" w:eastAsia="Arial" w:hAnsi="Arial"/>
                  <w:sz w:val="14"/>
                  <w:szCs w:val="14"/>
                  <w:color w:val="0000FF"/>
                  <w:w w:val="97"/>
                </w:rPr>
                <w:t>Delivery of Ohio, Inc. as guarantors,</w:t>
              </w:r>
            </w:hyperlink>
          </w:p>
        </w:tc>
        <w:tc>
          <w:tcPr>
            <w:tcW w:w="580" w:type="dxa"/>
            <w:vAlign w:val="bottom"/>
            <w:gridSpan w:val="27"/>
          </w:tcPr>
          <w:p>
            <w:pPr>
              <w:jc w:val="right"/>
              <w:ind w:right="180"/>
              <w:spacing w:after="0" w:line="122" w:lineRule="exact"/>
              <w:rPr>
                <w:rFonts w:ascii="Arial" w:cs="Arial" w:eastAsia="Arial" w:hAnsi="Arial"/>
                <w:sz w:val="14"/>
                <w:szCs w:val="14"/>
                <w:color w:val="0000FF"/>
                <w:w w:val="79"/>
              </w:rPr>
            </w:pPr>
            <w:hyperlink r:id="rId145">
              <w:r>
                <w:rPr>
                  <w:rFonts w:ascii="Arial" w:cs="Arial" w:eastAsia="Arial" w:hAnsi="Arial"/>
                  <w:sz w:val="14"/>
                  <w:szCs w:val="14"/>
                  <w:color w:val="0000FF"/>
                  <w:w w:val="79"/>
                </w:rPr>
                <w:t>Bank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America, N.A., as Administrative Agent, the</w:t>
              </w:r>
            </w:hyperlink>
          </w:p>
        </w:tc>
        <w:tc>
          <w:tcPr>
            <w:tcW w:w="20" w:type="dxa"/>
            <w:vAlign w:val="bottom"/>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financial institutions as bank parties thereto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r:id="rId145">
              <w:r>
                <w:rPr>
                  <w:rFonts w:ascii="Arial" w:cs="Arial" w:eastAsia="Arial" w:hAnsi="Arial"/>
                  <w:sz w:val="13"/>
                  <w:szCs w:val="13"/>
                  <w:color w:val="0000FF"/>
                </w:rPr>
                <w:t>and the other parties thereto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5"/>
          </w:tcPr>
          <w:p>
            <w:pPr>
              <w:spacing w:after="0"/>
              <w:rPr>
                <w:rFonts w:ascii="Arial" w:cs="Arial" w:eastAsia="Arial" w:hAnsi="Arial"/>
                <w:sz w:val="14"/>
                <w:szCs w:val="14"/>
                <w:color w:val="0000FF"/>
                <w:w w:val="97"/>
              </w:rPr>
            </w:pPr>
            <w:hyperlink r:id="rId146">
              <w:r>
                <w:rPr>
                  <w:rFonts w:ascii="Arial" w:cs="Arial" w:eastAsia="Arial" w:hAnsi="Arial"/>
                  <w:sz w:val="14"/>
                  <w:szCs w:val="14"/>
                  <w:u w:val="single" w:color="auto"/>
                  <w:color w:val="0000FF"/>
                  <w:w w:val="97"/>
                </w:rPr>
                <w:t>$</w:t>
              </w:r>
              <w:r>
                <w:rPr>
                  <w:rFonts w:ascii="Arial" w:cs="Arial" w:eastAsia="Arial" w:hAnsi="Arial"/>
                  <w:sz w:val="14"/>
                  <w:szCs w:val="14"/>
                  <w:color w:val="0000FF"/>
                  <w:w w:val="97"/>
                </w:rPr>
                <w:t>1,000,000,000 Term Loan Agreement, dated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as of May 15, 2019, among CenterPoint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bottom w:val="single" w:sz="8" w:color="0000FF"/>
            </w:tcBorders>
            <w:gridSpan w:val="19"/>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Energy, as Borrower, Mizuho Bank, Ltd., as</w:t>
              </w:r>
            </w:hyperlink>
          </w:p>
        </w:tc>
        <w:tc>
          <w:tcPr>
            <w:tcW w:w="22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gridSpan w:val="35"/>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Administrative Agent and Lead Arranger,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the banks named therein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87"/>
              </w:rPr>
              <w:t>4.11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gridSpan w:val="35"/>
          </w:tcPr>
          <w:p>
            <w:pPr>
              <w:spacing w:after="0" w:line="155" w:lineRule="exact"/>
              <w:rPr>
                <w:sz w:val="20"/>
                <w:szCs w:val="20"/>
                <w:color w:val="auto"/>
              </w:rPr>
            </w:pPr>
            <w:r>
              <w:rPr>
                <w:rFonts w:ascii="Arial" w:cs="Arial" w:eastAsia="Arial" w:hAnsi="Arial"/>
                <w:sz w:val="14"/>
                <w:szCs w:val="14"/>
                <w:color w:val="auto"/>
              </w:rPr>
              <w:t>First Amendment to Term Loan Agreement,</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80" w:type="dxa"/>
            <w:vAlign w:val="bottom"/>
            <w:gridSpan w:val="35"/>
          </w:tcPr>
          <w:p>
            <w:pPr>
              <w:spacing w:after="0" w:line="135" w:lineRule="exact"/>
              <w:rPr>
                <w:sz w:val="20"/>
                <w:szCs w:val="20"/>
                <w:color w:val="auto"/>
              </w:rPr>
            </w:pPr>
            <w:r>
              <w:rPr>
                <w:rFonts w:ascii="Arial" w:cs="Arial" w:eastAsia="Arial" w:hAnsi="Arial"/>
                <w:sz w:val="14"/>
                <w:szCs w:val="14"/>
                <w:color w:val="auto"/>
              </w:rPr>
              <w:t>dated as of April 26, 2021, by and among</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80" w:type="dxa"/>
            <w:vAlign w:val="bottom"/>
            <w:gridSpan w:val="35"/>
          </w:tcPr>
          <w:p>
            <w:pPr>
              <w:spacing w:after="0" w:line="135" w:lineRule="exact"/>
              <w:rPr>
                <w:sz w:val="20"/>
                <w:szCs w:val="20"/>
                <w:color w:val="auto"/>
              </w:rPr>
            </w:pPr>
            <w:r>
              <w:rPr>
                <w:rFonts w:ascii="Arial" w:cs="Arial" w:eastAsia="Arial" w:hAnsi="Arial"/>
                <w:sz w:val="14"/>
                <w:szCs w:val="14"/>
                <w:color w:val="auto"/>
              </w:rPr>
              <w:t>CenterPoint Energy, as Borrower, Mizuho</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80" w:type="dxa"/>
            <w:vAlign w:val="bottom"/>
            <w:gridSpan w:val="35"/>
          </w:tcPr>
          <w:p>
            <w:pPr>
              <w:spacing w:after="0" w:line="135" w:lineRule="exact"/>
              <w:rPr>
                <w:sz w:val="20"/>
                <w:szCs w:val="20"/>
                <w:color w:val="auto"/>
              </w:rPr>
            </w:pPr>
            <w:r>
              <w:rPr>
                <w:rFonts w:ascii="Arial" w:cs="Arial" w:eastAsia="Arial" w:hAnsi="Arial"/>
                <w:sz w:val="14"/>
                <w:szCs w:val="14"/>
                <w:color w:val="auto"/>
              </w:rPr>
              <w:t>Bank, Ltd., as Administrative Agent, and the</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gridSpan w:val="35"/>
          </w:tcPr>
          <w:p>
            <w:pPr>
              <w:spacing w:after="0"/>
              <w:rPr>
                <w:sz w:val="20"/>
                <w:szCs w:val="20"/>
                <w:color w:val="auto"/>
              </w:rPr>
            </w:pPr>
            <w:r>
              <w:rPr>
                <w:rFonts w:ascii="Arial" w:cs="Arial" w:eastAsia="Arial" w:hAnsi="Arial"/>
                <w:sz w:val="14"/>
                <w:szCs w:val="14"/>
                <w:color w:val="auto"/>
              </w:rPr>
              <w:t>banks named therein</w:t>
            </w: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87"/>
              </w:rPr>
              <w:t>4.12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gridSpan w:val="35"/>
          </w:tcPr>
          <w:p>
            <w:pPr>
              <w:spacing w:after="0" w:line="155" w:lineRule="exact"/>
              <w:rPr>
                <w:rFonts w:ascii="Arial" w:cs="Arial" w:eastAsia="Arial" w:hAnsi="Arial"/>
                <w:sz w:val="14"/>
                <w:szCs w:val="14"/>
                <w:color w:val="0000FF"/>
                <w:w w:val="97"/>
              </w:rPr>
            </w:pPr>
            <w:hyperlink r:id="rId147">
              <w:r>
                <w:rPr>
                  <w:rFonts w:ascii="Arial" w:cs="Arial" w:eastAsia="Arial" w:hAnsi="Arial"/>
                  <w:sz w:val="14"/>
                  <w:szCs w:val="14"/>
                  <w:color w:val="0000FF"/>
                  <w:w w:val="97"/>
                </w:rPr>
                <w:t>Preferred Stock Purchase Agreement, by and</w:t>
              </w:r>
            </w:hyperlink>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tcBorders>
              <w:top w:val="single" w:sz="8" w:color="0000FF"/>
            </w:tcBorders>
            <w:gridSpan w:val="22"/>
          </w:tcPr>
          <w:p>
            <w:pPr>
              <w:spacing w:after="0" w:line="102" w:lineRule="exact"/>
              <w:rPr>
                <w:rFonts w:ascii="Arial" w:cs="Arial" w:eastAsia="Arial" w:hAnsi="Arial"/>
                <w:sz w:val="11"/>
                <w:szCs w:val="11"/>
                <w:color w:val="0000FF"/>
              </w:rPr>
            </w:pPr>
            <w:hyperlink r:id="rId147">
              <w:r>
                <w:rPr>
                  <w:rFonts w:ascii="Arial" w:cs="Arial" w:eastAsia="Arial" w:hAnsi="Arial"/>
                  <w:sz w:val="11"/>
                  <w:szCs w:val="11"/>
                  <w:color w:val="0000FF"/>
                </w:rPr>
                <w:t>among CenterPoint Energy, Inc., Elliott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29496721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tcBorders>
            <w:gridSpan w:val="11"/>
          </w:tcPr>
          <w:p>
            <w:pPr>
              <w:spacing w:after="0" w:line="122" w:lineRule="exact"/>
              <w:rPr>
                <w:rFonts w:ascii="Arial" w:cs="Arial" w:eastAsia="Arial" w:hAnsi="Arial"/>
                <w:sz w:val="14"/>
                <w:szCs w:val="14"/>
                <w:color w:val="0000FF"/>
                <w:w w:val="88"/>
              </w:rPr>
            </w:pPr>
            <w:hyperlink r:id="rId147">
              <w:r>
                <w:rPr>
                  <w:rFonts w:ascii="Arial" w:cs="Arial" w:eastAsia="Arial" w:hAnsi="Arial"/>
                  <w:sz w:val="14"/>
                  <w:szCs w:val="14"/>
                  <w:color w:val="0000FF"/>
                  <w:w w:val="88"/>
                </w:rPr>
                <w:t>International, L.P., and Elliott Associates,</w:t>
              </w:r>
            </w:hyperlink>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20"/>
          </w:tcPr>
          <w:p>
            <w:pPr>
              <w:jc w:val="center"/>
              <w:ind w:right="100"/>
              <w:spacing w:after="0" w:line="122" w:lineRule="exact"/>
              <w:rPr>
                <w:rFonts w:ascii="Arial" w:cs="Arial" w:eastAsia="Arial" w:hAnsi="Arial"/>
                <w:sz w:val="14"/>
                <w:szCs w:val="14"/>
                <w:color w:val="0000FF"/>
                <w:w w:val="83"/>
              </w:rPr>
            </w:pPr>
            <w:hyperlink r:id="rId147">
              <w:r>
                <w:rPr>
                  <w:rFonts w:ascii="Arial" w:cs="Arial" w:eastAsia="Arial" w:hAnsi="Arial"/>
                  <w:sz w:val="14"/>
                  <w:szCs w:val="14"/>
                  <w:color w:val="0000FF"/>
                  <w:w w:val="83"/>
                </w:rPr>
                <w:t>L.P.,</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8"/>
              </w:rPr>
            </w:pPr>
            <w:hyperlink r:id="rId147">
              <w:r>
                <w:rPr>
                  <w:rFonts w:ascii="Arial" w:cs="Arial" w:eastAsia="Arial" w:hAnsi="Arial"/>
                  <w:sz w:val="13"/>
                  <w:szCs w:val="13"/>
                  <w:color w:val="0000FF"/>
                  <w:w w:val="98"/>
                </w:rPr>
                <w:t>dated May 6, 2020</w:t>
              </w:r>
            </w:hyperlink>
          </w:p>
        </w:tc>
        <w:tc>
          <w:tcPr>
            <w:tcW w:w="1640" w:type="dxa"/>
            <w:vAlign w:val="bottom"/>
            <w:tcBorders>
              <w:top w:val="single" w:sz="8" w:color="0000FF"/>
            </w:tcBorders>
            <w:gridSpan w:val="2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5"/>
          </w:tcPr>
          <w:p>
            <w:pPr>
              <w:spacing w:after="0"/>
              <w:rPr>
                <w:rFonts w:ascii="Arial" w:cs="Arial" w:eastAsia="Arial" w:hAnsi="Arial"/>
                <w:sz w:val="14"/>
                <w:szCs w:val="14"/>
                <w:color w:val="0000FF"/>
                <w:w w:val="97"/>
              </w:rPr>
            </w:pPr>
            <w:hyperlink r:id="rId148">
              <w:r>
                <w:rPr>
                  <w:rFonts w:ascii="Arial" w:cs="Arial" w:eastAsia="Arial" w:hAnsi="Arial"/>
                  <w:sz w:val="14"/>
                  <w:szCs w:val="14"/>
                  <w:color w:val="0000FF"/>
                  <w:w w:val="97"/>
                </w:rPr>
                <w:t>Preferred Stock Purchase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23"/>
          </w:tcPr>
          <w:p>
            <w:pPr>
              <w:spacing w:after="0" w:line="115" w:lineRule="exact"/>
              <w:rPr>
                <w:rFonts w:ascii="Arial" w:cs="Arial" w:eastAsia="Arial" w:hAnsi="Arial"/>
                <w:sz w:val="13"/>
                <w:szCs w:val="13"/>
                <w:color w:val="0000FF"/>
                <w:w w:val="99"/>
              </w:rPr>
            </w:pPr>
            <w:hyperlink r:id="rId148">
              <w:r>
                <w:rPr>
                  <w:rFonts w:ascii="Arial" w:cs="Arial" w:eastAsia="Arial" w:hAnsi="Arial"/>
                  <w:sz w:val="13"/>
                  <w:szCs w:val="13"/>
                  <w:color w:val="0000FF"/>
                  <w:w w:val="99"/>
                </w:rPr>
                <w:t>among CenterPoint Energy, Inc., BEP Special</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294967217"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gridSpan w:val="29"/>
          </w:tcPr>
          <w:p>
            <w:pPr>
              <w:spacing w:after="0" w:line="115" w:lineRule="exact"/>
              <w:rPr>
                <w:rFonts w:ascii="Arial" w:cs="Arial" w:eastAsia="Arial" w:hAnsi="Arial"/>
                <w:sz w:val="13"/>
                <w:szCs w:val="13"/>
                <w:color w:val="0000FF"/>
              </w:rPr>
            </w:pPr>
            <w:hyperlink r:id="rId148">
              <w:r>
                <w:rPr>
                  <w:rFonts w:ascii="Arial" w:cs="Arial" w:eastAsia="Arial" w:hAnsi="Arial"/>
                  <w:sz w:val="13"/>
                  <w:szCs w:val="13"/>
                  <w:color w:val="0000FF"/>
                </w:rPr>
                <w:t>Situations 2 LLC and BEP Special Situations</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48">
              <w:r>
                <w:rPr>
                  <w:rFonts w:ascii="Arial" w:cs="Arial" w:eastAsia="Arial" w:hAnsi="Arial"/>
                  <w:sz w:val="13"/>
                  <w:szCs w:val="13"/>
                  <w:color w:val="0000FF"/>
                </w:rPr>
                <w:t>IV LLC, dated May 6, 2020</w:t>
              </w:r>
            </w:hyperlink>
          </w:p>
        </w:tc>
        <w:tc>
          <w:tcPr>
            <w:tcW w:w="4294967217"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57"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5"/>
          </w:tcPr>
          <w:p>
            <w:pPr>
              <w:spacing w:after="0"/>
              <w:rPr>
                <w:rFonts w:ascii="Arial" w:cs="Arial" w:eastAsia="Arial" w:hAnsi="Arial"/>
                <w:sz w:val="14"/>
                <w:szCs w:val="14"/>
                <w:color w:val="0000FF"/>
                <w:w w:val="98"/>
              </w:rPr>
            </w:pPr>
            <w:hyperlink r:id="rId149">
              <w:r>
                <w:rPr>
                  <w:rFonts w:ascii="Arial" w:cs="Arial" w:eastAsia="Arial" w:hAnsi="Arial"/>
                  <w:sz w:val="14"/>
                  <w:szCs w:val="14"/>
                  <w:color w:val="0000FF"/>
                  <w:w w:val="98"/>
                </w:rPr>
                <w:t>Common Stock Purchase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among CenterPoint Energy, Inc. and each</w:t>
              </w:r>
            </w:hyperlink>
          </w:p>
        </w:tc>
        <w:tc>
          <w:tcPr>
            <w:tcW w:w="4294967257"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w w:val="99"/>
              </w:rPr>
            </w:pPr>
            <w:hyperlink r:id="rId149">
              <w:r>
                <w:rPr>
                  <w:rFonts w:ascii="Arial" w:cs="Arial" w:eastAsia="Arial" w:hAnsi="Arial"/>
                  <w:sz w:val="13"/>
                  <w:szCs w:val="13"/>
                  <w:color w:val="0000FF"/>
                  <w:w w:val="99"/>
                </w:rPr>
                <w:t>investor identified on Schedule A thereto,</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7"/>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bottom w:val="single" w:sz="8" w:color="0000FF"/>
            </w:tcBorders>
            <w:gridSpan w:val="3"/>
          </w:tcPr>
          <w:p>
            <w:pPr>
              <w:spacing w:after="0" w:line="115" w:lineRule="exact"/>
              <w:rPr>
                <w:rFonts w:ascii="Arial" w:cs="Arial" w:eastAsia="Arial" w:hAnsi="Arial"/>
                <w:sz w:val="13"/>
                <w:szCs w:val="13"/>
                <w:color w:val="0000FF"/>
                <w:w w:val="98"/>
              </w:rPr>
            </w:pPr>
            <w:hyperlink r:id="rId149">
              <w:r>
                <w:rPr>
                  <w:rFonts w:ascii="Arial" w:cs="Arial" w:eastAsia="Arial" w:hAnsi="Arial"/>
                  <w:sz w:val="13"/>
                  <w:szCs w:val="13"/>
                  <w:color w:val="0000FF"/>
                  <w:w w:val="98"/>
                </w:rPr>
                <w:t>dated May 6, 2020</w:t>
              </w:r>
            </w:hyperlink>
          </w:p>
        </w:tc>
        <w:tc>
          <w:tcPr>
            <w:tcW w:w="134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7"/>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5"/>
          </w:tcPr>
          <w:p>
            <w:pPr>
              <w:spacing w:after="0"/>
              <w:rPr>
                <w:rFonts w:ascii="Arial" w:cs="Arial" w:eastAsia="Arial" w:hAnsi="Arial"/>
                <w:sz w:val="14"/>
                <w:szCs w:val="14"/>
                <w:color w:val="0000FF"/>
                <w:w w:val="98"/>
              </w:rPr>
            </w:pPr>
            <w:hyperlink r:id="rId150">
              <w:r>
                <w:rPr>
                  <w:rFonts w:ascii="Arial" w:cs="Arial" w:eastAsia="Arial" w:hAnsi="Arial"/>
                  <w:sz w:val="14"/>
                  <w:szCs w:val="14"/>
                  <w:color w:val="0000FF"/>
                  <w:w w:val="98"/>
                </w:rPr>
                <w:t>Common Stock Purchase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among CenterPoint Energy, Inc. and each</w:t>
              </w:r>
            </w:hyperlink>
          </w:p>
        </w:tc>
        <w:tc>
          <w:tcPr>
            <w:tcW w:w="4294967257"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12"/>
          </w:tcPr>
          <w:p>
            <w:pPr>
              <w:spacing w:after="0" w:line="115" w:lineRule="exact"/>
              <w:rPr>
                <w:rFonts w:ascii="Arial" w:cs="Arial" w:eastAsia="Arial" w:hAnsi="Arial"/>
                <w:sz w:val="13"/>
                <w:szCs w:val="13"/>
                <w:color w:val="0000FF"/>
                <w:w w:val="99"/>
              </w:rPr>
            </w:pPr>
            <w:hyperlink r:id="rId150">
              <w:r>
                <w:rPr>
                  <w:rFonts w:ascii="Arial" w:cs="Arial" w:eastAsia="Arial" w:hAnsi="Arial"/>
                  <w:sz w:val="13"/>
                  <w:szCs w:val="13"/>
                  <w:color w:val="0000FF"/>
                  <w:w w:val="99"/>
                </w:rPr>
                <w:t>investor identified on Schedule A thereto,</w:t>
              </w:r>
            </w:hyperlink>
          </w:p>
        </w:tc>
        <w:tc>
          <w:tcPr>
            <w:tcW w:w="6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7"/>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8"/>
              </w:rPr>
            </w:pPr>
            <w:hyperlink r:id="rId150">
              <w:r>
                <w:rPr>
                  <w:rFonts w:ascii="Arial" w:cs="Arial" w:eastAsia="Arial" w:hAnsi="Arial"/>
                  <w:sz w:val="13"/>
                  <w:szCs w:val="13"/>
                  <w:color w:val="0000FF"/>
                  <w:w w:val="98"/>
                </w:rPr>
                <w:t>dated May 6, 2020</w:t>
              </w:r>
            </w:hyperlink>
          </w:p>
        </w:tc>
        <w:tc>
          <w:tcPr>
            <w:tcW w:w="13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7"/>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5"/>
          </w:tcPr>
          <w:p>
            <w:pPr>
              <w:spacing w:after="0"/>
              <w:rPr>
                <w:rFonts w:ascii="Arial" w:cs="Arial" w:eastAsia="Arial" w:hAnsi="Arial"/>
                <w:sz w:val="14"/>
                <w:szCs w:val="14"/>
                <w:color w:val="0000FF"/>
                <w:w w:val="98"/>
              </w:rPr>
            </w:pPr>
            <w:hyperlink r:id="rId151">
              <w:r>
                <w:rPr>
                  <w:rFonts w:ascii="Arial" w:cs="Arial" w:eastAsia="Arial" w:hAnsi="Arial"/>
                  <w:sz w:val="14"/>
                  <w:szCs w:val="14"/>
                  <w:color w:val="0000FF"/>
                  <w:w w:val="98"/>
                </w:rPr>
                <w:t>Common Stock Purchase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among CenterPoint Energy, Inc. and each</w:t>
              </w:r>
            </w:hyperlink>
          </w:p>
        </w:tc>
        <w:tc>
          <w:tcPr>
            <w:tcW w:w="4294967257"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12"/>
          </w:tcPr>
          <w:p>
            <w:pPr>
              <w:spacing w:after="0" w:line="115" w:lineRule="exact"/>
              <w:rPr>
                <w:rFonts w:ascii="Arial" w:cs="Arial" w:eastAsia="Arial" w:hAnsi="Arial"/>
                <w:sz w:val="13"/>
                <w:szCs w:val="13"/>
                <w:color w:val="0000FF"/>
                <w:w w:val="99"/>
              </w:rPr>
            </w:pPr>
            <w:hyperlink r:id="rId151">
              <w:r>
                <w:rPr>
                  <w:rFonts w:ascii="Arial" w:cs="Arial" w:eastAsia="Arial" w:hAnsi="Arial"/>
                  <w:sz w:val="13"/>
                  <w:szCs w:val="13"/>
                  <w:color w:val="0000FF"/>
                  <w:w w:val="99"/>
                </w:rPr>
                <w:t>investor identified on Schedule A thereto,</w:t>
              </w:r>
            </w:hyperlink>
          </w:p>
        </w:tc>
        <w:tc>
          <w:tcPr>
            <w:tcW w:w="6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7"/>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8"/>
              </w:rPr>
            </w:pPr>
            <w:hyperlink r:id="rId151">
              <w:r>
                <w:rPr>
                  <w:rFonts w:ascii="Arial" w:cs="Arial" w:eastAsia="Arial" w:hAnsi="Arial"/>
                  <w:sz w:val="13"/>
                  <w:szCs w:val="13"/>
                  <w:color w:val="0000FF"/>
                  <w:w w:val="98"/>
                </w:rPr>
                <w:t>dated May 6, 2020</w:t>
              </w:r>
            </w:hyperlink>
          </w:p>
        </w:tc>
        <w:tc>
          <w:tcPr>
            <w:tcW w:w="13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7"/>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spacing w:after="0" w:line="155" w:lineRule="exact"/>
              <w:rPr>
                <w:sz w:val="20"/>
                <w:szCs w:val="20"/>
                <w:color w:val="auto"/>
              </w:rPr>
            </w:pPr>
            <w:r>
              <w:rPr>
                <w:rFonts w:ascii="Arial" w:cs="Arial" w:eastAsia="Arial" w:hAnsi="Arial"/>
                <w:sz w:val="14"/>
                <w:szCs w:val="14"/>
                <w:color w:val="auto"/>
                <w:w w:val="87"/>
              </w:rPr>
              <w:t>4.17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5"/>
          </w:tcPr>
          <w:p>
            <w:pPr>
              <w:spacing w:after="0" w:line="155" w:lineRule="exact"/>
              <w:rPr>
                <w:rFonts w:ascii="Arial" w:cs="Arial" w:eastAsia="Arial" w:hAnsi="Arial"/>
                <w:sz w:val="14"/>
                <w:szCs w:val="14"/>
                <w:color w:val="0000FF"/>
              </w:rPr>
            </w:pPr>
            <w:hyperlink r:id="rId152">
              <w:r>
                <w:rPr>
                  <w:rFonts w:ascii="Arial" w:cs="Arial" w:eastAsia="Arial" w:hAnsi="Arial"/>
                  <w:sz w:val="14"/>
                  <w:szCs w:val="14"/>
                  <w:color w:val="0000FF"/>
                </w:rPr>
                <w:t>Indenture, dated as of February 1, 1998,</w:t>
              </w:r>
            </w:hyperlink>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bottom w:val="single" w:sz="8" w:color="0000FF"/>
            </w:tcBorders>
            <w:gridSpan w:val="11"/>
          </w:tcPr>
          <w:p>
            <w:pPr>
              <w:spacing w:after="0" w:line="122" w:lineRule="exact"/>
              <w:rPr>
                <w:rFonts w:ascii="Arial" w:cs="Arial" w:eastAsia="Arial" w:hAnsi="Arial"/>
                <w:sz w:val="14"/>
                <w:szCs w:val="14"/>
                <w:color w:val="0000FF"/>
                <w:w w:val="87"/>
              </w:rPr>
            </w:pPr>
            <w:hyperlink r:id="rId152">
              <w:r>
                <w:rPr>
                  <w:rFonts w:ascii="Arial" w:cs="Arial" w:eastAsia="Arial" w:hAnsi="Arial"/>
                  <w:sz w:val="14"/>
                  <w:szCs w:val="14"/>
                  <w:color w:val="0000FF"/>
                  <w:w w:val="87"/>
                </w:rPr>
                <w:t>between Reliant Energy Resources Corp.</w:t>
              </w:r>
            </w:hyperlink>
          </w:p>
        </w:tc>
        <w:tc>
          <w:tcPr>
            <w:tcW w:w="320" w:type="dxa"/>
            <w:vAlign w:val="bottom"/>
            <w:tcBorders>
              <w:bottom w:val="single" w:sz="8" w:color="0000FF"/>
            </w:tcBorders>
            <w:gridSpan w:val="16"/>
          </w:tcPr>
          <w:p>
            <w:pPr>
              <w:jc w:val="right"/>
              <w:ind w:right="20"/>
              <w:spacing w:after="0" w:line="122" w:lineRule="exact"/>
              <w:rPr>
                <w:rFonts w:ascii="Arial" w:cs="Arial" w:eastAsia="Arial" w:hAnsi="Arial"/>
                <w:sz w:val="14"/>
                <w:szCs w:val="14"/>
                <w:color w:val="0000FF"/>
              </w:rPr>
            </w:pPr>
            <w:hyperlink r:id="rId152">
              <w:r>
                <w:rPr>
                  <w:rFonts w:ascii="Arial" w:cs="Arial" w:eastAsia="Arial" w:hAnsi="Arial"/>
                  <w:sz w:val="14"/>
                  <w:szCs w:val="14"/>
                  <w:color w:val="0000FF"/>
                </w:rPr>
                <w:t>and</w:t>
              </w:r>
            </w:hyperlink>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gridSpan w:val="35"/>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Chase Bank of Texas, National Association, as</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Trustee</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gridSpan w:val="11"/>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6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w w:val="91"/>
              </w:rPr>
              <w:t>†4.18</w:t>
            </w:r>
          </w:p>
        </w:tc>
        <w:tc>
          <w:tcPr>
            <w:tcW w:w="20" w:type="dxa"/>
            <w:vAlign w:val="bottom"/>
          </w:tcPr>
          <w:p>
            <w:pPr>
              <w:spacing w:after="0"/>
              <w:rPr>
                <w:sz w:val="14"/>
                <w:szCs w:val="14"/>
                <w:color w:val="auto"/>
              </w:rPr>
            </w:pPr>
          </w:p>
        </w:tc>
        <w:tc>
          <w:tcPr>
            <w:tcW w:w="2780" w:type="dxa"/>
            <w:vAlign w:val="bottom"/>
            <w:gridSpan w:val="35"/>
          </w:tcPr>
          <w:p>
            <w:pPr>
              <w:spacing w:after="0" w:line="155" w:lineRule="exact"/>
              <w:rPr>
                <w:rFonts w:ascii="Arial" w:cs="Arial" w:eastAsia="Arial" w:hAnsi="Arial"/>
                <w:sz w:val="14"/>
                <w:szCs w:val="14"/>
                <w:color w:val="0000FF"/>
              </w:rPr>
            </w:pPr>
            <w:hyperlink w:anchor="page194">
              <w:r>
                <w:rPr>
                  <w:rFonts w:ascii="Arial" w:cs="Arial" w:eastAsia="Arial" w:hAnsi="Arial"/>
                  <w:sz w:val="14"/>
                  <w:szCs w:val="14"/>
                  <w:color w:val="0000FF"/>
                </w:rPr>
                <w:t>Supplemental Indenture No. 19 to Exhibit</w:t>
              </w:r>
            </w:hyperlink>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5"/>
          </w:tcPr>
          <w:p>
            <w:pPr>
              <w:spacing w:after="0" w:line="122" w:lineRule="exact"/>
              <w:rPr>
                <w:rFonts w:ascii="Arial" w:cs="Arial" w:eastAsia="Arial" w:hAnsi="Arial"/>
                <w:sz w:val="14"/>
                <w:szCs w:val="14"/>
                <w:color w:val="0000FF"/>
                <w:w w:val="92"/>
              </w:rPr>
            </w:pPr>
            <w:hyperlink w:anchor="page194">
              <w:r>
                <w:rPr>
                  <w:rFonts w:ascii="Arial" w:cs="Arial" w:eastAsia="Arial" w:hAnsi="Arial"/>
                  <w:sz w:val="14"/>
                  <w:szCs w:val="14"/>
                  <w:color w:val="0000FF"/>
                  <w:w w:val="92"/>
                </w:rPr>
                <w:t>4.</w:t>
              </w:r>
              <w:r>
                <w:rPr>
                  <w:rFonts w:ascii="Arial" w:cs="Arial" w:eastAsia="Arial" w:hAnsi="Arial"/>
                  <w:sz w:val="14"/>
                  <w:szCs w:val="14"/>
                  <w:u w:val="single" w:color="auto"/>
                  <w:color w:val="0000FF"/>
                  <w:w w:val="92"/>
                </w:rPr>
                <w:t>16,</w:t>
              </w:r>
              <w:r>
                <w:rPr>
                  <w:rFonts w:ascii="Arial" w:cs="Arial" w:eastAsia="Arial" w:hAnsi="Arial"/>
                  <w:sz w:val="14"/>
                  <w:szCs w:val="14"/>
                  <w:color w:val="0000FF"/>
                  <w:w w:val="92"/>
                </w:rPr>
                <w:t xml:space="preserve"> dated as of March 2, 2021, providing</w:t>
              </w:r>
            </w:hyperlink>
          </w:p>
        </w:tc>
        <w:tc>
          <w:tcPr>
            <w:tcW w:w="340" w:type="dxa"/>
            <w:vAlign w:val="bottom"/>
            <w:gridSpan w:val="20"/>
          </w:tcPr>
          <w:p>
            <w:pPr>
              <w:jc w:val="center"/>
              <w:ind w:right="60"/>
              <w:spacing w:after="0" w:line="122" w:lineRule="exact"/>
              <w:rPr>
                <w:rFonts w:ascii="Arial" w:cs="Arial" w:eastAsia="Arial" w:hAnsi="Arial"/>
                <w:sz w:val="14"/>
                <w:szCs w:val="14"/>
                <w:color w:val="0000FF"/>
                <w:w w:val="97"/>
              </w:rPr>
            </w:pPr>
            <w:hyperlink w:anchor="page194">
              <w:r>
                <w:rPr>
                  <w:rFonts w:ascii="Arial" w:cs="Arial" w:eastAsia="Arial" w:hAnsi="Arial"/>
                  <w:sz w:val="14"/>
                  <w:szCs w:val="14"/>
                  <w:color w:val="0000FF"/>
                  <w:w w:val="97"/>
                </w:rPr>
                <w:t>for</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w:anchor="page194">
              <w:r>
                <w:rPr>
                  <w:rFonts w:ascii="Arial" w:cs="Arial" w:eastAsia="Arial" w:hAnsi="Arial"/>
                  <w:sz w:val="13"/>
                  <w:szCs w:val="13"/>
                  <w:color w:val="0000FF"/>
                </w:rPr>
                <w:t>the issuance of CERC Corp.’s Floating Rate</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w w:val="97"/>
              </w:rPr>
            </w:pPr>
            <w:hyperlink w:anchor="page194">
              <w:r>
                <w:rPr>
                  <w:rFonts w:ascii="Arial" w:cs="Arial" w:eastAsia="Arial" w:hAnsi="Arial"/>
                  <w:sz w:val="13"/>
                  <w:szCs w:val="13"/>
                  <w:color w:val="0000FF"/>
                  <w:w w:val="97"/>
                </w:rPr>
                <w:t>Senior Notes due 2023</w:t>
              </w:r>
            </w:hyperlink>
          </w:p>
        </w:tc>
        <w:tc>
          <w:tcPr>
            <w:tcW w:w="12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6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w w:val="91"/>
              </w:rPr>
              <w:t>†4.19</w:t>
            </w:r>
          </w:p>
        </w:tc>
        <w:tc>
          <w:tcPr>
            <w:tcW w:w="20" w:type="dxa"/>
            <w:vAlign w:val="bottom"/>
          </w:tcPr>
          <w:p>
            <w:pPr>
              <w:spacing w:after="0"/>
              <w:rPr>
                <w:sz w:val="14"/>
                <w:szCs w:val="14"/>
                <w:color w:val="auto"/>
              </w:rPr>
            </w:pPr>
          </w:p>
        </w:tc>
        <w:tc>
          <w:tcPr>
            <w:tcW w:w="2780" w:type="dxa"/>
            <w:vAlign w:val="bottom"/>
            <w:gridSpan w:val="35"/>
          </w:tcPr>
          <w:p>
            <w:pPr>
              <w:spacing w:after="0" w:line="155" w:lineRule="exact"/>
              <w:rPr>
                <w:rFonts w:ascii="Arial" w:cs="Arial" w:eastAsia="Arial" w:hAnsi="Arial"/>
                <w:sz w:val="14"/>
                <w:szCs w:val="14"/>
                <w:color w:val="0000FF"/>
              </w:rPr>
            </w:pPr>
            <w:hyperlink w:anchor="page223">
              <w:r>
                <w:rPr>
                  <w:rFonts w:ascii="Arial" w:cs="Arial" w:eastAsia="Arial" w:hAnsi="Arial"/>
                  <w:sz w:val="14"/>
                  <w:szCs w:val="14"/>
                  <w:color w:val="0000FF"/>
                </w:rPr>
                <w:t>Supplemental Indenture No. 20 to Exhibit</w:t>
              </w:r>
            </w:hyperlink>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5"/>
          </w:tcPr>
          <w:p>
            <w:pPr>
              <w:spacing w:after="0" w:line="122" w:lineRule="exact"/>
              <w:rPr>
                <w:rFonts w:ascii="Arial" w:cs="Arial" w:eastAsia="Arial" w:hAnsi="Arial"/>
                <w:sz w:val="14"/>
                <w:szCs w:val="14"/>
                <w:color w:val="0000FF"/>
                <w:w w:val="92"/>
              </w:rPr>
            </w:pPr>
            <w:hyperlink w:anchor="page223">
              <w:r>
                <w:rPr>
                  <w:rFonts w:ascii="Arial" w:cs="Arial" w:eastAsia="Arial" w:hAnsi="Arial"/>
                  <w:sz w:val="14"/>
                  <w:szCs w:val="14"/>
                  <w:color w:val="0000FF"/>
                  <w:w w:val="92"/>
                </w:rPr>
                <w:t>4.</w:t>
              </w:r>
              <w:r>
                <w:rPr>
                  <w:rFonts w:ascii="Arial" w:cs="Arial" w:eastAsia="Arial" w:hAnsi="Arial"/>
                  <w:sz w:val="14"/>
                  <w:szCs w:val="14"/>
                  <w:u w:val="single" w:color="auto"/>
                  <w:color w:val="0000FF"/>
                  <w:w w:val="92"/>
                </w:rPr>
                <w:t>16,</w:t>
              </w:r>
              <w:r>
                <w:rPr>
                  <w:rFonts w:ascii="Arial" w:cs="Arial" w:eastAsia="Arial" w:hAnsi="Arial"/>
                  <w:sz w:val="14"/>
                  <w:szCs w:val="14"/>
                  <w:color w:val="0000FF"/>
                  <w:w w:val="92"/>
                </w:rPr>
                <w:t xml:space="preserve"> dated as of March 2, 2021, providing</w:t>
              </w:r>
            </w:hyperlink>
          </w:p>
        </w:tc>
        <w:tc>
          <w:tcPr>
            <w:tcW w:w="340" w:type="dxa"/>
            <w:vAlign w:val="bottom"/>
            <w:gridSpan w:val="20"/>
          </w:tcPr>
          <w:p>
            <w:pPr>
              <w:jc w:val="center"/>
              <w:ind w:right="60"/>
              <w:spacing w:after="0" w:line="122" w:lineRule="exact"/>
              <w:rPr>
                <w:rFonts w:ascii="Arial" w:cs="Arial" w:eastAsia="Arial" w:hAnsi="Arial"/>
                <w:sz w:val="14"/>
                <w:szCs w:val="14"/>
                <w:color w:val="0000FF"/>
                <w:w w:val="97"/>
              </w:rPr>
            </w:pPr>
            <w:hyperlink w:anchor="page223">
              <w:r>
                <w:rPr>
                  <w:rFonts w:ascii="Arial" w:cs="Arial" w:eastAsia="Arial" w:hAnsi="Arial"/>
                  <w:sz w:val="14"/>
                  <w:szCs w:val="14"/>
                  <w:color w:val="0000FF"/>
                  <w:w w:val="97"/>
                </w:rPr>
                <w:t>for</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w:anchor="page223">
              <w:r>
                <w:rPr>
                  <w:rFonts w:ascii="Arial" w:cs="Arial" w:eastAsia="Arial" w:hAnsi="Arial"/>
                  <w:sz w:val="13"/>
                  <w:szCs w:val="13"/>
                  <w:color w:val="0000FF"/>
                </w:rPr>
                <w:t>the issuance of CERC Corp.’s 0.70% Senior</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w:anchor="page223">
              <w:r>
                <w:rPr>
                  <w:rFonts w:ascii="Arial" w:cs="Arial" w:eastAsia="Arial" w:hAnsi="Arial"/>
                  <w:sz w:val="13"/>
                  <w:szCs w:val="13"/>
                  <w:color w:val="0000FF"/>
                </w:rPr>
                <w:t>Notes due 2023</w:t>
              </w:r>
            </w:hyperlink>
          </w:p>
        </w:tc>
        <w:tc>
          <w:tcPr>
            <w:tcW w:w="20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79"/>
        <w:spacing w:after="0"/>
        <w:rPr>
          <w:sz w:val="20"/>
          <w:szCs w:val="20"/>
          <w:color w:val="auto"/>
        </w:rPr>
      </w:pPr>
      <w:r>
        <w:rPr>
          <w:rFonts w:ascii="Arial" w:cs="Arial" w:eastAsia="Arial" w:hAnsi="Arial"/>
          <w:sz w:val="13"/>
          <w:szCs w:val="13"/>
          <w:b w:val="1"/>
          <w:bCs w:val="1"/>
          <w:color w:val="auto"/>
        </w:rPr>
        <w:t>Report or Registration</w:t>
      </w:r>
    </w:p>
    <w:p>
      <w:pPr>
        <w:spacing w:after="0" w:line="2"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13335</wp:posOffset>
            </wp:positionV>
            <wp:extent cx="10198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0"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CenterPoint Energy’s Form 8-K dated February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CenterPoint Energy’s Form 8-K dated May 15, 2019</w:t>
      </w:r>
    </w:p>
    <w:p>
      <w:pPr>
        <w:spacing w:after="0" w:line="278"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CenterPoint Energy’s Form 8-K dated April 26, 2021</w:t>
      </w:r>
    </w:p>
    <w:p>
      <w:pPr>
        <w:spacing w:after="0" w:line="278"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CenterPoint Energy’s Form 8-K dated May 6, 2020</w:t>
      </w:r>
    </w:p>
    <w:p>
      <w:pPr>
        <w:spacing w:after="0" w:line="143"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CenterPoint Energy’s Form 8-K dated May 6, 2020</w:t>
      </w:r>
    </w:p>
    <w:p>
      <w:pPr>
        <w:spacing w:after="0" w:line="143"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CenterPoint Energy’s Form 8-K dated May 6, 2020</w:t>
      </w:r>
    </w:p>
    <w:p>
      <w:pPr>
        <w:spacing w:after="0" w:line="143"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CenterPoint Energy’s Form 8-K dated May 6, 2020</w:t>
      </w:r>
    </w:p>
    <w:p>
      <w:pPr>
        <w:spacing w:after="0" w:line="143"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CenterPoint Energy’s Form 8-K dated May 6, 2020</w:t>
      </w:r>
    </w:p>
    <w:p>
      <w:pPr>
        <w:spacing w:after="0" w:line="143" w:lineRule="exact"/>
        <w:rPr>
          <w:sz w:val="20"/>
          <w:szCs w:val="20"/>
          <w:color w:val="auto"/>
        </w:rPr>
      </w:pPr>
    </w:p>
    <w:p>
      <w:pPr>
        <w:ind w:right="60"/>
        <w:spacing w:after="0" w:line="269" w:lineRule="auto"/>
        <w:rPr>
          <w:sz w:val="20"/>
          <w:szCs w:val="20"/>
          <w:color w:val="auto"/>
        </w:rPr>
      </w:pPr>
      <w:r>
        <w:rPr>
          <w:rFonts w:ascii="Arial" w:cs="Arial" w:eastAsia="Arial" w:hAnsi="Arial"/>
          <w:sz w:val="13"/>
          <w:szCs w:val="13"/>
          <w:color w:val="auto"/>
        </w:rPr>
        <w:t>CERC’s Form 8-K dated February 5,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x</w:t>
            </w: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860" w:type="dxa"/>
            <w:vAlign w:val="bottom"/>
          </w:tcPr>
          <w:p>
            <w:pPr>
              <w:jc w:val="right"/>
              <w:ind w:right="308"/>
              <w:spacing w:after="0"/>
              <w:rPr>
                <w:sz w:val="20"/>
                <w:szCs w:val="20"/>
                <w:color w:val="auto"/>
              </w:rPr>
            </w:pPr>
            <w:r>
              <w:rPr>
                <w:rFonts w:ascii="Arial" w:cs="Arial" w:eastAsia="Arial" w:hAnsi="Arial"/>
                <w:sz w:val="14"/>
                <w:szCs w:val="14"/>
                <w:color w:val="auto"/>
                <w:w w:val="89"/>
              </w:rPr>
              <w:t>1-31447</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4.1</w:t>
            </w:r>
          </w:p>
        </w:tc>
        <w:tc>
          <w:tcPr>
            <w:tcW w:w="2840" w:type="dxa"/>
            <w:vAlign w:val="bottom"/>
          </w:tcPr>
          <w:p>
            <w:pPr>
              <w:ind w:left="500"/>
              <w:spacing w:after="0"/>
              <w:rPr>
                <w:sz w:val="20"/>
                <w:szCs w:val="20"/>
                <w:color w:val="auto"/>
              </w:rPr>
            </w:pPr>
            <w:r>
              <w:rPr>
                <w:rFonts w:ascii="Arial" w:cs="Arial" w:eastAsia="Arial" w:hAnsi="Arial"/>
                <w:sz w:val="14"/>
                <w:szCs w:val="14"/>
                <w:color w:val="auto"/>
              </w:rPr>
              <w:t>x</w:t>
            </w:r>
          </w:p>
        </w:tc>
      </w:tr>
      <w:tr>
        <w:trPr>
          <w:trHeight w:val="729"/>
        </w:trPr>
        <w:tc>
          <w:tcPr>
            <w:tcW w:w="860" w:type="dxa"/>
            <w:vAlign w:val="bottom"/>
          </w:tcPr>
          <w:p>
            <w:pPr>
              <w:jc w:val="right"/>
              <w:ind w:right="308"/>
              <w:spacing w:after="0"/>
              <w:rPr>
                <w:sz w:val="20"/>
                <w:szCs w:val="20"/>
                <w:color w:val="auto"/>
              </w:rPr>
            </w:pPr>
            <w:r>
              <w:rPr>
                <w:rFonts w:ascii="Arial" w:cs="Arial" w:eastAsia="Arial" w:hAnsi="Arial"/>
                <w:sz w:val="14"/>
                <w:szCs w:val="14"/>
                <w:color w:val="auto"/>
                <w:w w:val="89"/>
              </w:rPr>
              <w:t>1-31447</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4.1</w:t>
            </w:r>
          </w:p>
        </w:tc>
        <w:tc>
          <w:tcPr>
            <w:tcW w:w="2840" w:type="dxa"/>
            <w:vAlign w:val="bottom"/>
          </w:tcPr>
          <w:p>
            <w:pPr>
              <w:ind w:left="500"/>
              <w:spacing w:after="0"/>
              <w:rPr>
                <w:sz w:val="20"/>
                <w:szCs w:val="20"/>
                <w:color w:val="auto"/>
              </w:rPr>
            </w:pPr>
            <w:r>
              <w:rPr>
                <w:rFonts w:ascii="Arial" w:cs="Arial" w:eastAsia="Arial" w:hAnsi="Arial"/>
                <w:sz w:val="14"/>
                <w:szCs w:val="14"/>
                <w:color w:val="auto"/>
              </w:rPr>
              <w:t>x</w:t>
            </w:r>
          </w:p>
        </w:tc>
      </w:tr>
      <w:tr>
        <w:trPr>
          <w:trHeight w:val="729"/>
        </w:trPr>
        <w:tc>
          <w:tcPr>
            <w:tcW w:w="860" w:type="dxa"/>
            <w:vAlign w:val="bottom"/>
          </w:tcPr>
          <w:p>
            <w:pPr>
              <w:jc w:val="right"/>
              <w:ind w:right="308"/>
              <w:spacing w:after="0"/>
              <w:rPr>
                <w:sz w:val="20"/>
                <w:szCs w:val="20"/>
                <w:color w:val="auto"/>
              </w:rPr>
            </w:pPr>
            <w:r>
              <w:rPr>
                <w:rFonts w:ascii="Arial" w:cs="Arial" w:eastAsia="Arial" w:hAnsi="Arial"/>
                <w:sz w:val="14"/>
                <w:szCs w:val="14"/>
                <w:color w:val="auto"/>
                <w:w w:val="89"/>
              </w:rPr>
              <w:t>1-31447</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4.1</w:t>
            </w:r>
          </w:p>
        </w:tc>
        <w:tc>
          <w:tcPr>
            <w:tcW w:w="2840" w:type="dxa"/>
            <w:vAlign w:val="bottom"/>
          </w:tcPr>
          <w:p>
            <w:pPr>
              <w:ind w:left="500"/>
              <w:spacing w:after="0"/>
              <w:rPr>
                <w:sz w:val="20"/>
                <w:szCs w:val="20"/>
                <w:color w:val="auto"/>
              </w:rPr>
            </w:pPr>
            <w:r>
              <w:rPr>
                <w:rFonts w:ascii="Arial" w:cs="Arial" w:eastAsia="Arial" w:hAnsi="Arial"/>
                <w:sz w:val="14"/>
                <w:szCs w:val="14"/>
                <w:color w:val="auto"/>
              </w:rPr>
              <w:t>x</w:t>
            </w:r>
          </w:p>
        </w:tc>
      </w:tr>
      <w:tr>
        <w:trPr>
          <w:trHeight w:val="594"/>
        </w:trPr>
        <w:tc>
          <w:tcPr>
            <w:tcW w:w="860" w:type="dxa"/>
            <w:vAlign w:val="bottom"/>
          </w:tcPr>
          <w:p>
            <w:pPr>
              <w:jc w:val="right"/>
              <w:ind w:right="308"/>
              <w:spacing w:after="0"/>
              <w:rPr>
                <w:sz w:val="20"/>
                <w:szCs w:val="20"/>
                <w:color w:val="auto"/>
              </w:rPr>
            </w:pPr>
            <w:r>
              <w:rPr>
                <w:rFonts w:ascii="Arial" w:cs="Arial" w:eastAsia="Arial" w:hAnsi="Arial"/>
                <w:sz w:val="14"/>
                <w:szCs w:val="14"/>
                <w:color w:val="auto"/>
                <w:w w:val="89"/>
              </w:rPr>
              <w:t>1-31447</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4.2</w:t>
            </w:r>
          </w:p>
        </w:tc>
        <w:tc>
          <w:tcPr>
            <w:tcW w:w="2840" w:type="dxa"/>
            <w:vAlign w:val="bottom"/>
          </w:tcPr>
          <w:p>
            <w:pPr>
              <w:ind w:left="500"/>
              <w:spacing w:after="0"/>
              <w:rPr>
                <w:sz w:val="20"/>
                <w:szCs w:val="20"/>
                <w:color w:val="auto"/>
              </w:rPr>
            </w:pPr>
            <w:r>
              <w:rPr>
                <w:rFonts w:ascii="Arial" w:cs="Arial" w:eastAsia="Arial" w:hAnsi="Arial"/>
                <w:sz w:val="14"/>
                <w:szCs w:val="14"/>
                <w:color w:val="auto"/>
              </w:rPr>
              <w:t>x</w:t>
            </w:r>
          </w:p>
        </w:tc>
      </w:tr>
      <w:tr>
        <w:trPr>
          <w:trHeight w:val="594"/>
        </w:trPr>
        <w:tc>
          <w:tcPr>
            <w:tcW w:w="860" w:type="dxa"/>
            <w:vAlign w:val="bottom"/>
          </w:tcPr>
          <w:p>
            <w:pPr>
              <w:jc w:val="right"/>
              <w:ind w:right="308"/>
              <w:spacing w:after="0"/>
              <w:rPr>
                <w:sz w:val="20"/>
                <w:szCs w:val="20"/>
                <w:color w:val="auto"/>
              </w:rPr>
            </w:pPr>
            <w:r>
              <w:rPr>
                <w:rFonts w:ascii="Arial" w:cs="Arial" w:eastAsia="Arial" w:hAnsi="Arial"/>
                <w:sz w:val="14"/>
                <w:szCs w:val="14"/>
                <w:color w:val="auto"/>
                <w:w w:val="89"/>
              </w:rPr>
              <w:t>1-31447</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4.3</w:t>
            </w:r>
          </w:p>
        </w:tc>
        <w:tc>
          <w:tcPr>
            <w:tcW w:w="2840" w:type="dxa"/>
            <w:vAlign w:val="bottom"/>
          </w:tcPr>
          <w:p>
            <w:pPr>
              <w:ind w:left="500"/>
              <w:spacing w:after="0"/>
              <w:rPr>
                <w:sz w:val="20"/>
                <w:szCs w:val="20"/>
                <w:color w:val="auto"/>
              </w:rPr>
            </w:pPr>
            <w:r>
              <w:rPr>
                <w:rFonts w:ascii="Arial" w:cs="Arial" w:eastAsia="Arial" w:hAnsi="Arial"/>
                <w:sz w:val="14"/>
                <w:szCs w:val="14"/>
                <w:color w:val="auto"/>
              </w:rPr>
              <w:t>x</w:t>
            </w:r>
          </w:p>
        </w:tc>
      </w:tr>
      <w:tr>
        <w:trPr>
          <w:trHeight w:val="594"/>
        </w:trPr>
        <w:tc>
          <w:tcPr>
            <w:tcW w:w="860" w:type="dxa"/>
            <w:vAlign w:val="bottom"/>
          </w:tcPr>
          <w:p>
            <w:pPr>
              <w:jc w:val="right"/>
              <w:ind w:right="308"/>
              <w:spacing w:after="0"/>
              <w:rPr>
                <w:sz w:val="20"/>
                <w:szCs w:val="20"/>
                <w:color w:val="auto"/>
              </w:rPr>
            </w:pPr>
            <w:r>
              <w:rPr>
                <w:rFonts w:ascii="Arial" w:cs="Arial" w:eastAsia="Arial" w:hAnsi="Arial"/>
                <w:sz w:val="14"/>
                <w:szCs w:val="14"/>
                <w:color w:val="auto"/>
                <w:w w:val="89"/>
              </w:rPr>
              <w:t>1-31447</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4.4</w:t>
            </w:r>
          </w:p>
        </w:tc>
        <w:tc>
          <w:tcPr>
            <w:tcW w:w="2840" w:type="dxa"/>
            <w:vAlign w:val="bottom"/>
          </w:tcPr>
          <w:p>
            <w:pPr>
              <w:ind w:left="500"/>
              <w:spacing w:after="0"/>
              <w:rPr>
                <w:sz w:val="20"/>
                <w:szCs w:val="20"/>
                <w:color w:val="auto"/>
              </w:rPr>
            </w:pPr>
            <w:r>
              <w:rPr>
                <w:rFonts w:ascii="Arial" w:cs="Arial" w:eastAsia="Arial" w:hAnsi="Arial"/>
                <w:sz w:val="14"/>
                <w:szCs w:val="14"/>
                <w:color w:val="auto"/>
              </w:rPr>
              <w:t>x</w:t>
            </w:r>
          </w:p>
        </w:tc>
      </w:tr>
      <w:tr>
        <w:trPr>
          <w:trHeight w:val="594"/>
        </w:trPr>
        <w:tc>
          <w:tcPr>
            <w:tcW w:w="860" w:type="dxa"/>
            <w:vAlign w:val="bottom"/>
          </w:tcPr>
          <w:p>
            <w:pPr>
              <w:jc w:val="right"/>
              <w:ind w:right="308"/>
              <w:spacing w:after="0"/>
              <w:rPr>
                <w:sz w:val="20"/>
                <w:szCs w:val="20"/>
                <w:color w:val="auto"/>
              </w:rPr>
            </w:pPr>
            <w:r>
              <w:rPr>
                <w:rFonts w:ascii="Arial" w:cs="Arial" w:eastAsia="Arial" w:hAnsi="Arial"/>
                <w:sz w:val="14"/>
                <w:szCs w:val="14"/>
                <w:color w:val="auto"/>
                <w:w w:val="89"/>
              </w:rPr>
              <w:t>1-31447</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4.5</w:t>
            </w:r>
          </w:p>
        </w:tc>
        <w:tc>
          <w:tcPr>
            <w:tcW w:w="2840" w:type="dxa"/>
            <w:vAlign w:val="bottom"/>
          </w:tcPr>
          <w:p>
            <w:pPr>
              <w:ind w:left="500"/>
              <w:spacing w:after="0"/>
              <w:rPr>
                <w:sz w:val="20"/>
                <w:szCs w:val="20"/>
                <w:color w:val="auto"/>
              </w:rPr>
            </w:pPr>
            <w:r>
              <w:rPr>
                <w:rFonts w:ascii="Arial" w:cs="Arial" w:eastAsia="Arial" w:hAnsi="Arial"/>
                <w:sz w:val="14"/>
                <w:szCs w:val="14"/>
                <w:color w:val="auto"/>
              </w:rPr>
              <w:t>x</w:t>
            </w:r>
          </w:p>
        </w:tc>
      </w:tr>
      <w:tr>
        <w:trPr>
          <w:trHeight w:val="594"/>
        </w:trPr>
        <w:tc>
          <w:tcPr>
            <w:tcW w:w="860" w:type="dxa"/>
            <w:vAlign w:val="bottom"/>
          </w:tcPr>
          <w:p>
            <w:pPr>
              <w:jc w:val="right"/>
              <w:ind w:right="308"/>
              <w:spacing w:after="0"/>
              <w:rPr>
                <w:sz w:val="20"/>
                <w:szCs w:val="20"/>
                <w:color w:val="auto"/>
              </w:rPr>
            </w:pPr>
            <w:r>
              <w:rPr>
                <w:rFonts w:ascii="Arial" w:cs="Arial" w:eastAsia="Arial" w:hAnsi="Arial"/>
                <w:sz w:val="14"/>
                <w:szCs w:val="14"/>
                <w:color w:val="auto"/>
                <w:w w:val="89"/>
              </w:rPr>
              <w:t>1-13265</w:t>
            </w:r>
          </w:p>
        </w:tc>
        <w:tc>
          <w:tcPr>
            <w:tcW w:w="1080" w:type="dxa"/>
            <w:vAlign w:val="bottom"/>
          </w:tcPr>
          <w:p>
            <w:pPr>
              <w:jc w:val="right"/>
              <w:ind w:right="428"/>
              <w:spacing w:after="0"/>
              <w:rPr>
                <w:sz w:val="20"/>
                <w:szCs w:val="20"/>
                <w:color w:val="auto"/>
              </w:rPr>
            </w:pPr>
            <w:r>
              <w:rPr>
                <w:rFonts w:ascii="Arial" w:cs="Arial" w:eastAsia="Arial" w:hAnsi="Arial"/>
                <w:sz w:val="14"/>
                <w:szCs w:val="14"/>
                <w:color w:val="auto"/>
              </w:rPr>
              <w:t>4.1</w:t>
            </w:r>
          </w:p>
        </w:tc>
        <w:tc>
          <w:tcPr>
            <w:tcW w:w="2840" w:type="dxa"/>
            <w:vAlign w:val="bottom"/>
          </w:tcPr>
          <w:p>
            <w:pPr>
              <w:ind w:left="2760"/>
              <w:spacing w:after="0"/>
              <w:rPr>
                <w:sz w:val="20"/>
                <w:szCs w:val="20"/>
                <w:color w:val="auto"/>
              </w:rPr>
            </w:pPr>
            <w:r>
              <w:rPr>
                <w:rFonts w:ascii="Arial" w:cs="Arial" w:eastAsia="Arial" w:hAnsi="Arial"/>
                <w:sz w:val="14"/>
                <w:szCs w:val="14"/>
                <w:color w:val="auto"/>
                <w:w w:val="85"/>
              </w:rPr>
              <w:t>x</w:t>
            </w:r>
          </w:p>
        </w:tc>
      </w:tr>
      <w:tr>
        <w:trPr>
          <w:trHeight w:val="594"/>
        </w:trPr>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40" w:type="dxa"/>
            <w:vAlign w:val="bottom"/>
          </w:tcPr>
          <w:p>
            <w:pPr>
              <w:ind w:left="2760"/>
              <w:spacing w:after="0"/>
              <w:rPr>
                <w:sz w:val="20"/>
                <w:szCs w:val="20"/>
                <w:color w:val="auto"/>
              </w:rPr>
            </w:pPr>
            <w:r>
              <w:rPr>
                <w:rFonts w:ascii="Arial" w:cs="Arial" w:eastAsia="Arial" w:hAnsi="Arial"/>
                <w:sz w:val="14"/>
                <w:szCs w:val="14"/>
                <w:color w:val="auto"/>
                <w:w w:val="85"/>
              </w:rPr>
              <w:t>x</w:t>
            </w:r>
          </w:p>
        </w:tc>
      </w:tr>
      <w:tr>
        <w:trPr>
          <w:trHeight w:val="594"/>
        </w:trPr>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40" w:type="dxa"/>
            <w:vAlign w:val="bottom"/>
          </w:tcPr>
          <w:p>
            <w:pPr>
              <w:ind w:left="2760"/>
              <w:spacing w:after="0"/>
              <w:rPr>
                <w:sz w:val="20"/>
                <w:szCs w:val="20"/>
                <w:color w:val="auto"/>
              </w:rPr>
            </w:pPr>
            <w:r>
              <w:rPr>
                <w:rFonts w:ascii="Arial" w:cs="Arial" w:eastAsia="Arial" w:hAnsi="Arial"/>
                <w:sz w:val="14"/>
                <w:szCs w:val="14"/>
                <w:color w:val="auto"/>
                <w:w w:val="85"/>
              </w:rPr>
              <w:t>x</w:t>
            </w:r>
          </w:p>
        </w:tc>
      </w:tr>
    </w:tbl>
    <w:p>
      <w:pPr>
        <w:spacing w:after="0" w:line="589" w:lineRule="exact"/>
        <w:rPr>
          <w:sz w:val="20"/>
          <w:szCs w:val="20"/>
          <w:color w:val="auto"/>
        </w:rPr>
      </w:pPr>
    </w:p>
    <w:p>
      <w:pPr>
        <w:sectPr>
          <w:pgSz w:w="11900" w:h="16838" w:orient="portrait"/>
          <w:cols w:equalWidth="0" w:num="3">
            <w:col w:w="3820" w:space="140"/>
            <w:col w:w="1480" w:space="220"/>
            <w:col w:w="5540"/>
          </w:cols>
          <w:pgMar w:left="320" w:top="125" w:right="379" w:bottom="1440" w:gutter="0" w:footer="0" w:header="0"/>
          <w:type w:val="continuous"/>
        </w:sect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7" w:name="page88"/>
    <w:bookmarkEnd w:id="87"/>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5"/>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7"/>
              </w:rPr>
              <w:t>4.20</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20" w:type="dxa"/>
            <w:vAlign w:val="bottom"/>
            <w:tcBorders>
              <w:top w:val="single" w:sz="8" w:color="auto"/>
            </w:tcBorders>
            <w:gridSpan w:val="41"/>
          </w:tcPr>
          <w:p>
            <w:pPr>
              <w:spacing w:after="0" w:line="130" w:lineRule="exact"/>
              <w:rPr>
                <w:rFonts w:ascii="Arial" w:cs="Arial" w:eastAsia="Arial" w:hAnsi="Arial"/>
                <w:sz w:val="14"/>
                <w:szCs w:val="14"/>
                <w:color w:val="0000FF"/>
              </w:rPr>
            </w:pPr>
            <w:hyperlink r:id="rId155">
              <w:r>
                <w:rPr>
                  <w:rFonts w:ascii="Arial" w:cs="Arial" w:eastAsia="Arial" w:hAnsi="Arial"/>
                  <w:sz w:val="14"/>
                  <w:szCs w:val="14"/>
                  <w:color w:val="0000FF"/>
                </w:rPr>
                <w:t>General Mortgage Indenture, dated as of</w:t>
              </w:r>
            </w:hyperlink>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tcBorders>
            <w:gridSpan w:val="19"/>
          </w:tcPr>
          <w:p>
            <w:pPr>
              <w:spacing w:after="0" w:line="122" w:lineRule="exact"/>
              <w:rPr>
                <w:rFonts w:ascii="Arial" w:cs="Arial" w:eastAsia="Arial" w:hAnsi="Arial"/>
                <w:sz w:val="14"/>
                <w:szCs w:val="14"/>
                <w:color w:val="0000FF"/>
                <w:w w:val="94"/>
              </w:rPr>
            </w:pPr>
            <w:hyperlink r:id="rId155">
              <w:r>
                <w:rPr>
                  <w:rFonts w:ascii="Arial" w:cs="Arial" w:eastAsia="Arial" w:hAnsi="Arial"/>
                  <w:sz w:val="14"/>
                  <w:szCs w:val="14"/>
                  <w:color w:val="0000FF"/>
                  <w:w w:val="94"/>
                </w:rPr>
                <w:t>October 10, 2002, between CenterPoint</w:t>
              </w:r>
            </w:hyperlink>
          </w:p>
        </w:tc>
        <w:tc>
          <w:tcPr>
            <w:tcW w:w="480" w:type="dxa"/>
            <w:vAlign w:val="bottom"/>
            <w:gridSpan w:val="22"/>
          </w:tcPr>
          <w:p>
            <w:pPr>
              <w:spacing w:after="0" w:line="122" w:lineRule="exact"/>
              <w:rPr>
                <w:rFonts w:ascii="Arial" w:cs="Arial" w:eastAsia="Arial" w:hAnsi="Arial"/>
                <w:sz w:val="14"/>
                <w:szCs w:val="14"/>
                <w:color w:val="0000FF"/>
              </w:rPr>
            </w:pPr>
            <w:hyperlink r:id="rId155">
              <w:r>
                <w:rPr>
                  <w:rFonts w:ascii="Arial" w:cs="Arial" w:eastAsia="Arial" w:hAnsi="Arial"/>
                  <w:sz w:val="14"/>
                  <w:szCs w:val="14"/>
                  <w:color w:val="0000FF"/>
                </w:rPr>
                <w:t>Energy</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155">
              <w:r>
                <w:rPr>
                  <w:rFonts w:ascii="Arial" w:cs="Arial" w:eastAsia="Arial" w:hAnsi="Arial"/>
                  <w:sz w:val="13"/>
                  <w:szCs w:val="13"/>
                  <w:color w:val="0000FF"/>
                </w:rPr>
                <w:t>Houston Electric, LLC and JPMorgan Chase</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w w:val="95"/>
              </w:rPr>
            </w:pPr>
            <w:hyperlink r:id="rId155">
              <w:r>
                <w:rPr>
                  <w:rFonts w:ascii="Arial" w:cs="Arial" w:eastAsia="Arial" w:hAnsi="Arial"/>
                  <w:sz w:val="13"/>
                  <w:szCs w:val="13"/>
                  <w:color w:val="0000FF"/>
                  <w:w w:val="95"/>
                </w:rPr>
                <w:t>Bank, as Trustee</w:t>
              </w:r>
            </w:hyperlink>
          </w:p>
        </w:tc>
        <w:tc>
          <w:tcPr>
            <w:tcW w:w="168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4.21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rPr>
            </w:pPr>
            <w:hyperlink r:id="rId156">
              <w:r>
                <w:rPr>
                  <w:rFonts w:ascii="Arial" w:cs="Arial" w:eastAsia="Arial" w:hAnsi="Arial"/>
                  <w:sz w:val="14"/>
                  <w:szCs w:val="14"/>
                  <w:color w:val="0000FF"/>
                </w:rPr>
                <w:t>Thirtieth Supplemental Indenture to Exhibit</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tcBorders>
              <w:top w:val="single" w:sz="8" w:color="0000FF"/>
              <w:bottom w:val="single" w:sz="8" w:color="0000FF"/>
            </w:tcBorders>
            <w:gridSpan w:val="14"/>
          </w:tcPr>
          <w:p>
            <w:pPr>
              <w:spacing w:after="0" w:line="115" w:lineRule="exact"/>
              <w:rPr>
                <w:rFonts w:ascii="Arial" w:cs="Arial" w:eastAsia="Arial" w:hAnsi="Arial"/>
                <w:sz w:val="13"/>
                <w:szCs w:val="13"/>
                <w:color w:val="0000FF"/>
                <w:w w:val="98"/>
              </w:rPr>
            </w:pPr>
            <w:hyperlink r:id="rId156">
              <w:r>
                <w:rPr>
                  <w:rFonts w:ascii="Arial" w:cs="Arial" w:eastAsia="Arial" w:hAnsi="Arial"/>
                  <w:sz w:val="13"/>
                  <w:szCs w:val="13"/>
                  <w:color w:val="0000FF"/>
                  <w:w w:val="98"/>
                </w:rPr>
                <w:t>4.</w:t>
              </w:r>
              <w:r>
                <w:rPr>
                  <w:rFonts w:ascii="Arial" w:cs="Arial" w:eastAsia="Arial" w:hAnsi="Arial"/>
                  <w:sz w:val="13"/>
                  <w:szCs w:val="13"/>
                  <w:u w:val="single" w:color="auto"/>
                  <w:color w:val="0000FF"/>
                  <w:w w:val="98"/>
                </w:rPr>
                <w:t>19,</w:t>
              </w:r>
              <w:r>
                <w:rPr>
                  <w:rFonts w:ascii="Arial" w:cs="Arial" w:eastAsia="Arial" w:hAnsi="Arial"/>
                  <w:sz w:val="13"/>
                  <w:szCs w:val="13"/>
                  <w:color w:val="0000FF"/>
                  <w:w w:val="98"/>
                </w:rPr>
                <w:t xml:space="preserve"> dated as of March 11, 2021</w:t>
              </w:r>
            </w:hyperlink>
          </w:p>
        </w:tc>
        <w:tc>
          <w:tcPr>
            <w:tcW w:w="64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†4.22</w:t>
            </w: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rPr>
            </w:pPr>
            <w:hyperlink w:anchor="page244">
              <w:r>
                <w:rPr>
                  <w:rFonts w:ascii="Arial" w:cs="Arial" w:eastAsia="Arial" w:hAnsi="Arial"/>
                  <w:sz w:val="14"/>
                  <w:szCs w:val="14"/>
                  <w:color w:val="0000FF"/>
                </w:rPr>
                <w:t>Officer’s Certificate, dated as of March 11,</w:t>
              </w:r>
            </w:hyperlink>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4"/>
          </w:tcPr>
          <w:p>
            <w:pPr>
              <w:spacing w:after="0" w:line="102" w:lineRule="exact"/>
              <w:rPr>
                <w:rFonts w:ascii="Arial" w:cs="Arial" w:eastAsia="Arial" w:hAnsi="Arial"/>
                <w:sz w:val="11"/>
                <w:szCs w:val="11"/>
                <w:color w:val="0000FF"/>
              </w:rPr>
            </w:pPr>
            <w:hyperlink w:anchor="page244">
              <w:r>
                <w:rPr>
                  <w:rFonts w:ascii="Arial" w:cs="Arial" w:eastAsia="Arial" w:hAnsi="Arial"/>
                  <w:sz w:val="11"/>
                  <w:szCs w:val="11"/>
                  <w:color w:val="0000FF"/>
                </w:rPr>
                <w:t>2021, setting forth the form, terms and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tcBorders>
              <w:top w:val="single" w:sz="8" w:color="0000FF"/>
            </w:tcBorders>
            <w:gridSpan w:val="16"/>
          </w:tcPr>
          <w:p>
            <w:pPr>
              <w:spacing w:after="0" w:line="122" w:lineRule="exact"/>
              <w:rPr>
                <w:rFonts w:ascii="Arial" w:cs="Arial" w:eastAsia="Arial" w:hAnsi="Arial"/>
                <w:sz w:val="14"/>
                <w:szCs w:val="14"/>
                <w:color w:val="0000FF"/>
                <w:w w:val="92"/>
              </w:rPr>
            </w:pPr>
            <w:hyperlink w:anchor="page244">
              <w:r>
                <w:rPr>
                  <w:rFonts w:ascii="Arial" w:cs="Arial" w:eastAsia="Arial" w:hAnsi="Arial"/>
                  <w:sz w:val="14"/>
                  <w:szCs w:val="14"/>
                  <w:color w:val="0000FF"/>
                  <w:w w:val="92"/>
                </w:rPr>
                <w:t>provisions of the Series AE Bonds and</w:t>
              </w:r>
            </w:hyperlink>
          </w:p>
        </w:tc>
        <w:tc>
          <w:tcPr>
            <w:tcW w:w="600" w:type="dxa"/>
            <w:vAlign w:val="bottom"/>
            <w:gridSpan w:val="25"/>
          </w:tcPr>
          <w:p>
            <w:pPr>
              <w:jc w:val="center"/>
              <w:ind w:right="340"/>
              <w:spacing w:after="0" w:line="122" w:lineRule="exact"/>
              <w:rPr>
                <w:rFonts w:ascii="Arial" w:cs="Arial" w:eastAsia="Arial" w:hAnsi="Arial"/>
                <w:sz w:val="14"/>
                <w:szCs w:val="14"/>
                <w:color w:val="0000FF"/>
                <w:w w:val="92"/>
              </w:rPr>
            </w:pPr>
            <w:hyperlink w:anchor="page244">
              <w:r>
                <w:rPr>
                  <w:rFonts w:ascii="Arial" w:cs="Arial" w:eastAsia="Arial" w:hAnsi="Arial"/>
                  <w:sz w:val="14"/>
                  <w:szCs w:val="14"/>
                  <w:color w:val="0000FF"/>
                  <w:w w:val="92"/>
                </w:rPr>
                <w:t>the</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w w:val="98"/>
              </w:rPr>
            </w:pPr>
            <w:hyperlink w:anchor="page244">
              <w:r>
                <w:rPr>
                  <w:rFonts w:ascii="Arial" w:cs="Arial" w:eastAsia="Arial" w:hAnsi="Arial"/>
                  <w:sz w:val="13"/>
                  <w:szCs w:val="13"/>
                  <w:color w:val="0000FF"/>
                  <w:w w:val="98"/>
                </w:rPr>
                <w:t>Series AF Bonds</w:t>
              </w:r>
            </w:hyperlink>
          </w:p>
        </w:tc>
        <w:tc>
          <w:tcPr>
            <w:tcW w:w="148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gridSpan w:val="15"/>
            <w:vMerge w:val="restart"/>
          </w:tcPr>
          <w:p>
            <w:pPr>
              <w:spacing w:after="0"/>
              <w:rPr>
                <w:rFonts w:ascii="Arial" w:cs="Arial" w:eastAsia="Arial" w:hAnsi="Arial"/>
                <w:sz w:val="14"/>
                <w:szCs w:val="14"/>
                <w:color w:val="0000FF"/>
                <w:w w:val="94"/>
              </w:rPr>
            </w:pPr>
            <w:hyperlink r:id="rId157">
              <w:r>
                <w:rPr>
                  <w:rFonts w:ascii="Arial" w:cs="Arial" w:eastAsia="Arial" w:hAnsi="Arial"/>
                  <w:sz w:val="14"/>
                  <w:szCs w:val="14"/>
                  <w:color w:val="0000FF"/>
                  <w:w w:val="94"/>
                </w:rPr>
                <w:t>Form of Restricted Stock Unit Award</w:t>
              </w:r>
            </w:hyperlink>
          </w:p>
        </w:tc>
        <w:tc>
          <w:tcPr>
            <w:tcW w:w="660" w:type="dxa"/>
            <w:vAlign w:val="bottom"/>
            <w:gridSpan w:val="26"/>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160" w:type="dxa"/>
            <w:vAlign w:val="bottom"/>
            <w:tcBorders>
              <w:bottom w:val="single" w:sz="8" w:color="0000FF"/>
            </w:tcBorders>
            <w:gridSpan w:val="15"/>
            <w:vMerge w:val="continue"/>
          </w:tcPr>
          <w:p>
            <w:pPr>
              <w:spacing w:after="0"/>
              <w:rPr>
                <w:sz w:val="4"/>
                <w:szCs w:val="4"/>
                <w:color w:val="auto"/>
              </w:rPr>
            </w:pPr>
          </w:p>
        </w:tc>
        <w:tc>
          <w:tcPr>
            <w:tcW w:w="66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gridSpan w:val="41"/>
          </w:tcPr>
          <w:p>
            <w:pPr>
              <w:spacing w:after="0" w:line="115" w:lineRule="exact"/>
              <w:rPr>
                <w:rFonts w:ascii="Arial" w:cs="Arial" w:eastAsia="Arial" w:hAnsi="Arial"/>
                <w:sz w:val="13"/>
                <w:szCs w:val="13"/>
                <w:color w:val="0000FF"/>
              </w:rPr>
            </w:pPr>
            <w:hyperlink r:id="rId157">
              <w:r>
                <w:rPr>
                  <w:rFonts w:ascii="Arial" w:cs="Arial" w:eastAsia="Arial" w:hAnsi="Arial"/>
                  <w:sz w:val="13"/>
                  <w:szCs w:val="13"/>
                  <w:color w:val="0000FF"/>
                </w:rPr>
                <w:t>Agreement (Service-Based Vesting with</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0000FF"/>
              <w:bottom w:val="single" w:sz="8" w:color="0000FF"/>
            </w:tcBorders>
            <w:gridSpan w:val="9"/>
          </w:tcPr>
          <w:p>
            <w:pPr>
              <w:spacing w:after="0" w:line="115" w:lineRule="exact"/>
              <w:rPr>
                <w:rFonts w:ascii="Arial" w:cs="Arial" w:eastAsia="Arial" w:hAnsi="Arial"/>
                <w:sz w:val="13"/>
                <w:szCs w:val="13"/>
                <w:color w:val="0000FF"/>
                <w:w w:val="97"/>
              </w:rPr>
            </w:pPr>
            <w:hyperlink r:id="rId157">
              <w:r>
                <w:rPr>
                  <w:rFonts w:ascii="Arial" w:cs="Arial" w:eastAsia="Arial" w:hAnsi="Arial"/>
                  <w:sz w:val="13"/>
                  <w:szCs w:val="13"/>
                  <w:color w:val="0000FF"/>
                  <w:w w:val="97"/>
                </w:rPr>
                <w:t>Performance Goals)</w:t>
              </w:r>
            </w:hyperlink>
          </w:p>
        </w:tc>
        <w:tc>
          <w:tcPr>
            <w:tcW w:w="1160" w:type="dxa"/>
            <w:vAlign w:val="bottom"/>
            <w:tcBorders>
              <w:top w:val="single" w:sz="8" w:color="0000FF"/>
            </w:tcBorders>
            <w:gridSpan w:val="9"/>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20" w:type="dxa"/>
            <w:vAlign w:val="bottom"/>
            <w:gridSpan w:val="41"/>
          </w:tcPr>
          <w:p>
            <w:pPr>
              <w:spacing w:after="0"/>
              <w:rPr>
                <w:rFonts w:ascii="Arial" w:cs="Arial" w:eastAsia="Arial" w:hAnsi="Arial"/>
                <w:sz w:val="14"/>
                <w:szCs w:val="14"/>
                <w:color w:val="0000FF"/>
              </w:rPr>
            </w:pPr>
            <w:hyperlink r:id="rId158">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15"/>
          </w:tcPr>
          <w:p>
            <w:pPr>
              <w:spacing w:after="0" w:line="122" w:lineRule="exact"/>
              <w:rPr>
                <w:rFonts w:ascii="Arial" w:cs="Arial" w:eastAsia="Arial" w:hAnsi="Arial"/>
                <w:sz w:val="14"/>
                <w:szCs w:val="14"/>
                <w:color w:val="0000FF"/>
                <w:w w:val="96"/>
              </w:rPr>
            </w:pPr>
            <w:hyperlink r:id="rId158">
              <w:r>
                <w:rPr>
                  <w:rFonts w:ascii="Arial" w:cs="Arial" w:eastAsia="Arial" w:hAnsi="Arial"/>
                  <w:sz w:val="14"/>
                  <w:szCs w:val="14"/>
                  <w:color w:val="0000FF"/>
                  <w:w w:val="96"/>
                </w:rPr>
                <w:t>Agreement for CEO (Service-Based</w:t>
              </w:r>
            </w:hyperlink>
          </w:p>
        </w:tc>
        <w:tc>
          <w:tcPr>
            <w:tcW w:w="660" w:type="dxa"/>
            <w:vAlign w:val="bottom"/>
            <w:gridSpan w:val="26"/>
          </w:tcPr>
          <w:p>
            <w:pPr>
              <w:jc w:val="center"/>
              <w:ind w:right="280"/>
              <w:spacing w:after="0" w:line="122" w:lineRule="exact"/>
              <w:rPr>
                <w:rFonts w:ascii="Arial" w:cs="Arial" w:eastAsia="Arial" w:hAnsi="Arial"/>
                <w:sz w:val="14"/>
                <w:szCs w:val="14"/>
                <w:color w:val="0000FF"/>
                <w:w w:val="81"/>
              </w:rPr>
            </w:pPr>
            <w:hyperlink r:id="rId158">
              <w:r>
                <w:rPr>
                  <w:rFonts w:ascii="Arial" w:cs="Arial" w:eastAsia="Arial" w:hAnsi="Arial"/>
                  <w:sz w:val="14"/>
                  <w:szCs w:val="14"/>
                  <w:color w:val="0000FF"/>
                  <w:w w:val="81"/>
                </w:rPr>
                <w:t>Vesting</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58">
              <w:r>
                <w:rPr>
                  <w:rFonts w:ascii="Arial" w:cs="Arial" w:eastAsia="Arial" w:hAnsi="Arial"/>
                  <w:sz w:val="13"/>
                  <w:szCs w:val="13"/>
                  <w:color w:val="0000FF"/>
                </w:rPr>
                <w:t>with Performance Goals)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w w:val="98"/>
              </w:rPr>
            </w:pPr>
            <w:hyperlink r:id="rId159">
              <w:r>
                <w:rPr>
                  <w:rFonts w:ascii="Arial" w:cs="Arial" w:eastAsia="Arial" w:hAnsi="Arial"/>
                  <w:sz w:val="14"/>
                  <w:szCs w:val="14"/>
                  <w:color w:val="0000FF"/>
                  <w:w w:val="98"/>
                </w:rPr>
                <w:t>Governance Arrangement Agreement, by and</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159">
              <w:r>
                <w:rPr>
                  <w:rFonts w:ascii="Arial" w:cs="Arial" w:eastAsia="Arial" w:hAnsi="Arial"/>
                  <w:sz w:val="13"/>
                  <w:szCs w:val="13"/>
                  <w:color w:val="0000FF"/>
                </w:rPr>
                <w:t>among CenterPoint Energy, Inc., Elliott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top w:val="single" w:sz="8" w:color="0000FF"/>
              <w:bottom w:val="single" w:sz="8" w:color="0000FF"/>
            </w:tcBorders>
            <w:gridSpan w:val="17"/>
          </w:tcPr>
          <w:p>
            <w:pPr>
              <w:spacing w:after="0" w:line="115" w:lineRule="exact"/>
              <w:rPr>
                <w:rFonts w:ascii="Arial" w:cs="Arial" w:eastAsia="Arial" w:hAnsi="Arial"/>
                <w:sz w:val="13"/>
                <w:szCs w:val="13"/>
                <w:color w:val="0000FF"/>
                <w:w w:val="95"/>
              </w:rPr>
            </w:pPr>
            <w:hyperlink r:id="rId159">
              <w:r>
                <w:rPr>
                  <w:rFonts w:ascii="Arial" w:cs="Arial" w:eastAsia="Arial" w:hAnsi="Arial"/>
                  <w:sz w:val="13"/>
                  <w:szCs w:val="13"/>
                  <w:color w:val="0000FF"/>
                  <w:w w:val="95"/>
                </w:rPr>
                <w:t>International, L.P., and Elliott Associates,</w:t>
              </w:r>
            </w:hyperlink>
          </w:p>
        </w:tc>
        <w:tc>
          <w:tcPr>
            <w:tcW w:w="120" w:type="dxa"/>
            <w:vAlign w:val="bottom"/>
            <w:tcBorders>
              <w:bottom w:val="single" w:sz="8" w:color="0000FF"/>
            </w:tcBorders>
            <w:gridSpan w:val="3"/>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bottom w:val="single" w:sz="8" w:color="0000FF"/>
            </w:tcBorders>
            <w:gridSpan w:val="8"/>
          </w:tcPr>
          <w:p>
            <w:pPr>
              <w:spacing w:after="0" w:line="115" w:lineRule="exact"/>
              <w:rPr>
                <w:rFonts w:ascii="Arial" w:cs="Arial" w:eastAsia="Arial" w:hAnsi="Arial"/>
                <w:sz w:val="13"/>
                <w:szCs w:val="13"/>
                <w:color w:val="0000FF"/>
                <w:w w:val="98"/>
              </w:rPr>
            </w:pPr>
            <w:hyperlink r:id="rId159">
              <w:r>
                <w:rPr>
                  <w:rFonts w:ascii="Arial" w:cs="Arial" w:eastAsia="Arial" w:hAnsi="Arial"/>
                  <w:sz w:val="13"/>
                  <w:szCs w:val="13"/>
                  <w:color w:val="0000FF"/>
                  <w:w w:val="98"/>
                </w:rPr>
                <w:t>dated May 6, 2020</w:t>
              </w:r>
            </w:hyperlink>
          </w:p>
        </w:tc>
        <w:tc>
          <w:tcPr>
            <w:tcW w:w="134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w w:val="99"/>
              </w:rPr>
            </w:pPr>
            <w:hyperlink r:id="rId160">
              <w:r>
                <w:rPr>
                  <w:rFonts w:ascii="Arial" w:cs="Arial" w:eastAsia="Arial" w:hAnsi="Arial"/>
                  <w:sz w:val="14"/>
                  <w:szCs w:val="14"/>
                  <w:color w:val="0000FF"/>
                  <w:w w:val="99"/>
                </w:rPr>
                <w:t>Support Agreement, dated as of February 16,</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bottom w:val="single" w:sz="8" w:color="0000FF"/>
            </w:tcBorders>
            <w:gridSpan w:val="33"/>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2021, by and among Energy Transfer LP, Elk</w:t>
              </w:r>
            </w:hyperlink>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34"/>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Merger Sub LLC, Elk GP Merger Sub LLC,</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Enable Midstream Partners, LP, Enable GP,</w:t>
              </w:r>
            </w:hyperlink>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60">
              <w:r>
                <w:rPr>
                  <w:rFonts w:ascii="Arial" w:cs="Arial" w:eastAsia="Arial" w:hAnsi="Arial"/>
                  <w:sz w:val="13"/>
                  <w:szCs w:val="13"/>
                  <w:color w:val="0000FF"/>
                </w:rPr>
                <w:t>LLC and CenterPoint Energy</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w w:val="99"/>
              </w:rPr>
            </w:pPr>
            <w:hyperlink r:id="rId161">
              <w:r>
                <w:rPr>
                  <w:rFonts w:ascii="Arial" w:cs="Arial" w:eastAsia="Arial" w:hAnsi="Arial"/>
                  <w:sz w:val="14"/>
                  <w:szCs w:val="14"/>
                  <w:color w:val="0000FF"/>
                  <w:w w:val="99"/>
                </w:rPr>
                <w:t>Form of Registration Rights Agreement, to be</w:t>
              </w:r>
            </w:hyperlink>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tcBorders>
              <w:top w:val="single" w:sz="8" w:color="0000FF"/>
            </w:tcBorders>
            <w:gridSpan w:val="37"/>
          </w:tcPr>
          <w:p>
            <w:pPr>
              <w:spacing w:after="0" w:line="102" w:lineRule="exact"/>
              <w:rPr>
                <w:rFonts w:ascii="Arial" w:cs="Arial" w:eastAsia="Arial" w:hAnsi="Arial"/>
                <w:sz w:val="11"/>
                <w:szCs w:val="11"/>
                <w:color w:val="0000FF"/>
              </w:rPr>
            </w:pPr>
            <w:hyperlink r:id="rId161">
              <w:r>
                <w:rPr>
                  <w:rFonts w:ascii="Arial" w:cs="Arial" w:eastAsia="Arial" w:hAnsi="Arial"/>
                  <w:sz w:val="11"/>
                  <w:szCs w:val="11"/>
                  <w:color w:val="0000FF"/>
                </w:rPr>
                <w:t>dated as of the Closing Date, by and among</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tcBorders>
            <w:gridSpan w:val="26"/>
          </w:tcPr>
          <w:p>
            <w:pPr>
              <w:spacing w:after="0" w:line="122" w:lineRule="exact"/>
              <w:rPr>
                <w:rFonts w:ascii="Arial" w:cs="Arial" w:eastAsia="Arial" w:hAnsi="Arial"/>
                <w:sz w:val="14"/>
                <w:szCs w:val="14"/>
                <w:color w:val="0000FF"/>
                <w:w w:val="93"/>
              </w:rPr>
            </w:pPr>
            <w:hyperlink r:id="rId161">
              <w:r>
                <w:rPr>
                  <w:rFonts w:ascii="Arial" w:cs="Arial" w:eastAsia="Arial" w:hAnsi="Arial"/>
                  <w:sz w:val="14"/>
                  <w:szCs w:val="14"/>
                  <w:color w:val="0000FF"/>
                  <w:w w:val="93"/>
                </w:rPr>
                <w:t>Energy Transfer LP and certain unitholders</w:t>
              </w:r>
            </w:hyperlink>
          </w:p>
        </w:tc>
        <w:tc>
          <w:tcPr>
            <w:tcW w:w="300" w:type="dxa"/>
            <w:vAlign w:val="bottom"/>
            <w:gridSpan w:val="15"/>
          </w:tcPr>
          <w:p>
            <w:pPr>
              <w:spacing w:after="0" w:line="122" w:lineRule="exact"/>
              <w:rPr>
                <w:rFonts w:ascii="Arial" w:cs="Arial" w:eastAsia="Arial" w:hAnsi="Arial"/>
                <w:sz w:val="14"/>
                <w:szCs w:val="14"/>
                <w:color w:val="0000FF"/>
              </w:rPr>
            </w:pPr>
            <w:hyperlink r:id="rId161">
              <w:r>
                <w:rPr>
                  <w:rFonts w:ascii="Arial" w:cs="Arial" w:eastAsia="Arial" w:hAnsi="Arial"/>
                  <w:sz w:val="14"/>
                  <w:szCs w:val="14"/>
                  <w:color w:val="0000FF"/>
                </w:rPr>
                <w:t>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36"/>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Enable Midstream Partners, LP as set forth on</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gridSpan w:val="38"/>
          </w:tcPr>
          <w:p>
            <w:pPr>
              <w:spacing w:after="0" w:line="115" w:lineRule="exact"/>
              <w:rPr>
                <w:rFonts w:ascii="Arial" w:cs="Arial" w:eastAsia="Arial" w:hAnsi="Arial"/>
                <w:sz w:val="13"/>
                <w:szCs w:val="13"/>
                <w:color w:val="0000FF"/>
              </w:rPr>
            </w:pPr>
            <w:hyperlink r:id="rId161">
              <w:r>
                <w:rPr>
                  <w:rFonts w:ascii="Arial" w:cs="Arial" w:eastAsia="Arial" w:hAnsi="Arial"/>
                  <w:sz w:val="13"/>
                  <w:szCs w:val="13"/>
                  <w:color w:val="0000FF"/>
                </w:rPr>
                <w:t>Schedule I thereto</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bottom w:val="single" w:sz="8" w:color="0000FF"/>
            </w:tcBorders>
            <w:gridSpan w:val="11"/>
          </w:tcPr>
          <w:p>
            <w:pPr>
              <w:spacing w:after="0"/>
              <w:rPr>
                <w:rFonts w:ascii="Arial" w:cs="Arial" w:eastAsia="Arial" w:hAnsi="Arial"/>
                <w:sz w:val="14"/>
                <w:szCs w:val="14"/>
                <w:color w:val="0000FF"/>
                <w:w w:val="92"/>
              </w:rPr>
            </w:pPr>
            <w:hyperlink r:id="rId162">
              <w:r>
                <w:rPr>
                  <w:rFonts w:ascii="Arial" w:cs="Arial" w:eastAsia="Arial" w:hAnsi="Arial"/>
                  <w:sz w:val="14"/>
                  <w:szCs w:val="14"/>
                  <w:color w:val="0000FF"/>
                  <w:w w:val="92"/>
                </w:rPr>
                <w:t>Change in Control Plan</w:t>
              </w:r>
            </w:hyperlink>
          </w:p>
        </w:tc>
        <w:tc>
          <w:tcPr>
            <w:tcW w:w="146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41"/>
          </w:tcPr>
          <w:p>
            <w:pPr>
              <w:spacing w:after="0"/>
              <w:rPr>
                <w:rFonts w:ascii="Arial" w:cs="Arial" w:eastAsia="Arial" w:hAnsi="Arial"/>
                <w:sz w:val="14"/>
                <w:szCs w:val="14"/>
                <w:color w:val="0000FF"/>
              </w:rPr>
            </w:pPr>
            <w:hyperlink r:id="rId163">
              <w:r>
                <w:rPr>
                  <w:rFonts w:ascii="Arial" w:cs="Arial" w:eastAsia="Arial" w:hAnsi="Arial"/>
                  <w:sz w:val="14"/>
                  <w:szCs w:val="14"/>
                  <w:color w:val="0000FF"/>
                </w:rPr>
                <w:t>First Amendment to Exhibit 10.6</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†31.1.1</w:t>
            </w:r>
          </w:p>
        </w:tc>
        <w:tc>
          <w:tcPr>
            <w:tcW w:w="20" w:type="dxa"/>
            <w:vAlign w:val="bottom"/>
          </w:tcPr>
          <w:p>
            <w:pPr>
              <w:spacing w:after="0"/>
              <w:rPr>
                <w:sz w:val="24"/>
                <w:szCs w:val="24"/>
                <w:color w:val="auto"/>
              </w:rPr>
            </w:pPr>
          </w:p>
        </w:tc>
        <w:tc>
          <w:tcPr>
            <w:tcW w:w="2820" w:type="dxa"/>
            <w:vAlign w:val="bottom"/>
            <w:gridSpan w:val="41"/>
          </w:tcPr>
          <w:p>
            <w:pPr>
              <w:spacing w:after="0"/>
              <w:rPr>
                <w:rFonts w:ascii="Arial" w:cs="Arial" w:eastAsia="Arial" w:hAnsi="Arial"/>
                <w:sz w:val="14"/>
                <w:szCs w:val="14"/>
                <w:color w:val="0000FF"/>
              </w:rPr>
            </w:pPr>
            <w:hyperlink w:anchor="page269">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w w:val="98"/>
              </w:rPr>
            </w:pPr>
            <w:hyperlink w:anchor="page269">
              <w:r>
                <w:rPr>
                  <w:rFonts w:ascii="Arial" w:cs="Arial" w:eastAsia="Arial" w:hAnsi="Arial"/>
                  <w:sz w:val="13"/>
                  <w:szCs w:val="13"/>
                  <w:color w:val="0000FF"/>
                  <w:w w:val="98"/>
                </w:rPr>
                <w:t>David J. Lesar</w:t>
              </w:r>
            </w:hyperlink>
          </w:p>
        </w:tc>
        <w:tc>
          <w:tcPr>
            <w:tcW w:w="156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†31.1.2</w:t>
            </w: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rPr>
            </w:pPr>
            <w:hyperlink w:anchor="page270">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w:anchor="page270">
              <w:r>
                <w:rPr>
                  <w:rFonts w:ascii="Arial" w:cs="Arial" w:eastAsia="Arial" w:hAnsi="Arial"/>
                  <w:sz w:val="13"/>
                  <w:szCs w:val="13"/>
                  <w:color w:val="0000FF"/>
                </w:rPr>
                <w:t>Kenneth M. Mercado</w:t>
              </w:r>
            </w:hyperlink>
          </w:p>
        </w:tc>
        <w:tc>
          <w:tcPr>
            <w:tcW w:w="1160" w:type="dxa"/>
            <w:vAlign w:val="bottom"/>
            <w:tcBorders>
              <w:top w:val="single" w:sz="8" w:color="0000FF"/>
            </w:tcBorders>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†31.1.3</w:t>
            </w: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w w:val="97"/>
              </w:rPr>
            </w:pPr>
            <w:hyperlink w:anchor="page271">
              <w:r>
                <w:rPr>
                  <w:rFonts w:ascii="Arial" w:cs="Arial" w:eastAsia="Arial" w:hAnsi="Arial"/>
                  <w:sz w:val="14"/>
                  <w:szCs w:val="14"/>
                  <w:color w:val="0000FF"/>
                  <w:w w:val="97"/>
                </w:rPr>
                <w:t>Rule 13a-14(a)/15d-14(a) Certification of Scott</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w:anchor="page271">
              <w:r>
                <w:rPr>
                  <w:rFonts w:ascii="Arial" w:cs="Arial" w:eastAsia="Arial" w:hAnsi="Arial"/>
                  <w:sz w:val="13"/>
                  <w:szCs w:val="13"/>
                  <w:color w:val="0000FF"/>
                </w:rPr>
                <w:t>E. Doyle</w:t>
              </w:r>
            </w:hyperlink>
          </w:p>
        </w:tc>
        <w:tc>
          <w:tcPr>
            <w:tcW w:w="2240" w:type="dxa"/>
            <w:vAlign w:val="bottom"/>
            <w:tcBorders>
              <w:top w:val="single" w:sz="8" w:color="0000FF"/>
            </w:tcBorders>
            <w:gridSpan w:val="37"/>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†31.2.1</w:t>
            </w: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rPr>
            </w:pPr>
            <w:hyperlink w:anchor="page272">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2"/>
              </w:rPr>
            </w:pPr>
            <w:hyperlink w:anchor="page272">
              <w:r>
                <w:rPr>
                  <w:rFonts w:ascii="Arial" w:cs="Arial" w:eastAsia="Arial" w:hAnsi="Arial"/>
                  <w:sz w:val="13"/>
                  <w:szCs w:val="13"/>
                  <w:color w:val="0000FF"/>
                  <w:w w:val="92"/>
                </w:rPr>
                <w:t>Jason P. Wells</w:t>
              </w:r>
            </w:hyperlink>
          </w:p>
        </w:tc>
        <w:tc>
          <w:tcPr>
            <w:tcW w:w="158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†31.2.2</w:t>
            </w: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rPr>
            </w:pPr>
            <w:hyperlink w:anchor="page273">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2"/>
              </w:rPr>
            </w:pPr>
            <w:hyperlink w:anchor="page273">
              <w:r>
                <w:rPr>
                  <w:rFonts w:ascii="Arial" w:cs="Arial" w:eastAsia="Arial" w:hAnsi="Arial"/>
                  <w:sz w:val="13"/>
                  <w:szCs w:val="13"/>
                  <w:color w:val="0000FF"/>
                  <w:w w:val="92"/>
                </w:rPr>
                <w:t>Jason P. Wells</w:t>
              </w:r>
            </w:hyperlink>
          </w:p>
        </w:tc>
        <w:tc>
          <w:tcPr>
            <w:tcW w:w="158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†31.2.3</w:t>
            </w: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rPr>
            </w:pPr>
            <w:hyperlink w:anchor="page274">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2"/>
              </w:rPr>
            </w:pPr>
            <w:hyperlink w:anchor="page274">
              <w:r>
                <w:rPr>
                  <w:rFonts w:ascii="Arial" w:cs="Arial" w:eastAsia="Arial" w:hAnsi="Arial"/>
                  <w:sz w:val="13"/>
                  <w:szCs w:val="13"/>
                  <w:color w:val="0000FF"/>
                  <w:w w:val="92"/>
                </w:rPr>
                <w:t>Jason P. Wells</w:t>
              </w:r>
            </w:hyperlink>
          </w:p>
        </w:tc>
        <w:tc>
          <w:tcPr>
            <w:tcW w:w="158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†32.1.1</w:t>
            </w:r>
          </w:p>
        </w:tc>
        <w:tc>
          <w:tcPr>
            <w:tcW w:w="20" w:type="dxa"/>
            <w:vAlign w:val="bottom"/>
          </w:tcPr>
          <w:p>
            <w:pPr>
              <w:spacing w:after="0"/>
              <w:rPr>
                <w:sz w:val="14"/>
                <w:szCs w:val="14"/>
                <w:color w:val="auto"/>
              </w:rPr>
            </w:pPr>
          </w:p>
        </w:tc>
        <w:tc>
          <w:tcPr>
            <w:tcW w:w="2620" w:type="dxa"/>
            <w:vAlign w:val="bottom"/>
            <w:tcBorders>
              <w:bottom w:val="single" w:sz="8" w:color="0000FF"/>
            </w:tcBorders>
            <w:gridSpan w:val="31"/>
          </w:tcPr>
          <w:p>
            <w:pPr>
              <w:spacing w:after="0"/>
              <w:rPr>
                <w:rFonts w:ascii="Arial" w:cs="Arial" w:eastAsia="Arial" w:hAnsi="Arial"/>
                <w:sz w:val="14"/>
                <w:szCs w:val="14"/>
                <w:color w:val="0000FF"/>
                <w:w w:val="96"/>
              </w:rPr>
            </w:pPr>
            <w:hyperlink w:anchor="page275">
              <w:r>
                <w:rPr>
                  <w:rFonts w:ascii="Arial" w:cs="Arial" w:eastAsia="Arial" w:hAnsi="Arial"/>
                  <w:sz w:val="14"/>
                  <w:szCs w:val="14"/>
                  <w:color w:val="0000FF"/>
                  <w:w w:val="96"/>
                </w:rPr>
                <w:t>Section 1350 Certification of David J. Lesar</w:t>
              </w:r>
            </w:hyperlink>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†32.1.2</w:t>
            </w:r>
          </w:p>
        </w:tc>
        <w:tc>
          <w:tcPr>
            <w:tcW w:w="20" w:type="dxa"/>
            <w:vAlign w:val="bottom"/>
          </w:tcPr>
          <w:p>
            <w:pPr>
              <w:spacing w:after="0"/>
              <w:rPr>
                <w:sz w:val="14"/>
                <w:szCs w:val="14"/>
                <w:color w:val="auto"/>
              </w:rPr>
            </w:pPr>
          </w:p>
        </w:tc>
        <w:tc>
          <w:tcPr>
            <w:tcW w:w="2820" w:type="dxa"/>
            <w:vAlign w:val="bottom"/>
            <w:gridSpan w:val="41"/>
          </w:tcPr>
          <w:p>
            <w:pPr>
              <w:spacing w:after="0"/>
              <w:rPr>
                <w:rFonts w:ascii="Arial" w:cs="Arial" w:eastAsia="Arial" w:hAnsi="Arial"/>
                <w:sz w:val="14"/>
                <w:szCs w:val="14"/>
                <w:color w:val="0000FF"/>
              </w:rPr>
            </w:pPr>
            <w:hyperlink w:anchor="page276">
              <w:r>
                <w:rPr>
                  <w:rFonts w:ascii="Arial" w:cs="Arial" w:eastAsia="Arial" w:hAnsi="Arial"/>
                  <w:sz w:val="14"/>
                  <w:szCs w:val="14"/>
                  <w:color w:val="0000FF"/>
                </w:rPr>
                <w:t>Section 1350 Certification of Kenneth M.</w:t>
              </w:r>
            </w:hyperlink>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98"/>
              </w:rPr>
            </w:pPr>
            <w:hyperlink w:anchor="page276">
              <w:r>
                <w:rPr>
                  <w:rFonts w:ascii="Arial" w:cs="Arial" w:eastAsia="Arial" w:hAnsi="Arial"/>
                  <w:sz w:val="13"/>
                  <w:szCs w:val="13"/>
                  <w:color w:val="0000FF"/>
                  <w:w w:val="98"/>
                </w:rPr>
                <w:t>Mercado</w:t>
              </w:r>
            </w:hyperlink>
          </w:p>
        </w:tc>
        <w:tc>
          <w:tcPr>
            <w:tcW w:w="1920" w:type="dxa"/>
            <w:vAlign w:val="bottom"/>
            <w:tcBorders>
              <w:top w:val="single" w:sz="8" w:color="0000FF"/>
            </w:tcBorders>
            <w:gridSpan w:val="21"/>
          </w:tcPr>
          <w:p>
            <w:pPr>
              <w:spacing w:after="0"/>
              <w:rPr>
                <w:sz w:val="10"/>
                <w:szCs w:val="10"/>
                <w:color w:val="auto"/>
              </w:rPr>
            </w:pPr>
          </w:p>
        </w:tc>
        <w:tc>
          <w:tcPr>
            <w:tcW w:w="120" w:type="dxa"/>
            <w:vAlign w:val="bottom"/>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†32.1.3</w:t>
            </w:r>
          </w:p>
        </w:tc>
        <w:tc>
          <w:tcPr>
            <w:tcW w:w="20" w:type="dxa"/>
            <w:vAlign w:val="bottom"/>
          </w:tcPr>
          <w:p>
            <w:pPr>
              <w:spacing w:after="0"/>
              <w:rPr>
                <w:sz w:val="14"/>
                <w:szCs w:val="14"/>
                <w:color w:val="auto"/>
              </w:rPr>
            </w:pPr>
          </w:p>
        </w:tc>
        <w:tc>
          <w:tcPr>
            <w:tcW w:w="2620" w:type="dxa"/>
            <w:vAlign w:val="bottom"/>
            <w:tcBorders>
              <w:bottom w:val="single" w:sz="8" w:color="0000FF"/>
            </w:tcBorders>
            <w:gridSpan w:val="31"/>
          </w:tcPr>
          <w:p>
            <w:pPr>
              <w:spacing w:after="0"/>
              <w:rPr>
                <w:rFonts w:ascii="Arial" w:cs="Arial" w:eastAsia="Arial" w:hAnsi="Arial"/>
                <w:sz w:val="14"/>
                <w:szCs w:val="14"/>
                <w:color w:val="0000FF"/>
                <w:w w:val="97"/>
              </w:rPr>
            </w:pPr>
            <w:hyperlink w:anchor="page277">
              <w:r>
                <w:rPr>
                  <w:rFonts w:ascii="Arial" w:cs="Arial" w:eastAsia="Arial" w:hAnsi="Arial"/>
                  <w:sz w:val="14"/>
                  <w:szCs w:val="14"/>
                  <w:color w:val="0000FF"/>
                  <w:w w:val="97"/>
                </w:rPr>
                <w:t>Section 1350 Certification of Scott E. Doyle</w:t>
              </w:r>
            </w:hyperlink>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†32.2.1</w:t>
            </w:r>
          </w:p>
        </w:tc>
        <w:tc>
          <w:tcPr>
            <w:tcW w:w="20" w:type="dxa"/>
            <w:vAlign w:val="bottom"/>
          </w:tcPr>
          <w:p>
            <w:pPr>
              <w:spacing w:after="0"/>
              <w:rPr>
                <w:sz w:val="14"/>
                <w:szCs w:val="14"/>
                <w:color w:val="auto"/>
              </w:rPr>
            </w:pPr>
          </w:p>
        </w:tc>
        <w:tc>
          <w:tcPr>
            <w:tcW w:w="2560" w:type="dxa"/>
            <w:vAlign w:val="bottom"/>
            <w:tcBorders>
              <w:bottom w:val="single" w:sz="8" w:color="0000FF"/>
            </w:tcBorders>
            <w:gridSpan w:val="28"/>
          </w:tcPr>
          <w:p>
            <w:pPr>
              <w:spacing w:after="0"/>
              <w:rPr>
                <w:rFonts w:ascii="Arial" w:cs="Arial" w:eastAsia="Arial" w:hAnsi="Arial"/>
                <w:sz w:val="14"/>
                <w:szCs w:val="14"/>
                <w:color w:val="0000FF"/>
                <w:w w:val="93"/>
              </w:rPr>
            </w:pPr>
            <w:hyperlink w:anchor="page278">
              <w:r>
                <w:rPr>
                  <w:rFonts w:ascii="Arial" w:cs="Arial" w:eastAsia="Arial" w:hAnsi="Arial"/>
                  <w:sz w:val="14"/>
                  <w:szCs w:val="14"/>
                  <w:color w:val="0000FF"/>
                  <w:w w:val="93"/>
                </w:rPr>
                <w:t>Section 1350 Certification of Jason P. Wells</w:t>
              </w:r>
            </w:hyperlink>
          </w:p>
        </w:tc>
        <w:tc>
          <w:tcPr>
            <w:tcW w:w="2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†32.2.2</w:t>
            </w:r>
          </w:p>
        </w:tc>
        <w:tc>
          <w:tcPr>
            <w:tcW w:w="20" w:type="dxa"/>
            <w:vAlign w:val="bottom"/>
          </w:tcPr>
          <w:p>
            <w:pPr>
              <w:spacing w:after="0"/>
              <w:rPr>
                <w:sz w:val="14"/>
                <w:szCs w:val="14"/>
                <w:color w:val="auto"/>
              </w:rPr>
            </w:pPr>
          </w:p>
        </w:tc>
        <w:tc>
          <w:tcPr>
            <w:tcW w:w="2560" w:type="dxa"/>
            <w:vAlign w:val="bottom"/>
            <w:tcBorders>
              <w:bottom w:val="single" w:sz="8" w:color="0000FF"/>
            </w:tcBorders>
            <w:gridSpan w:val="28"/>
          </w:tcPr>
          <w:p>
            <w:pPr>
              <w:spacing w:after="0"/>
              <w:rPr>
                <w:rFonts w:ascii="Arial" w:cs="Arial" w:eastAsia="Arial" w:hAnsi="Arial"/>
                <w:sz w:val="14"/>
                <w:szCs w:val="14"/>
                <w:color w:val="0000FF"/>
                <w:w w:val="93"/>
              </w:rPr>
            </w:pPr>
            <w:hyperlink w:anchor="page279">
              <w:r>
                <w:rPr>
                  <w:rFonts w:ascii="Arial" w:cs="Arial" w:eastAsia="Arial" w:hAnsi="Arial"/>
                  <w:sz w:val="14"/>
                  <w:szCs w:val="14"/>
                  <w:color w:val="0000FF"/>
                  <w:w w:val="93"/>
                </w:rPr>
                <w:t>Section 1350 Certification of Jason P. Wells</w:t>
              </w:r>
            </w:hyperlink>
          </w:p>
        </w:tc>
        <w:tc>
          <w:tcPr>
            <w:tcW w:w="2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†32.2.3</w:t>
            </w:r>
          </w:p>
        </w:tc>
        <w:tc>
          <w:tcPr>
            <w:tcW w:w="20" w:type="dxa"/>
            <w:vAlign w:val="bottom"/>
          </w:tcPr>
          <w:p>
            <w:pPr>
              <w:spacing w:after="0"/>
              <w:rPr>
                <w:sz w:val="14"/>
                <w:szCs w:val="14"/>
                <w:color w:val="auto"/>
              </w:rPr>
            </w:pPr>
          </w:p>
        </w:tc>
        <w:tc>
          <w:tcPr>
            <w:tcW w:w="2560" w:type="dxa"/>
            <w:vAlign w:val="bottom"/>
            <w:tcBorders>
              <w:bottom w:val="single" w:sz="8" w:color="0000FF"/>
            </w:tcBorders>
            <w:gridSpan w:val="28"/>
          </w:tcPr>
          <w:p>
            <w:pPr>
              <w:spacing w:after="0"/>
              <w:rPr>
                <w:rFonts w:ascii="Arial" w:cs="Arial" w:eastAsia="Arial" w:hAnsi="Arial"/>
                <w:sz w:val="14"/>
                <w:szCs w:val="14"/>
                <w:color w:val="0000FF"/>
                <w:w w:val="93"/>
              </w:rPr>
            </w:pPr>
            <w:hyperlink w:anchor="page280">
              <w:r>
                <w:rPr>
                  <w:rFonts w:ascii="Arial" w:cs="Arial" w:eastAsia="Arial" w:hAnsi="Arial"/>
                  <w:sz w:val="14"/>
                  <w:szCs w:val="14"/>
                  <w:color w:val="0000FF"/>
                  <w:w w:val="93"/>
                </w:rPr>
                <w:t>Section 1350 Certification of Jason P. Wells</w:t>
              </w:r>
            </w:hyperlink>
          </w:p>
        </w:tc>
        <w:tc>
          <w:tcPr>
            <w:tcW w:w="2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720" w:type="dxa"/>
            <w:vAlign w:val="bottom"/>
            <w:gridSpan w:val="2"/>
          </w:tcPr>
          <w:p>
            <w:pPr>
              <w:ind w:left="48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Houston Electric’s Form</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1"/>
              </w:rPr>
              <w:t>1-3187</w:t>
            </w:r>
          </w:p>
        </w:tc>
        <w:tc>
          <w:tcPr>
            <w:tcW w:w="120" w:type="dxa"/>
            <w:vAlign w:val="bottom"/>
          </w:tcPr>
          <w:p>
            <w:pPr>
              <w:spacing w:after="0"/>
              <w:rPr>
                <w:sz w:val="11"/>
                <w:szCs w:val="11"/>
                <w:color w:val="auto"/>
              </w:rPr>
            </w:pPr>
          </w:p>
        </w:tc>
        <w:tc>
          <w:tcPr>
            <w:tcW w:w="9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rPr>
              <w:t>4(j)(1)</w:t>
            </w:r>
          </w:p>
        </w:tc>
        <w:tc>
          <w:tcPr>
            <w:tcW w:w="1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10-Q for the quarter ended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September 30, 2002</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Houston Electric’s Form 8-</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K dated March 8, 2021</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10(q)(12)</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10-K for the year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ended December 31, 2020</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10(q)(13)</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10-K for the year</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ended December 31, 2020</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Form 8-K of CenterPoint</w:t>
            </w: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Energy, Inc. dated May 6,</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16, 2021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February</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16, 2021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Form 8-K dated April 27,</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CenterPoint Energy’s</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1-31447</w:t>
            </w: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10(t)(2)</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0"/>
        <w:spacing w:after="0" w:line="201" w:lineRule="auto"/>
        <w:rPr>
          <w:sz w:val="20"/>
          <w:szCs w:val="20"/>
          <w:color w:val="auto"/>
        </w:rPr>
      </w:pPr>
      <w:r>
        <w:rPr>
          <w:rFonts w:ascii="Arial" w:cs="Arial" w:eastAsia="Arial" w:hAnsi="Arial"/>
          <w:sz w:val="14"/>
          <w:szCs w:val="14"/>
          <w:color w:val="auto"/>
        </w:rPr>
        <w:t>Form 10-K for the year</w:t>
      </w:r>
    </w:p>
    <w:p>
      <w:pPr>
        <w:ind w:left="20"/>
        <w:spacing w:after="0"/>
        <w:rPr>
          <w:sz w:val="20"/>
          <w:szCs w:val="20"/>
          <w:color w:val="auto"/>
        </w:rPr>
      </w:pPr>
      <w:r>
        <w:rPr>
          <w:rFonts w:ascii="Arial" w:cs="Arial" w:eastAsia="Arial" w:hAnsi="Arial"/>
          <w:sz w:val="14"/>
          <w:szCs w:val="14"/>
          <w:color w:val="auto"/>
        </w:rPr>
        <w:t>ended December 31, 2020</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x</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x</w:t>
      </w:r>
    </w:p>
    <w:p>
      <w:pPr>
        <w:spacing w:after="0" w:line="163"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x</w:t>
      </w:r>
    </w:p>
    <w:p>
      <w:pPr>
        <w:spacing w:after="0" w:line="163"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x</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x</w:t>
      </w:r>
    </w:p>
    <w:p>
      <w:pPr>
        <w:spacing w:after="0" w:line="163"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x</w:t>
      </w:r>
    </w:p>
    <w:p>
      <w:pPr>
        <w:spacing w:after="0" w:line="163"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x</w:t>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x</w:t>
      </w:r>
    </w:p>
    <w:p>
      <w:pPr>
        <w:spacing w:after="0" w:line="163"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x</w:t>
      </w:r>
    </w:p>
    <w:p>
      <w:pPr>
        <w:spacing w:after="0" w:line="28"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x</w:t>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x</w:t>
      </w:r>
    </w:p>
    <w:p>
      <w:pPr>
        <w:spacing w:after="0" w:line="28"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x</w:t>
      </w:r>
    </w:p>
    <w:p>
      <w:pPr>
        <w:spacing w:after="0" w:line="206" w:lineRule="exact"/>
        <w:rPr>
          <w:sz w:val="20"/>
          <w:szCs w:val="20"/>
          <w:color w:val="auto"/>
        </w:rPr>
      </w:pPr>
    </w:p>
    <w:p>
      <w:pPr>
        <w:sectPr>
          <w:pgSz w:w="11900" w:h="16838" w:orient="portrait"/>
          <w:cols w:equalWidth="0" w:num="2">
            <w:col w:w="3820" w:space="120"/>
            <w:col w:w="7260"/>
          </w:cols>
          <w:pgMar w:left="320" w:top="125" w:right="379" w:bottom="1440" w:gutter="0" w:footer="0" w:header="0"/>
          <w:type w:val="continuous"/>
        </w:sect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8" w:name="page89"/>
    <w:bookmarkEnd w:id="8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Report or Registration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SEC File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80" w:type="dxa"/>
            <w:vAlign w:val="bottom"/>
            <w:gridSpan w:val="2"/>
            <w:vMerge w:val="continue"/>
          </w:tcPr>
          <w:p>
            <w:pPr>
              <w:spacing w:after="0"/>
              <w:rPr>
                <w:sz w:val="11"/>
                <w:szCs w:val="11"/>
                <w:color w:val="auto"/>
              </w:rPr>
            </w:pPr>
          </w:p>
        </w:tc>
        <w:tc>
          <w:tcPr>
            <w:tcW w:w="286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Registration</w:t>
            </w:r>
          </w:p>
        </w:tc>
        <w:tc>
          <w:tcPr>
            <w:tcW w:w="10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8"/>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860" w:type="dxa"/>
            <w:vAlign w:val="bottom"/>
            <w:gridSpan w:val="2"/>
            <w:vMerge w:val="continue"/>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Statement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5"/>
              </w:rPr>
              <w:t>†101.INS</w:t>
            </w:r>
          </w:p>
        </w:tc>
        <w:tc>
          <w:tcPr>
            <w:tcW w:w="120" w:type="dxa"/>
            <w:vAlign w:val="bottom"/>
          </w:tcPr>
          <w:p>
            <w:pPr>
              <w:spacing w:after="0"/>
              <w:rPr>
                <w:sz w:val="11"/>
                <w:szCs w:val="11"/>
                <w:color w:val="auto"/>
              </w:rPr>
            </w:pPr>
          </w:p>
        </w:tc>
        <w:tc>
          <w:tcPr>
            <w:tcW w:w="274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w w:val="94"/>
              </w:rPr>
              <w:t>Inline XBRL Instance Document - the instance</w:t>
            </w:r>
          </w:p>
        </w:tc>
        <w:tc>
          <w:tcPr>
            <w:tcW w:w="1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5"/>
              </w:rPr>
              <w:t>x</w:t>
            </w:r>
          </w:p>
        </w:tc>
        <w:tc>
          <w:tcPr>
            <w:tcW w:w="12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document does not appear in the Interactive</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Data File because its XBRL tags are</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embedded within the Inline XBRL document</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2"/>
              </w:rPr>
              <w:t>†101.SCH</w:t>
            </w:r>
          </w:p>
        </w:tc>
        <w:tc>
          <w:tcPr>
            <w:tcW w:w="28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Inline XBRL Taxonomy Extension Schema</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Document</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9"/>
              </w:rPr>
              <w:t>†101.CAL</w:t>
            </w:r>
          </w:p>
        </w:tc>
        <w:tc>
          <w:tcPr>
            <w:tcW w:w="28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Inline XBRL Taxonomy Extension Calculation</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5"/>
              </w:rPr>
              <w:t>†101.DEF</w:t>
            </w:r>
          </w:p>
        </w:tc>
        <w:tc>
          <w:tcPr>
            <w:tcW w:w="28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Inline XBRL Taxonomy Extension Definition</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rPr>
              <w:t>†101.LAB</w:t>
            </w:r>
          </w:p>
        </w:tc>
        <w:tc>
          <w:tcPr>
            <w:tcW w:w="28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Inline XBRL Taxonomy Extension Labels</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0"/>
              </w:rPr>
              <w:t>†101.PRE</w:t>
            </w:r>
          </w:p>
        </w:tc>
        <w:tc>
          <w:tcPr>
            <w:tcW w:w="28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Inline XBRL Taxonomy Extension</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Presentation Linkbase Document</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6"/>
              </w:rPr>
              <w:t>†104</w:t>
            </w:r>
          </w:p>
        </w:tc>
        <w:tc>
          <w:tcPr>
            <w:tcW w:w="28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7"/>
              </w:rPr>
              <w:t>Cover Page Interactive Data File (formatted as</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4"/>
                <w:szCs w:val="14"/>
                <w:color w:val="auto"/>
              </w:rPr>
              <w:t>Inline XBRL and contained in Exhibit 101)</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740" w:right="480" w:hanging="221"/>
        <w:spacing w:after="0" w:line="224"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9" w:name="page90"/>
    <w:bookmarkEnd w:id="8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328"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b w:val="1"/>
                <w:bCs w:val="1"/>
                <w:color w:val="auto"/>
              </w:rPr>
              <w:t>CENTERPOINT ENERGY, INC.</w:t>
            </w:r>
          </w:p>
        </w:tc>
      </w:tr>
      <w:tr>
        <w:trPr>
          <w:trHeight w:val="229"/>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b w:val="1"/>
                <w:bCs w:val="1"/>
                <w:color w:val="auto"/>
              </w:rPr>
              <w:t>CENTERPOINT ENERGY HOUSTON ELECTRIC, LLC</w:t>
            </w:r>
          </w:p>
        </w:tc>
      </w:tr>
      <w:tr>
        <w:trPr>
          <w:trHeight w:val="234"/>
        </w:trPr>
        <w:tc>
          <w:tcPr>
            <w:tcW w:w="28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b w:val="1"/>
                <w:bCs w:val="1"/>
                <w:color w:val="auto"/>
                <w:w w:val="98"/>
              </w:rPr>
              <w:t>CENTERPOINT ENERGY RESOURCES CORP.</w:t>
            </w:r>
          </w:p>
        </w:tc>
      </w:tr>
      <w:tr>
        <w:trPr>
          <w:trHeight w:val="662"/>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Kristie L. Colvin</w:t>
            </w:r>
          </w:p>
        </w:tc>
      </w:tr>
      <w:tr>
        <w:trPr>
          <w:trHeight w:val="222"/>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7"/>
              </w:rPr>
              <w:t>Kristie L. Colvin</w:t>
            </w:r>
          </w:p>
        </w:tc>
      </w:tr>
      <w:tr>
        <w:trPr>
          <w:trHeight w:val="230"/>
        </w:trPr>
        <w:tc>
          <w:tcPr>
            <w:tcW w:w="28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Accounting Officer</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ASSET PURCHASE AGREEMENT</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by and between</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CENTERPOINT ENERGY RESOURCES CORP.,</w:t>
      </w: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Seller</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SOUTHERN COL MIDCO, LLC,</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Buyer</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 April 29, 2021</w:t>
      </w:r>
    </w:p>
    <w:p>
      <w:pPr>
        <w:sectPr>
          <w:pgSz w:w="11900" w:h="16838" w:orient="portrait"/>
          <w:cols w:equalWidth="0" w:num="1">
            <w:col w:w="10120"/>
          </w:cols>
          <w:pgMar w:left="1440" w:top="126" w:right="3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ARTICLE I</w:t>
            </w:r>
          </w:p>
        </w:tc>
        <w:tc>
          <w:tcPr>
            <w:tcW w:w="6800" w:type="dxa"/>
            <w:vAlign w:val="bottom"/>
          </w:tcPr>
          <w:p>
            <w:pPr>
              <w:spacing w:after="0"/>
              <w:rPr>
                <w:sz w:val="20"/>
                <w:szCs w:val="20"/>
                <w:color w:val="auto"/>
              </w:rPr>
            </w:pPr>
            <w:r>
              <w:rPr>
                <w:rFonts w:ascii="Arial" w:cs="Arial" w:eastAsia="Arial" w:hAnsi="Arial"/>
                <w:sz w:val="22"/>
                <w:szCs w:val="22"/>
                <w:color w:val="auto"/>
              </w:rPr>
              <w:t>DEFINITIONS</w:t>
            </w:r>
          </w:p>
        </w:tc>
        <w:tc>
          <w:tcPr>
            <w:tcW w:w="19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1.1</w:t>
            </w:r>
          </w:p>
        </w:tc>
        <w:tc>
          <w:tcPr>
            <w:tcW w:w="6800" w:type="dxa"/>
            <w:vAlign w:val="bottom"/>
          </w:tcPr>
          <w:p>
            <w:pPr>
              <w:ind w:left="220"/>
              <w:spacing w:after="0"/>
              <w:rPr>
                <w:sz w:val="20"/>
                <w:szCs w:val="20"/>
                <w:color w:val="auto"/>
              </w:rPr>
            </w:pPr>
            <w:r>
              <w:rPr>
                <w:rFonts w:ascii="Arial" w:cs="Arial" w:eastAsia="Arial" w:hAnsi="Arial"/>
                <w:sz w:val="22"/>
                <w:szCs w:val="22"/>
                <w:color w:val="auto"/>
              </w:rPr>
              <w:t>Definitions</w:t>
            </w:r>
          </w:p>
        </w:tc>
        <w:tc>
          <w:tcPr>
            <w:tcW w:w="19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8660" w:type="dxa"/>
            <w:vAlign w:val="bottom"/>
            <w:gridSpan w:val="2"/>
          </w:tcPr>
          <w:p>
            <w:pPr>
              <w:ind w:left="860"/>
              <w:spacing w:after="0"/>
              <w:rPr>
                <w:sz w:val="20"/>
                <w:szCs w:val="20"/>
                <w:color w:val="auto"/>
              </w:rPr>
            </w:pPr>
            <w:r>
              <w:rPr>
                <w:rFonts w:ascii="Arial" w:cs="Arial" w:eastAsia="Arial" w:hAnsi="Arial"/>
                <w:sz w:val="22"/>
                <w:szCs w:val="22"/>
                <w:color w:val="auto"/>
              </w:rPr>
              <w:t>Section 1.2   Other Interpretive Matters</w:t>
            </w:r>
          </w:p>
        </w:tc>
        <w:tc>
          <w:tcPr>
            <w:tcW w:w="19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1"/>
        </w:trPr>
        <w:tc>
          <w:tcPr>
            <w:tcW w:w="1860" w:type="dxa"/>
            <w:vAlign w:val="bottom"/>
          </w:tcPr>
          <w:p>
            <w:pPr>
              <w:spacing w:after="0"/>
              <w:rPr>
                <w:sz w:val="20"/>
                <w:szCs w:val="20"/>
                <w:color w:val="auto"/>
              </w:rPr>
            </w:pPr>
            <w:r>
              <w:rPr>
                <w:rFonts w:ascii="Arial" w:cs="Arial" w:eastAsia="Arial" w:hAnsi="Arial"/>
                <w:sz w:val="22"/>
                <w:szCs w:val="22"/>
                <w:color w:val="auto"/>
              </w:rPr>
              <w:t>ARTICLE II</w:t>
            </w:r>
          </w:p>
        </w:tc>
        <w:tc>
          <w:tcPr>
            <w:tcW w:w="6800" w:type="dxa"/>
            <w:vAlign w:val="bottom"/>
          </w:tcPr>
          <w:p>
            <w:pPr>
              <w:spacing w:after="0"/>
              <w:rPr>
                <w:sz w:val="20"/>
                <w:szCs w:val="20"/>
                <w:color w:val="auto"/>
              </w:rPr>
            </w:pPr>
            <w:r>
              <w:rPr>
                <w:rFonts w:ascii="Arial" w:cs="Arial" w:eastAsia="Arial" w:hAnsi="Arial"/>
                <w:sz w:val="22"/>
                <w:szCs w:val="22"/>
                <w:color w:val="auto"/>
              </w:rPr>
              <w:t>PURCHASE AND SALE</w:t>
            </w:r>
          </w:p>
        </w:tc>
        <w:tc>
          <w:tcPr>
            <w:tcW w:w="1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2.1</w:t>
            </w:r>
          </w:p>
        </w:tc>
        <w:tc>
          <w:tcPr>
            <w:tcW w:w="6800" w:type="dxa"/>
            <w:vAlign w:val="bottom"/>
          </w:tcPr>
          <w:p>
            <w:pPr>
              <w:ind w:left="220"/>
              <w:spacing w:after="0"/>
              <w:rPr>
                <w:sz w:val="20"/>
                <w:szCs w:val="20"/>
                <w:color w:val="auto"/>
              </w:rPr>
            </w:pPr>
            <w:r>
              <w:rPr>
                <w:rFonts w:ascii="Arial" w:cs="Arial" w:eastAsia="Arial" w:hAnsi="Arial"/>
                <w:sz w:val="22"/>
                <w:szCs w:val="22"/>
                <w:color w:val="auto"/>
              </w:rPr>
              <w:t>Purchased Assets</w:t>
            </w:r>
          </w:p>
        </w:tc>
        <w:tc>
          <w:tcPr>
            <w:tcW w:w="1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2.2</w:t>
            </w:r>
          </w:p>
        </w:tc>
        <w:tc>
          <w:tcPr>
            <w:tcW w:w="6800" w:type="dxa"/>
            <w:vAlign w:val="bottom"/>
          </w:tcPr>
          <w:p>
            <w:pPr>
              <w:ind w:left="220"/>
              <w:spacing w:after="0"/>
              <w:rPr>
                <w:sz w:val="20"/>
                <w:szCs w:val="20"/>
                <w:color w:val="auto"/>
              </w:rPr>
            </w:pPr>
            <w:r>
              <w:rPr>
                <w:rFonts w:ascii="Arial" w:cs="Arial" w:eastAsia="Arial" w:hAnsi="Arial"/>
                <w:sz w:val="22"/>
                <w:szCs w:val="22"/>
                <w:color w:val="auto"/>
              </w:rPr>
              <w:t>Excluded Assets</w:t>
            </w:r>
          </w:p>
        </w:tc>
        <w:tc>
          <w:tcPr>
            <w:tcW w:w="19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2.3</w:t>
            </w:r>
          </w:p>
        </w:tc>
        <w:tc>
          <w:tcPr>
            <w:tcW w:w="6800" w:type="dxa"/>
            <w:vAlign w:val="bottom"/>
          </w:tcPr>
          <w:p>
            <w:pPr>
              <w:ind w:left="220"/>
              <w:spacing w:after="0"/>
              <w:rPr>
                <w:sz w:val="20"/>
                <w:szCs w:val="20"/>
                <w:color w:val="auto"/>
              </w:rPr>
            </w:pPr>
            <w:r>
              <w:rPr>
                <w:rFonts w:ascii="Arial" w:cs="Arial" w:eastAsia="Arial" w:hAnsi="Arial"/>
                <w:sz w:val="22"/>
                <w:szCs w:val="22"/>
                <w:color w:val="auto"/>
              </w:rPr>
              <w:t>Assumed Obligations</w:t>
            </w:r>
          </w:p>
        </w:tc>
        <w:tc>
          <w:tcPr>
            <w:tcW w:w="19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2.4</w:t>
            </w:r>
          </w:p>
        </w:tc>
        <w:tc>
          <w:tcPr>
            <w:tcW w:w="6800" w:type="dxa"/>
            <w:vAlign w:val="bottom"/>
          </w:tcPr>
          <w:p>
            <w:pPr>
              <w:ind w:left="220"/>
              <w:spacing w:after="0"/>
              <w:rPr>
                <w:sz w:val="20"/>
                <w:szCs w:val="20"/>
                <w:color w:val="auto"/>
              </w:rPr>
            </w:pPr>
            <w:r>
              <w:rPr>
                <w:rFonts w:ascii="Arial" w:cs="Arial" w:eastAsia="Arial" w:hAnsi="Arial"/>
                <w:sz w:val="22"/>
                <w:szCs w:val="22"/>
                <w:color w:val="auto"/>
              </w:rPr>
              <w:t>Excluded Liabilities</w:t>
            </w:r>
          </w:p>
        </w:tc>
        <w:tc>
          <w:tcPr>
            <w:tcW w:w="19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1"/>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2.5</w:t>
            </w:r>
          </w:p>
        </w:tc>
        <w:tc>
          <w:tcPr>
            <w:tcW w:w="6800" w:type="dxa"/>
            <w:vAlign w:val="bottom"/>
          </w:tcPr>
          <w:p>
            <w:pPr>
              <w:ind w:left="220"/>
              <w:spacing w:after="0"/>
              <w:rPr>
                <w:sz w:val="20"/>
                <w:szCs w:val="20"/>
                <w:color w:val="auto"/>
              </w:rPr>
            </w:pPr>
            <w:r>
              <w:rPr>
                <w:rFonts w:ascii="Arial" w:cs="Arial" w:eastAsia="Arial" w:hAnsi="Arial"/>
                <w:sz w:val="22"/>
                <w:szCs w:val="22"/>
                <w:color w:val="auto"/>
              </w:rPr>
              <w:t>Intercompany Accounts</w:t>
            </w:r>
          </w:p>
        </w:tc>
        <w:tc>
          <w:tcPr>
            <w:tcW w:w="19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860" w:type="dxa"/>
            <w:vAlign w:val="bottom"/>
          </w:tcPr>
          <w:p>
            <w:pPr>
              <w:spacing w:after="0"/>
              <w:rPr>
                <w:sz w:val="20"/>
                <w:szCs w:val="20"/>
                <w:color w:val="auto"/>
              </w:rPr>
            </w:pPr>
            <w:r>
              <w:rPr>
                <w:rFonts w:ascii="Arial" w:cs="Arial" w:eastAsia="Arial" w:hAnsi="Arial"/>
                <w:sz w:val="22"/>
                <w:szCs w:val="22"/>
                <w:color w:val="auto"/>
              </w:rPr>
              <w:t>ARTICLE III</w:t>
            </w:r>
          </w:p>
        </w:tc>
        <w:tc>
          <w:tcPr>
            <w:tcW w:w="6800" w:type="dxa"/>
            <w:vAlign w:val="bottom"/>
          </w:tcPr>
          <w:p>
            <w:pPr>
              <w:spacing w:after="0"/>
              <w:rPr>
                <w:sz w:val="20"/>
                <w:szCs w:val="20"/>
                <w:color w:val="auto"/>
              </w:rPr>
            </w:pPr>
            <w:r>
              <w:rPr>
                <w:rFonts w:ascii="Arial" w:cs="Arial" w:eastAsia="Arial" w:hAnsi="Arial"/>
                <w:sz w:val="22"/>
                <w:szCs w:val="22"/>
                <w:color w:val="auto"/>
              </w:rPr>
              <w:t>PURCHASE PRICE</w:t>
            </w:r>
          </w:p>
        </w:tc>
        <w:tc>
          <w:tcPr>
            <w:tcW w:w="19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3.1</w:t>
            </w:r>
          </w:p>
        </w:tc>
        <w:tc>
          <w:tcPr>
            <w:tcW w:w="6800" w:type="dxa"/>
            <w:vAlign w:val="bottom"/>
          </w:tcPr>
          <w:p>
            <w:pPr>
              <w:ind w:left="220"/>
              <w:spacing w:after="0"/>
              <w:rPr>
                <w:sz w:val="20"/>
                <w:szCs w:val="20"/>
                <w:color w:val="auto"/>
              </w:rPr>
            </w:pPr>
            <w:r>
              <w:rPr>
                <w:rFonts w:ascii="Arial" w:cs="Arial" w:eastAsia="Arial" w:hAnsi="Arial"/>
                <w:sz w:val="22"/>
                <w:szCs w:val="22"/>
                <w:color w:val="auto"/>
              </w:rPr>
              <w:t>Purchase Price</w:t>
            </w:r>
          </w:p>
        </w:tc>
        <w:tc>
          <w:tcPr>
            <w:tcW w:w="19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8660" w:type="dxa"/>
            <w:vAlign w:val="bottom"/>
            <w:gridSpan w:val="2"/>
          </w:tcPr>
          <w:p>
            <w:pPr>
              <w:ind w:left="860"/>
              <w:spacing w:after="0"/>
              <w:rPr>
                <w:sz w:val="20"/>
                <w:szCs w:val="20"/>
                <w:color w:val="auto"/>
              </w:rPr>
            </w:pPr>
            <w:r>
              <w:rPr>
                <w:rFonts w:ascii="Arial" w:cs="Arial" w:eastAsia="Arial" w:hAnsi="Arial"/>
                <w:sz w:val="22"/>
                <w:szCs w:val="22"/>
                <w:color w:val="auto"/>
              </w:rPr>
              <w:t>Section 3.2   Determination of Purchase Price</w:t>
            </w:r>
          </w:p>
        </w:tc>
        <w:tc>
          <w:tcPr>
            <w:tcW w:w="19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8660" w:type="dxa"/>
            <w:vAlign w:val="bottom"/>
            <w:gridSpan w:val="2"/>
          </w:tcPr>
          <w:p>
            <w:pPr>
              <w:ind w:left="860"/>
              <w:spacing w:after="0"/>
              <w:rPr>
                <w:sz w:val="20"/>
                <w:szCs w:val="20"/>
                <w:color w:val="auto"/>
              </w:rPr>
            </w:pPr>
            <w:r>
              <w:rPr>
                <w:rFonts w:ascii="Arial" w:cs="Arial" w:eastAsia="Arial" w:hAnsi="Arial"/>
                <w:sz w:val="22"/>
                <w:szCs w:val="22"/>
                <w:color w:val="auto"/>
              </w:rPr>
              <w:t>Section 3.3   Allocation of Purchase Price</w:t>
            </w:r>
          </w:p>
        </w:tc>
        <w:tc>
          <w:tcPr>
            <w:tcW w:w="19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3.4</w:t>
            </w:r>
          </w:p>
        </w:tc>
        <w:tc>
          <w:tcPr>
            <w:tcW w:w="6800" w:type="dxa"/>
            <w:vAlign w:val="bottom"/>
          </w:tcPr>
          <w:p>
            <w:pPr>
              <w:ind w:left="220"/>
              <w:spacing w:after="0"/>
              <w:rPr>
                <w:sz w:val="20"/>
                <w:szCs w:val="20"/>
                <w:color w:val="auto"/>
              </w:rPr>
            </w:pPr>
            <w:r>
              <w:rPr>
                <w:rFonts w:ascii="Arial" w:cs="Arial" w:eastAsia="Arial" w:hAnsi="Arial"/>
                <w:sz w:val="22"/>
                <w:szCs w:val="22"/>
                <w:color w:val="auto"/>
              </w:rPr>
              <w:t>Prorations</w:t>
            </w:r>
          </w:p>
        </w:tc>
        <w:tc>
          <w:tcPr>
            <w:tcW w:w="19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1"/>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3.5</w:t>
            </w:r>
          </w:p>
        </w:tc>
        <w:tc>
          <w:tcPr>
            <w:tcW w:w="6800" w:type="dxa"/>
            <w:vAlign w:val="bottom"/>
          </w:tcPr>
          <w:p>
            <w:pPr>
              <w:ind w:left="220"/>
              <w:spacing w:after="0"/>
              <w:rPr>
                <w:sz w:val="20"/>
                <w:szCs w:val="20"/>
                <w:color w:val="auto"/>
              </w:rPr>
            </w:pPr>
            <w:r>
              <w:rPr>
                <w:rFonts w:ascii="Arial" w:cs="Arial" w:eastAsia="Arial" w:hAnsi="Arial"/>
                <w:sz w:val="22"/>
                <w:szCs w:val="22"/>
                <w:color w:val="auto"/>
              </w:rPr>
              <w:t>Unbilled Revenues</w:t>
            </w:r>
          </w:p>
        </w:tc>
        <w:tc>
          <w:tcPr>
            <w:tcW w:w="19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3.6</w:t>
            </w:r>
          </w:p>
        </w:tc>
        <w:tc>
          <w:tcPr>
            <w:tcW w:w="6800" w:type="dxa"/>
            <w:vAlign w:val="bottom"/>
          </w:tcPr>
          <w:p>
            <w:pPr>
              <w:ind w:left="220"/>
              <w:spacing w:after="0"/>
              <w:rPr>
                <w:sz w:val="20"/>
                <w:szCs w:val="20"/>
                <w:color w:val="auto"/>
              </w:rPr>
            </w:pPr>
            <w:r>
              <w:rPr>
                <w:rFonts w:ascii="Arial" w:cs="Arial" w:eastAsia="Arial" w:hAnsi="Arial"/>
                <w:sz w:val="22"/>
                <w:szCs w:val="22"/>
                <w:color w:val="auto"/>
              </w:rPr>
              <w:t>Withholding</w:t>
            </w:r>
          </w:p>
        </w:tc>
        <w:tc>
          <w:tcPr>
            <w:tcW w:w="19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860" w:type="dxa"/>
            <w:vAlign w:val="bottom"/>
          </w:tcPr>
          <w:p>
            <w:pPr>
              <w:spacing w:after="0"/>
              <w:rPr>
                <w:sz w:val="20"/>
                <w:szCs w:val="20"/>
                <w:color w:val="auto"/>
              </w:rPr>
            </w:pPr>
            <w:r>
              <w:rPr>
                <w:rFonts w:ascii="Arial" w:cs="Arial" w:eastAsia="Arial" w:hAnsi="Arial"/>
                <w:sz w:val="22"/>
                <w:szCs w:val="22"/>
                <w:color w:val="auto"/>
              </w:rPr>
              <w:t>ARTICLE IV</w:t>
            </w:r>
          </w:p>
        </w:tc>
        <w:tc>
          <w:tcPr>
            <w:tcW w:w="6800" w:type="dxa"/>
            <w:vAlign w:val="bottom"/>
          </w:tcPr>
          <w:p>
            <w:pPr>
              <w:spacing w:after="0"/>
              <w:rPr>
                <w:sz w:val="20"/>
                <w:szCs w:val="20"/>
                <w:color w:val="auto"/>
              </w:rPr>
            </w:pPr>
            <w:r>
              <w:rPr>
                <w:rFonts w:ascii="Arial" w:cs="Arial" w:eastAsia="Arial" w:hAnsi="Arial"/>
                <w:sz w:val="22"/>
                <w:szCs w:val="22"/>
                <w:color w:val="auto"/>
              </w:rPr>
              <w:t>THE CLOSING</w:t>
            </w:r>
          </w:p>
        </w:tc>
        <w:tc>
          <w:tcPr>
            <w:tcW w:w="19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8660" w:type="dxa"/>
            <w:vAlign w:val="bottom"/>
            <w:gridSpan w:val="2"/>
          </w:tcPr>
          <w:p>
            <w:pPr>
              <w:ind w:left="860"/>
              <w:spacing w:after="0"/>
              <w:rPr>
                <w:sz w:val="20"/>
                <w:szCs w:val="20"/>
                <w:color w:val="auto"/>
              </w:rPr>
            </w:pPr>
            <w:r>
              <w:rPr>
                <w:rFonts w:ascii="Arial" w:cs="Arial" w:eastAsia="Arial" w:hAnsi="Arial"/>
                <w:sz w:val="22"/>
                <w:szCs w:val="22"/>
                <w:color w:val="auto"/>
              </w:rPr>
              <w:t>Section 4.1   Time and Place of Closing</w:t>
            </w:r>
          </w:p>
        </w:tc>
        <w:tc>
          <w:tcPr>
            <w:tcW w:w="19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4.2</w:t>
            </w:r>
          </w:p>
        </w:tc>
        <w:tc>
          <w:tcPr>
            <w:tcW w:w="6800" w:type="dxa"/>
            <w:vAlign w:val="bottom"/>
          </w:tcPr>
          <w:p>
            <w:pPr>
              <w:ind w:left="220"/>
              <w:spacing w:after="0"/>
              <w:rPr>
                <w:sz w:val="20"/>
                <w:szCs w:val="20"/>
                <w:color w:val="auto"/>
              </w:rPr>
            </w:pPr>
            <w:r>
              <w:rPr>
                <w:rFonts w:ascii="Arial" w:cs="Arial" w:eastAsia="Arial" w:hAnsi="Arial"/>
                <w:sz w:val="22"/>
                <w:szCs w:val="22"/>
                <w:color w:val="auto"/>
              </w:rPr>
              <w:t>Closing Payment</w:t>
            </w:r>
          </w:p>
        </w:tc>
        <w:tc>
          <w:tcPr>
            <w:tcW w:w="19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8660" w:type="dxa"/>
            <w:vAlign w:val="bottom"/>
            <w:gridSpan w:val="2"/>
          </w:tcPr>
          <w:p>
            <w:pPr>
              <w:ind w:left="860"/>
              <w:spacing w:after="0"/>
              <w:rPr>
                <w:sz w:val="20"/>
                <w:szCs w:val="20"/>
                <w:color w:val="auto"/>
              </w:rPr>
            </w:pPr>
            <w:r>
              <w:rPr>
                <w:rFonts w:ascii="Arial" w:cs="Arial" w:eastAsia="Arial" w:hAnsi="Arial"/>
                <w:sz w:val="22"/>
                <w:szCs w:val="22"/>
                <w:color w:val="auto"/>
              </w:rPr>
              <w:t>Section 4.3   Seller’s Closing Deliveries</w:t>
            </w:r>
          </w:p>
        </w:tc>
        <w:tc>
          <w:tcPr>
            <w:tcW w:w="19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8660" w:type="dxa"/>
            <w:vAlign w:val="bottom"/>
            <w:gridSpan w:val="2"/>
          </w:tcPr>
          <w:p>
            <w:pPr>
              <w:ind w:left="860"/>
              <w:spacing w:after="0"/>
              <w:rPr>
                <w:sz w:val="20"/>
                <w:szCs w:val="20"/>
                <w:color w:val="auto"/>
              </w:rPr>
            </w:pPr>
            <w:r>
              <w:rPr>
                <w:rFonts w:ascii="Arial" w:cs="Arial" w:eastAsia="Arial" w:hAnsi="Arial"/>
                <w:sz w:val="22"/>
                <w:szCs w:val="22"/>
                <w:color w:val="auto"/>
              </w:rPr>
              <w:t>Section 4.4   Buyer’s Closing Deliveries</w:t>
            </w:r>
          </w:p>
        </w:tc>
        <w:tc>
          <w:tcPr>
            <w:tcW w:w="19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860" w:type="dxa"/>
            <w:vAlign w:val="bottom"/>
          </w:tcPr>
          <w:p>
            <w:pPr>
              <w:spacing w:after="0"/>
              <w:rPr>
                <w:sz w:val="20"/>
                <w:szCs w:val="20"/>
                <w:color w:val="auto"/>
              </w:rPr>
            </w:pPr>
            <w:r>
              <w:rPr>
                <w:rFonts w:ascii="Arial" w:cs="Arial" w:eastAsia="Arial" w:hAnsi="Arial"/>
                <w:sz w:val="22"/>
                <w:szCs w:val="22"/>
                <w:color w:val="auto"/>
              </w:rPr>
              <w:t>ARTICLE V</w:t>
            </w:r>
          </w:p>
        </w:tc>
        <w:tc>
          <w:tcPr>
            <w:tcW w:w="6800" w:type="dxa"/>
            <w:vAlign w:val="bottom"/>
          </w:tcPr>
          <w:p>
            <w:pPr>
              <w:spacing w:after="0"/>
              <w:rPr>
                <w:sz w:val="20"/>
                <w:szCs w:val="20"/>
                <w:color w:val="auto"/>
              </w:rPr>
            </w:pPr>
            <w:r>
              <w:rPr>
                <w:rFonts w:ascii="Arial" w:cs="Arial" w:eastAsia="Arial" w:hAnsi="Arial"/>
                <w:sz w:val="22"/>
                <w:szCs w:val="22"/>
                <w:color w:val="auto"/>
              </w:rPr>
              <w:t>REPRESENTATIONS AND WARRANTIES OF SELLER</w:t>
            </w:r>
          </w:p>
        </w:tc>
        <w:tc>
          <w:tcPr>
            <w:tcW w:w="19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8660" w:type="dxa"/>
            <w:vAlign w:val="bottom"/>
            <w:gridSpan w:val="2"/>
          </w:tcPr>
          <w:p>
            <w:pPr>
              <w:ind w:left="860"/>
              <w:spacing w:after="0"/>
              <w:rPr>
                <w:sz w:val="20"/>
                <w:szCs w:val="20"/>
                <w:color w:val="auto"/>
              </w:rPr>
            </w:pPr>
            <w:r>
              <w:rPr>
                <w:rFonts w:ascii="Arial" w:cs="Arial" w:eastAsia="Arial" w:hAnsi="Arial"/>
                <w:sz w:val="22"/>
                <w:szCs w:val="22"/>
                <w:color w:val="auto"/>
              </w:rPr>
              <w:t>Section 5.1   Organization and Good Standing</w:t>
            </w:r>
          </w:p>
        </w:tc>
        <w:tc>
          <w:tcPr>
            <w:tcW w:w="19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8660" w:type="dxa"/>
            <w:vAlign w:val="bottom"/>
            <w:gridSpan w:val="2"/>
          </w:tcPr>
          <w:p>
            <w:pPr>
              <w:ind w:left="860"/>
              <w:spacing w:after="0"/>
              <w:rPr>
                <w:sz w:val="20"/>
                <w:szCs w:val="20"/>
                <w:color w:val="auto"/>
              </w:rPr>
            </w:pPr>
            <w:r>
              <w:rPr>
                <w:rFonts w:ascii="Arial" w:cs="Arial" w:eastAsia="Arial" w:hAnsi="Arial"/>
                <w:sz w:val="22"/>
                <w:szCs w:val="22"/>
                <w:color w:val="auto"/>
              </w:rPr>
              <w:t>Section 5.2   Authority and Enforceability</w:t>
            </w:r>
          </w:p>
        </w:tc>
        <w:tc>
          <w:tcPr>
            <w:tcW w:w="19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8660" w:type="dxa"/>
            <w:vAlign w:val="bottom"/>
            <w:gridSpan w:val="2"/>
          </w:tcPr>
          <w:p>
            <w:pPr>
              <w:ind w:left="860"/>
              <w:spacing w:after="0"/>
              <w:rPr>
                <w:sz w:val="20"/>
                <w:szCs w:val="20"/>
                <w:color w:val="auto"/>
              </w:rPr>
            </w:pPr>
            <w:r>
              <w:rPr>
                <w:rFonts w:ascii="Arial" w:cs="Arial" w:eastAsia="Arial" w:hAnsi="Arial"/>
                <w:sz w:val="22"/>
                <w:szCs w:val="22"/>
                <w:color w:val="auto"/>
              </w:rPr>
              <w:t>Section 5.3   No Conflicts; Consents</w:t>
            </w:r>
          </w:p>
        </w:tc>
        <w:tc>
          <w:tcPr>
            <w:tcW w:w="19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5.4</w:t>
            </w:r>
          </w:p>
        </w:tc>
        <w:tc>
          <w:tcPr>
            <w:tcW w:w="6800" w:type="dxa"/>
            <w:vAlign w:val="bottom"/>
          </w:tcPr>
          <w:p>
            <w:pPr>
              <w:ind w:left="220"/>
              <w:spacing w:after="0"/>
              <w:rPr>
                <w:sz w:val="20"/>
                <w:szCs w:val="20"/>
                <w:color w:val="auto"/>
              </w:rPr>
            </w:pPr>
            <w:r>
              <w:rPr>
                <w:rFonts w:ascii="Arial" w:cs="Arial" w:eastAsia="Arial" w:hAnsi="Arial"/>
                <w:sz w:val="22"/>
                <w:szCs w:val="22"/>
                <w:color w:val="auto"/>
              </w:rPr>
              <w:t>Governmental Filings</w:t>
            </w:r>
          </w:p>
        </w:tc>
        <w:tc>
          <w:tcPr>
            <w:tcW w:w="19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1"/>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5.5</w:t>
            </w:r>
          </w:p>
        </w:tc>
        <w:tc>
          <w:tcPr>
            <w:tcW w:w="6800" w:type="dxa"/>
            <w:vAlign w:val="bottom"/>
          </w:tcPr>
          <w:p>
            <w:pPr>
              <w:ind w:left="220"/>
              <w:spacing w:after="0"/>
              <w:rPr>
                <w:sz w:val="20"/>
                <w:szCs w:val="20"/>
                <w:color w:val="auto"/>
              </w:rPr>
            </w:pPr>
            <w:r>
              <w:rPr>
                <w:rFonts w:ascii="Arial" w:cs="Arial" w:eastAsia="Arial" w:hAnsi="Arial"/>
                <w:sz w:val="22"/>
                <w:szCs w:val="22"/>
                <w:color w:val="auto"/>
              </w:rPr>
              <w:t>Financial Information</w:t>
            </w:r>
          </w:p>
        </w:tc>
        <w:tc>
          <w:tcPr>
            <w:tcW w:w="19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5.6</w:t>
            </w:r>
          </w:p>
        </w:tc>
        <w:tc>
          <w:tcPr>
            <w:tcW w:w="6800" w:type="dxa"/>
            <w:vAlign w:val="bottom"/>
          </w:tcPr>
          <w:p>
            <w:pPr>
              <w:ind w:left="220"/>
              <w:spacing w:after="0"/>
              <w:rPr>
                <w:sz w:val="20"/>
                <w:szCs w:val="20"/>
                <w:color w:val="auto"/>
              </w:rPr>
            </w:pPr>
            <w:r>
              <w:rPr>
                <w:rFonts w:ascii="Arial" w:cs="Arial" w:eastAsia="Arial" w:hAnsi="Arial"/>
                <w:sz w:val="22"/>
                <w:szCs w:val="22"/>
                <w:color w:val="auto"/>
              </w:rPr>
              <w:t>Changes</w:t>
            </w:r>
          </w:p>
        </w:tc>
        <w:tc>
          <w:tcPr>
            <w:tcW w:w="19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5.7</w:t>
            </w:r>
          </w:p>
        </w:tc>
        <w:tc>
          <w:tcPr>
            <w:tcW w:w="6800" w:type="dxa"/>
            <w:vAlign w:val="bottom"/>
          </w:tcPr>
          <w:p>
            <w:pPr>
              <w:ind w:left="220"/>
              <w:spacing w:after="0"/>
              <w:rPr>
                <w:sz w:val="20"/>
                <w:szCs w:val="20"/>
                <w:color w:val="auto"/>
              </w:rPr>
            </w:pPr>
            <w:r>
              <w:rPr>
                <w:rFonts w:ascii="Arial" w:cs="Arial" w:eastAsia="Arial" w:hAnsi="Arial"/>
                <w:sz w:val="22"/>
                <w:szCs w:val="22"/>
                <w:color w:val="auto"/>
              </w:rPr>
              <w:t>Purchased Assets</w:t>
            </w:r>
          </w:p>
        </w:tc>
        <w:tc>
          <w:tcPr>
            <w:tcW w:w="19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860" w:type="dxa"/>
            <w:vAlign w:val="bottom"/>
          </w:tcPr>
          <w:p>
            <w:pPr>
              <w:ind w:left="860"/>
              <w:spacing w:after="0"/>
              <w:rPr>
                <w:sz w:val="20"/>
                <w:szCs w:val="20"/>
                <w:color w:val="auto"/>
              </w:rPr>
            </w:pPr>
            <w:r>
              <w:rPr>
                <w:rFonts w:ascii="Arial" w:cs="Arial" w:eastAsia="Arial" w:hAnsi="Arial"/>
                <w:sz w:val="22"/>
                <w:szCs w:val="22"/>
                <w:color w:val="auto"/>
                <w:w w:val="88"/>
              </w:rPr>
              <w:t>Section 5.8</w:t>
            </w:r>
          </w:p>
        </w:tc>
        <w:tc>
          <w:tcPr>
            <w:tcW w:w="6800" w:type="dxa"/>
            <w:vAlign w:val="bottom"/>
          </w:tcPr>
          <w:p>
            <w:pPr>
              <w:ind w:left="220"/>
              <w:spacing w:after="0"/>
              <w:rPr>
                <w:sz w:val="20"/>
                <w:szCs w:val="20"/>
                <w:color w:val="auto"/>
              </w:rPr>
            </w:pPr>
            <w:r>
              <w:rPr>
                <w:rFonts w:ascii="Arial" w:cs="Arial" w:eastAsia="Arial" w:hAnsi="Arial"/>
                <w:sz w:val="22"/>
                <w:szCs w:val="22"/>
                <w:color w:val="auto"/>
              </w:rPr>
              <w:t>Title</w:t>
            </w:r>
          </w:p>
        </w:tc>
        <w:tc>
          <w:tcPr>
            <w:tcW w:w="1900" w:type="dxa"/>
            <w:vAlign w:val="bottom"/>
          </w:tcPr>
          <w:p>
            <w:pPr>
              <w:jc w:val="right"/>
              <w:spacing w:after="0"/>
              <w:rPr>
                <w:sz w:val="20"/>
                <w:szCs w:val="20"/>
                <w:color w:val="auto"/>
              </w:rPr>
            </w:pPr>
            <w:r>
              <w:rPr>
                <w:rFonts w:ascii="Arial" w:cs="Arial" w:eastAsia="Arial" w:hAnsi="Arial"/>
                <w:sz w:val="22"/>
                <w:szCs w:val="22"/>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40" w:top="126" w:right="33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22"/>
          <w:szCs w:val="22"/>
          <w:b w:val="1"/>
          <w:bCs w:val="1"/>
          <w:color w:val="auto"/>
        </w:rPr>
        <w:t>TABLE OF CONTENTS (cont’d)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860" w:type="dxa"/>
            <w:vAlign w:val="bottom"/>
          </w:tcPr>
          <w:p>
            <w:pPr>
              <w:jc w:val="right"/>
              <w:spacing w:after="0"/>
              <w:rPr>
                <w:sz w:val="20"/>
                <w:szCs w:val="20"/>
                <w:color w:val="auto"/>
              </w:rPr>
            </w:pPr>
            <w:r>
              <w:rPr>
                <w:rFonts w:ascii="Arial" w:cs="Arial" w:eastAsia="Arial" w:hAnsi="Arial"/>
                <w:sz w:val="22"/>
                <w:szCs w:val="22"/>
                <w:color w:val="auto"/>
              </w:rPr>
              <w:t>Section 5.9</w:t>
            </w:r>
          </w:p>
        </w:tc>
        <w:tc>
          <w:tcPr>
            <w:tcW w:w="6760" w:type="dxa"/>
            <w:vAlign w:val="bottom"/>
          </w:tcPr>
          <w:p>
            <w:pPr>
              <w:ind w:left="220"/>
              <w:spacing w:after="0"/>
              <w:rPr>
                <w:sz w:val="20"/>
                <w:szCs w:val="20"/>
                <w:color w:val="auto"/>
              </w:rPr>
            </w:pPr>
            <w:r>
              <w:rPr>
                <w:rFonts w:ascii="Arial" w:cs="Arial" w:eastAsia="Arial" w:hAnsi="Arial"/>
                <w:sz w:val="22"/>
                <w:szCs w:val="22"/>
                <w:color w:val="auto"/>
              </w:rPr>
              <w:t>Regulatory Status</w:t>
            </w:r>
          </w:p>
        </w:tc>
        <w:tc>
          <w:tcPr>
            <w:tcW w:w="19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5.10</w:t>
            </w:r>
          </w:p>
        </w:tc>
        <w:tc>
          <w:tcPr>
            <w:tcW w:w="6760" w:type="dxa"/>
            <w:vAlign w:val="bottom"/>
          </w:tcPr>
          <w:p>
            <w:pPr>
              <w:ind w:left="220"/>
              <w:spacing w:after="0"/>
              <w:rPr>
                <w:sz w:val="20"/>
                <w:szCs w:val="20"/>
                <w:color w:val="auto"/>
              </w:rPr>
            </w:pPr>
            <w:r>
              <w:rPr>
                <w:rFonts w:ascii="Arial" w:cs="Arial" w:eastAsia="Arial" w:hAnsi="Arial"/>
                <w:sz w:val="22"/>
                <w:szCs w:val="22"/>
                <w:color w:val="auto"/>
              </w:rPr>
              <w:t>Material Contracts</w:t>
            </w:r>
          </w:p>
        </w:tc>
        <w:tc>
          <w:tcPr>
            <w:tcW w:w="19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5.11</w:t>
            </w:r>
          </w:p>
        </w:tc>
        <w:tc>
          <w:tcPr>
            <w:tcW w:w="6760" w:type="dxa"/>
            <w:vAlign w:val="bottom"/>
          </w:tcPr>
          <w:p>
            <w:pPr>
              <w:ind w:left="220"/>
              <w:spacing w:after="0"/>
              <w:rPr>
                <w:sz w:val="20"/>
                <w:szCs w:val="20"/>
                <w:color w:val="auto"/>
              </w:rPr>
            </w:pPr>
            <w:r>
              <w:rPr>
                <w:rFonts w:ascii="Arial" w:cs="Arial" w:eastAsia="Arial" w:hAnsi="Arial"/>
                <w:sz w:val="22"/>
                <w:szCs w:val="22"/>
                <w:color w:val="auto"/>
              </w:rPr>
              <w:t>Support Obligations</w:t>
            </w:r>
          </w:p>
        </w:tc>
        <w:tc>
          <w:tcPr>
            <w:tcW w:w="19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5.12</w:t>
            </w:r>
          </w:p>
        </w:tc>
        <w:tc>
          <w:tcPr>
            <w:tcW w:w="6760" w:type="dxa"/>
            <w:vAlign w:val="bottom"/>
          </w:tcPr>
          <w:p>
            <w:pPr>
              <w:ind w:left="220"/>
              <w:spacing w:after="0"/>
              <w:rPr>
                <w:sz w:val="20"/>
                <w:szCs w:val="20"/>
                <w:color w:val="auto"/>
              </w:rPr>
            </w:pPr>
            <w:r>
              <w:rPr>
                <w:rFonts w:ascii="Arial" w:cs="Arial" w:eastAsia="Arial" w:hAnsi="Arial"/>
                <w:sz w:val="22"/>
                <w:szCs w:val="22"/>
                <w:color w:val="auto"/>
              </w:rPr>
              <w:t>Intellectual Property</w:t>
            </w:r>
          </w:p>
        </w:tc>
        <w:tc>
          <w:tcPr>
            <w:tcW w:w="19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5.13</w:t>
            </w:r>
          </w:p>
        </w:tc>
        <w:tc>
          <w:tcPr>
            <w:tcW w:w="6760" w:type="dxa"/>
            <w:vAlign w:val="bottom"/>
          </w:tcPr>
          <w:p>
            <w:pPr>
              <w:ind w:left="220"/>
              <w:spacing w:after="0"/>
              <w:rPr>
                <w:sz w:val="20"/>
                <w:szCs w:val="20"/>
                <w:color w:val="auto"/>
              </w:rPr>
            </w:pPr>
            <w:r>
              <w:rPr>
                <w:rFonts w:ascii="Arial" w:cs="Arial" w:eastAsia="Arial" w:hAnsi="Arial"/>
                <w:sz w:val="22"/>
                <w:szCs w:val="22"/>
                <w:color w:val="auto"/>
              </w:rPr>
              <w:t>Legal Proceedings</w:t>
            </w:r>
          </w:p>
        </w:tc>
        <w:tc>
          <w:tcPr>
            <w:tcW w:w="19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5.14</w:t>
            </w:r>
          </w:p>
        </w:tc>
        <w:tc>
          <w:tcPr>
            <w:tcW w:w="6760" w:type="dxa"/>
            <w:vAlign w:val="bottom"/>
          </w:tcPr>
          <w:p>
            <w:pPr>
              <w:ind w:left="220"/>
              <w:spacing w:after="0"/>
              <w:rPr>
                <w:sz w:val="20"/>
                <w:szCs w:val="20"/>
                <w:color w:val="auto"/>
              </w:rPr>
            </w:pPr>
            <w:r>
              <w:rPr>
                <w:rFonts w:ascii="Arial" w:cs="Arial" w:eastAsia="Arial" w:hAnsi="Arial"/>
                <w:sz w:val="22"/>
                <w:szCs w:val="22"/>
                <w:color w:val="auto"/>
              </w:rPr>
              <w:t>Compliance with Law; Orders; Permits</w:t>
            </w:r>
          </w:p>
        </w:tc>
        <w:tc>
          <w:tcPr>
            <w:tcW w:w="19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5.15</w:t>
            </w:r>
          </w:p>
        </w:tc>
        <w:tc>
          <w:tcPr>
            <w:tcW w:w="6760" w:type="dxa"/>
            <w:vAlign w:val="bottom"/>
          </w:tcPr>
          <w:p>
            <w:pPr>
              <w:ind w:left="220"/>
              <w:spacing w:after="0"/>
              <w:rPr>
                <w:sz w:val="20"/>
                <w:szCs w:val="20"/>
                <w:color w:val="auto"/>
              </w:rPr>
            </w:pPr>
            <w:r>
              <w:rPr>
                <w:rFonts w:ascii="Arial" w:cs="Arial" w:eastAsia="Arial" w:hAnsi="Arial"/>
                <w:sz w:val="22"/>
                <w:szCs w:val="22"/>
                <w:color w:val="auto"/>
              </w:rPr>
              <w:t>Anti-Corruption; Anti-Money Laundering; Sanctions</w:t>
            </w:r>
          </w:p>
        </w:tc>
        <w:tc>
          <w:tcPr>
            <w:tcW w:w="19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5.16</w:t>
            </w:r>
          </w:p>
        </w:tc>
        <w:tc>
          <w:tcPr>
            <w:tcW w:w="6760" w:type="dxa"/>
            <w:vAlign w:val="bottom"/>
          </w:tcPr>
          <w:p>
            <w:pPr>
              <w:ind w:left="220"/>
              <w:spacing w:after="0"/>
              <w:rPr>
                <w:sz w:val="20"/>
                <w:szCs w:val="20"/>
                <w:color w:val="auto"/>
              </w:rPr>
            </w:pPr>
            <w:r>
              <w:rPr>
                <w:rFonts w:ascii="Arial" w:cs="Arial" w:eastAsia="Arial" w:hAnsi="Arial"/>
                <w:sz w:val="22"/>
                <w:szCs w:val="22"/>
                <w:color w:val="auto"/>
              </w:rPr>
              <w:t>Environmental Matters</w:t>
            </w:r>
          </w:p>
        </w:tc>
        <w:tc>
          <w:tcPr>
            <w:tcW w:w="19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5.17</w:t>
            </w:r>
          </w:p>
        </w:tc>
        <w:tc>
          <w:tcPr>
            <w:tcW w:w="6760" w:type="dxa"/>
            <w:vAlign w:val="bottom"/>
          </w:tcPr>
          <w:p>
            <w:pPr>
              <w:ind w:left="220"/>
              <w:spacing w:after="0"/>
              <w:rPr>
                <w:sz w:val="20"/>
                <w:szCs w:val="20"/>
                <w:color w:val="auto"/>
              </w:rPr>
            </w:pPr>
            <w:r>
              <w:rPr>
                <w:rFonts w:ascii="Arial" w:cs="Arial" w:eastAsia="Arial" w:hAnsi="Arial"/>
                <w:sz w:val="22"/>
                <w:szCs w:val="22"/>
                <w:color w:val="auto"/>
              </w:rPr>
              <w:t>Taxes</w:t>
            </w:r>
          </w:p>
        </w:tc>
        <w:tc>
          <w:tcPr>
            <w:tcW w:w="19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5.18</w:t>
            </w:r>
          </w:p>
        </w:tc>
        <w:tc>
          <w:tcPr>
            <w:tcW w:w="6760" w:type="dxa"/>
            <w:vAlign w:val="bottom"/>
          </w:tcPr>
          <w:p>
            <w:pPr>
              <w:ind w:left="220"/>
              <w:spacing w:after="0"/>
              <w:rPr>
                <w:sz w:val="20"/>
                <w:szCs w:val="20"/>
                <w:color w:val="auto"/>
              </w:rPr>
            </w:pPr>
            <w:r>
              <w:rPr>
                <w:rFonts w:ascii="Arial" w:cs="Arial" w:eastAsia="Arial" w:hAnsi="Arial"/>
                <w:sz w:val="22"/>
                <w:szCs w:val="22"/>
                <w:color w:val="auto"/>
              </w:rPr>
              <w:t>Labor Matters</w:t>
            </w:r>
          </w:p>
        </w:tc>
        <w:tc>
          <w:tcPr>
            <w:tcW w:w="19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5.19</w:t>
            </w:r>
          </w:p>
        </w:tc>
        <w:tc>
          <w:tcPr>
            <w:tcW w:w="6760" w:type="dxa"/>
            <w:vAlign w:val="bottom"/>
          </w:tcPr>
          <w:p>
            <w:pPr>
              <w:ind w:left="220"/>
              <w:spacing w:after="0"/>
              <w:rPr>
                <w:sz w:val="20"/>
                <w:szCs w:val="20"/>
                <w:color w:val="auto"/>
              </w:rPr>
            </w:pPr>
            <w:r>
              <w:rPr>
                <w:rFonts w:ascii="Arial" w:cs="Arial" w:eastAsia="Arial" w:hAnsi="Arial"/>
                <w:sz w:val="22"/>
                <w:szCs w:val="22"/>
                <w:color w:val="auto"/>
              </w:rPr>
              <w:t>Employee Benefits</w:t>
            </w:r>
          </w:p>
        </w:tc>
        <w:tc>
          <w:tcPr>
            <w:tcW w:w="19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5.20</w:t>
            </w:r>
          </w:p>
        </w:tc>
        <w:tc>
          <w:tcPr>
            <w:tcW w:w="6760" w:type="dxa"/>
            <w:vAlign w:val="bottom"/>
          </w:tcPr>
          <w:p>
            <w:pPr>
              <w:ind w:left="220"/>
              <w:spacing w:after="0"/>
              <w:rPr>
                <w:sz w:val="20"/>
                <w:szCs w:val="20"/>
                <w:color w:val="auto"/>
              </w:rPr>
            </w:pPr>
            <w:r>
              <w:rPr>
                <w:rFonts w:ascii="Arial" w:cs="Arial" w:eastAsia="Arial" w:hAnsi="Arial"/>
                <w:sz w:val="22"/>
                <w:szCs w:val="22"/>
                <w:color w:val="auto"/>
              </w:rPr>
              <w:t>Information Technology and Data Security</w:t>
            </w:r>
          </w:p>
        </w:tc>
        <w:tc>
          <w:tcPr>
            <w:tcW w:w="19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5.21</w:t>
            </w:r>
          </w:p>
        </w:tc>
        <w:tc>
          <w:tcPr>
            <w:tcW w:w="6760" w:type="dxa"/>
            <w:vAlign w:val="bottom"/>
          </w:tcPr>
          <w:p>
            <w:pPr>
              <w:ind w:left="220"/>
              <w:spacing w:after="0"/>
              <w:rPr>
                <w:sz w:val="20"/>
                <w:szCs w:val="20"/>
                <w:color w:val="auto"/>
              </w:rPr>
            </w:pPr>
            <w:r>
              <w:rPr>
                <w:rFonts w:ascii="Arial" w:cs="Arial" w:eastAsia="Arial" w:hAnsi="Arial"/>
                <w:sz w:val="22"/>
                <w:szCs w:val="22"/>
                <w:color w:val="auto"/>
              </w:rPr>
              <w:t>Insurance</w:t>
            </w:r>
          </w:p>
        </w:tc>
        <w:tc>
          <w:tcPr>
            <w:tcW w:w="19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5.22</w:t>
            </w:r>
          </w:p>
        </w:tc>
        <w:tc>
          <w:tcPr>
            <w:tcW w:w="6760" w:type="dxa"/>
            <w:vAlign w:val="bottom"/>
          </w:tcPr>
          <w:p>
            <w:pPr>
              <w:ind w:left="220"/>
              <w:spacing w:after="0"/>
              <w:rPr>
                <w:sz w:val="20"/>
                <w:szCs w:val="20"/>
                <w:color w:val="auto"/>
              </w:rPr>
            </w:pPr>
            <w:r>
              <w:rPr>
                <w:rFonts w:ascii="Arial" w:cs="Arial" w:eastAsia="Arial" w:hAnsi="Arial"/>
                <w:sz w:val="22"/>
                <w:szCs w:val="22"/>
                <w:color w:val="auto"/>
              </w:rPr>
              <w:t>Real Property</w:t>
            </w:r>
          </w:p>
        </w:tc>
        <w:tc>
          <w:tcPr>
            <w:tcW w:w="19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5.23</w:t>
            </w:r>
          </w:p>
        </w:tc>
        <w:tc>
          <w:tcPr>
            <w:tcW w:w="6760" w:type="dxa"/>
            <w:vAlign w:val="bottom"/>
          </w:tcPr>
          <w:p>
            <w:pPr>
              <w:ind w:left="220"/>
              <w:spacing w:after="0"/>
              <w:rPr>
                <w:sz w:val="20"/>
                <w:szCs w:val="20"/>
                <w:color w:val="auto"/>
              </w:rPr>
            </w:pPr>
            <w:r>
              <w:rPr>
                <w:rFonts w:ascii="Arial" w:cs="Arial" w:eastAsia="Arial" w:hAnsi="Arial"/>
                <w:sz w:val="22"/>
                <w:szCs w:val="22"/>
                <w:color w:val="auto"/>
              </w:rPr>
              <w:t>Brokers and Finders</w:t>
            </w:r>
          </w:p>
        </w:tc>
        <w:tc>
          <w:tcPr>
            <w:tcW w:w="19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5.24</w:t>
            </w:r>
          </w:p>
        </w:tc>
        <w:tc>
          <w:tcPr>
            <w:tcW w:w="6760" w:type="dxa"/>
            <w:vAlign w:val="bottom"/>
          </w:tcPr>
          <w:p>
            <w:pPr>
              <w:ind w:left="220"/>
              <w:spacing w:after="0"/>
              <w:rPr>
                <w:sz w:val="20"/>
                <w:szCs w:val="20"/>
                <w:color w:val="auto"/>
              </w:rPr>
            </w:pPr>
            <w:r>
              <w:rPr>
                <w:rFonts w:ascii="Arial" w:cs="Arial" w:eastAsia="Arial" w:hAnsi="Arial"/>
                <w:sz w:val="22"/>
                <w:szCs w:val="22"/>
                <w:color w:val="auto"/>
              </w:rPr>
              <w:t>Exclusivity of Representations and Warranties</w:t>
            </w:r>
          </w:p>
        </w:tc>
        <w:tc>
          <w:tcPr>
            <w:tcW w:w="19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1"/>
        </w:trPr>
        <w:tc>
          <w:tcPr>
            <w:tcW w:w="1860" w:type="dxa"/>
            <w:vAlign w:val="bottom"/>
          </w:tcPr>
          <w:p>
            <w:pPr>
              <w:spacing w:after="0"/>
              <w:rPr>
                <w:sz w:val="20"/>
                <w:szCs w:val="20"/>
                <w:color w:val="auto"/>
              </w:rPr>
            </w:pPr>
            <w:r>
              <w:rPr>
                <w:rFonts w:ascii="Arial" w:cs="Arial" w:eastAsia="Arial" w:hAnsi="Arial"/>
                <w:sz w:val="22"/>
                <w:szCs w:val="22"/>
                <w:color w:val="auto"/>
              </w:rPr>
              <w:t>ARTICLE VI</w:t>
            </w:r>
          </w:p>
        </w:tc>
        <w:tc>
          <w:tcPr>
            <w:tcW w:w="6760" w:type="dxa"/>
            <w:vAlign w:val="bottom"/>
          </w:tcPr>
          <w:p>
            <w:pPr>
              <w:spacing w:after="0"/>
              <w:rPr>
                <w:sz w:val="20"/>
                <w:szCs w:val="20"/>
                <w:color w:val="auto"/>
              </w:rPr>
            </w:pPr>
            <w:r>
              <w:rPr>
                <w:rFonts w:ascii="Arial" w:cs="Arial" w:eastAsia="Arial" w:hAnsi="Arial"/>
                <w:sz w:val="22"/>
                <w:szCs w:val="22"/>
                <w:color w:val="auto"/>
              </w:rPr>
              <w:t>REPRESENTATIONS AND WARRANTIES OF BUYER</w:t>
            </w:r>
          </w:p>
        </w:tc>
        <w:tc>
          <w:tcPr>
            <w:tcW w:w="19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6.1</w:t>
            </w:r>
          </w:p>
        </w:tc>
        <w:tc>
          <w:tcPr>
            <w:tcW w:w="6760" w:type="dxa"/>
            <w:vAlign w:val="bottom"/>
          </w:tcPr>
          <w:p>
            <w:pPr>
              <w:ind w:left="220"/>
              <w:spacing w:after="0"/>
              <w:rPr>
                <w:sz w:val="20"/>
                <w:szCs w:val="20"/>
                <w:color w:val="auto"/>
              </w:rPr>
            </w:pPr>
            <w:r>
              <w:rPr>
                <w:rFonts w:ascii="Arial" w:cs="Arial" w:eastAsia="Arial" w:hAnsi="Arial"/>
                <w:sz w:val="22"/>
                <w:szCs w:val="22"/>
                <w:color w:val="auto"/>
              </w:rPr>
              <w:t>Organization and Good Standing</w:t>
            </w:r>
          </w:p>
        </w:tc>
        <w:tc>
          <w:tcPr>
            <w:tcW w:w="19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6.2</w:t>
            </w:r>
          </w:p>
        </w:tc>
        <w:tc>
          <w:tcPr>
            <w:tcW w:w="6760" w:type="dxa"/>
            <w:vAlign w:val="bottom"/>
          </w:tcPr>
          <w:p>
            <w:pPr>
              <w:ind w:left="220"/>
              <w:spacing w:after="0"/>
              <w:rPr>
                <w:sz w:val="20"/>
                <w:szCs w:val="20"/>
                <w:color w:val="auto"/>
              </w:rPr>
            </w:pPr>
            <w:r>
              <w:rPr>
                <w:rFonts w:ascii="Arial" w:cs="Arial" w:eastAsia="Arial" w:hAnsi="Arial"/>
                <w:sz w:val="22"/>
                <w:szCs w:val="22"/>
                <w:color w:val="auto"/>
              </w:rPr>
              <w:t>Authority and Enforceability</w:t>
            </w:r>
          </w:p>
        </w:tc>
        <w:tc>
          <w:tcPr>
            <w:tcW w:w="19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6.3</w:t>
            </w:r>
          </w:p>
        </w:tc>
        <w:tc>
          <w:tcPr>
            <w:tcW w:w="6760" w:type="dxa"/>
            <w:vAlign w:val="bottom"/>
          </w:tcPr>
          <w:p>
            <w:pPr>
              <w:ind w:left="220"/>
              <w:spacing w:after="0"/>
              <w:rPr>
                <w:sz w:val="20"/>
                <w:szCs w:val="20"/>
                <w:color w:val="auto"/>
              </w:rPr>
            </w:pPr>
            <w:r>
              <w:rPr>
                <w:rFonts w:ascii="Arial" w:cs="Arial" w:eastAsia="Arial" w:hAnsi="Arial"/>
                <w:sz w:val="22"/>
                <w:szCs w:val="22"/>
                <w:color w:val="auto"/>
              </w:rPr>
              <w:t>No Conflicts; Consents</w:t>
            </w:r>
          </w:p>
        </w:tc>
        <w:tc>
          <w:tcPr>
            <w:tcW w:w="19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6.4</w:t>
            </w:r>
          </w:p>
        </w:tc>
        <w:tc>
          <w:tcPr>
            <w:tcW w:w="6760" w:type="dxa"/>
            <w:vAlign w:val="bottom"/>
          </w:tcPr>
          <w:p>
            <w:pPr>
              <w:ind w:left="220"/>
              <w:spacing w:after="0"/>
              <w:rPr>
                <w:sz w:val="20"/>
                <w:szCs w:val="20"/>
                <w:color w:val="auto"/>
              </w:rPr>
            </w:pPr>
            <w:r>
              <w:rPr>
                <w:rFonts w:ascii="Arial" w:cs="Arial" w:eastAsia="Arial" w:hAnsi="Arial"/>
                <w:sz w:val="22"/>
                <w:szCs w:val="22"/>
                <w:color w:val="auto"/>
              </w:rPr>
              <w:t>Financial Capability</w:t>
            </w:r>
          </w:p>
        </w:tc>
        <w:tc>
          <w:tcPr>
            <w:tcW w:w="19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6.5</w:t>
            </w:r>
          </w:p>
        </w:tc>
        <w:tc>
          <w:tcPr>
            <w:tcW w:w="6760" w:type="dxa"/>
            <w:vAlign w:val="bottom"/>
          </w:tcPr>
          <w:p>
            <w:pPr>
              <w:ind w:left="220"/>
              <w:spacing w:after="0"/>
              <w:rPr>
                <w:sz w:val="20"/>
                <w:szCs w:val="20"/>
                <w:color w:val="auto"/>
              </w:rPr>
            </w:pPr>
            <w:r>
              <w:rPr>
                <w:rFonts w:ascii="Arial" w:cs="Arial" w:eastAsia="Arial" w:hAnsi="Arial"/>
                <w:sz w:val="22"/>
                <w:szCs w:val="22"/>
                <w:color w:val="auto"/>
              </w:rPr>
              <w:t>Brokers and Finders</w:t>
            </w:r>
          </w:p>
        </w:tc>
        <w:tc>
          <w:tcPr>
            <w:tcW w:w="19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6.6</w:t>
            </w:r>
          </w:p>
        </w:tc>
        <w:tc>
          <w:tcPr>
            <w:tcW w:w="6760" w:type="dxa"/>
            <w:vAlign w:val="bottom"/>
          </w:tcPr>
          <w:p>
            <w:pPr>
              <w:ind w:left="220"/>
              <w:spacing w:after="0"/>
              <w:rPr>
                <w:sz w:val="20"/>
                <w:szCs w:val="20"/>
                <w:color w:val="auto"/>
              </w:rPr>
            </w:pPr>
            <w:r>
              <w:rPr>
                <w:rFonts w:ascii="Arial" w:cs="Arial" w:eastAsia="Arial" w:hAnsi="Arial"/>
                <w:sz w:val="22"/>
                <w:szCs w:val="22"/>
                <w:color w:val="auto"/>
              </w:rPr>
              <w:t>Legal Proceedings</w:t>
            </w:r>
          </w:p>
        </w:tc>
        <w:tc>
          <w:tcPr>
            <w:tcW w:w="19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6.7</w:t>
            </w:r>
          </w:p>
        </w:tc>
        <w:tc>
          <w:tcPr>
            <w:tcW w:w="6760" w:type="dxa"/>
            <w:vAlign w:val="bottom"/>
          </w:tcPr>
          <w:p>
            <w:pPr>
              <w:ind w:left="220"/>
              <w:spacing w:after="0"/>
              <w:rPr>
                <w:sz w:val="20"/>
                <w:szCs w:val="20"/>
                <w:color w:val="auto"/>
              </w:rPr>
            </w:pPr>
            <w:r>
              <w:rPr>
                <w:rFonts w:ascii="Arial" w:cs="Arial" w:eastAsia="Arial" w:hAnsi="Arial"/>
                <w:sz w:val="22"/>
                <w:szCs w:val="22"/>
                <w:color w:val="auto"/>
              </w:rPr>
              <w:t>Regulation as a Utility</w:t>
            </w:r>
          </w:p>
        </w:tc>
        <w:tc>
          <w:tcPr>
            <w:tcW w:w="19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6.8</w:t>
            </w:r>
          </w:p>
        </w:tc>
        <w:tc>
          <w:tcPr>
            <w:tcW w:w="6760" w:type="dxa"/>
            <w:vAlign w:val="bottom"/>
          </w:tcPr>
          <w:p>
            <w:pPr>
              <w:ind w:left="220"/>
              <w:spacing w:after="0"/>
              <w:rPr>
                <w:sz w:val="20"/>
                <w:szCs w:val="20"/>
                <w:color w:val="auto"/>
              </w:rPr>
            </w:pPr>
            <w:r>
              <w:rPr>
                <w:rFonts w:ascii="Arial" w:cs="Arial" w:eastAsia="Arial" w:hAnsi="Arial"/>
                <w:sz w:val="22"/>
                <w:szCs w:val="22"/>
                <w:color w:val="auto"/>
              </w:rPr>
              <w:t>Investigation by Buyer</w:t>
            </w:r>
          </w:p>
        </w:tc>
        <w:tc>
          <w:tcPr>
            <w:tcW w:w="19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6.9</w:t>
            </w:r>
          </w:p>
        </w:tc>
        <w:tc>
          <w:tcPr>
            <w:tcW w:w="6760" w:type="dxa"/>
            <w:vAlign w:val="bottom"/>
          </w:tcPr>
          <w:p>
            <w:pPr>
              <w:ind w:left="220"/>
              <w:spacing w:after="0"/>
              <w:rPr>
                <w:sz w:val="20"/>
                <w:szCs w:val="20"/>
                <w:color w:val="auto"/>
              </w:rPr>
            </w:pPr>
            <w:r>
              <w:rPr>
                <w:rFonts w:ascii="Arial" w:cs="Arial" w:eastAsia="Arial" w:hAnsi="Arial"/>
                <w:sz w:val="22"/>
                <w:szCs w:val="22"/>
                <w:color w:val="auto"/>
              </w:rPr>
              <w:t>Exclusivity of Representations and Warranties</w:t>
            </w:r>
          </w:p>
        </w:tc>
        <w:tc>
          <w:tcPr>
            <w:tcW w:w="19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0"/>
        </w:trPr>
        <w:tc>
          <w:tcPr>
            <w:tcW w:w="1860" w:type="dxa"/>
            <w:vAlign w:val="bottom"/>
          </w:tcPr>
          <w:p>
            <w:pPr>
              <w:spacing w:after="0"/>
              <w:rPr>
                <w:sz w:val="20"/>
                <w:szCs w:val="20"/>
                <w:color w:val="auto"/>
              </w:rPr>
            </w:pPr>
            <w:r>
              <w:rPr>
                <w:rFonts w:ascii="Arial" w:cs="Arial" w:eastAsia="Arial" w:hAnsi="Arial"/>
                <w:sz w:val="22"/>
                <w:szCs w:val="22"/>
                <w:color w:val="auto"/>
              </w:rPr>
              <w:t>ARTICLE VII</w:t>
            </w:r>
          </w:p>
        </w:tc>
        <w:tc>
          <w:tcPr>
            <w:tcW w:w="6760" w:type="dxa"/>
            <w:vAlign w:val="bottom"/>
          </w:tcPr>
          <w:p>
            <w:pPr>
              <w:spacing w:after="0"/>
              <w:rPr>
                <w:sz w:val="20"/>
                <w:szCs w:val="20"/>
                <w:color w:val="auto"/>
              </w:rPr>
            </w:pPr>
            <w:r>
              <w:rPr>
                <w:rFonts w:ascii="Arial" w:cs="Arial" w:eastAsia="Arial" w:hAnsi="Arial"/>
                <w:sz w:val="22"/>
                <w:szCs w:val="22"/>
                <w:color w:val="auto"/>
              </w:rPr>
              <w:t>COVENANTS OF THE PARTIES</w:t>
            </w:r>
          </w:p>
        </w:tc>
        <w:tc>
          <w:tcPr>
            <w:tcW w:w="19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7.1</w:t>
            </w:r>
          </w:p>
        </w:tc>
        <w:tc>
          <w:tcPr>
            <w:tcW w:w="6760" w:type="dxa"/>
            <w:vAlign w:val="bottom"/>
          </w:tcPr>
          <w:p>
            <w:pPr>
              <w:ind w:left="220"/>
              <w:spacing w:after="0"/>
              <w:rPr>
                <w:sz w:val="20"/>
                <w:szCs w:val="20"/>
                <w:color w:val="auto"/>
              </w:rPr>
            </w:pPr>
            <w:r>
              <w:rPr>
                <w:rFonts w:ascii="Arial" w:cs="Arial" w:eastAsia="Arial" w:hAnsi="Arial"/>
                <w:sz w:val="22"/>
                <w:szCs w:val="22"/>
                <w:color w:val="auto"/>
              </w:rPr>
              <w:t>Conduct of the Business</w:t>
            </w:r>
          </w:p>
        </w:tc>
        <w:tc>
          <w:tcPr>
            <w:tcW w:w="19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7.2</w:t>
            </w:r>
          </w:p>
        </w:tc>
        <w:tc>
          <w:tcPr>
            <w:tcW w:w="6760" w:type="dxa"/>
            <w:vAlign w:val="bottom"/>
          </w:tcPr>
          <w:p>
            <w:pPr>
              <w:ind w:left="220"/>
              <w:spacing w:after="0"/>
              <w:rPr>
                <w:sz w:val="20"/>
                <w:szCs w:val="20"/>
                <w:color w:val="auto"/>
              </w:rPr>
            </w:pPr>
            <w:r>
              <w:rPr>
                <w:rFonts w:ascii="Arial" w:cs="Arial" w:eastAsia="Arial" w:hAnsi="Arial"/>
                <w:sz w:val="22"/>
                <w:szCs w:val="22"/>
                <w:color w:val="auto"/>
              </w:rPr>
              <w:t>Access</w:t>
            </w:r>
          </w:p>
        </w:tc>
        <w:tc>
          <w:tcPr>
            <w:tcW w:w="19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7.3</w:t>
            </w:r>
          </w:p>
        </w:tc>
        <w:tc>
          <w:tcPr>
            <w:tcW w:w="6760" w:type="dxa"/>
            <w:vAlign w:val="bottom"/>
          </w:tcPr>
          <w:p>
            <w:pPr>
              <w:ind w:left="220"/>
              <w:spacing w:after="0"/>
              <w:rPr>
                <w:sz w:val="20"/>
                <w:szCs w:val="20"/>
                <w:color w:val="auto"/>
              </w:rPr>
            </w:pPr>
            <w:r>
              <w:rPr>
                <w:rFonts w:ascii="Arial" w:cs="Arial" w:eastAsia="Arial" w:hAnsi="Arial"/>
                <w:sz w:val="22"/>
                <w:szCs w:val="22"/>
                <w:color w:val="auto"/>
              </w:rPr>
              <w:t>Confidentiality</w:t>
            </w:r>
          </w:p>
        </w:tc>
        <w:tc>
          <w:tcPr>
            <w:tcW w:w="19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7.4</w:t>
            </w:r>
          </w:p>
        </w:tc>
        <w:tc>
          <w:tcPr>
            <w:tcW w:w="6760" w:type="dxa"/>
            <w:vAlign w:val="bottom"/>
          </w:tcPr>
          <w:p>
            <w:pPr>
              <w:ind w:left="220"/>
              <w:spacing w:after="0"/>
              <w:rPr>
                <w:sz w:val="20"/>
                <w:szCs w:val="20"/>
                <w:color w:val="auto"/>
              </w:rPr>
            </w:pPr>
            <w:r>
              <w:rPr>
                <w:rFonts w:ascii="Arial" w:cs="Arial" w:eastAsia="Arial" w:hAnsi="Arial"/>
                <w:sz w:val="22"/>
                <w:szCs w:val="22"/>
                <w:color w:val="auto"/>
              </w:rPr>
              <w:t>Notices of Events</w:t>
            </w:r>
          </w:p>
        </w:tc>
        <w:tc>
          <w:tcPr>
            <w:tcW w:w="19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7.5</w:t>
            </w:r>
          </w:p>
        </w:tc>
        <w:tc>
          <w:tcPr>
            <w:tcW w:w="6760" w:type="dxa"/>
            <w:vAlign w:val="bottom"/>
          </w:tcPr>
          <w:p>
            <w:pPr>
              <w:ind w:left="220"/>
              <w:spacing w:after="0"/>
              <w:rPr>
                <w:sz w:val="20"/>
                <w:szCs w:val="20"/>
                <w:color w:val="auto"/>
              </w:rPr>
            </w:pPr>
            <w:r>
              <w:rPr>
                <w:rFonts w:ascii="Arial" w:cs="Arial" w:eastAsia="Arial" w:hAnsi="Arial"/>
                <w:sz w:val="22"/>
                <w:szCs w:val="22"/>
                <w:color w:val="auto"/>
              </w:rPr>
              <w:t>Expenses</w:t>
            </w:r>
          </w:p>
        </w:tc>
        <w:tc>
          <w:tcPr>
            <w:tcW w:w="1940" w:type="dxa"/>
            <w:vAlign w:val="bottom"/>
          </w:tcPr>
          <w:p>
            <w:pPr>
              <w:jc w:val="right"/>
              <w:spacing w:after="0"/>
              <w:rPr>
                <w:sz w:val="20"/>
                <w:szCs w:val="20"/>
                <w:color w:val="auto"/>
              </w:rPr>
            </w:pPr>
            <w:r>
              <w:rPr>
                <w:rFonts w:ascii="Arial" w:cs="Arial" w:eastAsia="Arial" w:hAnsi="Arial"/>
                <w:sz w:val="22"/>
                <w:szCs w:val="22"/>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20"/>
          </w:cols>
          <w:pgMar w:left="340" w:top="126" w:right="33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22"/>
          <w:szCs w:val="22"/>
          <w:b w:val="1"/>
          <w:bCs w:val="1"/>
          <w:color w:val="auto"/>
        </w:rPr>
        <w:t>TABLE OF CONTENTS (cont’d)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860" w:type="dxa"/>
            <w:vAlign w:val="bottom"/>
          </w:tcPr>
          <w:p>
            <w:pPr>
              <w:jc w:val="right"/>
              <w:spacing w:after="0"/>
              <w:rPr>
                <w:sz w:val="20"/>
                <w:szCs w:val="20"/>
                <w:color w:val="auto"/>
              </w:rPr>
            </w:pPr>
            <w:r>
              <w:rPr>
                <w:rFonts w:ascii="Arial" w:cs="Arial" w:eastAsia="Arial" w:hAnsi="Arial"/>
                <w:sz w:val="22"/>
                <w:szCs w:val="22"/>
                <w:color w:val="auto"/>
              </w:rPr>
              <w:t>Section 7.6</w:t>
            </w:r>
          </w:p>
        </w:tc>
        <w:tc>
          <w:tcPr>
            <w:tcW w:w="6780" w:type="dxa"/>
            <w:vAlign w:val="bottom"/>
          </w:tcPr>
          <w:p>
            <w:pPr>
              <w:ind w:left="220"/>
              <w:spacing w:after="0"/>
              <w:rPr>
                <w:sz w:val="20"/>
                <w:szCs w:val="20"/>
                <w:color w:val="auto"/>
              </w:rPr>
            </w:pPr>
            <w:r>
              <w:rPr>
                <w:rFonts w:ascii="Arial" w:cs="Arial" w:eastAsia="Arial" w:hAnsi="Arial"/>
                <w:sz w:val="22"/>
                <w:szCs w:val="22"/>
                <w:color w:val="auto"/>
              </w:rPr>
              <w:t>Further Assurances</w:t>
            </w:r>
          </w:p>
        </w:tc>
        <w:tc>
          <w:tcPr>
            <w:tcW w:w="19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7.7</w:t>
            </w:r>
          </w:p>
        </w:tc>
        <w:tc>
          <w:tcPr>
            <w:tcW w:w="6780" w:type="dxa"/>
            <w:vAlign w:val="bottom"/>
          </w:tcPr>
          <w:p>
            <w:pPr>
              <w:ind w:left="220"/>
              <w:spacing w:after="0"/>
              <w:rPr>
                <w:sz w:val="20"/>
                <w:szCs w:val="20"/>
                <w:color w:val="auto"/>
              </w:rPr>
            </w:pPr>
            <w:r>
              <w:rPr>
                <w:rFonts w:ascii="Arial" w:cs="Arial" w:eastAsia="Arial" w:hAnsi="Arial"/>
                <w:sz w:val="22"/>
                <w:szCs w:val="22"/>
                <w:color w:val="auto"/>
              </w:rPr>
              <w:t>Transition Plan</w:t>
            </w:r>
          </w:p>
        </w:tc>
        <w:tc>
          <w:tcPr>
            <w:tcW w:w="192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7.8</w:t>
            </w:r>
          </w:p>
        </w:tc>
        <w:tc>
          <w:tcPr>
            <w:tcW w:w="6780" w:type="dxa"/>
            <w:vAlign w:val="bottom"/>
          </w:tcPr>
          <w:p>
            <w:pPr>
              <w:ind w:left="220"/>
              <w:spacing w:after="0"/>
              <w:rPr>
                <w:sz w:val="20"/>
                <w:szCs w:val="20"/>
                <w:color w:val="auto"/>
              </w:rPr>
            </w:pPr>
            <w:r>
              <w:rPr>
                <w:rFonts w:ascii="Arial" w:cs="Arial" w:eastAsia="Arial" w:hAnsi="Arial"/>
                <w:sz w:val="22"/>
                <w:szCs w:val="22"/>
                <w:color w:val="auto"/>
              </w:rPr>
              <w:t>Governmental Approvals</w:t>
            </w:r>
          </w:p>
        </w:tc>
        <w:tc>
          <w:tcPr>
            <w:tcW w:w="19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7.9</w:t>
            </w:r>
          </w:p>
        </w:tc>
        <w:tc>
          <w:tcPr>
            <w:tcW w:w="6780" w:type="dxa"/>
            <w:vAlign w:val="bottom"/>
          </w:tcPr>
          <w:p>
            <w:pPr>
              <w:ind w:left="220"/>
              <w:spacing w:after="0"/>
              <w:rPr>
                <w:sz w:val="20"/>
                <w:szCs w:val="20"/>
                <w:color w:val="auto"/>
              </w:rPr>
            </w:pPr>
            <w:r>
              <w:rPr>
                <w:rFonts w:ascii="Arial" w:cs="Arial" w:eastAsia="Arial" w:hAnsi="Arial"/>
                <w:sz w:val="22"/>
                <w:szCs w:val="22"/>
                <w:color w:val="auto"/>
              </w:rPr>
              <w:t>Tax Matters</w:t>
            </w:r>
          </w:p>
        </w:tc>
        <w:tc>
          <w:tcPr>
            <w:tcW w:w="192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7.10</w:t>
            </w:r>
          </w:p>
        </w:tc>
        <w:tc>
          <w:tcPr>
            <w:tcW w:w="6780" w:type="dxa"/>
            <w:vAlign w:val="bottom"/>
          </w:tcPr>
          <w:p>
            <w:pPr>
              <w:ind w:left="220"/>
              <w:spacing w:after="0"/>
              <w:rPr>
                <w:sz w:val="20"/>
                <w:szCs w:val="20"/>
                <w:color w:val="auto"/>
              </w:rPr>
            </w:pPr>
            <w:r>
              <w:rPr>
                <w:rFonts w:ascii="Arial" w:cs="Arial" w:eastAsia="Arial" w:hAnsi="Arial"/>
                <w:sz w:val="22"/>
                <w:szCs w:val="22"/>
                <w:color w:val="auto"/>
              </w:rPr>
              <w:t>Employees</w:t>
            </w:r>
          </w:p>
        </w:tc>
        <w:tc>
          <w:tcPr>
            <w:tcW w:w="19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7.11</w:t>
            </w:r>
          </w:p>
        </w:tc>
        <w:tc>
          <w:tcPr>
            <w:tcW w:w="6780" w:type="dxa"/>
            <w:vAlign w:val="bottom"/>
          </w:tcPr>
          <w:p>
            <w:pPr>
              <w:ind w:left="220"/>
              <w:spacing w:after="0"/>
              <w:rPr>
                <w:sz w:val="20"/>
                <w:szCs w:val="20"/>
                <w:color w:val="auto"/>
              </w:rPr>
            </w:pPr>
            <w:r>
              <w:rPr>
                <w:rFonts w:ascii="Arial" w:cs="Arial" w:eastAsia="Arial" w:hAnsi="Arial"/>
                <w:sz w:val="22"/>
                <w:szCs w:val="22"/>
                <w:color w:val="auto"/>
              </w:rPr>
              <w:t>Employee Benefits</w:t>
            </w:r>
          </w:p>
        </w:tc>
        <w:tc>
          <w:tcPr>
            <w:tcW w:w="19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7.12</w:t>
            </w:r>
          </w:p>
        </w:tc>
        <w:tc>
          <w:tcPr>
            <w:tcW w:w="6780" w:type="dxa"/>
            <w:vAlign w:val="bottom"/>
          </w:tcPr>
          <w:p>
            <w:pPr>
              <w:ind w:left="220"/>
              <w:spacing w:after="0"/>
              <w:rPr>
                <w:sz w:val="20"/>
                <w:szCs w:val="20"/>
                <w:color w:val="auto"/>
              </w:rPr>
            </w:pPr>
            <w:r>
              <w:rPr>
                <w:rFonts w:ascii="Arial" w:cs="Arial" w:eastAsia="Arial" w:hAnsi="Arial"/>
                <w:sz w:val="22"/>
                <w:szCs w:val="22"/>
                <w:color w:val="auto"/>
              </w:rPr>
              <w:t>Insurance Policies</w:t>
            </w:r>
          </w:p>
        </w:tc>
        <w:tc>
          <w:tcPr>
            <w:tcW w:w="19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7.13</w:t>
            </w:r>
          </w:p>
        </w:tc>
        <w:tc>
          <w:tcPr>
            <w:tcW w:w="6780" w:type="dxa"/>
            <w:vAlign w:val="bottom"/>
          </w:tcPr>
          <w:p>
            <w:pPr>
              <w:ind w:left="220"/>
              <w:spacing w:after="0"/>
              <w:rPr>
                <w:sz w:val="20"/>
                <w:szCs w:val="20"/>
                <w:color w:val="auto"/>
              </w:rPr>
            </w:pPr>
            <w:r>
              <w:rPr>
                <w:rFonts w:ascii="Arial" w:cs="Arial" w:eastAsia="Arial" w:hAnsi="Arial"/>
                <w:sz w:val="22"/>
                <w:szCs w:val="22"/>
                <w:color w:val="auto"/>
              </w:rPr>
              <w:t>Transitional Use of Signage</w:t>
            </w:r>
          </w:p>
        </w:tc>
        <w:tc>
          <w:tcPr>
            <w:tcW w:w="19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7.14</w:t>
            </w:r>
          </w:p>
        </w:tc>
        <w:tc>
          <w:tcPr>
            <w:tcW w:w="6780" w:type="dxa"/>
            <w:vAlign w:val="bottom"/>
          </w:tcPr>
          <w:p>
            <w:pPr>
              <w:ind w:left="220"/>
              <w:spacing w:after="0"/>
              <w:rPr>
                <w:sz w:val="20"/>
                <w:szCs w:val="20"/>
                <w:color w:val="auto"/>
              </w:rPr>
            </w:pPr>
            <w:r>
              <w:rPr>
                <w:rFonts w:ascii="Arial" w:cs="Arial" w:eastAsia="Arial" w:hAnsi="Arial"/>
                <w:sz w:val="22"/>
                <w:szCs w:val="22"/>
                <w:color w:val="auto"/>
              </w:rPr>
              <w:t>Litigation Support</w:t>
            </w:r>
          </w:p>
        </w:tc>
        <w:tc>
          <w:tcPr>
            <w:tcW w:w="19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7.15</w:t>
            </w:r>
          </w:p>
        </w:tc>
        <w:tc>
          <w:tcPr>
            <w:tcW w:w="6780" w:type="dxa"/>
            <w:vAlign w:val="bottom"/>
          </w:tcPr>
          <w:p>
            <w:pPr>
              <w:ind w:left="220"/>
              <w:spacing w:after="0"/>
              <w:rPr>
                <w:sz w:val="20"/>
                <w:szCs w:val="20"/>
                <w:color w:val="auto"/>
              </w:rPr>
            </w:pPr>
            <w:r>
              <w:rPr>
                <w:rFonts w:ascii="Arial" w:cs="Arial" w:eastAsia="Arial" w:hAnsi="Arial"/>
                <w:sz w:val="22"/>
                <w:szCs w:val="22"/>
                <w:color w:val="auto"/>
              </w:rPr>
              <w:t>Notification of Customers</w:t>
            </w:r>
          </w:p>
        </w:tc>
        <w:tc>
          <w:tcPr>
            <w:tcW w:w="19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7.16</w:t>
            </w:r>
          </w:p>
        </w:tc>
        <w:tc>
          <w:tcPr>
            <w:tcW w:w="6780" w:type="dxa"/>
            <w:vAlign w:val="bottom"/>
          </w:tcPr>
          <w:p>
            <w:pPr>
              <w:ind w:left="220"/>
              <w:spacing w:after="0"/>
              <w:rPr>
                <w:sz w:val="20"/>
                <w:szCs w:val="20"/>
                <w:color w:val="auto"/>
              </w:rPr>
            </w:pPr>
            <w:r>
              <w:rPr>
                <w:rFonts w:ascii="Arial" w:cs="Arial" w:eastAsia="Arial" w:hAnsi="Arial"/>
                <w:sz w:val="22"/>
                <w:szCs w:val="22"/>
                <w:color w:val="auto"/>
              </w:rPr>
              <w:t>Public Statements</w:t>
            </w:r>
          </w:p>
        </w:tc>
        <w:tc>
          <w:tcPr>
            <w:tcW w:w="19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7.17</w:t>
            </w:r>
          </w:p>
        </w:tc>
        <w:tc>
          <w:tcPr>
            <w:tcW w:w="6780" w:type="dxa"/>
            <w:vAlign w:val="bottom"/>
          </w:tcPr>
          <w:p>
            <w:pPr>
              <w:ind w:left="220"/>
              <w:spacing w:after="0"/>
              <w:rPr>
                <w:sz w:val="20"/>
                <w:szCs w:val="20"/>
                <w:color w:val="auto"/>
              </w:rPr>
            </w:pPr>
            <w:r>
              <w:rPr>
                <w:rFonts w:ascii="Arial" w:cs="Arial" w:eastAsia="Arial" w:hAnsi="Arial"/>
                <w:sz w:val="22"/>
                <w:szCs w:val="22"/>
                <w:color w:val="auto"/>
              </w:rPr>
              <w:t>Indemnification</w:t>
            </w:r>
          </w:p>
        </w:tc>
        <w:tc>
          <w:tcPr>
            <w:tcW w:w="19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7.18</w:t>
            </w:r>
          </w:p>
        </w:tc>
        <w:tc>
          <w:tcPr>
            <w:tcW w:w="6780" w:type="dxa"/>
            <w:vAlign w:val="bottom"/>
          </w:tcPr>
          <w:p>
            <w:pPr>
              <w:ind w:left="220"/>
              <w:spacing w:after="0"/>
              <w:rPr>
                <w:sz w:val="20"/>
                <w:szCs w:val="20"/>
                <w:color w:val="auto"/>
              </w:rPr>
            </w:pPr>
            <w:r>
              <w:rPr>
                <w:rFonts w:ascii="Arial" w:cs="Arial" w:eastAsia="Arial" w:hAnsi="Arial"/>
                <w:sz w:val="22"/>
                <w:szCs w:val="22"/>
                <w:color w:val="auto"/>
              </w:rPr>
              <w:t>Shared Contracts</w:t>
            </w:r>
          </w:p>
        </w:tc>
        <w:tc>
          <w:tcPr>
            <w:tcW w:w="19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7.19</w:t>
            </w:r>
          </w:p>
        </w:tc>
        <w:tc>
          <w:tcPr>
            <w:tcW w:w="6780" w:type="dxa"/>
            <w:vAlign w:val="bottom"/>
          </w:tcPr>
          <w:p>
            <w:pPr>
              <w:ind w:left="220"/>
              <w:spacing w:after="0"/>
              <w:rPr>
                <w:sz w:val="20"/>
                <w:szCs w:val="20"/>
                <w:color w:val="auto"/>
              </w:rPr>
            </w:pPr>
            <w:r>
              <w:rPr>
                <w:rFonts w:ascii="Arial" w:cs="Arial" w:eastAsia="Arial" w:hAnsi="Arial"/>
                <w:sz w:val="22"/>
                <w:szCs w:val="22"/>
                <w:color w:val="auto"/>
              </w:rPr>
              <w:t>Contact with Employees, Customers and Suppliers</w:t>
            </w:r>
          </w:p>
        </w:tc>
        <w:tc>
          <w:tcPr>
            <w:tcW w:w="19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7.20</w:t>
            </w:r>
          </w:p>
        </w:tc>
        <w:tc>
          <w:tcPr>
            <w:tcW w:w="6780" w:type="dxa"/>
            <w:vAlign w:val="bottom"/>
          </w:tcPr>
          <w:p>
            <w:pPr>
              <w:ind w:left="220"/>
              <w:spacing w:after="0"/>
              <w:rPr>
                <w:sz w:val="20"/>
                <w:szCs w:val="20"/>
                <w:color w:val="auto"/>
              </w:rPr>
            </w:pPr>
            <w:r>
              <w:rPr>
                <w:rFonts w:ascii="Arial" w:cs="Arial" w:eastAsia="Arial" w:hAnsi="Arial"/>
                <w:sz w:val="22"/>
                <w:szCs w:val="22"/>
                <w:color w:val="auto"/>
              </w:rPr>
              <w:t>Litigation Defense</w:t>
            </w:r>
          </w:p>
        </w:tc>
        <w:tc>
          <w:tcPr>
            <w:tcW w:w="19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7.21</w:t>
            </w:r>
          </w:p>
        </w:tc>
        <w:tc>
          <w:tcPr>
            <w:tcW w:w="6780" w:type="dxa"/>
            <w:vAlign w:val="bottom"/>
          </w:tcPr>
          <w:p>
            <w:pPr>
              <w:ind w:left="220"/>
              <w:spacing w:after="0"/>
              <w:rPr>
                <w:sz w:val="20"/>
                <w:szCs w:val="20"/>
                <w:color w:val="auto"/>
              </w:rPr>
            </w:pPr>
            <w:r>
              <w:rPr>
                <w:rFonts w:ascii="Arial" w:cs="Arial" w:eastAsia="Arial" w:hAnsi="Arial"/>
                <w:sz w:val="22"/>
                <w:szCs w:val="22"/>
                <w:color w:val="auto"/>
              </w:rPr>
              <w:t>Financing</w:t>
            </w:r>
          </w:p>
        </w:tc>
        <w:tc>
          <w:tcPr>
            <w:tcW w:w="19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7.22</w:t>
            </w:r>
          </w:p>
        </w:tc>
        <w:tc>
          <w:tcPr>
            <w:tcW w:w="6780" w:type="dxa"/>
            <w:vAlign w:val="bottom"/>
          </w:tcPr>
          <w:p>
            <w:pPr>
              <w:ind w:left="220"/>
              <w:spacing w:after="0"/>
              <w:rPr>
                <w:sz w:val="20"/>
                <w:szCs w:val="20"/>
                <w:color w:val="auto"/>
              </w:rPr>
            </w:pPr>
            <w:r>
              <w:rPr>
                <w:rFonts w:ascii="Arial" w:cs="Arial" w:eastAsia="Arial" w:hAnsi="Arial"/>
                <w:sz w:val="22"/>
                <w:szCs w:val="22"/>
                <w:color w:val="auto"/>
              </w:rPr>
              <w:t>Financing Cooperation</w:t>
            </w:r>
          </w:p>
        </w:tc>
        <w:tc>
          <w:tcPr>
            <w:tcW w:w="19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7.23</w:t>
            </w:r>
          </w:p>
        </w:tc>
        <w:tc>
          <w:tcPr>
            <w:tcW w:w="6780" w:type="dxa"/>
            <w:vAlign w:val="bottom"/>
          </w:tcPr>
          <w:p>
            <w:pPr>
              <w:ind w:left="220"/>
              <w:spacing w:after="0"/>
              <w:rPr>
                <w:sz w:val="20"/>
                <w:szCs w:val="20"/>
                <w:color w:val="auto"/>
              </w:rPr>
            </w:pPr>
            <w:r>
              <w:rPr>
                <w:rFonts w:ascii="Arial" w:cs="Arial" w:eastAsia="Arial" w:hAnsi="Arial"/>
                <w:sz w:val="22"/>
                <w:szCs w:val="22"/>
                <w:color w:val="auto"/>
              </w:rPr>
              <w:t>Disclosure Schedule Updates</w:t>
            </w:r>
          </w:p>
        </w:tc>
        <w:tc>
          <w:tcPr>
            <w:tcW w:w="19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1860" w:type="dxa"/>
            <w:vAlign w:val="bottom"/>
          </w:tcPr>
          <w:p>
            <w:pPr>
              <w:spacing w:after="0"/>
              <w:rPr>
                <w:sz w:val="20"/>
                <w:szCs w:val="20"/>
                <w:color w:val="auto"/>
              </w:rPr>
            </w:pPr>
            <w:r>
              <w:rPr>
                <w:rFonts w:ascii="Arial" w:cs="Arial" w:eastAsia="Arial" w:hAnsi="Arial"/>
                <w:sz w:val="22"/>
                <w:szCs w:val="22"/>
                <w:color w:val="auto"/>
              </w:rPr>
              <w:t>ARTICLE VIII</w:t>
            </w:r>
          </w:p>
        </w:tc>
        <w:tc>
          <w:tcPr>
            <w:tcW w:w="6780" w:type="dxa"/>
            <w:vAlign w:val="bottom"/>
          </w:tcPr>
          <w:p>
            <w:pPr>
              <w:spacing w:after="0"/>
              <w:rPr>
                <w:sz w:val="20"/>
                <w:szCs w:val="20"/>
                <w:color w:val="auto"/>
              </w:rPr>
            </w:pPr>
            <w:r>
              <w:rPr>
                <w:rFonts w:ascii="Arial" w:cs="Arial" w:eastAsia="Arial" w:hAnsi="Arial"/>
                <w:sz w:val="22"/>
                <w:szCs w:val="22"/>
                <w:color w:val="auto"/>
              </w:rPr>
              <w:t>CONDITIONS TO CLOSING</w:t>
            </w:r>
          </w:p>
        </w:tc>
        <w:tc>
          <w:tcPr>
            <w:tcW w:w="19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8.1</w:t>
            </w:r>
          </w:p>
        </w:tc>
        <w:tc>
          <w:tcPr>
            <w:tcW w:w="6780" w:type="dxa"/>
            <w:vAlign w:val="bottom"/>
          </w:tcPr>
          <w:p>
            <w:pPr>
              <w:ind w:left="220"/>
              <w:spacing w:after="0"/>
              <w:rPr>
                <w:sz w:val="20"/>
                <w:szCs w:val="20"/>
                <w:color w:val="auto"/>
              </w:rPr>
            </w:pPr>
            <w:r>
              <w:rPr>
                <w:rFonts w:ascii="Arial" w:cs="Arial" w:eastAsia="Arial" w:hAnsi="Arial"/>
                <w:sz w:val="22"/>
                <w:szCs w:val="22"/>
                <w:color w:val="auto"/>
              </w:rPr>
              <w:t>Conditions to Each Party’s Closing Obligations</w:t>
            </w:r>
          </w:p>
        </w:tc>
        <w:tc>
          <w:tcPr>
            <w:tcW w:w="19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8.2</w:t>
            </w:r>
          </w:p>
        </w:tc>
        <w:tc>
          <w:tcPr>
            <w:tcW w:w="6780" w:type="dxa"/>
            <w:vAlign w:val="bottom"/>
          </w:tcPr>
          <w:p>
            <w:pPr>
              <w:ind w:left="220"/>
              <w:spacing w:after="0"/>
              <w:rPr>
                <w:sz w:val="20"/>
                <w:szCs w:val="20"/>
                <w:color w:val="auto"/>
              </w:rPr>
            </w:pPr>
            <w:r>
              <w:rPr>
                <w:rFonts w:ascii="Arial" w:cs="Arial" w:eastAsia="Arial" w:hAnsi="Arial"/>
                <w:sz w:val="22"/>
                <w:szCs w:val="22"/>
                <w:color w:val="auto"/>
              </w:rPr>
              <w:t>Conditions to Buyer’s Closing Obligations</w:t>
            </w:r>
          </w:p>
        </w:tc>
        <w:tc>
          <w:tcPr>
            <w:tcW w:w="19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8.3</w:t>
            </w:r>
          </w:p>
        </w:tc>
        <w:tc>
          <w:tcPr>
            <w:tcW w:w="6780" w:type="dxa"/>
            <w:vAlign w:val="bottom"/>
          </w:tcPr>
          <w:p>
            <w:pPr>
              <w:ind w:left="220"/>
              <w:spacing w:after="0"/>
              <w:rPr>
                <w:sz w:val="20"/>
                <w:szCs w:val="20"/>
                <w:color w:val="auto"/>
              </w:rPr>
            </w:pPr>
            <w:r>
              <w:rPr>
                <w:rFonts w:ascii="Arial" w:cs="Arial" w:eastAsia="Arial" w:hAnsi="Arial"/>
                <w:sz w:val="22"/>
                <w:szCs w:val="22"/>
                <w:color w:val="auto"/>
              </w:rPr>
              <w:t>Conditions to Seller’s Closing Obligations</w:t>
            </w:r>
          </w:p>
        </w:tc>
        <w:tc>
          <w:tcPr>
            <w:tcW w:w="19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10"/>
        </w:trPr>
        <w:tc>
          <w:tcPr>
            <w:tcW w:w="1860" w:type="dxa"/>
            <w:vAlign w:val="bottom"/>
          </w:tcPr>
          <w:p>
            <w:pPr>
              <w:spacing w:after="0"/>
              <w:rPr>
                <w:sz w:val="20"/>
                <w:szCs w:val="20"/>
                <w:color w:val="auto"/>
              </w:rPr>
            </w:pPr>
            <w:r>
              <w:rPr>
                <w:rFonts w:ascii="Arial" w:cs="Arial" w:eastAsia="Arial" w:hAnsi="Arial"/>
                <w:sz w:val="22"/>
                <w:szCs w:val="22"/>
                <w:color w:val="auto"/>
              </w:rPr>
              <w:t>ARTICLE IX</w:t>
            </w:r>
          </w:p>
        </w:tc>
        <w:tc>
          <w:tcPr>
            <w:tcW w:w="6780" w:type="dxa"/>
            <w:vAlign w:val="bottom"/>
          </w:tcPr>
          <w:p>
            <w:pPr>
              <w:spacing w:after="0"/>
              <w:rPr>
                <w:sz w:val="20"/>
                <w:szCs w:val="20"/>
                <w:color w:val="auto"/>
              </w:rPr>
            </w:pPr>
            <w:r>
              <w:rPr>
                <w:rFonts w:ascii="Arial" w:cs="Arial" w:eastAsia="Arial" w:hAnsi="Arial"/>
                <w:sz w:val="22"/>
                <w:szCs w:val="22"/>
                <w:color w:val="auto"/>
              </w:rPr>
              <w:t>SURVIVAL, TERMINATION AND OTHER REMEDIES</w:t>
            </w:r>
          </w:p>
        </w:tc>
        <w:tc>
          <w:tcPr>
            <w:tcW w:w="192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9.1</w:t>
            </w:r>
          </w:p>
        </w:tc>
        <w:tc>
          <w:tcPr>
            <w:tcW w:w="6780" w:type="dxa"/>
            <w:vAlign w:val="bottom"/>
          </w:tcPr>
          <w:p>
            <w:pPr>
              <w:ind w:left="220"/>
              <w:spacing w:after="0"/>
              <w:rPr>
                <w:sz w:val="20"/>
                <w:szCs w:val="20"/>
                <w:color w:val="auto"/>
              </w:rPr>
            </w:pPr>
            <w:r>
              <w:rPr>
                <w:rFonts w:ascii="Arial" w:cs="Arial" w:eastAsia="Arial" w:hAnsi="Arial"/>
                <w:sz w:val="22"/>
                <w:szCs w:val="22"/>
                <w:color w:val="auto"/>
              </w:rPr>
              <w:t>Survival</w:t>
            </w:r>
          </w:p>
        </w:tc>
        <w:tc>
          <w:tcPr>
            <w:tcW w:w="192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9.2</w:t>
            </w:r>
          </w:p>
        </w:tc>
        <w:tc>
          <w:tcPr>
            <w:tcW w:w="6780" w:type="dxa"/>
            <w:vAlign w:val="bottom"/>
          </w:tcPr>
          <w:p>
            <w:pPr>
              <w:ind w:left="220"/>
              <w:spacing w:after="0"/>
              <w:rPr>
                <w:sz w:val="20"/>
                <w:szCs w:val="20"/>
                <w:color w:val="auto"/>
              </w:rPr>
            </w:pPr>
            <w:r>
              <w:rPr>
                <w:rFonts w:ascii="Arial" w:cs="Arial" w:eastAsia="Arial" w:hAnsi="Arial"/>
                <w:sz w:val="22"/>
                <w:szCs w:val="22"/>
                <w:color w:val="auto"/>
              </w:rPr>
              <w:t>Termination</w:t>
            </w:r>
          </w:p>
        </w:tc>
        <w:tc>
          <w:tcPr>
            <w:tcW w:w="19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9.3</w:t>
            </w:r>
          </w:p>
        </w:tc>
        <w:tc>
          <w:tcPr>
            <w:tcW w:w="6780" w:type="dxa"/>
            <w:vAlign w:val="bottom"/>
          </w:tcPr>
          <w:p>
            <w:pPr>
              <w:ind w:left="220"/>
              <w:spacing w:after="0"/>
              <w:rPr>
                <w:sz w:val="20"/>
                <w:szCs w:val="20"/>
                <w:color w:val="auto"/>
              </w:rPr>
            </w:pPr>
            <w:r>
              <w:rPr>
                <w:rFonts w:ascii="Arial" w:cs="Arial" w:eastAsia="Arial" w:hAnsi="Arial"/>
                <w:sz w:val="22"/>
                <w:szCs w:val="22"/>
                <w:color w:val="auto"/>
              </w:rPr>
              <w:t>Procedure; Effect of Termination</w:t>
            </w:r>
          </w:p>
        </w:tc>
        <w:tc>
          <w:tcPr>
            <w:tcW w:w="19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10"/>
        </w:trPr>
        <w:tc>
          <w:tcPr>
            <w:tcW w:w="1860" w:type="dxa"/>
            <w:vAlign w:val="bottom"/>
          </w:tcPr>
          <w:p>
            <w:pPr>
              <w:spacing w:after="0"/>
              <w:rPr>
                <w:sz w:val="20"/>
                <w:szCs w:val="20"/>
                <w:color w:val="auto"/>
              </w:rPr>
            </w:pPr>
            <w:r>
              <w:rPr>
                <w:rFonts w:ascii="Arial" w:cs="Arial" w:eastAsia="Arial" w:hAnsi="Arial"/>
                <w:sz w:val="22"/>
                <w:szCs w:val="22"/>
                <w:color w:val="auto"/>
              </w:rPr>
              <w:t>ARTICLE X</w:t>
            </w:r>
          </w:p>
        </w:tc>
        <w:tc>
          <w:tcPr>
            <w:tcW w:w="6780" w:type="dxa"/>
            <w:vAlign w:val="bottom"/>
          </w:tcPr>
          <w:p>
            <w:pPr>
              <w:spacing w:after="0"/>
              <w:rPr>
                <w:sz w:val="20"/>
                <w:szCs w:val="20"/>
                <w:color w:val="auto"/>
              </w:rPr>
            </w:pPr>
            <w:r>
              <w:rPr>
                <w:rFonts w:ascii="Arial" w:cs="Arial" w:eastAsia="Arial" w:hAnsi="Arial"/>
                <w:sz w:val="22"/>
                <w:szCs w:val="22"/>
                <w:color w:val="auto"/>
              </w:rPr>
              <w:t>MISCELLANEOUS PROVISIONS</w:t>
            </w:r>
          </w:p>
        </w:tc>
        <w:tc>
          <w:tcPr>
            <w:tcW w:w="19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1"/>
        </w:trPr>
        <w:tc>
          <w:tcPr>
            <w:tcW w:w="1860" w:type="dxa"/>
            <w:vAlign w:val="bottom"/>
          </w:tcPr>
          <w:p>
            <w:pPr>
              <w:jc w:val="right"/>
              <w:spacing w:after="0"/>
              <w:rPr>
                <w:sz w:val="20"/>
                <w:szCs w:val="20"/>
                <w:color w:val="auto"/>
              </w:rPr>
            </w:pPr>
            <w:r>
              <w:rPr>
                <w:rFonts w:ascii="Arial" w:cs="Arial" w:eastAsia="Arial" w:hAnsi="Arial"/>
                <w:sz w:val="22"/>
                <w:szCs w:val="22"/>
                <w:color w:val="auto"/>
              </w:rPr>
              <w:t>Section 10.1</w:t>
            </w:r>
          </w:p>
        </w:tc>
        <w:tc>
          <w:tcPr>
            <w:tcW w:w="6780" w:type="dxa"/>
            <w:vAlign w:val="bottom"/>
          </w:tcPr>
          <w:p>
            <w:pPr>
              <w:ind w:left="220"/>
              <w:spacing w:after="0"/>
              <w:rPr>
                <w:sz w:val="20"/>
                <w:szCs w:val="20"/>
                <w:color w:val="auto"/>
              </w:rPr>
            </w:pPr>
            <w:r>
              <w:rPr>
                <w:rFonts w:ascii="Arial" w:cs="Arial" w:eastAsia="Arial" w:hAnsi="Arial"/>
                <w:sz w:val="22"/>
                <w:szCs w:val="22"/>
                <w:color w:val="auto"/>
              </w:rPr>
              <w:t>Amendment</w:t>
            </w:r>
          </w:p>
        </w:tc>
        <w:tc>
          <w:tcPr>
            <w:tcW w:w="19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10.2</w:t>
            </w:r>
          </w:p>
        </w:tc>
        <w:tc>
          <w:tcPr>
            <w:tcW w:w="6780" w:type="dxa"/>
            <w:vAlign w:val="bottom"/>
          </w:tcPr>
          <w:p>
            <w:pPr>
              <w:ind w:left="220"/>
              <w:spacing w:after="0"/>
              <w:rPr>
                <w:sz w:val="20"/>
                <w:szCs w:val="20"/>
                <w:color w:val="auto"/>
              </w:rPr>
            </w:pPr>
            <w:r>
              <w:rPr>
                <w:rFonts w:ascii="Arial" w:cs="Arial" w:eastAsia="Arial" w:hAnsi="Arial"/>
                <w:sz w:val="22"/>
                <w:szCs w:val="22"/>
                <w:color w:val="auto"/>
              </w:rPr>
              <w:t>Waivers and Consents</w:t>
            </w:r>
          </w:p>
        </w:tc>
        <w:tc>
          <w:tcPr>
            <w:tcW w:w="19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10.3</w:t>
            </w:r>
          </w:p>
        </w:tc>
        <w:tc>
          <w:tcPr>
            <w:tcW w:w="6780" w:type="dxa"/>
            <w:vAlign w:val="bottom"/>
          </w:tcPr>
          <w:p>
            <w:pPr>
              <w:ind w:left="220"/>
              <w:spacing w:after="0"/>
              <w:rPr>
                <w:sz w:val="20"/>
                <w:szCs w:val="20"/>
                <w:color w:val="auto"/>
              </w:rPr>
            </w:pPr>
            <w:r>
              <w:rPr>
                <w:rFonts w:ascii="Arial" w:cs="Arial" w:eastAsia="Arial" w:hAnsi="Arial"/>
                <w:sz w:val="22"/>
                <w:szCs w:val="22"/>
                <w:color w:val="auto"/>
              </w:rPr>
              <w:t>Notices</w:t>
            </w:r>
          </w:p>
        </w:tc>
        <w:tc>
          <w:tcPr>
            <w:tcW w:w="19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10.4</w:t>
            </w:r>
          </w:p>
        </w:tc>
        <w:tc>
          <w:tcPr>
            <w:tcW w:w="6780" w:type="dxa"/>
            <w:vAlign w:val="bottom"/>
          </w:tcPr>
          <w:p>
            <w:pPr>
              <w:ind w:left="220"/>
              <w:spacing w:after="0"/>
              <w:rPr>
                <w:sz w:val="20"/>
                <w:szCs w:val="20"/>
                <w:color w:val="auto"/>
              </w:rPr>
            </w:pPr>
            <w:r>
              <w:rPr>
                <w:rFonts w:ascii="Arial" w:cs="Arial" w:eastAsia="Arial" w:hAnsi="Arial"/>
                <w:sz w:val="22"/>
                <w:szCs w:val="22"/>
                <w:color w:val="auto"/>
              </w:rPr>
              <w:t>Assignment</w:t>
            </w:r>
          </w:p>
        </w:tc>
        <w:tc>
          <w:tcPr>
            <w:tcW w:w="19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10"/>
        </w:trPr>
        <w:tc>
          <w:tcPr>
            <w:tcW w:w="1860" w:type="dxa"/>
            <w:vAlign w:val="bottom"/>
          </w:tcPr>
          <w:p>
            <w:pPr>
              <w:jc w:val="right"/>
              <w:spacing w:after="0"/>
              <w:rPr>
                <w:sz w:val="20"/>
                <w:szCs w:val="20"/>
                <w:color w:val="auto"/>
              </w:rPr>
            </w:pPr>
            <w:r>
              <w:rPr>
                <w:rFonts w:ascii="Arial" w:cs="Arial" w:eastAsia="Arial" w:hAnsi="Arial"/>
                <w:sz w:val="22"/>
                <w:szCs w:val="22"/>
                <w:color w:val="auto"/>
              </w:rPr>
              <w:t>Section 10.5</w:t>
            </w:r>
          </w:p>
        </w:tc>
        <w:tc>
          <w:tcPr>
            <w:tcW w:w="6780" w:type="dxa"/>
            <w:vAlign w:val="bottom"/>
          </w:tcPr>
          <w:p>
            <w:pPr>
              <w:ind w:left="220"/>
              <w:spacing w:after="0"/>
              <w:rPr>
                <w:sz w:val="20"/>
                <w:szCs w:val="20"/>
                <w:color w:val="auto"/>
              </w:rPr>
            </w:pPr>
            <w:r>
              <w:rPr>
                <w:rFonts w:ascii="Arial" w:cs="Arial" w:eastAsia="Arial" w:hAnsi="Arial"/>
                <w:sz w:val="22"/>
                <w:szCs w:val="22"/>
                <w:color w:val="auto"/>
              </w:rPr>
              <w:t>No Third Party Beneficiaries</w:t>
            </w:r>
          </w:p>
        </w:tc>
        <w:tc>
          <w:tcPr>
            <w:tcW w:w="1920" w:type="dxa"/>
            <w:vAlign w:val="bottom"/>
          </w:tcPr>
          <w:p>
            <w:pPr>
              <w:jc w:val="right"/>
              <w:spacing w:after="0"/>
              <w:rPr>
                <w:sz w:val="20"/>
                <w:szCs w:val="20"/>
                <w:color w:val="auto"/>
              </w:rPr>
            </w:pPr>
            <w:r>
              <w:rPr>
                <w:rFonts w:ascii="Arial" w:cs="Arial" w:eastAsia="Arial" w:hAnsi="Arial"/>
                <w:sz w:val="22"/>
                <w:szCs w:val="22"/>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20"/>
          </w:cols>
          <w:pgMar w:left="340" w:top="126"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TABLE OF CONTENTS (cont’d)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Section 10.6</w:t>
            </w:r>
          </w:p>
        </w:tc>
        <w:tc>
          <w:tcPr>
            <w:tcW w:w="6420" w:type="dxa"/>
            <w:vAlign w:val="bottom"/>
          </w:tcPr>
          <w:p>
            <w:pPr>
              <w:ind w:left="120"/>
              <w:spacing w:after="0"/>
              <w:rPr>
                <w:sz w:val="20"/>
                <w:szCs w:val="20"/>
                <w:color w:val="auto"/>
              </w:rPr>
            </w:pPr>
            <w:r>
              <w:rPr>
                <w:rFonts w:ascii="Arial" w:cs="Arial" w:eastAsia="Arial" w:hAnsi="Arial"/>
                <w:sz w:val="22"/>
                <w:szCs w:val="22"/>
                <w:color w:val="auto"/>
              </w:rPr>
              <w:t>Governing Law</w:t>
            </w:r>
          </w:p>
        </w:tc>
        <w:tc>
          <w:tcPr>
            <w:tcW w:w="218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10"/>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Section 10.7</w:t>
            </w:r>
          </w:p>
        </w:tc>
        <w:tc>
          <w:tcPr>
            <w:tcW w:w="642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21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1"/>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Section 10.8</w:t>
            </w:r>
          </w:p>
        </w:tc>
        <w:tc>
          <w:tcPr>
            <w:tcW w:w="6420" w:type="dxa"/>
            <w:vAlign w:val="bottom"/>
          </w:tcPr>
          <w:p>
            <w:pPr>
              <w:ind w:left="120"/>
              <w:spacing w:after="0"/>
              <w:rPr>
                <w:sz w:val="20"/>
                <w:szCs w:val="20"/>
                <w:color w:val="auto"/>
              </w:rPr>
            </w:pPr>
            <w:r>
              <w:rPr>
                <w:rFonts w:ascii="Arial" w:cs="Arial" w:eastAsia="Arial" w:hAnsi="Arial"/>
                <w:sz w:val="22"/>
                <w:szCs w:val="22"/>
                <w:color w:val="auto"/>
              </w:rPr>
              <w:t>Entire Agreement</w:t>
            </w:r>
          </w:p>
        </w:tc>
        <w:tc>
          <w:tcPr>
            <w:tcW w:w="21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1"/>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Section 10.9</w:t>
            </w:r>
          </w:p>
        </w:tc>
        <w:tc>
          <w:tcPr>
            <w:tcW w:w="6420" w:type="dxa"/>
            <w:vAlign w:val="bottom"/>
          </w:tcPr>
          <w:p>
            <w:pPr>
              <w:ind w:left="120"/>
              <w:spacing w:after="0"/>
              <w:rPr>
                <w:sz w:val="20"/>
                <w:szCs w:val="20"/>
                <w:color w:val="auto"/>
              </w:rPr>
            </w:pPr>
            <w:r>
              <w:rPr>
                <w:rFonts w:ascii="Arial" w:cs="Arial" w:eastAsia="Arial" w:hAnsi="Arial"/>
                <w:sz w:val="22"/>
                <w:szCs w:val="22"/>
                <w:color w:val="auto"/>
              </w:rPr>
              <w:t>Delivery</w:t>
            </w:r>
          </w:p>
        </w:tc>
        <w:tc>
          <w:tcPr>
            <w:tcW w:w="21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0"/>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87"/>
              </w:rPr>
              <w:t>Section 10.10</w:t>
            </w:r>
          </w:p>
        </w:tc>
        <w:tc>
          <w:tcPr>
            <w:tcW w:w="6420" w:type="dxa"/>
            <w:vAlign w:val="bottom"/>
          </w:tcPr>
          <w:p>
            <w:pPr>
              <w:ind w:left="120"/>
              <w:spacing w:after="0"/>
              <w:rPr>
                <w:sz w:val="20"/>
                <w:szCs w:val="20"/>
                <w:color w:val="auto"/>
              </w:rPr>
            </w:pPr>
            <w:r>
              <w:rPr>
                <w:rFonts w:ascii="Arial" w:cs="Arial" w:eastAsia="Arial" w:hAnsi="Arial"/>
                <w:sz w:val="22"/>
                <w:szCs w:val="22"/>
                <w:color w:val="auto"/>
              </w:rPr>
              <w:t>Waiver of Jury Trial</w:t>
            </w:r>
          </w:p>
        </w:tc>
        <w:tc>
          <w:tcPr>
            <w:tcW w:w="21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1"/>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87"/>
              </w:rPr>
              <w:t>Section 10.11</w:t>
            </w:r>
          </w:p>
        </w:tc>
        <w:tc>
          <w:tcPr>
            <w:tcW w:w="6420" w:type="dxa"/>
            <w:vAlign w:val="bottom"/>
          </w:tcPr>
          <w:p>
            <w:pPr>
              <w:ind w:left="120"/>
              <w:spacing w:after="0"/>
              <w:rPr>
                <w:sz w:val="20"/>
                <w:szCs w:val="20"/>
                <w:color w:val="auto"/>
              </w:rPr>
            </w:pPr>
            <w:r>
              <w:rPr>
                <w:rFonts w:ascii="Arial" w:cs="Arial" w:eastAsia="Arial" w:hAnsi="Arial"/>
                <w:sz w:val="22"/>
                <w:szCs w:val="22"/>
                <w:color w:val="auto"/>
              </w:rPr>
              <w:t>Submission to Jurisdiction</w:t>
            </w:r>
          </w:p>
        </w:tc>
        <w:tc>
          <w:tcPr>
            <w:tcW w:w="21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0"/>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87"/>
              </w:rPr>
              <w:t>Section 10.12</w:t>
            </w:r>
          </w:p>
        </w:tc>
        <w:tc>
          <w:tcPr>
            <w:tcW w:w="6420" w:type="dxa"/>
            <w:vAlign w:val="bottom"/>
          </w:tcPr>
          <w:p>
            <w:pPr>
              <w:ind w:left="120"/>
              <w:spacing w:after="0"/>
              <w:rPr>
                <w:sz w:val="20"/>
                <w:szCs w:val="20"/>
                <w:color w:val="auto"/>
              </w:rPr>
            </w:pPr>
            <w:r>
              <w:rPr>
                <w:rFonts w:ascii="Arial" w:cs="Arial" w:eastAsia="Arial" w:hAnsi="Arial"/>
                <w:sz w:val="22"/>
                <w:szCs w:val="22"/>
                <w:color w:val="auto"/>
              </w:rPr>
              <w:t>Specific Performance</w:t>
            </w:r>
          </w:p>
        </w:tc>
        <w:tc>
          <w:tcPr>
            <w:tcW w:w="21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1"/>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87"/>
              </w:rPr>
              <w:t>Section 10.13</w:t>
            </w:r>
          </w:p>
        </w:tc>
        <w:tc>
          <w:tcPr>
            <w:tcW w:w="6420" w:type="dxa"/>
            <w:vAlign w:val="bottom"/>
          </w:tcPr>
          <w:p>
            <w:pPr>
              <w:ind w:left="120"/>
              <w:spacing w:after="0"/>
              <w:rPr>
                <w:sz w:val="20"/>
                <w:szCs w:val="20"/>
                <w:color w:val="auto"/>
              </w:rPr>
            </w:pPr>
            <w:r>
              <w:rPr>
                <w:rFonts w:ascii="Arial" w:cs="Arial" w:eastAsia="Arial" w:hAnsi="Arial"/>
                <w:sz w:val="22"/>
                <w:szCs w:val="22"/>
                <w:color w:val="auto"/>
              </w:rPr>
              <w:t>No Special Damages; Sole and Exclusive Remedy</w:t>
            </w:r>
          </w:p>
        </w:tc>
        <w:tc>
          <w:tcPr>
            <w:tcW w:w="21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0"/>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87"/>
              </w:rPr>
              <w:t>Section 10.14</w:t>
            </w:r>
          </w:p>
        </w:tc>
        <w:tc>
          <w:tcPr>
            <w:tcW w:w="6420" w:type="dxa"/>
            <w:vAlign w:val="bottom"/>
          </w:tcPr>
          <w:p>
            <w:pPr>
              <w:ind w:left="120"/>
              <w:spacing w:after="0"/>
              <w:rPr>
                <w:sz w:val="20"/>
                <w:szCs w:val="20"/>
                <w:color w:val="auto"/>
              </w:rPr>
            </w:pPr>
            <w:r>
              <w:rPr>
                <w:rFonts w:ascii="Arial" w:cs="Arial" w:eastAsia="Arial" w:hAnsi="Arial"/>
                <w:sz w:val="22"/>
                <w:szCs w:val="22"/>
                <w:color w:val="auto"/>
              </w:rPr>
              <w:t>Disclosure Generally</w:t>
            </w:r>
          </w:p>
        </w:tc>
        <w:tc>
          <w:tcPr>
            <w:tcW w:w="218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1"/>
        </w:trPr>
        <w:tc>
          <w:tcPr>
            <w:tcW w:w="1320" w:type="dxa"/>
            <w:vAlign w:val="bottom"/>
          </w:tcPr>
          <w:p>
            <w:pPr>
              <w:jc w:val="right"/>
              <w:ind w:right="12"/>
              <w:spacing w:after="0"/>
              <w:rPr>
                <w:sz w:val="20"/>
                <w:szCs w:val="20"/>
                <w:color w:val="auto"/>
              </w:rPr>
            </w:pPr>
            <w:r>
              <w:rPr>
                <w:rFonts w:ascii="Arial" w:cs="Arial" w:eastAsia="Arial" w:hAnsi="Arial"/>
                <w:sz w:val="22"/>
                <w:szCs w:val="22"/>
                <w:color w:val="auto"/>
                <w:w w:val="87"/>
              </w:rPr>
              <w:t>Section 10.15</w:t>
            </w:r>
          </w:p>
        </w:tc>
        <w:tc>
          <w:tcPr>
            <w:tcW w:w="6420" w:type="dxa"/>
            <w:vAlign w:val="bottom"/>
          </w:tcPr>
          <w:p>
            <w:pPr>
              <w:ind w:left="120"/>
              <w:spacing w:after="0"/>
              <w:rPr>
                <w:sz w:val="20"/>
                <w:szCs w:val="20"/>
                <w:color w:val="auto"/>
              </w:rPr>
            </w:pPr>
            <w:r>
              <w:rPr>
                <w:rFonts w:ascii="Arial" w:cs="Arial" w:eastAsia="Arial" w:hAnsi="Arial"/>
                <w:sz w:val="22"/>
                <w:szCs w:val="22"/>
                <w:color w:val="auto"/>
              </w:rPr>
              <w:t>Transaction Privilege</w:t>
            </w:r>
          </w:p>
        </w:tc>
        <w:tc>
          <w:tcPr>
            <w:tcW w:w="2180" w:type="dxa"/>
            <w:vAlign w:val="bottom"/>
          </w:tcPr>
          <w:p>
            <w:pPr>
              <w:jc w:val="right"/>
              <w:spacing w:after="0"/>
              <w:rPr>
                <w:sz w:val="20"/>
                <w:szCs w:val="20"/>
                <w:color w:val="auto"/>
              </w:rPr>
            </w:pPr>
            <w:r>
              <w:rPr>
                <w:rFonts w:ascii="Arial" w:cs="Arial" w:eastAsia="Arial" w:hAnsi="Arial"/>
                <w:sz w:val="22"/>
                <w:szCs w:val="22"/>
                <w:color w:val="auto"/>
              </w:rPr>
              <w:t>91</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APPENDICES AND EXHIBITS</w:t>
      </w:r>
    </w:p>
    <w:p>
      <w:pPr>
        <w:spacing w:after="0" w:line="21"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Appendix A</w:t>
      </w:r>
      <w:r>
        <w:rPr>
          <w:sz w:val="20"/>
          <w:szCs w:val="20"/>
          <w:color w:val="auto"/>
        </w:rPr>
        <w:tab/>
      </w:r>
      <w:r>
        <w:rPr>
          <w:rFonts w:ascii="Arial" w:cs="Arial" w:eastAsia="Arial" w:hAnsi="Arial"/>
          <w:sz w:val="19"/>
          <w:szCs w:val="19"/>
          <w:color w:val="auto"/>
        </w:rPr>
        <w:t>Adjustment Amount (including accounting principles)</w:t>
      </w:r>
    </w:p>
    <w:p>
      <w:pPr>
        <w:spacing w:after="0" w:line="4"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Appendix B</w:t>
      </w:r>
      <w:r>
        <w:rPr>
          <w:sz w:val="20"/>
          <w:szCs w:val="20"/>
          <w:color w:val="auto"/>
        </w:rPr>
        <w:tab/>
      </w:r>
      <w:r>
        <w:rPr>
          <w:rFonts w:ascii="Arial" w:cs="Arial" w:eastAsia="Arial" w:hAnsi="Arial"/>
          <w:sz w:val="19"/>
          <w:szCs w:val="19"/>
          <w:color w:val="auto"/>
        </w:rPr>
        <w:t>Sample Calculation of Adjustment Amount</w:t>
      </w:r>
    </w:p>
    <w:p>
      <w:pPr>
        <w:spacing w:after="0" w:line="4"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Assignment and Assumption Agreement</w:t>
      </w:r>
    </w:p>
    <w:p>
      <w:pPr>
        <w:spacing w:after="0" w:line="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Exhibit B-1</w:t>
      </w:r>
      <w:r>
        <w:rPr>
          <w:sz w:val="20"/>
          <w:szCs w:val="20"/>
          <w:color w:val="auto"/>
        </w:rPr>
        <w:tab/>
      </w:r>
      <w:r>
        <w:rPr>
          <w:rFonts w:ascii="Arial" w:cs="Arial" w:eastAsia="Arial" w:hAnsi="Arial"/>
          <w:sz w:val="19"/>
          <w:szCs w:val="19"/>
          <w:color w:val="auto"/>
        </w:rPr>
        <w:t>Form of Assignment of Recorded Instruments (Arkansas)</w:t>
      </w:r>
    </w:p>
    <w:p>
      <w:pPr>
        <w:spacing w:after="0" w:line="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Exhibit B-2</w:t>
      </w:r>
      <w:r>
        <w:rPr>
          <w:sz w:val="20"/>
          <w:szCs w:val="20"/>
          <w:color w:val="auto"/>
        </w:rPr>
        <w:tab/>
      </w:r>
      <w:r>
        <w:rPr>
          <w:rFonts w:ascii="Arial" w:cs="Arial" w:eastAsia="Arial" w:hAnsi="Arial"/>
          <w:sz w:val="19"/>
          <w:szCs w:val="19"/>
          <w:color w:val="auto"/>
        </w:rPr>
        <w:t>Form of Assignment of Recorded Instruments (Oklahoma)</w:t>
      </w:r>
    </w:p>
    <w:p>
      <w:pPr>
        <w:spacing w:after="0" w:line="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Exhibit B-3</w:t>
      </w:r>
      <w:r>
        <w:rPr>
          <w:sz w:val="20"/>
          <w:szCs w:val="20"/>
          <w:color w:val="auto"/>
        </w:rPr>
        <w:tab/>
      </w:r>
      <w:r>
        <w:rPr>
          <w:rFonts w:ascii="Arial" w:cs="Arial" w:eastAsia="Arial" w:hAnsi="Arial"/>
          <w:sz w:val="19"/>
          <w:szCs w:val="19"/>
          <w:color w:val="auto"/>
        </w:rPr>
        <w:t>Form of Assignment of Recorded Instruments (Texas)</w:t>
      </w:r>
    </w:p>
    <w:p>
      <w:pPr>
        <w:spacing w:after="0" w:line="4"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Assignment of Unrecorded Instruments</w:t>
      </w:r>
    </w:p>
    <w:p>
      <w:pPr>
        <w:spacing w:after="0" w:line="4"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Form of Bill of Sale</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Exhibit E-1</w:t>
      </w:r>
      <w:r>
        <w:rPr>
          <w:sz w:val="20"/>
          <w:szCs w:val="20"/>
          <w:color w:val="auto"/>
        </w:rPr>
        <w:tab/>
      </w:r>
      <w:r>
        <w:rPr>
          <w:rFonts w:ascii="Arial" w:cs="Arial" w:eastAsia="Arial" w:hAnsi="Arial"/>
          <w:sz w:val="19"/>
          <w:szCs w:val="19"/>
          <w:color w:val="auto"/>
        </w:rPr>
        <w:t>Form of Special Warranty Deed (Arkansas)</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Exhibit E-2</w:t>
      </w:r>
      <w:r>
        <w:rPr>
          <w:sz w:val="20"/>
          <w:szCs w:val="20"/>
          <w:color w:val="auto"/>
        </w:rPr>
        <w:tab/>
      </w:r>
      <w:r>
        <w:rPr>
          <w:rFonts w:ascii="Arial" w:cs="Arial" w:eastAsia="Arial" w:hAnsi="Arial"/>
          <w:sz w:val="19"/>
          <w:szCs w:val="19"/>
          <w:color w:val="auto"/>
        </w:rPr>
        <w:t>Form of Special Warranty Deed (Oklahoma)</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Exhibit E-3</w:t>
      </w:r>
      <w:r>
        <w:rPr>
          <w:sz w:val="20"/>
          <w:szCs w:val="20"/>
          <w:color w:val="auto"/>
        </w:rPr>
        <w:tab/>
      </w:r>
      <w:r>
        <w:rPr>
          <w:rFonts w:ascii="Arial" w:cs="Arial" w:eastAsia="Arial" w:hAnsi="Arial"/>
          <w:sz w:val="19"/>
          <w:szCs w:val="19"/>
          <w:color w:val="auto"/>
        </w:rPr>
        <w:t>Form of Special Warranty Deed (Texas)</w:t>
      </w:r>
    </w:p>
    <w:p>
      <w:pPr>
        <w:spacing w:after="0" w:line="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Assignment of Lease</w:t>
      </w:r>
    </w:p>
    <w:p>
      <w:pPr>
        <w:spacing w:after="0" w:line="4"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19"/>
          <w:szCs w:val="19"/>
          <w:color w:val="auto"/>
        </w:rPr>
        <w:t>Form of 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40"/>
          </w:cols>
          <w:pgMar w:left="320" w:top="126"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ASSET PURCHASE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April 29, 2021, by and between CenterPoint Energy Resources Corp., a Delaware corporation (“</w:t>
      </w:r>
      <w:r>
        <w:rPr>
          <w:rFonts w:ascii="Arial" w:cs="Arial" w:eastAsia="Arial" w:hAnsi="Arial"/>
          <w:sz w:val="22"/>
          <w:szCs w:val="22"/>
          <w:u w:val="single" w:color="auto"/>
          <w:color w:val="auto"/>
        </w:rPr>
        <w:t>Seller</w:t>
      </w:r>
      <w:r>
        <w:rPr>
          <w:rFonts w:ascii="Arial" w:cs="Arial" w:eastAsia="Arial" w:hAnsi="Arial"/>
          <w:sz w:val="22"/>
          <w:szCs w:val="22"/>
          <w:color w:val="auto"/>
        </w:rPr>
        <w:t>”), and Southern Col Midco, LLC, a Delaware limited liability company (“</w:t>
      </w:r>
      <w:r>
        <w:rPr>
          <w:rFonts w:ascii="Arial" w:cs="Arial" w:eastAsia="Arial" w:hAnsi="Arial"/>
          <w:sz w:val="22"/>
          <w:szCs w:val="22"/>
          <w:u w:val="single" w:color="auto"/>
          <w:color w:val="auto"/>
        </w:rPr>
        <w:t>Buyer</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Buyer desires to purchase, and Seller desires to sell, the Purchased Assets (as hereinafter defined) upon the terms and conditions set forth in this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concurrently herewith, Summit Utilities, Inc., a Colorado corporation (“</w:t>
      </w:r>
      <w:r>
        <w:rPr>
          <w:rFonts w:ascii="Arial" w:cs="Arial" w:eastAsia="Arial" w:hAnsi="Arial"/>
          <w:sz w:val="22"/>
          <w:szCs w:val="22"/>
          <w:u w:val="single" w:color="auto"/>
          <w:color w:val="auto"/>
        </w:rPr>
        <w:t>Guarantor</w:t>
      </w:r>
      <w:r>
        <w:rPr>
          <w:rFonts w:ascii="Arial" w:cs="Arial" w:eastAsia="Arial" w:hAnsi="Arial"/>
          <w:sz w:val="22"/>
          <w:szCs w:val="22"/>
          <w:color w:val="auto"/>
        </w:rPr>
        <w:t>”), has executed and delivered to Seller a Guaranty, dated as of the date hereof (the “</w:t>
      </w:r>
      <w:r>
        <w:rPr>
          <w:rFonts w:ascii="Arial" w:cs="Arial" w:eastAsia="Arial" w:hAnsi="Arial"/>
          <w:sz w:val="22"/>
          <w:szCs w:val="22"/>
          <w:u w:val="single" w:color="auto"/>
          <w:color w:val="auto"/>
        </w:rPr>
        <w:t>Guaranty</w:t>
      </w:r>
      <w:r>
        <w:rPr>
          <w:rFonts w:ascii="Arial" w:cs="Arial" w:eastAsia="Arial" w:hAnsi="Arial"/>
          <w:sz w:val="22"/>
          <w:szCs w:val="22"/>
          <w:color w:val="auto"/>
        </w:rPr>
        <w:t>”), pursuant to which Guarantor has guaranteed the payment and performance obligations of Buyer hereunder; and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Parties’ respective covenants, representations, warranties, and agreements hereinafter set forth, and intending to be legally bound hereby, the Parties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(a) As used in this Agreement, the following terms have the meanings specified in this </w:t>
      </w:r>
      <w:r>
        <w:rPr>
          <w:rFonts w:ascii="Arial" w:cs="Arial" w:eastAsia="Arial" w:hAnsi="Arial"/>
          <w:sz w:val="19"/>
          <w:szCs w:val="19"/>
          <w:u w:val="single" w:color="auto"/>
          <w:color w:val="auto"/>
        </w:rPr>
        <w:t>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1.1(a)</w:t>
      </w:r>
      <w:r>
        <w:rPr>
          <w:rFonts w:ascii="Arial" w:cs="Arial" w:eastAsia="Arial" w:hAnsi="Arial"/>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Amount</w:t>
      </w:r>
      <w:r>
        <w:rPr>
          <w:rFonts w:ascii="Arial" w:cs="Arial" w:eastAsia="Arial" w:hAnsi="Arial"/>
          <w:sz w:val="22"/>
          <w:szCs w:val="22"/>
          <w:color w:val="auto"/>
        </w:rPr>
        <w:t>” means the amount calculated in accordance with and set forth on Appendix A.</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has the meaning set forth in Rule 12b-2 of the General Rules and Regulations under the Securities Exchange Act of 1934, as amended;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with respect to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6.5</w:t>
      </w:r>
      <w:r>
        <w:rPr>
          <w:rFonts w:ascii="Arial" w:cs="Arial" w:eastAsia="Arial" w:hAnsi="Arial"/>
          <w:sz w:val="22"/>
          <w:szCs w:val="22"/>
          <w:color w:val="auto"/>
        </w:rPr>
        <w:t>, Affiliates of Buyer shall include only Guarantor and its Subsidiaries (and no other Person). Notwithstanding anything to the contrary herein and for the avoidance of doubt, (a) none of JPMorgan Chase Bank, N.A., JPMorgan Investment Management Inc., or any of their respective Affiliates shall be included as Affiliates of Buyer and (b) none of Enable Midstream Partners, LP, its general partner or any of their respective Subsidiaries shall be included as an Affiliate of Seller. For the avoidance of doubt, Guarantor and its Subsidiaries are Affiliates of Buyer.</w:t>
      </w:r>
    </w:p>
    <w:p>
      <w:pPr>
        <w:spacing w:after="0" w:line="19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means the Bill of Sale, each Assignment and Assumption Agreement, each Special Warranty Deed, each Assignment of Easements and the Transition Services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Commission</w:t>
      </w:r>
      <w:r>
        <w:rPr>
          <w:rFonts w:ascii="Arial" w:cs="Arial" w:eastAsia="Arial" w:hAnsi="Arial"/>
          <w:sz w:val="22"/>
          <w:szCs w:val="22"/>
          <w:color w:val="auto"/>
        </w:rPr>
        <w:t>” means the Arkansas Public Service Commission or Oklahoma Corporation Commission, as applicable.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Arkansas Business</w:t>
      </w:r>
      <w:r>
        <w:rPr>
          <w:rFonts w:ascii="Arial" w:cs="Arial" w:eastAsia="Arial" w:hAnsi="Arial"/>
          <w:sz w:val="22"/>
          <w:szCs w:val="22"/>
          <w:color w:val="auto"/>
        </w:rPr>
        <w:t>” means the natural gas utility business serving customers in Arkansas and certain portions of Bowie County, Texas, as currently conducted, by Seller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96" w:name="page97"/>
    <w:bookmarkEnd w:id="96"/>
    <w:p>
      <w:pPr>
        <w:jc w:val="both"/>
        <w:ind w:right="20"/>
        <w:spacing w:after="0" w:line="263" w:lineRule="auto"/>
        <w:rPr>
          <w:sz w:val="20"/>
          <w:szCs w:val="20"/>
          <w:color w:val="auto"/>
        </w:rPr>
      </w:pPr>
      <w:r>
        <w:rPr>
          <w:rFonts w:ascii="Arial" w:cs="Arial" w:eastAsia="Arial" w:hAnsi="Arial"/>
          <w:sz w:val="22"/>
          <w:szCs w:val="22"/>
          <w:color w:val="auto"/>
        </w:rPr>
        <w:t>certain support services from Seller’s Affiliates, including ownership and operation of the Purchased Assets and performance of the Assumed Obligations with respect thereto.</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 Agreement</w:t>
      </w:r>
      <w:r>
        <w:rPr>
          <w:rFonts w:ascii="Arial" w:cs="Arial" w:eastAsia="Arial" w:hAnsi="Arial"/>
          <w:sz w:val="22"/>
          <w:szCs w:val="22"/>
          <w:color w:val="auto"/>
        </w:rPr>
        <w:t xml:space="preserve">” means one or more assignment and assumption agreements, dated as of the Closing Date and substantially in the form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Assignments of Lease</w:t>
      </w:r>
      <w:r>
        <w:rPr>
          <w:rFonts w:ascii="Arial" w:cs="Arial" w:eastAsia="Arial" w:hAnsi="Arial"/>
          <w:sz w:val="22"/>
          <w:szCs w:val="22"/>
          <w:color w:val="auto"/>
        </w:rPr>
        <w:t xml:space="preserve">” means the assignments of the Leases, to be executed and delivered by Seller and Buyer at the Closing, substantially in the form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Assignments of Easements</w:t>
      </w:r>
      <w:r>
        <w:rPr>
          <w:rFonts w:ascii="Arial" w:cs="Arial" w:eastAsia="Arial" w:hAnsi="Arial"/>
          <w:sz w:val="22"/>
          <w:szCs w:val="22"/>
          <w:color w:val="auto"/>
        </w:rPr>
        <w:t xml:space="preserve">” means the assignments and assumptions of Seller’s right, title and interest in the Purchased Easements to be executed and delivered by Seller at the Closing, in the forms of </w:t>
      </w:r>
      <w:r>
        <w:rPr>
          <w:rFonts w:ascii="Arial" w:cs="Arial" w:eastAsia="Arial" w:hAnsi="Arial"/>
          <w:sz w:val="22"/>
          <w:szCs w:val="22"/>
          <w:u w:val="single" w:color="auto"/>
          <w:color w:val="auto"/>
        </w:rPr>
        <w:t>Exhibit B-1</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B-2</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B-3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means one or more deeds, bills of sale or assignments providing for the conveyance, assignment and transfer of the Purchased Assets subject to the terms of this Agreement, to be executed and delivered by Seller and Buyer at the Closing and substantially in the form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means the Arkansas Business and the Oklahoma Business.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Agreement</w:t>
      </w:r>
      <w:r>
        <w:rPr>
          <w:rFonts w:ascii="Arial" w:cs="Arial" w:eastAsia="Arial" w:hAnsi="Arial"/>
          <w:sz w:val="22"/>
          <w:szCs w:val="22"/>
          <w:color w:val="auto"/>
        </w:rPr>
        <w:t>” means any Contract (other than the Retained Agreements) to which Seller or an Affiliate thereof is a party that relates primarily to the Business, the Purchased Assets, or the Assumed Obligations, but shall not include, for the avoidance of doubt, any Benefit Plan or any Shared Contract.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Confidential Information</w:t>
      </w:r>
      <w:r>
        <w:rPr>
          <w:rFonts w:ascii="Arial" w:cs="Arial" w:eastAsia="Arial" w:hAnsi="Arial"/>
          <w:sz w:val="22"/>
          <w:szCs w:val="22"/>
          <w:color w:val="auto"/>
        </w:rPr>
        <w:t>” means confidential information, proprietary information and trade secrets used or held for use exclusively in connection with the Business.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Saturday, Sunday, or any day on which banks in Houston, Texas are authorized by Law to close.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Employee</w:t>
      </w:r>
      <w:r>
        <w:rPr>
          <w:rFonts w:ascii="Arial" w:cs="Arial" w:eastAsia="Arial" w:hAnsi="Arial"/>
          <w:sz w:val="22"/>
          <w:szCs w:val="22"/>
          <w:color w:val="auto"/>
        </w:rPr>
        <w:t>” means those employees of Seller or an Affiliate whose work responsibilities relate primarily to the Business, as determined by Seller.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Intellectual Property</w:t>
      </w:r>
      <w:r>
        <w:rPr>
          <w:rFonts w:ascii="Arial" w:cs="Arial" w:eastAsia="Arial" w:hAnsi="Arial"/>
          <w:sz w:val="22"/>
          <w:szCs w:val="22"/>
          <w:color w:val="auto"/>
        </w:rPr>
        <w:t>” means all Intellectual Property owned or purported to be owned by Seller or its Affiliates and used or held for use exclusively in connection with the Business. For the avoidance of doubt, Business Intellectual Property shall not include any Seller Marks.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Marks</w:t>
      </w:r>
      <w:r>
        <w:rPr>
          <w:rFonts w:ascii="Arial" w:cs="Arial" w:eastAsia="Arial" w:hAnsi="Arial"/>
          <w:sz w:val="22"/>
          <w:szCs w:val="22"/>
          <w:color w:val="auto"/>
        </w:rPr>
        <w:t>” means all registered and unregistered trademarks, service marks, trade names, brand names, logos, trade dress, design rights and other similar designations of source, sponsorship, association or origin, internet domain names, and any applications for registration of any of the foregoing, together with all goodwill associated with each of the foregoing (“</w:t>
      </w:r>
      <w:r>
        <w:rPr>
          <w:rFonts w:ascii="Arial" w:cs="Arial" w:eastAsia="Arial" w:hAnsi="Arial"/>
          <w:sz w:val="22"/>
          <w:szCs w:val="22"/>
          <w:u w:val="single" w:color="auto"/>
          <w:color w:val="auto"/>
        </w:rPr>
        <w:t>Trademarks</w:t>
      </w:r>
      <w:r>
        <w:rPr>
          <w:rFonts w:ascii="Arial" w:cs="Arial" w:eastAsia="Arial" w:hAnsi="Arial"/>
          <w:sz w:val="22"/>
          <w:szCs w:val="22"/>
          <w:color w:val="auto"/>
        </w:rPr>
        <w:t>”) that are owned or purported to be owned by Seller or its Affiliates and exclusively used or held for use in connection with the Business and all Trademarks containing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97" w:name="page98"/>
    <w:bookmarkEnd w:id="97"/>
    <w:p>
      <w:pPr>
        <w:jc w:val="both"/>
        <w:ind w:right="20"/>
        <w:spacing w:after="0" w:line="312" w:lineRule="auto"/>
        <w:rPr>
          <w:sz w:val="20"/>
          <w:szCs w:val="20"/>
          <w:color w:val="auto"/>
        </w:rPr>
      </w:pPr>
      <w:r>
        <w:rPr>
          <w:rFonts w:ascii="Arial" w:cs="Arial" w:eastAsia="Arial" w:hAnsi="Arial"/>
          <w:sz w:val="19"/>
          <w:szCs w:val="19"/>
          <w:color w:val="auto"/>
        </w:rPr>
        <w:t>or comprising the foregoing, including any Trademarks confusingly similar thereto but, for the avoidance of doubt and notwithstanding anything else herein to the contrary, excluding all Trademarks that include the term “CenterPoint,” “NorAm” or “Arkla” and all Trademarks containing or comprising the foregoing, including any Trademarks confusingly similar thereto.</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Required Regulatory Approvals</w:t>
      </w:r>
      <w:r>
        <w:rPr>
          <w:rFonts w:ascii="Arial" w:cs="Arial" w:eastAsia="Arial" w:hAnsi="Arial"/>
          <w:sz w:val="22"/>
          <w:szCs w:val="22"/>
          <w:color w:val="auto"/>
        </w:rPr>
        <w:t xml:space="preserve">” means (i) the filings by Seller and Buyer required by the HSR Act and the expiration or earlier termination of all waiting periods under the HSR Act, (ii) approval by the Arkansas Public Service Commission, (iii) approval by the Oklahoma Corporation Commission, (iv) the approvals by FERC identified in </w:t>
      </w:r>
      <w:r>
        <w:rPr>
          <w:rFonts w:ascii="Arial" w:cs="Arial" w:eastAsia="Arial" w:hAnsi="Arial"/>
          <w:sz w:val="22"/>
          <w:szCs w:val="22"/>
          <w:u w:val="single" w:color="auto"/>
          <w:color w:val="auto"/>
        </w:rPr>
        <w:t>Section 7.8(a)</w:t>
      </w:r>
      <w:r>
        <w:rPr>
          <w:rFonts w:ascii="Arial" w:cs="Arial" w:eastAsia="Arial" w:hAnsi="Arial"/>
          <w:sz w:val="22"/>
          <w:szCs w:val="22"/>
          <w:color w:val="auto"/>
        </w:rPr>
        <w:t xml:space="preserve"> and (v) the approvals set forth on </w:t>
      </w:r>
      <w:r>
        <w:rPr>
          <w:rFonts w:ascii="Arial" w:cs="Arial" w:eastAsia="Arial" w:hAnsi="Arial"/>
          <w:sz w:val="22"/>
          <w:szCs w:val="22"/>
          <w:u w:val="single" w:color="auto"/>
          <w:color w:val="auto"/>
        </w:rPr>
        <w:t>Schedule 1.1-A</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Buyer’s Representatives</w:t>
      </w:r>
      <w:r>
        <w:rPr>
          <w:rFonts w:ascii="Arial" w:cs="Arial" w:eastAsia="Arial" w:hAnsi="Arial"/>
          <w:sz w:val="22"/>
          <w:szCs w:val="22"/>
          <w:color w:val="auto"/>
        </w:rPr>
        <w:t>” means Buyer’s accountants, employees, counsel, environmental consultants, financial advisors, investment advisors and other Representatives.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a Transferred Employee’s (i) commission of a felony crime or a crime of moral turpitude, (ii) dishonesty involving Buyer, (iii) failure to perform job duties, (iv) breach of Buyer’s policies and procedures, (v) breach of any agreement the Transferred Employee has with Buyer, or (vi) engaging in any other willful misconduct which causes material harm to Buyer, its business or its business reputation, including due to any adverse publicity.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Claims</w:t>
      </w:r>
      <w:r>
        <w:rPr>
          <w:rFonts w:ascii="Arial" w:cs="Arial" w:eastAsia="Arial" w:hAnsi="Arial"/>
          <w:sz w:val="22"/>
          <w:szCs w:val="22"/>
          <w:color w:val="auto"/>
        </w:rPr>
        <w:t>” means any and all contractual, administrative, regulatory or judicial actions or causes of action, suits, petitions, proceedings (including arbitration proceedings), investigations, hearings, demands, demand letters, claims, or notices of noncompliance or violation delivered by any Governmental Entity or other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means the Consolidated Omnibus Budget Reconciliation Act of 1985,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 Continuation Coverage</w:t>
      </w:r>
      <w:r>
        <w:rPr>
          <w:rFonts w:ascii="Arial" w:cs="Arial" w:eastAsia="Arial" w:hAnsi="Arial"/>
          <w:sz w:val="22"/>
          <w:szCs w:val="22"/>
          <w:color w:val="auto"/>
        </w:rPr>
        <w:t>” means the continuation of medical coverage required under sections 601 through 608 of ERISA, and section 4980B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the rules and regulations promulgated thereunder.</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the letter agreement, dated as of December 31, 2020 between CenterPoint Energy, Inc. and Summit Utilities, Inc.</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with respect to (i) Buyer or Buyer’s Representatives, Seller Confidential Information, and (ii) Seller or Seller’s Representatives, Buyer Confidential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legally binding (i) contract, (ii) agreement, (iii) understanding, (iv) lease, (v) sublease, (vi) license,</w:t>
      </w:r>
    </w:p>
    <w:p>
      <w:pPr>
        <w:spacing w:after="0" w:line="56"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sublicense, (viii) sales order, (ix) purchase order, (x) note, (xi) bond, (xii) deed, (xiii) mortgage, (xiv) warranty, (xv) option,</w:t>
      </w:r>
    </w:p>
    <w:p>
      <w:pPr>
        <w:spacing w:after="0" w:line="38" w:lineRule="exact"/>
        <w:rPr>
          <w:rFonts w:ascii="Arial" w:cs="Arial" w:eastAsia="Arial" w:hAnsi="Arial"/>
          <w:sz w:val="19"/>
          <w:szCs w:val="19"/>
          <w:color w:val="auto"/>
        </w:rPr>
      </w:pPr>
    </w:p>
    <w:p>
      <w:pPr>
        <w:ind w:left="480" w:hanging="472"/>
        <w:spacing w:after="0"/>
        <w:tabs>
          <w:tab w:leader="none" w:pos="4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instrument, (xvii) commitment, (xviii) undertaking or (xix) other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98" w:name="page99"/>
    <w:bookmarkEnd w:id="98"/>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Measures</w:t>
      </w:r>
      <w:r>
        <w:rPr>
          <w:rFonts w:ascii="Arial" w:cs="Arial" w:eastAsia="Arial" w:hAnsi="Arial"/>
          <w:sz w:val="22"/>
          <w:szCs w:val="22"/>
          <w:color w:val="auto"/>
        </w:rPr>
        <w:t>” means any reasonable actions taken or not taken to respond to any impact or probable impact on the Business due to the COVID-19 Pandemic or measures taken to comply with Laws, Orders, recommendations, guidelines and directives issued by any applicable Governmental Entity relating to the COVID-19 Pandemic, including the Coronavirus Aid, Relief, and Economic Security Act (CARES Act), in each case, including reasonable changes in relationships with employees, customers and suppliers.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Pandemic</w:t>
      </w:r>
      <w:r>
        <w:rPr>
          <w:rFonts w:ascii="Arial" w:cs="Arial" w:eastAsia="Arial" w:hAnsi="Arial"/>
          <w:sz w:val="22"/>
          <w:szCs w:val="22"/>
          <w:color w:val="auto"/>
        </w:rPr>
        <w:t>” means the epidemic, pandemic or disease outbreak associated with the COVID-19 or SARS-CoV-2 virus (or any mutation or variation thereof).</w:t>
      </w:r>
    </w:p>
    <w:p>
      <w:pPr>
        <w:spacing w:after="0" w:line="17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Documents</w:t>
      </w:r>
      <w:r>
        <w:rPr>
          <w:rFonts w:ascii="Arial" w:cs="Arial" w:eastAsia="Arial" w:hAnsi="Arial"/>
          <w:sz w:val="19"/>
          <w:szCs w:val="19"/>
          <w:color w:val="auto"/>
        </w:rPr>
        <w:t>” means all files, documents, instruments, papers, books, reports, tapes, microfilms, photographs, letters, ledgers, journals, title policies, real property surveys, purchase orders, invoices, copies of cancelled checks, engineering assessments, technical reports, economic studies, customer lists and information, regulatory filings including in respect of general or other rate cases, operating data and plans, technical documentation (such as design specifications, functional requirements, and operating instructions), user documentation (such as installation guides, user manuals, and training materials), Transferred Employee Records, and other similar materials related primarily to the Purchased Assets, the Assumed Obligations or the Business (which may be reasonably redacted by Seller if not exclusively relating to the Purchased Assets, the Assumed Obligations or the Business) that have been retained in accordance with Seller’s standard document retention policies; provided, that “Documents” does not include: (i) any of the foregoing to the extent related to the Excluded Assets or Excluded Liabilities;</w:t>
      </w:r>
    </w:p>
    <w:p>
      <w:pPr>
        <w:spacing w:after="0" w:line="8" w:lineRule="exact"/>
        <w:rPr>
          <w:sz w:val="20"/>
          <w:szCs w:val="20"/>
          <w:color w:val="auto"/>
        </w:rPr>
      </w:pPr>
    </w:p>
    <w:p>
      <w:pPr>
        <w:ind w:firstLine="8"/>
        <w:spacing w:after="0" w:line="246" w:lineRule="auto"/>
        <w:tabs>
          <w:tab w:leader="none" w:pos="318"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information which, if provided to Buyer, would violate any applicable Law or Order; or (iii) any valuations of or related to the sale of the Business, the Purchased Assets or the Assumed Obligations.</w:t>
      </w:r>
    </w:p>
    <w:p>
      <w:pPr>
        <w:spacing w:after="0" w:line="19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Easements</w:t>
      </w:r>
      <w:r>
        <w:rPr>
          <w:rFonts w:ascii="Arial" w:cs="Arial" w:eastAsia="Arial" w:hAnsi="Arial"/>
          <w:sz w:val="19"/>
          <w:szCs w:val="19"/>
          <w:color w:val="auto"/>
        </w:rPr>
        <w:t>” means all easements, license agreements, railroad crossing rights, rights-of-way, leases for rights-of-way, and similar use and access rights related to, or used by or in connection with, the Purchased Assets or the Business.</w:t>
      </w:r>
    </w:p>
    <w:p>
      <w:pPr>
        <w:spacing w:after="0" w:line="1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Encumbrances</w:t>
      </w:r>
      <w:r>
        <w:rPr>
          <w:rFonts w:ascii="Arial" w:cs="Arial" w:eastAsia="Arial" w:hAnsi="Arial"/>
          <w:sz w:val="22"/>
          <w:szCs w:val="22"/>
          <w:color w:val="auto"/>
        </w:rPr>
        <w:t>” means any mortgages, pledges, liens, claims, charges, security interests, conditional and installment sale agreements, activity and use limitations, easements, rights of way, encroachments, covenants, encumbrances, obligations, limitations, title defects, deed restrictions, preferential purchase rights or options and other rights of first refusal or first offer and any other restrictions of any kind, including restrictions on use, transfer, receipt of income, or exercise of any other attribute of ownership.</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w:t>
      </w:r>
      <w:r>
        <w:rPr>
          <w:rFonts w:ascii="Arial" w:cs="Arial" w:eastAsia="Arial" w:hAnsi="Arial"/>
          <w:sz w:val="22"/>
          <w:szCs w:val="22"/>
          <w:color w:val="auto"/>
        </w:rPr>
        <w:t>” means all or any of the following media: soil, land surface and subsurface strata, surface or subsurface waters, groundwater, drinking water supply, sediments, ambient air (including the air within buildings to the extent impacted from a source outside of the building and directly related to the operations of the Business), plant and animal life, and any other natural resource.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Claims</w:t>
      </w:r>
      <w:r>
        <w:rPr>
          <w:rFonts w:ascii="Arial" w:cs="Arial" w:eastAsia="Arial" w:hAnsi="Arial"/>
          <w:sz w:val="22"/>
          <w:szCs w:val="22"/>
          <w:color w:val="auto"/>
        </w:rPr>
        <w:t>” means any and all Claims (including any such Claims involving toxic torts or similar liabilities in tort, whether based on negligence or other fault, strict or absolute liability, or any other basis) arising pursuant to any Environmental 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99" w:name="page100"/>
    <w:bookmarkEnd w:id="99"/>
    <w:p>
      <w:pPr>
        <w:jc w:val="both"/>
        <w:spacing w:after="0" w:line="297" w:lineRule="auto"/>
        <w:rPr>
          <w:sz w:val="20"/>
          <w:szCs w:val="20"/>
          <w:color w:val="auto"/>
        </w:rPr>
      </w:pPr>
      <w:r>
        <w:rPr>
          <w:rFonts w:ascii="Arial" w:cs="Arial" w:eastAsia="Arial" w:hAnsi="Arial"/>
          <w:sz w:val="19"/>
          <w:szCs w:val="19"/>
          <w:color w:val="auto"/>
        </w:rPr>
        <w:t>Environmental Permits, or arising from the presence, Release, or threatened Release (or alleged presence, Release, or threatened Release) into the Environment of any Hazardous Materials, including any and all Claims by any Governmental Entity or by any Person for enforcement, cleanup, remediation, removal, response, remedial or other actions or damages, contribution, indemnification, cost recovery, compensation, or injunctive relief pursuant to any Environmental Law or for any property damage or personal or bodily injury (including death) or threat of injury to health, safety, natural resources, or the Environment.</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xml:space="preserve">” means any and all Laws to the extent relating to the protection of the Environment; the Release or threatened Release of Hazardous Material; natural resources or natural resources damage; to the extent related to exposure to or injury from Hazardous Materials, human health and safety; storage, transportation or management of Hazardous Materials; radioactive materials; or pollution. Environmental Laws include, to the extent described in the previous sentence, the Comprehensive Environmental Response, Compensation, and Liability Act, 42 U.S.C. § 9601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Federal Insecticide, Fungicide and Rodenticide Act, 7 U.S.C. § 136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Resource Conservation and Recovery Act, 42 U.S.C. § 6901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Toxic Substances Control Act, 15 U.S.C. §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Clean Air Act, 42 U.S.C. § 7401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Federal Water Pollution Control Act, 33 U.S.C. § 1251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Oil Pollution Act, 33 U.S.C. § 2701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Endangered Species Act, 16 U.S.C. § 1531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National Environmental Policy Act, 42 U.S.C. § 4321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Occupational Safety and Health Act, 29 U.S.C. § 651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Safe Drinking Water Act, 42 U.S.C. § 300f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Emergency Planning and Community Right-to-Know Act, 42 U.S.C. § 11001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Atomic Energy Act, 42 U.S.C. § 2014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Nuclear Waste Policy Act, 42 U.S.C. § 10101 </w:t>
      </w:r>
      <w:r>
        <w:rPr>
          <w:rFonts w:ascii="Arial" w:cs="Arial" w:eastAsia="Arial" w:hAnsi="Arial"/>
          <w:sz w:val="19"/>
          <w:szCs w:val="19"/>
          <w:i w:val="1"/>
          <w:iCs w:val="1"/>
          <w:color w:val="auto"/>
        </w:rPr>
        <w:t>et seq</w:t>
      </w:r>
      <w:r>
        <w:rPr>
          <w:rFonts w:ascii="Arial" w:cs="Arial" w:eastAsia="Arial" w:hAnsi="Arial"/>
          <w:sz w:val="19"/>
          <w:szCs w:val="19"/>
          <w:color w:val="auto"/>
        </w:rPr>
        <w:t>.; and their state and local counterparts or equivalents, all as amended from time to time, and regulations issued pursuant to any of those Laws.</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means all permits, certifications, licenses, franchises, exemptions, approvals, consents, waivers or other authorizations of Governmental Entities issued under or with respect to applicable Environmental Laws and used or held by Seller for the operation of the Business.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Commitment Letter</w:t>
      </w:r>
      <w:r>
        <w:rPr>
          <w:rFonts w:ascii="Arial" w:cs="Arial" w:eastAsia="Arial" w:hAnsi="Arial"/>
          <w:sz w:val="22"/>
          <w:szCs w:val="22"/>
          <w:color w:val="auto"/>
        </w:rPr>
        <w:t>” means an equity commitment letter, dated as of the date hereof, executed by Equity Provider and delivered by Buyer to Seller, pursuant to which Equity Provider has agreed to provide equity financing to Buyer in connection with the transaction contemplated hereunder.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Provider</w:t>
      </w:r>
      <w:r>
        <w:rPr>
          <w:rFonts w:ascii="Arial" w:cs="Arial" w:eastAsia="Arial" w:hAnsi="Arial"/>
          <w:sz w:val="22"/>
          <w:szCs w:val="22"/>
          <w:color w:val="auto"/>
        </w:rPr>
        <w:t>” means IIF US Holding 2 LP, a Delaware limited partnership.</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rules and regulations promulgated thereunder.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Person or entity that together with Seller would be deemed to be under common control within the meaning of Section 414(b), (c), (m) or (o)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FERC</w:t>
      </w:r>
      <w:r>
        <w:rPr>
          <w:rFonts w:ascii="Arial" w:cs="Arial" w:eastAsia="Arial" w:hAnsi="Arial"/>
          <w:sz w:val="22"/>
          <w:szCs w:val="22"/>
          <w:color w:val="auto"/>
        </w:rPr>
        <w:t>” means the Federal Energy Regulatory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FICA</w:t>
      </w:r>
      <w:r>
        <w:rPr>
          <w:rFonts w:ascii="Arial" w:cs="Arial" w:eastAsia="Arial" w:hAnsi="Arial"/>
          <w:sz w:val="22"/>
          <w:szCs w:val="22"/>
          <w:color w:val="auto"/>
        </w:rPr>
        <w:t>” means the Federal Insurance Contributions Act, as amended.</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Regulatory Order</w:t>
      </w:r>
      <w:r>
        <w:rPr>
          <w:rFonts w:ascii="Arial" w:cs="Arial" w:eastAsia="Arial" w:hAnsi="Arial"/>
          <w:sz w:val="19"/>
          <w:szCs w:val="19"/>
          <w:color w:val="auto"/>
        </w:rPr>
        <w:t>” means an Order that has not been reversed, stayed, enjoined, set aside, annulled, or suspended, and that has become final and is not subject to rehearing or appeal, and with respect to which any required waiting period prescribed by applicable Law before the transactions contemplated by this Agreement may be consummated has expired, and all conditions to effectiveness prescribed therein or otherwise by Law or Order have been satisfied.</w:t>
      </w:r>
    </w:p>
    <w:p>
      <w:pPr>
        <w:spacing w:after="0" w:line="1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Financing Sources</w:t>
      </w:r>
      <w:r>
        <w:rPr>
          <w:rFonts w:ascii="Arial" w:cs="Arial" w:eastAsia="Arial" w:hAnsi="Arial"/>
          <w:sz w:val="19"/>
          <w:szCs w:val="19"/>
          <w:color w:val="auto"/>
        </w:rPr>
        <w:t>” shall mean the agents, arrangers, lenders and other entities (other than the Buyer or any of its Affiliates) that have committed to provide or arrange or otherwise entered into agreements in connection with all or any part of the Debt Financing or the Alternative Financing (other than the Equity Commitment Letter) in connection with the transactions contemplated hereby, including the parties to any joinder agreements, indentures, note purchase agreements or credit agreements entered into in connection therewith, together with their respective Affiliates and their and their respective Affiliates’ officers, directors, employees, controlling persons, agents and representatives and their respective successors and assigns.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FUTA</w:t>
      </w:r>
      <w:r>
        <w:rPr>
          <w:rFonts w:ascii="Arial" w:cs="Arial" w:eastAsia="Arial" w:hAnsi="Arial"/>
          <w:sz w:val="22"/>
          <w:szCs w:val="22"/>
          <w:color w:val="auto"/>
        </w:rPr>
        <w:t>” means the Federal Unemployment Tax Act,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Utility Practice</w:t>
      </w:r>
      <w:r>
        <w:rPr>
          <w:rFonts w:ascii="Arial" w:cs="Arial" w:eastAsia="Arial" w:hAnsi="Arial"/>
          <w:sz w:val="19"/>
          <w:szCs w:val="19"/>
          <w:color w:val="auto"/>
        </w:rPr>
        <w:t>” means any of the practices, methods and activities generally accepted by a significant portion of the gas utility industry as good practices applicable to operations of similar design, size and capacity or any of the practices, methods or activities which, in the exercise of reasonable judgment by an operator of an gas utility business in light of the facts known at the time the decision was made, would have been reasonably expected to accomplish the desired result at a reasonable cost consistent with good business practices, reliability, safety, expedition and applicable Laws and Orders. Good Utility Practices are not intended to be limited to the optimal practices, methods or acts to the exclusion of all others, but rather to be practices, methods or acts generally accepted in the gas utility industry.</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Governing Documents</w:t>
      </w:r>
      <w:r>
        <w:rPr>
          <w:rFonts w:ascii="Arial" w:cs="Arial" w:eastAsia="Arial" w:hAnsi="Arial"/>
          <w:sz w:val="22"/>
          <w:szCs w:val="22"/>
          <w:color w:val="auto"/>
        </w:rPr>
        <w:t>” of a Party means the articles or certificate of incorporation and bylaws, or comparable governing documents, of such Party.</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the United States of America and any other federal, state, local, or foreign governmental or regulatory authority, department, agency, commission, body, court, or other governmental entity.</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w:t>
      </w:r>
      <w:r>
        <w:rPr>
          <w:rFonts w:ascii="Arial" w:cs="Arial" w:eastAsia="Arial" w:hAnsi="Arial"/>
          <w:sz w:val="21"/>
          <w:szCs w:val="21"/>
          <w:color w:val="auto"/>
        </w:rPr>
        <w:t>” means (i) any chemicals, materials, substances, or wastes which are now or hereafter defined as or included in the definition of “hazardous substance,” “hazardous material,” “hazardous waste,” “solid waste,” “toxic substance,” “extremely hazardous substance,” “pollutant,” “contaminant,” or words of similar import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01" w:name="page102"/>
    <w:bookmarkEnd w:id="101"/>
    <w:p>
      <w:pPr>
        <w:jc w:val="both"/>
        <w:spacing w:after="0" w:line="297" w:lineRule="auto"/>
        <w:rPr>
          <w:sz w:val="20"/>
          <w:szCs w:val="20"/>
          <w:color w:val="auto"/>
        </w:rPr>
      </w:pPr>
      <w:r>
        <w:rPr>
          <w:rFonts w:ascii="Arial" w:cs="Arial" w:eastAsia="Arial" w:hAnsi="Arial"/>
          <w:sz w:val="19"/>
          <w:szCs w:val="19"/>
          <w:color w:val="auto"/>
        </w:rPr>
        <w:t>applicable Environmental Laws; (ii) any petroleum, petroleum products (including crude oil or any fraction thereof), natural gas, natural gas liquids, liquefied natural gas or synthetic gas useable for fuel (or mixtures of natural gas and such synthetic gas), or oil and gas exploration or production waste, polychlorinated biphenyls, asbestos-containing materials, mercury, and lead-based paints; (iii) 1,4- dioxane, per- and polyfluoroalkyl substances (the group of compounds known generally as “PFAS”) and (iv) any other chemical, material, substances, waste, or mixture thereof which is prohibited, limited, or regulated by Environmental Laws.</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 Person, and without duplication, all obligations of such Person (i) for indebtedness for borrowed money, (ii) evidenced by notes, bonds (including performance bonds and surety bonds), debentures or similar instruments, (iii) for deferred or unpaid purchase or acquisition price of property or services (including “earn-outs,” “seller-notes” and any post-closing true-up obligations with respect to the acquisition of any business, assets or securities), other than trade accounts payable arising, and accrued expenses incurred, in the Ordinary Course of Business consistent with customary trade practices, (iv) for the guaranty or other assumption of liability for, or grant of an Encumbrance or provision of collateral to secure, the obligations of any other Person, (v) all reimbursement and other obligations (contingent or otherwise) in respect of letters of credit or similar instruments, (vi) in respect of interest rate protection agreements, foreign currency exchange agreements or other interest or exchange rate hedging agreements, (vii) of any other Person or as to which such Person has an obligation substantially the economic equivalent of a guaranty or an equity commitment, or which are secured by an Encumbrance on the assets of such Person, whether or not such obligation has been assumed by such Person related to any of the foregoing obligations, (viii) for any amounts that are payable or would become payable by the Business to Persons other than the Parties hereto directly or indirectly as a result of the transactions contemplated by this Agreement, (ix) for all ordinary course bonuses (including all associated Taxes imposed with respect to such amounts, including any such Taxes that Seller on behalf of the Business has elected to defer pursuant to the CARES Act, Rev. Notice 2020-65, whether or not such Taxes constitute “applicable employment taxes” (as defined in Section 2302(d)(1) of the CARES Act) owed, accrued or otherwise contemplated to be paid pursuant to past practice to any employee, consultant or other service provider, including any bonuses paid to any employee, consultant or other service provider in connection with the Closing, (x) for any unpaid Taxes of the Business (whether or not such Taxes are due or payable) for the Pre-Closing Tax period (including any “applicable employment taxes” (as defined in Section 2302(d)(1) of the CARES Act) that the Business has elected to defer pursuant to Section 2302 of the CARES Act, Rev. Notice 2020-65) (which shall not be an amount less than zero and which shall not include any offsets or reductions with respect to Tax refunds or overpayments of Tax), (xi) for any amounts owed or accrued under any Benefit Plan, including Seller’s 401(k) Plan, for the period prior to the Closing Date, (xii) with respect to any change-of-control payments (including all associated Taxes imposed with respect to such amounts), whether or not such Taxes constitute “applicable employment taxes” (as defined in Section 2302(d)(1) of the CARES Act) that the Business has elected to defer pursuant to Section 2302 of the CARES Act, Rev. Notice 2020-65, (xiii) for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02" w:name="page103"/>
    <w:bookmarkEnd w:id="102"/>
    <w:p>
      <w:pPr>
        <w:jc w:val="both"/>
        <w:spacing w:after="0" w:line="250" w:lineRule="auto"/>
        <w:rPr>
          <w:sz w:val="20"/>
          <w:szCs w:val="20"/>
          <w:color w:val="auto"/>
        </w:rPr>
      </w:pPr>
      <w:r>
        <w:rPr>
          <w:rFonts w:ascii="Arial" w:cs="Arial" w:eastAsia="Arial" w:hAnsi="Arial"/>
          <w:sz w:val="22"/>
          <w:szCs w:val="22"/>
          <w:color w:val="auto"/>
        </w:rPr>
        <w:t>balance sheet liabilities, (xiv) for affiliate obligations and liabilities (including any amounts owed to any current or former owner or employee of the Business), (xv) any underfunded pension liabilities and (xvi) for all interest, whether accrued for or not, prepayment premiums or penalties or breakage fees related to any of the foregoing. The term “</w:t>
      </w:r>
      <w:r>
        <w:rPr>
          <w:rFonts w:ascii="Arial" w:cs="Arial" w:eastAsia="Arial" w:hAnsi="Arial"/>
          <w:sz w:val="22"/>
          <w:szCs w:val="22"/>
          <w:u w:val="single" w:color="auto"/>
          <w:color w:val="auto"/>
        </w:rPr>
        <w:t>Indebtedness</w:t>
      </w:r>
      <w:r>
        <w:rPr>
          <w:rFonts w:ascii="Arial" w:cs="Arial" w:eastAsia="Arial" w:hAnsi="Arial"/>
          <w:sz w:val="22"/>
          <w:szCs w:val="22"/>
          <w:color w:val="auto"/>
        </w:rPr>
        <w:t>” shall exclude any amounts included in the calculation of the Adjustment Amount.</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Accounting Firm</w:t>
      </w:r>
      <w:r>
        <w:rPr>
          <w:rFonts w:ascii="Arial" w:cs="Arial" w:eastAsia="Arial" w:hAnsi="Arial"/>
          <w:sz w:val="19"/>
          <w:szCs w:val="19"/>
          <w:color w:val="auto"/>
        </w:rPr>
        <w:t xml:space="preserve">” means any independent accounting firm of national reputation mutually appointed by Seller and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Parties are unable to so agree, each shall select an accounting firm, and such accounting firms shall mutually agree upon and appoint a third, which third shall be the Independent Accounting Firm.</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Policy</w:t>
      </w:r>
      <w:r>
        <w:rPr>
          <w:rFonts w:ascii="Arial" w:cs="Arial" w:eastAsia="Arial" w:hAnsi="Arial"/>
          <w:sz w:val="22"/>
          <w:szCs w:val="22"/>
          <w:color w:val="auto"/>
        </w:rPr>
        <w:t>” means a representation and warranty insurance policy obtained by Buyer covering certain representations and warranties set forth in this Agreement.</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(i) any U.S. or foreign (a) patents, patent applications, divisionals, continuations, continuations-in-part, extensions and reissues of the same, (b) works of authorship, expressions, designs and design registrations, including copyrights, author, performer, moral and neighboring rights, advertising copy and other marketing materials, drawings, graphics, documentation, databases and recordings, (c) Trademarks, (d) other similar intangible rights throughout the world and</w:t>
      </w:r>
    </w:p>
    <w:p>
      <w:pPr>
        <w:spacing w:after="0" w:line="3" w:lineRule="exact"/>
        <w:rPr>
          <w:sz w:val="20"/>
          <w:szCs w:val="20"/>
          <w:color w:val="auto"/>
        </w:rPr>
      </w:pPr>
    </w:p>
    <w:p>
      <w:pPr>
        <w:jc w:val="both"/>
        <w:ind w:firstLine="8"/>
        <w:spacing w:after="0" w:line="286" w:lineRule="auto"/>
        <w:tabs>
          <w:tab w:leader="none" w:pos="318" w:val="left"/>
        </w:tabs>
        <w:numPr>
          <w:ilvl w:val="0"/>
          <w:numId w:val="64"/>
        </w:numPr>
        <w:rPr>
          <w:rFonts w:ascii="Arial" w:cs="Arial" w:eastAsia="Arial" w:hAnsi="Arial"/>
          <w:sz w:val="19"/>
          <w:szCs w:val="19"/>
          <w:color w:val="auto"/>
        </w:rPr>
      </w:pPr>
      <w:r>
        <w:rPr>
          <w:rFonts w:ascii="Arial" w:cs="Arial" w:eastAsia="Arial" w:hAnsi="Arial"/>
          <w:sz w:val="19"/>
          <w:szCs w:val="19"/>
          <w:color w:val="auto"/>
        </w:rPr>
        <w:t>applications or registrations for any of the foregoing, (ii) internet domain names, web addresses, web pages, websites and related content, accounts with social media companies and the content found thereon and related thereto, (iii) any protectable or proprietary interest, whether registered or unregistered, in know-how, trade secrets, database rights, software, source code, operating and manufacturing procedures, designs, specifications and the like, (iv) any protectable or proprietary interest in any similar intangible asset of a technical, scientific or creative nature; (v) any protectable or proprietary interests in or to any documents or other tangible media containing any of the foregoing; (vi) all rights to any Claims to the extent related to the foregoing, whether accruing before, on or after the date hereof, including all rights to and claims for damages, restitution and injunctive relief for infringement, dilution, misappropriation, violation, misuse, breach or default, with the right but no obligation to sue for such legal and equitable relief, and to collect, or otherwise recover, any such damage(s).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statutes, regulations, rules, ordinances, codes, and similar acts or promulgations of any Governmental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Entity.</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Real Property</w:t>
      </w:r>
      <w:r>
        <w:rPr>
          <w:rFonts w:ascii="Arial" w:cs="Arial" w:eastAsia="Arial" w:hAnsi="Arial"/>
          <w:sz w:val="22"/>
          <w:szCs w:val="22"/>
          <w:color w:val="auto"/>
        </w:rPr>
        <w:t>” means the real property in the Territories used in the Business in which Seller holds as an active leasehold interest under a Lease.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means all out of pocket losses, liabilities, damages, obligations, costs, expenses (including the costs and expenses of any and all actions, suits, proceedings, assessments, judgments, settlements, and compromises relating thereto, reasonable attorneys’ fees, reasonable disbursements, interest, penalties and all expenses incurred in investigating, preparing or defending against any litigation commenced or threatened or any claim or Order in connection therewith), settlement payments, awards, judgments, fines, penalties, deficiencies, interest, Taxes or other charges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03" w:name="page104"/>
    <w:bookmarkEnd w:id="103"/>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effect, change, event or development that has had or would reasonably be expected to have a material adverse effect on (a) the business, assets, properties, results of operations, or condition (financial or otherwise) of the Business, taken as a whole, or (b) the ability of Seller to perform its obligations under this Agreement or consummate the transactions contemplated hereby on a timely basis, but in the case of clause (a) only, shall not include any effect, change, event or development that results from or arises out of (i) the announcement or pendency of this Agreement and the transactions contemplated hereby, or the performance of this Agreement or any Ancillary Agreement and the transactions contemplated hereby and thereby, including any adverse change in customer, supplier, governmental, landlord, employee or similar relationships resulting therefrom or with respect thereto, (ii) factors generally affecting the international, national or regional economy, financial markets, capital markets, including changes in interest rates and currency exchange rates, or commodities markets, (iii) any change in general economic or regulatory conditions, (iv) any change in Law or Order (other than a Law adopted or an Order issued specifically with respect to the Business, the Purchased Assets, Assumed Obligations or the transactions contemplated by this Agreement), (v) any change in GAAP or in the generally applicable principles used in the preparation of the financial statements as required by any Applicable Commission, (vi) any changes or developments in national, regional, state or local wholesale or retail markets for natural gas or related products including those due to actions by competitors or due to changes in commodities prices or hedging markets therefor, (vii) any changes or developments in national, regional, state or local natural gas transmission or distribution systems, (viii) any changes or developments in national, regional, state or local wholesale or retail natural gas prices, (ix) acts expressly permitted (or omissions of any action required) by this Agreement or any Ancillary Agreement or consented to or requested by Buyer, (x) any changes in global, national, regional or local political conditions, including the outbreak or escalation of hostilities or acts of war (whether or not declared), military conflict, sabotage, acts of terrorism or national or international calamity, (xi) any natural disaster, changes in weather or climate or acts of God or any escalation or worsening thereof, (xii) the extreme winter weather event in February 2021 affecting the Territories (the “</w:t>
      </w:r>
      <w:r>
        <w:rPr>
          <w:rFonts w:ascii="Arial" w:cs="Arial" w:eastAsia="Arial" w:hAnsi="Arial"/>
          <w:sz w:val="19"/>
          <w:szCs w:val="19"/>
          <w:u w:val="single" w:color="auto"/>
          <w:color w:val="auto"/>
        </w:rPr>
        <w:t>Winter Weather Event</w:t>
      </w:r>
      <w:r>
        <w:rPr>
          <w:rFonts w:ascii="Arial" w:cs="Arial" w:eastAsia="Arial" w:hAnsi="Arial"/>
          <w:sz w:val="19"/>
          <w:szCs w:val="19"/>
          <w:color w:val="auto"/>
        </w:rPr>
        <w:t xml:space="preserve">”), including any natural gas purchases made prior to the date hereof related to the Winter Weather Event, (xiii) any epidemic, pandemic of or disease outbreak (including the COVID-19 Pandemic), (xiv) any failure of the Business to meet any projections, business plans, forecasts, including forecasted natural gas demand (provided that, this clause (xiv) shall not prevent a determination that any change or effect underlying such failure to meet projections, business plans or forecasts has resulted in a Material Adverse Effect (to the extent such change or effect is not otherwise excluded from this definition of Material Adverse Effect)) and (xv) intra-year seasonal fluctuations;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items set forth in clauses (ii), (iii), (iv), (v), (vi), (vii), (viii), (x), (xi), and (xiii) above shall be taken into account in determining whether a “Material Adverse Effect” has occurred or would reasonably be expected to occur to the extent such items have a substantially disproportionate effect on the Business relative to other natural gas utility businesses operating in the southern region of the United States.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Oklahoma Business</w:t>
      </w:r>
      <w:r>
        <w:rPr>
          <w:rFonts w:ascii="Arial" w:cs="Arial" w:eastAsia="Arial" w:hAnsi="Arial"/>
          <w:sz w:val="22"/>
          <w:szCs w:val="22"/>
          <w:color w:val="auto"/>
        </w:rPr>
        <w:t>” means the natural gas utility business serving customers in Oklahoma, as currently conducted by Seller with certain support services from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04" w:name="page105"/>
    <w:bookmarkEnd w:id="104"/>
    <w:p>
      <w:pPr>
        <w:jc w:val="both"/>
        <w:spacing w:after="0" w:line="263" w:lineRule="auto"/>
        <w:rPr>
          <w:sz w:val="20"/>
          <w:szCs w:val="20"/>
          <w:color w:val="auto"/>
        </w:rPr>
      </w:pPr>
      <w:r>
        <w:rPr>
          <w:rFonts w:ascii="Arial" w:cs="Arial" w:eastAsia="Arial" w:hAnsi="Arial"/>
          <w:sz w:val="22"/>
          <w:szCs w:val="22"/>
          <w:color w:val="auto"/>
        </w:rPr>
        <w:t>Affiliates, including ownership and operation of the Purchased Assets and performance of the Assumed Obligations with respect thereto.</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decision, judgment, writ, injunction, decree, directive, or award of a court, administrative judge, or other Governmental Entity acting in an adjudicative or regulatory capacity, or of an arbitrator with applicable jurisdiction over the subject matter.</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means, with respect to the Business, the ordinary course of business of the Business consistent with past practices in all material respects, including the COVID-19 Measures and any other action taken, or omitted to be taken, in response to the COVID-19 Pandemic or the Winter Weather Event.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means Buyer or Seller, as indicated by the context, and “</w:t>
      </w:r>
      <w:r>
        <w:rPr>
          <w:rFonts w:ascii="Arial" w:cs="Arial" w:eastAsia="Arial" w:hAnsi="Arial"/>
          <w:sz w:val="22"/>
          <w:szCs w:val="22"/>
          <w:u w:val="single" w:color="auto"/>
          <w:color w:val="auto"/>
        </w:rPr>
        <w:t>Parties</w:t>
      </w:r>
      <w:r>
        <w:rPr>
          <w:rFonts w:ascii="Arial" w:cs="Arial" w:eastAsia="Arial" w:hAnsi="Arial"/>
          <w:sz w:val="22"/>
          <w:szCs w:val="22"/>
          <w:color w:val="auto"/>
        </w:rPr>
        <w:t>” means Buyer and Seller.</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permits, certifications, licenses, franchises, exemptions, approvals, consents, waivers or other authorizations of Governmental Entities issued under or with respect to applicable Laws or Orders and used or held by Seller for the operation of the Business or the Purchased Assets, other than Environmental Permits.</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Encumbrances</w:t>
      </w:r>
      <w:r>
        <w:rPr>
          <w:rFonts w:ascii="Arial" w:cs="Arial" w:eastAsia="Arial" w:hAnsi="Arial"/>
          <w:sz w:val="19"/>
          <w:szCs w:val="19"/>
          <w:color w:val="auto"/>
        </w:rPr>
        <w:t xml:space="preserve">” means (i) those Encumbrances set forth on </w:t>
      </w:r>
      <w:r>
        <w:rPr>
          <w:rFonts w:ascii="Arial" w:cs="Arial" w:eastAsia="Arial" w:hAnsi="Arial"/>
          <w:sz w:val="19"/>
          <w:szCs w:val="19"/>
          <w:u w:val="single" w:color="auto"/>
          <w:color w:val="auto"/>
        </w:rPr>
        <w:t>Schedule 1.1-C</w:t>
      </w:r>
      <w:r>
        <w:rPr>
          <w:rFonts w:ascii="Arial" w:cs="Arial" w:eastAsia="Arial" w:hAnsi="Arial"/>
          <w:sz w:val="19"/>
          <w:szCs w:val="19"/>
          <w:color w:val="auto"/>
        </w:rPr>
        <w:t>; (ii) Encumbrances securing or created by or in respect of any of the Assumed Obligations; (iii) liens for Taxes, assessments or other governmental charges, in each case not yet delinquent or the validity or amount of which is being contested in good faith by (if then appropriate) appropriate proceedings; (iv) construction, mechanics’, materialmen’s, carriers’, workers’, repairers’, landlords’, and other similar liens arising or incurred in the Ordinary Course of Business, or pledges, deposits, or other liens securing the performance of bids, trade contracts, leases, or statutory obligations (including workers’ compensation, unemployment insurance, or other social security legislation) incurred in the Ordinary Course of Business with respect to obligations as to which there is no default on the part of Seller or that do not individually or in the aggregate cause a Material Adverse Effect to the Business or the Purchased Assets, in each case not yet due and payable; (v) zoning, entitlement, restriction, and other land use regulations by Governmental Entities; (vi) all rights of any Person, that do not individually or in the aggregate cause a Material Adverse Effect to the Business or the Purchased Assets, in each case not yet due and payable, under condemnation, eminent domain, or other similar proceedings which are pending prior to the Closing Date; (vii) all Encumbrances arising under approvals related to the Business or Purchased Assets which have been issued by any Governmental Entities; (viii) with respect to Real Property, any encroachments that would not reasonably be expected to materially impair or reduce the current use or occupancy of any Real Property subject thereto, (ix) with respect to Leased Real Property, (a) Encumbrances existing under or as a result of any Leases of Real Property identified in the Seller Disclosure Schedules or (b) the interests and rights of the respective lessors with respect thereto and all Encumbrances to which such lessors’ interests and rights in such leased Real Property are subject; (x) Encumbrances created by or through Buyer as of the Closing; (xi) covenants, conditions, restrictions, easements, rights of way, declarations, reservations, defects or irregularities (including gaps) in the chain of title, encroachments, and other Encumbrances affecting title to real property that are of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05" w:name="page106"/>
    <w:bookmarkEnd w:id="105"/>
    <w:p>
      <w:pPr>
        <w:jc w:val="both"/>
        <w:spacing w:after="0" w:line="290" w:lineRule="auto"/>
        <w:rPr>
          <w:sz w:val="20"/>
          <w:szCs w:val="20"/>
          <w:color w:val="auto"/>
        </w:rPr>
      </w:pPr>
      <w:r>
        <w:rPr>
          <w:rFonts w:ascii="Arial" w:cs="Arial" w:eastAsia="Arial" w:hAnsi="Arial"/>
          <w:sz w:val="19"/>
          <w:szCs w:val="19"/>
          <w:color w:val="auto"/>
        </w:rPr>
        <w:t xml:space="preserve">record, (xii) matters which would be disclosed by a current, accurate survey or inspection of any land, buildings, improvements and fixtures erected thereon and all appurtenances related thereto, or that are otherwise disclosed in any real property files that have been made available to Buyer, (xiii) non-exclusive licenses to Intellectual Property granted in the Ordinary Course of Business, (xiv) statutory or contractual liens of lessors or liens on the lessor’s or prior lessor’s interest and (xv) such other Encumbrances that do not, individually or in the aggregate, materially interfere with Buyer’s operation of the Business or use of any of the Purchased Assets in the manner currently used and do not secure any Excluded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case of (xi) and (xii) above, such Encumbrances shall be Permitted Encumbrances only so long as they do not prohibit or materially interfere with the operations of the Business as currently operated.</w:t>
      </w:r>
    </w:p>
    <w:p>
      <w:pPr>
        <w:spacing w:after="0" w:line="1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limited liability company, joint venture, union, corporation, trust, unincorporated organization, or Governmental Entity.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Post-Closing Tax Period</w:t>
      </w:r>
      <w:r>
        <w:rPr>
          <w:rFonts w:ascii="Arial" w:cs="Arial" w:eastAsia="Arial" w:hAnsi="Arial"/>
          <w:sz w:val="19"/>
          <w:szCs w:val="19"/>
          <w:color w:val="auto"/>
        </w:rPr>
        <w:t>” means any Tax period (and the portion of any Straddle Period) beginning after the Closing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 period that ends on or prior to the Closing Date and the portion of any Straddle Period ending on the Closing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means, for any day, the prime rate as published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w:t>
      </w:r>
      <w:r>
        <w:rPr>
          <w:rFonts w:ascii="Arial" w:cs="Arial" w:eastAsia="Arial" w:hAnsi="Arial"/>
          <w:sz w:val="22"/>
          <w:szCs w:val="22"/>
          <w:i w:val="1"/>
          <w:iCs w:val="1"/>
          <w:color w:val="auto"/>
        </w:rPr>
        <w:t>Eastern Edition</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Order</w:t>
      </w:r>
      <w:r>
        <w:rPr>
          <w:rFonts w:ascii="Arial" w:cs="Arial" w:eastAsia="Arial" w:hAnsi="Arial"/>
          <w:sz w:val="22"/>
          <w:szCs w:val="22"/>
          <w:color w:val="auto"/>
        </w:rPr>
        <w:t>” means an Order issued by an Applicable Commission or FERC that affects or governs the rates, services, or other utility operations of the Business.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spilling, leaking, pumping, pouring, emitting, emptying, discharging, injecting, escaping, leaching, dumping, migration or disposing of Hazardous Materials in or into the Environment.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with respect to any Person, the officers, directors, employees, agents, accountants, advisors, bankers and other representatives of such Person.</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Regulatory Approvals</w:t>
      </w:r>
      <w:r>
        <w:rPr>
          <w:rFonts w:ascii="Arial" w:cs="Arial" w:eastAsia="Arial" w:hAnsi="Arial"/>
          <w:sz w:val="22"/>
          <w:szCs w:val="22"/>
          <w:color w:val="auto"/>
        </w:rPr>
        <w:t>” means the Seller Required Regulatory Approvals and the Buyer Required Regulatory Approvals.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Disclosure Schedules</w:t>
      </w:r>
      <w:r>
        <w:rPr>
          <w:rFonts w:ascii="Arial" w:cs="Arial" w:eastAsia="Arial" w:hAnsi="Arial"/>
          <w:sz w:val="19"/>
          <w:szCs w:val="19"/>
          <w:color w:val="auto"/>
        </w:rPr>
        <w:t>” means, collectively, all Schedules to be provided by Seller pursuant to this Agreement.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Fundamental Representations</w:t>
      </w:r>
      <w:r>
        <w:rPr>
          <w:rFonts w:ascii="Arial" w:cs="Arial" w:eastAsia="Arial" w:hAnsi="Arial"/>
          <w:sz w:val="22"/>
          <w:szCs w:val="22"/>
          <w:color w:val="auto"/>
        </w:rPr>
        <w:t xml:space="preserve">” means the representations and warranties contained in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(Authority and Enforceability) and </w:t>
      </w:r>
      <w:r>
        <w:rPr>
          <w:rFonts w:ascii="Arial" w:cs="Arial" w:eastAsia="Arial" w:hAnsi="Arial"/>
          <w:sz w:val="22"/>
          <w:szCs w:val="22"/>
          <w:u w:val="single" w:color="auto"/>
          <w:color w:val="auto"/>
        </w:rPr>
        <w:t>Section 5.23</w:t>
      </w:r>
      <w:r>
        <w:rPr>
          <w:rFonts w:ascii="Arial" w:cs="Arial" w:eastAsia="Arial" w:hAnsi="Arial"/>
          <w:sz w:val="22"/>
          <w:szCs w:val="22"/>
          <w:color w:val="auto"/>
        </w:rPr>
        <w:t xml:space="preserve"> (Brokers and Finders).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Intellectual Property</w:t>
      </w:r>
      <w:r>
        <w:rPr>
          <w:rFonts w:ascii="Arial" w:cs="Arial" w:eastAsia="Arial" w:hAnsi="Arial"/>
          <w:sz w:val="22"/>
          <w:szCs w:val="22"/>
          <w:color w:val="auto"/>
        </w:rPr>
        <w:t>” means Business Intellectual Property and all other Intellectual Property used or held for use by Seller and its Affiliates exclusively in connection with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06" w:name="page107"/>
    <w:bookmarkEnd w:id="106"/>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Marks</w:t>
      </w:r>
      <w:r>
        <w:rPr>
          <w:rFonts w:ascii="Arial" w:cs="Arial" w:eastAsia="Arial" w:hAnsi="Arial"/>
          <w:sz w:val="22"/>
          <w:szCs w:val="22"/>
          <w:color w:val="auto"/>
        </w:rPr>
        <w:t>” means all Trademarks owned or purported to be owned by Seller or its Affiliates other than the Business Marks, including all Trademarks that include the term “CenterPoint,” “NorAm” or “Arkla” and all Trademarks containing or comprising the foregoing, including any Trademarks confusingly similar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Related Party</w:t>
      </w:r>
      <w:r>
        <w:rPr>
          <w:rFonts w:ascii="Arial" w:cs="Arial" w:eastAsia="Arial" w:hAnsi="Arial"/>
          <w:sz w:val="22"/>
          <w:szCs w:val="22"/>
          <w:color w:val="auto"/>
        </w:rPr>
        <w:t>” shall mean Seller and its Affiliates and its Affiliates’ officers, directors and employees.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Required Regulatory Approvals</w:t>
      </w:r>
      <w:r>
        <w:rPr>
          <w:rFonts w:ascii="Arial" w:cs="Arial" w:eastAsia="Arial" w:hAnsi="Arial"/>
          <w:sz w:val="22"/>
          <w:szCs w:val="22"/>
          <w:color w:val="auto"/>
        </w:rPr>
        <w:t xml:space="preserve">” means (i) the filings by Seller and Buyer required by the HSR Act and the expiration or earlier termination of all waiting periods under the HSR Act, (ii) approval by the Arkansas Public Service Commission, (iii) approval by the Oklahoma Corporation Commission, (iv) the approvals by FERC identified in </w:t>
      </w:r>
      <w:r>
        <w:rPr>
          <w:rFonts w:ascii="Arial" w:cs="Arial" w:eastAsia="Arial" w:hAnsi="Arial"/>
          <w:sz w:val="22"/>
          <w:szCs w:val="22"/>
          <w:u w:val="single" w:color="auto"/>
          <w:color w:val="auto"/>
        </w:rPr>
        <w:t>Section 7.8(a)</w:t>
      </w:r>
      <w:r>
        <w:rPr>
          <w:rFonts w:ascii="Arial" w:cs="Arial" w:eastAsia="Arial" w:hAnsi="Arial"/>
          <w:sz w:val="22"/>
          <w:szCs w:val="22"/>
          <w:color w:val="auto"/>
        </w:rPr>
        <w:t xml:space="preserve"> and (v) the approvals set forth on </w:t>
      </w:r>
      <w:r>
        <w:rPr>
          <w:rFonts w:ascii="Arial" w:cs="Arial" w:eastAsia="Arial" w:hAnsi="Arial"/>
          <w:sz w:val="22"/>
          <w:szCs w:val="22"/>
          <w:u w:val="single" w:color="auto"/>
          <w:color w:val="auto"/>
        </w:rPr>
        <w:t>Schedule 1.1-D</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Knowledge</w:t>
      </w:r>
      <w:r>
        <w:rPr>
          <w:rFonts w:ascii="Arial" w:cs="Arial" w:eastAsia="Arial" w:hAnsi="Arial"/>
          <w:sz w:val="22"/>
          <w:szCs w:val="22"/>
          <w:color w:val="auto"/>
        </w:rPr>
        <w:t xml:space="preserve">,” or words to similar effect, means the actual knowledge, without any duty of inquiry, of the persons set forth on </w:t>
      </w:r>
      <w:r>
        <w:rPr>
          <w:rFonts w:ascii="Arial" w:cs="Arial" w:eastAsia="Arial" w:hAnsi="Arial"/>
          <w:sz w:val="22"/>
          <w:szCs w:val="22"/>
          <w:u w:val="single" w:color="auto"/>
          <w:color w:val="auto"/>
        </w:rPr>
        <w:t>Schedule 1.1-E</w:t>
      </w:r>
      <w:r>
        <w:rPr>
          <w:rFonts w:ascii="Arial" w:cs="Arial" w:eastAsia="Arial" w:hAnsi="Arial"/>
          <w:sz w:val="22"/>
          <w:szCs w:val="22"/>
          <w:color w:val="auto"/>
        </w:rPr>
        <w: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Representatives</w:t>
      </w:r>
      <w:r>
        <w:rPr>
          <w:rFonts w:ascii="Arial" w:cs="Arial" w:eastAsia="Arial" w:hAnsi="Arial"/>
          <w:sz w:val="22"/>
          <w:szCs w:val="22"/>
          <w:color w:val="auto"/>
        </w:rPr>
        <w:t>” means Seller’s accountants, employees, counsel, environmental consultants, financial advisors, managers and other Representatives.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Contract</w:t>
      </w:r>
      <w:r>
        <w:rPr>
          <w:rFonts w:ascii="Arial" w:cs="Arial" w:eastAsia="Arial" w:hAnsi="Arial"/>
          <w:sz w:val="22"/>
          <w:szCs w:val="22"/>
          <w:color w:val="auto"/>
        </w:rPr>
        <w:t>” means any Contract between or among Seller or any of its Affiliates, on the one hand, and any third party, on the other hand, that relates to or benefits both the Business, on the one hand, and to (i) any business now, previously or hereafter conducted by Seller or any of its Affiliates other than the Business, (ii) any Excluded Asset or (iii) any Excluded Liability, on the other hand.</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Shared Contract Obligations</w:t>
      </w:r>
      <w:r>
        <w:rPr>
          <w:rFonts w:ascii="Arial" w:cs="Arial" w:eastAsia="Arial" w:hAnsi="Arial"/>
          <w:sz w:val="19"/>
          <w:szCs w:val="19"/>
          <w:color w:val="auto"/>
        </w:rPr>
        <w:t>” means those provisions and obligations under each Shared Contract to the extent they relate to the Business or Purchased Assets and are attributable to the period on and after the Closing under a Shared Contract.</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Contract Rights</w:t>
      </w:r>
      <w:r>
        <w:rPr>
          <w:rFonts w:ascii="Arial" w:cs="Arial" w:eastAsia="Arial" w:hAnsi="Arial"/>
          <w:sz w:val="22"/>
          <w:szCs w:val="22"/>
          <w:color w:val="auto"/>
        </w:rPr>
        <w:t>” means those provisions and rights under each Shared Contract to the extent they relate to the Business or Purchased Assets and are attributable to the period on and after the Closing.</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Warranty Deed</w:t>
      </w:r>
      <w:r>
        <w:rPr>
          <w:rFonts w:ascii="Arial" w:cs="Arial" w:eastAsia="Arial" w:hAnsi="Arial"/>
          <w:sz w:val="21"/>
          <w:szCs w:val="21"/>
          <w:color w:val="auto"/>
        </w:rPr>
        <w:t xml:space="preserve">” means the special warranty deed or deeds to be executed and delivered by Seller at the Closing, substantially in the form set forth on </w:t>
      </w:r>
      <w:r>
        <w:rPr>
          <w:rFonts w:ascii="Arial" w:cs="Arial" w:eastAsia="Arial" w:hAnsi="Arial"/>
          <w:sz w:val="21"/>
          <w:szCs w:val="21"/>
          <w:u w:val="single" w:color="auto"/>
          <w:color w:val="auto"/>
        </w:rPr>
        <w:t>Exhibit E-1</w:t>
      </w:r>
      <w:r>
        <w:rPr>
          <w:rFonts w:ascii="Arial" w:cs="Arial" w:eastAsia="Arial" w:hAnsi="Arial"/>
          <w:sz w:val="21"/>
          <w:szCs w:val="21"/>
          <w:color w:val="auto"/>
        </w:rPr>
        <w:t xml:space="preserve">, with respect to Owned Real Property located in Arkansas, substantially in the form set forth on </w:t>
      </w:r>
      <w:r>
        <w:rPr>
          <w:rFonts w:ascii="Arial" w:cs="Arial" w:eastAsia="Arial" w:hAnsi="Arial"/>
          <w:sz w:val="21"/>
          <w:szCs w:val="21"/>
          <w:u w:val="single" w:color="auto"/>
          <w:color w:val="auto"/>
        </w:rPr>
        <w:t>Exhibit E-2</w:t>
      </w:r>
      <w:r>
        <w:rPr>
          <w:rFonts w:ascii="Arial" w:cs="Arial" w:eastAsia="Arial" w:hAnsi="Arial"/>
          <w:sz w:val="21"/>
          <w:szCs w:val="21"/>
          <w:color w:val="auto"/>
        </w:rPr>
        <w:t xml:space="preserve">, with respect to Owned Real Property located in Oklahoma and substantially in the form set forth on </w:t>
      </w:r>
      <w:r>
        <w:rPr>
          <w:rFonts w:ascii="Arial" w:cs="Arial" w:eastAsia="Arial" w:hAnsi="Arial"/>
          <w:sz w:val="21"/>
          <w:szCs w:val="21"/>
          <w:u w:val="single" w:color="auto"/>
          <w:color w:val="auto"/>
        </w:rPr>
        <w:t>Exhibit E-3</w:t>
      </w:r>
      <w:r>
        <w:rPr>
          <w:rFonts w:ascii="Arial" w:cs="Arial" w:eastAsia="Arial" w:hAnsi="Arial"/>
          <w:sz w:val="21"/>
          <w:szCs w:val="21"/>
          <w:color w:val="auto"/>
        </w:rPr>
        <w:t>, with respect to Owned Real Property located in Texas.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taxable period that includes (but does not end on) the Closing Date.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when used in reference to a Person, means any Person of which outstanding securities or other equity interests having ordinary voting power to elect a majority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auto"/>
        </w:rPr>
        <w:t>of directors or other Persons performing similar functions of such Person are owned directly or indirectly by such first Person.</w:t>
      </w:r>
    </w:p>
    <w:p>
      <w:pPr>
        <w:spacing w:after="0" w:line="254"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and “</w:t>
      </w:r>
      <w:r>
        <w:rPr>
          <w:rFonts w:ascii="Arial" w:cs="Arial" w:eastAsia="Arial" w:hAnsi="Arial"/>
          <w:sz w:val="21"/>
          <w:szCs w:val="21"/>
          <w:u w:val="single" w:color="auto"/>
          <w:color w:val="auto"/>
        </w:rPr>
        <w:t>Taxes</w:t>
      </w:r>
      <w:r>
        <w:rPr>
          <w:rFonts w:ascii="Arial" w:cs="Arial" w:eastAsia="Arial" w:hAnsi="Arial"/>
          <w:sz w:val="21"/>
          <w:szCs w:val="21"/>
          <w:color w:val="auto"/>
        </w:rPr>
        <w:t>” means all taxes, charges, fees, levies, penalties, or other assessments imposed by any foreign or United States federal, state, or local taxing authority, including income, excise, property, sales, use, transfer, franchise, license, payroll or other employment-related tax, withholding, social security, registration, gross receipts, value-added, ad valorem, estimated, or other taxes, including any interest, penalties, or additions attributable thereto.</w:t>
      </w:r>
    </w:p>
    <w:p>
      <w:pPr>
        <w:spacing w:after="0" w:line="17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means any return, report, information return, or other document (including any related or supporting information) required to be supplied to any Governmental Entity with respect to Taxes, including amendments thereto.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Territories</w:t>
      </w:r>
      <w:r>
        <w:rPr>
          <w:rFonts w:ascii="Arial" w:cs="Arial" w:eastAsia="Arial" w:hAnsi="Arial"/>
          <w:sz w:val="22"/>
          <w:szCs w:val="22"/>
          <w:color w:val="auto"/>
        </w:rPr>
        <w:t xml:space="preserve">” means the service territories described on </w:t>
      </w:r>
      <w:r>
        <w:rPr>
          <w:rFonts w:ascii="Arial" w:cs="Arial" w:eastAsia="Arial" w:hAnsi="Arial"/>
          <w:sz w:val="22"/>
          <w:szCs w:val="22"/>
          <w:u w:val="single" w:color="auto"/>
          <w:color w:val="auto"/>
        </w:rPr>
        <w:t>Schedule 1.1-F</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Employee Records</w:t>
      </w:r>
      <w:r>
        <w:rPr>
          <w:rFonts w:ascii="Arial" w:cs="Arial" w:eastAsia="Arial" w:hAnsi="Arial"/>
          <w:sz w:val="19"/>
          <w:szCs w:val="19"/>
          <w:color w:val="auto"/>
        </w:rPr>
        <w:t xml:space="preserve">” means the following records relating to Transferred Employees and such other records necessary for Buyer to comply with covenants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to the extent reasonably available to Seller: (i) skill and development training records, (ii) service history, (iii) current and historical salary information for the three years prior to the Effective Time, and (iv) relevant Occupational, Safety and Health Administration reports; provided that such records will not be deemed to include (a) any record which Seller is restricted by applicable Law from providing to Buyer, (b) any personnel medical records or individual performance or evaluation records or (c) any records or data related to any Benefit Plan participation by a Transferred Employee other than to the extent necessary for Buyer to comply with covenants in </w:t>
      </w:r>
      <w:r>
        <w:rPr>
          <w:rFonts w:ascii="Arial" w:cs="Arial" w:eastAsia="Arial" w:hAnsi="Arial"/>
          <w:sz w:val="19"/>
          <w:szCs w:val="19"/>
          <w:u w:val="single" w:color="auto"/>
          <w:color w:val="auto"/>
        </w:rPr>
        <w:t>Section 7.11</w:t>
      </w:r>
      <w:r>
        <w:rPr>
          <w:rFonts w:ascii="Arial" w:cs="Arial" w:eastAsia="Arial" w:hAnsi="Arial"/>
          <w:sz w:val="19"/>
          <w:szCs w:val="19"/>
          <w:color w:val="auto"/>
        </w:rPr>
        <w:t>.</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xml:space="preserve">” means a transition services agreement dated as of the Closing Date and substantially in the form set forth on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 Act</w:t>
      </w:r>
      <w:r>
        <w:rPr>
          <w:rFonts w:ascii="Arial" w:cs="Arial" w:eastAsia="Arial" w:hAnsi="Arial"/>
          <w:sz w:val="22"/>
          <w:szCs w:val="22"/>
          <w:color w:val="auto"/>
        </w:rPr>
        <w:t>” means the Worker Adjustment Retraining and Notification Act of 1988, as amended.</w:t>
      </w:r>
    </w:p>
    <w:p>
      <w:pPr>
        <w:spacing w:after="0" w:line="220" w:lineRule="exact"/>
        <w:rPr>
          <w:sz w:val="20"/>
          <w:szCs w:val="20"/>
          <w:color w:val="auto"/>
        </w:rPr>
      </w:pPr>
    </w:p>
    <w:p>
      <w:pPr>
        <w:ind w:left="1220" w:right="20" w:firstLine="651"/>
        <w:spacing w:after="0" w:line="263" w:lineRule="auto"/>
        <w:tabs>
          <w:tab w:leader="none" w:pos="2341"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addition, each of the following terms has the meaning specified in the Appendix or Section set forth opposite such term:</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Term</w:t>
            </w:r>
          </w:p>
        </w:tc>
        <w:tc>
          <w:tcPr>
            <w:tcW w:w="5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Reference</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Adjustment Dispute Notice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3.2(c)</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Agreement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Alternative Financing</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7.21(d)</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Assumed Obligations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2.3</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Baker Botts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10.15(a)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Balance Sheets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5.5(a)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Benefit Plan</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5.19(a)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Billed Revenues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3.5</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Buyer</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60"/>
          </w:cols>
          <w:pgMar w:left="320" w:top="1428" w:right="319" w:bottom="1440" w:gutter="0" w:footer="0" w:header="0"/>
        </w:sectPr>
      </w:pPr>
    </w:p>
    <w:bookmarkStart w:id="108" w:name="page109"/>
    <w:bookmarkEnd w:id="10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Buyer Plan</w:t>
            </w:r>
          </w:p>
        </w:tc>
        <w:tc>
          <w:tcPr>
            <w:tcW w:w="5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7.11(d)</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Buyer Indemnified Parties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7.17(a)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Buyer’s 401(k) Plan</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7.11(e)</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Buyer’s Cafeteria Plan</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7.11(f)</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Buyer Confidential Information</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7.3(a)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Buyer Medical Plan</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7.11(c)</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Cafeteria Plan Participants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7.11(f)</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Closing</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4.1</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Closing Date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4.1</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Closing Payment Amount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3.2(a)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Collective Bargaining Agreements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5.10(a)(iv)</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Continuation Period</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Debt Financing</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6.4(a)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Debt Financing Agreements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7.21(a)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Debt Financing Commitment Letter</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6.4(a)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Disclosure Schedule Update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7.23</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Effective Time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4.1</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Equity Financing</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6.4(a)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Excluded Assets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2.2</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Excluded Liabilities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2.4</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Fee Letter</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6.4(a)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Franchises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5.10(a)(i)</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Final Purchase Price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3.2(e)</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Financing Commitments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6.4(a)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Financing Commitment Letters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6.4(a)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Gas Inventory</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2.1(a)(iii)</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Inactive Employees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7.10(b)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Income Statements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5.5(a)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Indemnified Parties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7.17(b)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Interim Period</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7.7(a)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Inventory</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2.1(a)(iv)</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IT Assets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2.1(a)(v)</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Large Volume Meters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3.5</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Leases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2.1(a)(i)</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Material Contracts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5.10(a)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Material Gas Contracts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7.7(d)</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Ongoing Shared Contracts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7.18</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Owned Real Property</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2.1(a)(i)</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Post-Closing Adjustment Statement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3.2(b)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Pre-Closing Insurance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7.12(a)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 Price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3.1</w:t>
            </w:r>
          </w:p>
        </w:tc>
      </w:tr>
    </w:tbl>
    <w:p>
      <w:pPr>
        <w:spacing w:after="0" w:line="200" w:lineRule="exact"/>
        <w:rPr>
          <w:sz w:val="20"/>
          <w:szCs w:val="20"/>
          <w:color w:val="auto"/>
        </w:rPr>
      </w:pPr>
    </w:p>
    <w:p>
      <w:pPr>
        <w:sectPr>
          <w:pgSz w:w="11900" w:h="16838" w:orient="portrait"/>
          <w:cols w:equalWidth="0" w:num="1">
            <w:col w:w="11260"/>
          </w:cols>
          <w:pgMar w:left="320" w:top="1440" w:right="319" w:bottom="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60"/>
          </w:cols>
          <w:pgMar w:left="320" w:top="1440" w:right="319" w:bottom="61" w:gutter="0" w:footer="0" w:header="0"/>
          <w:type w:val="continuous"/>
        </w:sectPr>
      </w:pPr>
    </w:p>
    <w:bookmarkStart w:id="109" w:name="page110"/>
    <w:bookmarkEnd w:id="10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Purchased Assets</w:t>
            </w:r>
          </w:p>
        </w:tc>
        <w:tc>
          <w:tcPr>
            <w:tcW w:w="5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Purchased Easements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2.1(a)(i)</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Qualifying Offer</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7.10(b)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Rate Proceeding</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7.1(e)</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Real Property</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2.1(a)(i)</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Retained Agreements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2.2(f)</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Return Date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7.10(b)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Sanctions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5.15(c)</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Seller</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Seller Confidential Information</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7.3(a)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Seller Indemnified Parties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7.17(b)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Seller’s 401(k) Plan</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7.11(e)</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Seller’s Cafeteria Plan</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7.11(f)</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Severance Pay</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7.11(h)(i)</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Termination Date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9.2(b)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Third-Party Claim</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7.20(a)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Third-Party Claim Notice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7.20(a)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Trademarks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1.1(a) (Definition of Business Marks)</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Transaction Taxes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7.9(a)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Transferable Permits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2.1(e)</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Transferred Account Balances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7.11(f)</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Transferred Employee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7.10(b)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Transition Plan</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7.7(a)</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Transitioning Software</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7.7(b)</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Unbilled Revenues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3.5</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Vehicles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2.1(a)(vi)</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Winter Weather Event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Section 1.1(a) (Definition of Material Adverse Effect)</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22"/>
          <w:szCs w:val="22"/>
          <w:u w:val="single" w:color="auto"/>
          <w:color w:val="auto"/>
        </w:rPr>
        <w:t>Other Interpretive Matters</w:t>
      </w:r>
      <w:r>
        <w:rPr>
          <w:rFonts w:ascii="Arial" w:cs="Arial" w:eastAsia="Arial" w:hAnsi="Arial"/>
          <w:sz w:val="22"/>
          <w:szCs w:val="22"/>
          <w:color w:val="auto"/>
        </w:rPr>
        <w:t>. Unless otherwise expressly provided, for purposes of this Agreement, the following rules of interpretation apply:</w:t>
      </w:r>
    </w:p>
    <w:p>
      <w:pPr>
        <w:spacing w:after="0" w:line="175" w:lineRule="exact"/>
        <w:rPr>
          <w:sz w:val="20"/>
          <w:szCs w:val="20"/>
          <w:color w:val="auto"/>
        </w:rPr>
      </w:pPr>
    </w:p>
    <w:p>
      <w:pPr>
        <w:jc w:val="both"/>
        <w:ind w:left="1220" w:right="20" w:firstLine="651"/>
        <w:spacing w:after="0" w:line="294" w:lineRule="auto"/>
        <w:tabs>
          <w:tab w:leader="none" w:pos="2472"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Appendices, Exhibits and Schedules</w:t>
      </w:r>
      <w:r>
        <w:rPr>
          <w:rFonts w:ascii="Arial" w:cs="Arial" w:eastAsia="Arial" w:hAnsi="Arial"/>
          <w:sz w:val="19"/>
          <w:szCs w:val="19"/>
          <w:color w:val="auto"/>
        </w:rPr>
        <w:t>. Unless otherwise expressly indicated, any reference in this Agreement to an “Appendix,” “Exhibit” or “Schedule” refers to an Appendix, Exhibit or Schedule to this Agreement. The Appendices, Exhibits and Schedules to this Agreement are hereby incorporated and made a part hereof as if set forth in full herein and are an integral part of this Agreement. Any capitalized terms used in any Appendix, Exhibit or Schedule but not otherwise defined therein are defined as set forth in this Agreement. In the event of conflict or inconsistency, this Agreement and the Appendices shall prevail over any Exhibit or Schedule.</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60"/>
          </w:cols>
          <w:pgMar w:left="320" w:top="1440" w:right="319" w:bottom="1440" w:gutter="0" w:footer="0" w:header="0"/>
          <w:type w:val="continuous"/>
        </w:sectPr>
      </w:pPr>
    </w:p>
    <w:bookmarkStart w:id="110" w:name="page111"/>
    <w:bookmarkEnd w:id="110"/>
    <w:p>
      <w:pPr>
        <w:jc w:val="both"/>
        <w:ind w:left="1220" w:firstLine="651"/>
        <w:spacing w:after="0" w:line="250" w:lineRule="auto"/>
        <w:tabs>
          <w:tab w:leader="none" w:pos="2403"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Time Periods</w:t>
      </w:r>
      <w:r>
        <w:rPr>
          <w:rFonts w:ascii="Arial" w:cs="Arial" w:eastAsia="Arial" w:hAnsi="Arial"/>
          <w:sz w:val="22"/>
          <w:szCs w:val="22"/>
          <w:color w:val="auto"/>
        </w:rPr>
        <w:t>. When calculating the period of time before which, within which, or following which any act is to be done or step taken pursuant to this Agreement, the date that is the reference date in calculating such period will be excluded. If the last day of such period is a non-Business Day, the period in question will end on the next succeeding Business Day.</w:t>
      </w:r>
    </w:p>
    <w:p>
      <w:pPr>
        <w:spacing w:after="0" w:line="187" w:lineRule="exact"/>
        <w:rPr>
          <w:rFonts w:ascii="Arial" w:cs="Arial" w:eastAsia="Arial" w:hAnsi="Arial"/>
          <w:sz w:val="22"/>
          <w:szCs w:val="22"/>
          <w:color w:val="auto"/>
        </w:rPr>
      </w:pPr>
    </w:p>
    <w:p>
      <w:pPr>
        <w:ind w:left="1220" w:firstLine="651"/>
        <w:spacing w:after="0" w:line="263" w:lineRule="auto"/>
        <w:tabs>
          <w:tab w:leader="none" w:pos="232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Any reference in this Agreement to gender includes all genders, and the meaning of defined terms applies to both the singular and the plural of those terms.</w:t>
      </w:r>
    </w:p>
    <w:p>
      <w:pPr>
        <w:spacing w:after="0" w:line="174" w:lineRule="exact"/>
        <w:rPr>
          <w:rFonts w:ascii="Arial" w:cs="Arial" w:eastAsia="Arial" w:hAnsi="Arial"/>
          <w:sz w:val="22"/>
          <w:szCs w:val="22"/>
          <w:color w:val="auto"/>
        </w:rPr>
      </w:pPr>
    </w:p>
    <w:p>
      <w:pPr>
        <w:jc w:val="both"/>
        <w:ind w:left="1220" w:firstLine="651"/>
        <w:spacing w:after="0" w:line="287" w:lineRule="auto"/>
        <w:tabs>
          <w:tab w:leader="none" w:pos="2403"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Certain Terms</w:t>
      </w:r>
      <w:r>
        <w:rPr>
          <w:rFonts w:ascii="Arial" w:cs="Arial" w:eastAsia="Arial" w:hAnsi="Arial"/>
          <w:sz w:val="19"/>
          <w:szCs w:val="19"/>
          <w:color w:val="auto"/>
        </w:rPr>
        <w:t>. Any reference in this Agreement to “dollars” or “$” means U.S. dollars. The words such as “herein,” “hereinafter,” “hereof,” and “hereunder” refer to this Agreement (including the Appendices, Exhibits and Schedules to this Agreement) as a whole and not merely to a subdivision in which such words appear unless the context otherwise requires. The word “including” or any variation thereof means “including, without limitation” and does not limit any general statement that it follows to the specific or similar items or matters immediately following it. The words “to the extent” when used in reference to a liability or other matter means that the liability or other matter referred to is included in part or excluded in part, with the portion included or excluded determined based on the portion of such liability or other matter exclusively related to the subject or period. The word “or” shall be disjunctive but not exclusive. A reference to any party to any Contract (including this Agreement) shall include such party’s successors and permitted assigns. A reference to any Law or to any provision of any Law shall include any amendment to, and any modification or reenactment thereof, any Law substituted therefor and all regulations and statutory instruments issued thereunder or pursuant thereto.</w:t>
      </w:r>
    </w:p>
    <w:p>
      <w:pPr>
        <w:spacing w:after="0" w:line="158" w:lineRule="exact"/>
        <w:rPr>
          <w:rFonts w:ascii="Arial" w:cs="Arial" w:eastAsia="Arial" w:hAnsi="Arial"/>
          <w:sz w:val="19"/>
          <w:szCs w:val="19"/>
          <w:color w:val="auto"/>
        </w:rPr>
      </w:pPr>
    </w:p>
    <w:p>
      <w:pPr>
        <w:jc w:val="both"/>
        <w:ind w:left="1220" w:firstLine="651"/>
        <w:spacing w:after="0" w:line="250" w:lineRule="auto"/>
        <w:tabs>
          <w:tab w:leader="none" w:pos="2445"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division of this Agreement into Articles, Sections, and other subdivisions, and the insertion of headings are for convenience of reference only and do not affect, and will not be utilized in construing or interpreting, this Agreement. All references in this Agreement to any “Section” are to the corresponding Section of this Agreement unless otherwise specified.</w:t>
      </w:r>
    </w:p>
    <w:p>
      <w:pPr>
        <w:spacing w:after="0" w:line="187" w:lineRule="exact"/>
        <w:rPr>
          <w:rFonts w:ascii="Arial" w:cs="Arial" w:eastAsia="Arial" w:hAnsi="Arial"/>
          <w:sz w:val="22"/>
          <w:szCs w:val="22"/>
          <w:color w:val="auto"/>
        </w:rPr>
      </w:pPr>
    </w:p>
    <w:p>
      <w:pPr>
        <w:jc w:val="both"/>
        <w:ind w:left="1220" w:firstLine="651"/>
        <w:spacing w:after="0" w:line="265" w:lineRule="auto"/>
        <w:tabs>
          <w:tab w:leader="none" w:pos="2489"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Joint Participation</w:t>
      </w:r>
      <w:r>
        <w:rPr>
          <w:rFonts w:ascii="Arial" w:cs="Arial" w:eastAsia="Arial" w:hAnsi="Arial"/>
          <w:sz w:val="21"/>
          <w:szCs w:val="21"/>
          <w:color w:val="auto"/>
        </w:rPr>
        <w:t>.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Purchased Assets</w:t>
      </w:r>
      <w:r>
        <w:rPr>
          <w:rFonts w:ascii="Arial" w:cs="Arial" w:eastAsia="Arial" w:hAnsi="Arial"/>
          <w:sz w:val="22"/>
          <w:szCs w:val="22"/>
          <w:color w:val="auto"/>
        </w:rPr>
        <w:t>. Upon the terms and subject to the satisfaction of the conditions contained in this Agreement, at the Closing, Seller will sell, assign, convey,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11" w:name="page112"/>
    <w:bookmarkEnd w:id="111"/>
    <w:p>
      <w:pPr>
        <w:jc w:val="both"/>
        <w:spacing w:after="0" w:line="247" w:lineRule="auto"/>
        <w:rPr>
          <w:sz w:val="20"/>
          <w:szCs w:val="20"/>
          <w:color w:val="auto"/>
        </w:rPr>
      </w:pPr>
      <w:r>
        <w:rPr>
          <w:rFonts w:ascii="Arial" w:cs="Arial" w:eastAsia="Arial" w:hAnsi="Arial"/>
          <w:sz w:val="22"/>
          <w:szCs w:val="22"/>
          <w:color w:val="auto"/>
        </w:rPr>
        <w:t>and deliver (or cause to be sold, assigned, conveyed, transferred and delivered) to Buyer, and Buyer will purchase and acquire from Seller (or an Affiliate of Seller, as the case may be), free and clear of all Encumbrances (except for Permitted Encumbrances), all of Seller’s or Seller’s Affiliates’ right, title, and interest in, to, and under the assets, tangible or intangible, described below, as the same exists at the Effective Time (and, as permitted or contemplated hereby, with such additions and deletions as shall occur from the date hereof through the Effective Time), except to the extent that such assets are Excluded Assets (collectively, the “</w:t>
      </w:r>
      <w:r>
        <w:rPr>
          <w:rFonts w:ascii="Arial" w:cs="Arial" w:eastAsia="Arial" w:hAnsi="Arial"/>
          <w:sz w:val="22"/>
          <w:szCs w:val="22"/>
          <w:u w:val="single" w:color="auto"/>
          <w:color w:val="auto"/>
        </w:rPr>
        <w:t>Purchased Assets</w:t>
      </w:r>
      <w:r>
        <w:rPr>
          <w:rFonts w:ascii="Arial" w:cs="Arial" w:eastAsia="Arial" w:hAnsi="Arial"/>
          <w:sz w:val="22"/>
          <w:szCs w:val="22"/>
          <w:color w:val="auto"/>
        </w:rPr>
        <w:t>”):</w:t>
      </w:r>
    </w:p>
    <w:p>
      <w:pPr>
        <w:spacing w:after="0" w:line="193" w:lineRule="exact"/>
        <w:rPr>
          <w:sz w:val="20"/>
          <w:szCs w:val="20"/>
          <w:color w:val="auto"/>
        </w:rPr>
      </w:pPr>
    </w:p>
    <w:p>
      <w:pPr>
        <w:ind w:left="2320" w:hanging="449"/>
        <w:spacing w:after="0"/>
        <w:tabs>
          <w:tab w:leader="none" w:pos="232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following real and personal property, plant and equipment and related tangible property:</w:t>
      </w:r>
    </w:p>
    <w:p>
      <w:pPr>
        <w:spacing w:after="0" w:line="231" w:lineRule="exact"/>
        <w:rPr>
          <w:rFonts w:ascii="Arial" w:cs="Arial" w:eastAsia="Arial" w:hAnsi="Arial"/>
          <w:sz w:val="21"/>
          <w:szCs w:val="21"/>
          <w:color w:val="auto"/>
        </w:rPr>
      </w:pPr>
    </w:p>
    <w:p>
      <w:pPr>
        <w:jc w:val="both"/>
        <w:ind w:left="1300" w:firstLine="652"/>
        <w:spacing w:after="0" w:line="294" w:lineRule="auto"/>
        <w:tabs>
          <w:tab w:leader="none" w:pos="2411"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all real property and real property interests located in the Territories owned, used or leased by Seller primarily related to the Business, including: the real property in which Seller owns a fee simple interest generally described on </w:t>
      </w:r>
      <w:r>
        <w:rPr>
          <w:rFonts w:ascii="Arial" w:cs="Arial" w:eastAsia="Arial" w:hAnsi="Arial"/>
          <w:sz w:val="19"/>
          <w:szCs w:val="19"/>
          <w:u w:val="single" w:color="auto"/>
          <w:color w:val="auto"/>
        </w:rPr>
        <w:t>Schedule 2.1(a)(i)</w:t>
      </w:r>
      <w:r>
        <w:rPr>
          <w:rFonts w:ascii="Arial" w:cs="Arial" w:eastAsia="Arial" w:hAnsi="Arial"/>
          <w:sz w:val="19"/>
          <w:szCs w:val="19"/>
          <w:color w:val="auto"/>
        </w:rPr>
        <w:t>, together with all buildings, structures, pipelines, other improvements, and fixtures located thereon (“</w:t>
      </w:r>
      <w:r>
        <w:rPr>
          <w:rFonts w:ascii="Arial" w:cs="Arial" w:eastAsia="Arial" w:hAnsi="Arial"/>
          <w:sz w:val="19"/>
          <w:szCs w:val="19"/>
          <w:u w:val="single" w:color="auto"/>
          <w:color w:val="auto"/>
        </w:rPr>
        <w:t>Owned Real Property</w:t>
      </w:r>
      <w:r>
        <w:rPr>
          <w:rFonts w:ascii="Arial" w:cs="Arial" w:eastAsia="Arial" w:hAnsi="Arial"/>
          <w:sz w:val="19"/>
          <w:szCs w:val="19"/>
          <w:color w:val="auto"/>
        </w:rPr>
        <w:t xml:space="preserve">”); the leasehold interests under the leases described on </w:t>
      </w:r>
      <w:r>
        <w:rPr>
          <w:rFonts w:ascii="Arial" w:cs="Arial" w:eastAsia="Arial" w:hAnsi="Arial"/>
          <w:sz w:val="19"/>
          <w:szCs w:val="19"/>
          <w:u w:val="single" w:color="auto"/>
          <w:color w:val="auto"/>
        </w:rPr>
        <w:t>Schedule 2.1(a)(i)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Leases</w:t>
      </w:r>
      <w:r>
        <w:rPr>
          <w:rFonts w:ascii="Arial" w:cs="Arial" w:eastAsia="Arial" w:hAnsi="Arial"/>
          <w:sz w:val="19"/>
          <w:szCs w:val="19"/>
          <w:color w:val="auto"/>
        </w:rPr>
        <w:t xml:space="preserve">”); and the easement interests under the Easements generally described on </w:t>
      </w:r>
      <w:r>
        <w:rPr>
          <w:rFonts w:ascii="Arial" w:cs="Arial" w:eastAsia="Arial" w:hAnsi="Arial"/>
          <w:sz w:val="19"/>
          <w:szCs w:val="19"/>
          <w:u w:val="single" w:color="auto"/>
          <w:color w:val="auto"/>
        </w:rPr>
        <w:t>Schedule 2.1(a)(i)</w:t>
      </w:r>
      <w:r>
        <w:rPr>
          <w:rFonts w:ascii="Arial" w:cs="Arial" w:eastAsia="Arial" w:hAnsi="Arial"/>
          <w:sz w:val="19"/>
          <w:szCs w:val="19"/>
          <w:color w:val="auto"/>
        </w:rPr>
        <w:t xml:space="preserve"> (such Easements, the “</w:t>
      </w:r>
      <w:r>
        <w:rPr>
          <w:rFonts w:ascii="Arial" w:cs="Arial" w:eastAsia="Arial" w:hAnsi="Arial"/>
          <w:sz w:val="19"/>
          <w:szCs w:val="19"/>
          <w:u w:val="single" w:color="auto"/>
          <w:color w:val="auto"/>
        </w:rPr>
        <w:t>Purchased Easements</w:t>
      </w:r>
      <w:r>
        <w:rPr>
          <w:rFonts w:ascii="Arial" w:cs="Arial" w:eastAsia="Arial" w:hAnsi="Arial"/>
          <w:sz w:val="19"/>
          <w:szCs w:val="19"/>
          <w:color w:val="auto"/>
        </w:rPr>
        <w:t>”) (all of the foregoing, the “</w:t>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ind w:left="1300" w:firstLine="652"/>
        <w:spacing w:after="0" w:line="263" w:lineRule="auto"/>
        <w:tabs>
          <w:tab w:leader="none" w:pos="2561" w:val="left"/>
        </w:tabs>
        <w:numPr>
          <w:ilvl w:val="1"/>
          <w:numId w:val="68"/>
        </w:numPr>
        <w:rPr>
          <w:rFonts w:ascii="Arial" w:cs="Arial" w:eastAsia="Arial" w:hAnsi="Arial"/>
          <w:sz w:val="22"/>
          <w:szCs w:val="22"/>
          <w:color w:val="auto"/>
        </w:rPr>
      </w:pPr>
      <w:r>
        <w:rPr>
          <w:rFonts w:ascii="Arial" w:cs="Arial" w:eastAsia="Arial" w:hAnsi="Arial"/>
          <w:sz w:val="22"/>
          <w:szCs w:val="22"/>
          <w:color w:val="auto"/>
        </w:rPr>
        <w:t xml:space="preserve">all other natural gas distribution utility system assets installed in the Territories and used in the Business, including as generally described on </w:t>
      </w:r>
      <w:r>
        <w:rPr>
          <w:rFonts w:ascii="Arial" w:cs="Arial" w:eastAsia="Arial" w:hAnsi="Arial"/>
          <w:sz w:val="22"/>
          <w:szCs w:val="22"/>
          <w:u w:val="single" w:color="auto"/>
          <w:color w:val="auto"/>
        </w:rPr>
        <w:t>Schedule 2.1(a)(ii)</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300" w:firstLine="652"/>
        <w:spacing w:after="0" w:line="253" w:lineRule="auto"/>
        <w:tabs>
          <w:tab w:leader="none" w:pos="2570" w:val="left"/>
        </w:tabs>
        <w:numPr>
          <w:ilvl w:val="1"/>
          <w:numId w:val="68"/>
        </w:numPr>
        <w:rPr>
          <w:rFonts w:ascii="Arial" w:cs="Arial" w:eastAsia="Arial" w:hAnsi="Arial"/>
          <w:sz w:val="22"/>
          <w:szCs w:val="22"/>
          <w:color w:val="auto"/>
        </w:rPr>
      </w:pPr>
      <w:r>
        <w:rPr>
          <w:rFonts w:ascii="Arial" w:cs="Arial" w:eastAsia="Arial" w:hAnsi="Arial"/>
          <w:sz w:val="22"/>
          <w:szCs w:val="22"/>
          <w:color w:val="auto"/>
        </w:rPr>
        <w:t xml:space="preserve">the inventory of natural gas and natural gas products used in the Business and that are located in facilities owned, leased or controlled by Seller or its Affiliates described in the general ledger accounts listed in </w:t>
      </w:r>
      <w:r>
        <w:rPr>
          <w:rFonts w:ascii="Arial" w:cs="Arial" w:eastAsia="Arial" w:hAnsi="Arial"/>
          <w:sz w:val="22"/>
          <w:szCs w:val="22"/>
          <w:u w:val="single" w:color="auto"/>
          <w:color w:val="auto"/>
        </w:rPr>
        <w:t>Schedule 2.1(a)(iii)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Gas Inventory</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300" w:firstLine="652"/>
        <w:spacing w:after="0" w:line="253" w:lineRule="auto"/>
        <w:tabs>
          <w:tab w:leader="none" w:pos="25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all parts and other inventory (but excluding the Gas Inventory) that are located or have, in the 12-month period prior to the date hereof, been located in the Territories owned by Seller or any of its Affiliates held for use primarily in connection with the Business (collectively, the “</w:t>
      </w:r>
      <w:r>
        <w:rPr>
          <w:rFonts w:ascii="Arial" w:cs="Arial" w:eastAsia="Arial" w:hAnsi="Arial"/>
          <w:sz w:val="22"/>
          <w:szCs w:val="22"/>
          <w:u w:val="single" w:color="auto"/>
          <w:color w:val="auto"/>
        </w:rPr>
        <w:t>Inventory</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300" w:firstLine="652"/>
        <w:spacing w:after="0" w:line="250" w:lineRule="auto"/>
        <w:tabs>
          <w:tab w:leader="none" w:pos="2444" w:val="left"/>
        </w:tabs>
        <w:numPr>
          <w:ilvl w:val="1"/>
          <w:numId w:val="68"/>
        </w:numPr>
        <w:rPr>
          <w:rFonts w:ascii="Arial" w:cs="Arial" w:eastAsia="Arial" w:hAnsi="Arial"/>
          <w:sz w:val="22"/>
          <w:szCs w:val="22"/>
          <w:color w:val="auto"/>
        </w:rPr>
      </w:pPr>
      <w:r>
        <w:rPr>
          <w:rFonts w:ascii="Arial" w:cs="Arial" w:eastAsia="Arial" w:hAnsi="Arial"/>
          <w:sz w:val="22"/>
          <w:szCs w:val="22"/>
          <w:color w:val="auto"/>
        </w:rPr>
        <w:t xml:space="preserve">all information technology and communications equipment located in the Territories, or that have, in the 12-month period prior to the date hereof, been located in the Territories, is installed or in use primarily at or on, and used primarily in connection with the operation of, the Business, except as otherwise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IT Assets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1300" w:firstLine="652"/>
        <w:spacing w:after="0" w:line="312" w:lineRule="auto"/>
        <w:tabs>
          <w:tab w:leader="none" w:pos="2496" w:val="left"/>
        </w:tabs>
        <w:numPr>
          <w:ilvl w:val="1"/>
          <w:numId w:val="68"/>
        </w:numPr>
        <w:rPr>
          <w:rFonts w:ascii="Arial" w:cs="Arial" w:eastAsia="Arial" w:hAnsi="Arial"/>
          <w:sz w:val="19"/>
          <w:szCs w:val="19"/>
          <w:color w:val="auto"/>
        </w:rPr>
      </w:pPr>
      <w:r>
        <w:rPr>
          <w:rFonts w:ascii="Arial" w:cs="Arial" w:eastAsia="Arial" w:hAnsi="Arial"/>
          <w:sz w:val="19"/>
          <w:szCs w:val="19"/>
          <w:color w:val="auto"/>
        </w:rPr>
        <w:t>all motor vehicles, trailers and similar rolling stock located in the Territories, or that have, in the 12-month period prior to the date hereof, been located that in the Territories, that is used primarily in connection with the Business, to the extent owned by Seller or any of its Affiliates as of the Effective Time (the “</w:t>
      </w:r>
      <w:r>
        <w:rPr>
          <w:rFonts w:ascii="Arial" w:cs="Arial" w:eastAsia="Arial" w:hAnsi="Arial"/>
          <w:sz w:val="19"/>
          <w:szCs w:val="19"/>
          <w:u w:val="single" w:color="auto"/>
          <w:color w:val="auto"/>
        </w:rPr>
        <w:t>Vehicles</w:t>
      </w:r>
      <w:r>
        <w:rPr>
          <w:rFonts w:ascii="Arial" w:cs="Arial" w:eastAsia="Arial" w:hAnsi="Arial"/>
          <w:sz w:val="19"/>
          <w:szCs w:val="19"/>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12" w:name="page113"/>
    <w:bookmarkEnd w:id="112"/>
    <w:p>
      <w:pPr>
        <w:jc w:val="both"/>
        <w:ind w:left="180" w:firstLine="652"/>
        <w:spacing w:after="0" w:line="248" w:lineRule="auto"/>
        <w:tabs>
          <w:tab w:leader="none" w:pos="1582" w:val="left"/>
        </w:tabs>
        <w:numPr>
          <w:ilvl w:val="1"/>
          <w:numId w:val="69"/>
        </w:numPr>
        <w:rPr>
          <w:rFonts w:ascii="Arial" w:cs="Arial" w:eastAsia="Arial" w:hAnsi="Arial"/>
          <w:sz w:val="22"/>
          <w:szCs w:val="22"/>
          <w:color w:val="auto"/>
        </w:rPr>
      </w:pPr>
      <w:r>
        <w:rPr>
          <w:rFonts w:ascii="Arial" w:cs="Arial" w:eastAsia="Arial" w:hAnsi="Arial"/>
          <w:sz w:val="22"/>
          <w:szCs w:val="22"/>
          <w:color w:val="auto"/>
        </w:rPr>
        <w:t>all furnishings, fixtures, machinery, equipment, materials and other tangible personal property owned by Seller or any of its Affiliates (other than any Gas Inventory, IT Assets and Vehicles) that is located in the Territories, or that have, in the 12-month period prior to the date hereof, been located that in the Territories, and that is used in connection with the operation of the Business, to the extent owned by Seller or any of its Affiliates as of the Effective Time.</w:t>
      </w:r>
    </w:p>
    <w:p>
      <w:pPr>
        <w:spacing w:after="0" w:line="191" w:lineRule="exact"/>
        <w:rPr>
          <w:rFonts w:ascii="Arial" w:cs="Arial" w:eastAsia="Arial" w:hAnsi="Arial"/>
          <w:sz w:val="22"/>
          <w:szCs w:val="22"/>
          <w:color w:val="auto"/>
        </w:rPr>
      </w:pPr>
    </w:p>
    <w:p>
      <w:pPr>
        <w:jc w:val="both"/>
        <w:ind w:left="100" w:firstLine="651"/>
        <w:spacing w:after="0" w:line="253" w:lineRule="auto"/>
        <w:tabs>
          <w:tab w:leader="none" w:pos="12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all Billed Revenues and Unbilled Revenues, each as defined in </w:t>
      </w:r>
      <w:r>
        <w:rPr>
          <w:rFonts w:ascii="Arial" w:cs="Arial" w:eastAsia="Arial" w:hAnsi="Arial"/>
          <w:sz w:val="22"/>
          <w:szCs w:val="22"/>
          <w:u w:val="single" w:color="auto"/>
          <w:color w:val="auto"/>
        </w:rPr>
        <w:t>Section 3.5</w:t>
      </w:r>
      <w:r>
        <w:rPr>
          <w:rFonts w:ascii="Arial" w:cs="Arial" w:eastAsia="Arial" w:hAnsi="Arial"/>
          <w:sz w:val="22"/>
          <w:szCs w:val="22"/>
          <w:color w:val="auto"/>
        </w:rPr>
        <w:t>, which for the avoidance of doubt and notwithstanding any other provision of this Agreement to the contrary, shall constitute current assets for purposes of calculating the Adjustment Amount;</w:t>
      </w:r>
    </w:p>
    <w:p>
      <w:pPr>
        <w:spacing w:after="0" w:line="185" w:lineRule="exact"/>
        <w:rPr>
          <w:rFonts w:ascii="Arial" w:cs="Arial" w:eastAsia="Arial" w:hAnsi="Arial"/>
          <w:sz w:val="22"/>
          <w:szCs w:val="22"/>
          <w:color w:val="auto"/>
        </w:rPr>
      </w:pPr>
    </w:p>
    <w:p>
      <w:pPr>
        <w:jc w:val="both"/>
        <w:ind w:left="100" w:firstLine="651"/>
        <w:spacing w:after="0" w:line="271" w:lineRule="auto"/>
        <w:tabs>
          <w:tab w:leader="none" w:pos="1261"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the assets of Seller with respect to over-recovered or under-recovered purchased gas cost adjustment charges, and all prepayments, deferred charges, regulatory liabilities and other similar items, to the extent included in the calculation of the Adjustment Amount in accordance with </w:t>
      </w:r>
      <w:r>
        <w:rPr>
          <w:rFonts w:ascii="Arial" w:cs="Arial" w:eastAsia="Arial" w:hAnsi="Arial"/>
          <w:sz w:val="21"/>
          <w:szCs w:val="21"/>
          <w:u w:val="single" w:color="auto"/>
          <w:color w:val="auto"/>
        </w:rPr>
        <w:t>Appendix A</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left="100" w:firstLine="651"/>
        <w:spacing w:after="0" w:line="263" w:lineRule="auto"/>
        <w:tabs>
          <w:tab w:leader="none" w:pos="1372"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the Business Agreements, subject to </w:t>
      </w:r>
      <w:r>
        <w:rPr>
          <w:rFonts w:ascii="Arial" w:cs="Arial" w:eastAsia="Arial" w:hAnsi="Arial"/>
          <w:sz w:val="22"/>
          <w:szCs w:val="22"/>
          <w:u w:val="single" w:color="auto"/>
          <w:color w:val="auto"/>
        </w:rPr>
        <w:t>Section 7.1(b)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7.6(b),</w:t>
      </w:r>
      <w:r>
        <w:rPr>
          <w:rFonts w:ascii="Arial" w:cs="Arial" w:eastAsia="Arial" w:hAnsi="Arial"/>
          <w:sz w:val="22"/>
          <w:szCs w:val="22"/>
          <w:color w:val="auto"/>
        </w:rPr>
        <w:t xml:space="preserve"> and the Shared Contract Rights, subject to </w:t>
      </w:r>
      <w:r>
        <w:rPr>
          <w:rFonts w:ascii="Arial" w:cs="Arial" w:eastAsia="Arial" w:hAnsi="Arial"/>
          <w:sz w:val="22"/>
          <w:szCs w:val="22"/>
          <w:u w:val="single" w:color="auto"/>
          <w:color w:val="auto"/>
        </w:rPr>
        <w:t>Section 7.18</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00" w:firstLine="651"/>
        <w:spacing w:after="0" w:line="297" w:lineRule="auto"/>
        <w:tabs>
          <w:tab w:leader="none" w:pos="13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 Permits and Environmental Permits used or held by Seller or any of its Affiliates primarily in connection with the Business or the ownership or operation of any of the Purchased Assets, except to the extent that, notwithstanding compliance by Seller with its obligations hereunder, any such Permits or Environmental Permits are prohibited by applicable Law or the terms of such Permits or Environmental Permits from being assigned to Buyer in connection with the transactions contemplated hereby (the “</w:t>
      </w:r>
      <w:r>
        <w:rPr>
          <w:rFonts w:ascii="Arial" w:cs="Arial" w:eastAsia="Arial" w:hAnsi="Arial"/>
          <w:sz w:val="19"/>
          <w:szCs w:val="19"/>
          <w:u w:val="single" w:color="auto"/>
          <w:color w:val="auto"/>
        </w:rPr>
        <w:t>Transferable Permits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1180" w:hanging="429"/>
        <w:spacing w:after="0"/>
        <w:tabs>
          <w:tab w:leader="none" w:pos="11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Documents;</w:t>
      </w:r>
    </w:p>
    <w:p>
      <w:pPr>
        <w:spacing w:after="0" w:line="219" w:lineRule="exact"/>
        <w:rPr>
          <w:rFonts w:ascii="Arial" w:cs="Arial" w:eastAsia="Arial" w:hAnsi="Arial"/>
          <w:sz w:val="22"/>
          <w:szCs w:val="22"/>
          <w:color w:val="auto"/>
        </w:rPr>
      </w:pPr>
    </w:p>
    <w:p>
      <w:pPr>
        <w:ind w:left="100" w:firstLine="651"/>
        <w:spacing w:after="0" w:line="343" w:lineRule="auto"/>
        <w:tabs>
          <w:tab w:leader="none" w:pos="1229"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 warranties (other than those included in Shared Contracts) against manufacturers, service providers or vendors to the extent primarily relating to any of the Purchased Assets, to the extent transferrable;</w:t>
      </w:r>
    </w:p>
    <w:p>
      <w:pPr>
        <w:spacing w:after="0" w:line="104" w:lineRule="exact"/>
        <w:rPr>
          <w:rFonts w:ascii="Arial" w:cs="Arial" w:eastAsia="Arial" w:hAnsi="Arial"/>
          <w:sz w:val="19"/>
          <w:szCs w:val="19"/>
          <w:color w:val="auto"/>
        </w:rPr>
      </w:pPr>
    </w:p>
    <w:p>
      <w:pPr>
        <w:ind w:left="1220" w:hanging="469"/>
        <w:spacing w:after="0"/>
        <w:tabs>
          <w:tab w:leader="none" w:pos="12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Business Intellectual Property, including Business Marks;</w:t>
      </w:r>
    </w:p>
    <w:p>
      <w:pPr>
        <w:spacing w:after="0" w:line="219" w:lineRule="exact"/>
        <w:rPr>
          <w:rFonts w:ascii="Arial" w:cs="Arial" w:eastAsia="Arial" w:hAnsi="Arial"/>
          <w:sz w:val="22"/>
          <w:szCs w:val="22"/>
          <w:color w:val="auto"/>
        </w:rPr>
      </w:pPr>
    </w:p>
    <w:p>
      <w:pPr>
        <w:jc w:val="both"/>
        <w:ind w:left="100" w:firstLine="651"/>
        <w:spacing w:after="0" w:line="265" w:lineRule="auto"/>
        <w:tabs>
          <w:tab w:leader="none" w:pos="1175"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Claims and defenses of Seller to the extent, but only to the extent, such Claims or defenses relate to the Business, Purchased Assets or Assumed Obligations, provided such Claims and defenses will be assigned by Seller to Buyer without warranty or recourse; </w:t>
      </w:r>
      <w:r>
        <w:rPr>
          <w:rFonts w:ascii="Arial" w:cs="Arial" w:eastAsia="Arial" w:hAnsi="Arial"/>
          <w:sz w:val="21"/>
          <w:szCs w:val="21"/>
          <w:i w:val="1"/>
          <w:iCs w:val="1"/>
          <w:color w:val="auto"/>
        </w:rPr>
        <w:t>provided</w:t>
      </w:r>
      <w:r>
        <w:rPr>
          <w:rFonts w:ascii="Arial" w:cs="Arial" w:eastAsia="Arial" w:hAnsi="Arial"/>
          <w:sz w:val="21"/>
          <w:szCs w:val="21"/>
          <w:color w:val="auto"/>
        </w:rPr>
        <w:t>, that if such transfer would prejudice any such Claims or defenses, the Parties shall cooperate in good faith to avoid such prejudice;</w:t>
      </w:r>
    </w:p>
    <w:p>
      <w:pPr>
        <w:spacing w:after="0" w:line="175" w:lineRule="exact"/>
        <w:rPr>
          <w:rFonts w:ascii="Arial" w:cs="Arial" w:eastAsia="Arial" w:hAnsi="Arial"/>
          <w:sz w:val="21"/>
          <w:szCs w:val="21"/>
          <w:color w:val="auto"/>
        </w:rPr>
      </w:pPr>
    </w:p>
    <w:p>
      <w:pPr>
        <w:ind w:left="1180" w:hanging="429"/>
        <w:spacing w:after="0"/>
        <w:tabs>
          <w:tab w:leader="none" w:pos="11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the assets and other rights set forth on </w:t>
      </w:r>
      <w:r>
        <w:rPr>
          <w:rFonts w:ascii="Arial" w:cs="Arial" w:eastAsia="Arial" w:hAnsi="Arial"/>
          <w:sz w:val="19"/>
          <w:szCs w:val="19"/>
          <w:u w:val="single" w:color="auto"/>
          <w:color w:val="auto"/>
        </w:rPr>
        <w:t>Schedule 2.1(j)</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120"/>
          </w:cols>
          <w:pgMar w:left="1440" w:top="1428" w:right="339" w:bottom="1440" w:gutter="0" w:footer="0" w:header="0"/>
        </w:sectPr>
      </w:pPr>
    </w:p>
    <w:bookmarkStart w:id="113" w:name="page114"/>
    <w:bookmarkEnd w:id="113"/>
    <w:p>
      <w:pPr>
        <w:ind w:left="2340" w:hanging="469"/>
        <w:spacing w:after="0"/>
        <w:tabs>
          <w:tab w:leader="none" w:pos="23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any assets transferred pursuant to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with respect to the Benefit Plans;</w:t>
      </w:r>
    </w:p>
    <w:p>
      <w:pPr>
        <w:spacing w:after="0" w:line="219" w:lineRule="exact"/>
        <w:rPr>
          <w:rFonts w:ascii="Arial" w:cs="Arial" w:eastAsia="Arial" w:hAnsi="Arial"/>
          <w:sz w:val="22"/>
          <w:szCs w:val="22"/>
          <w:color w:val="auto"/>
        </w:rPr>
      </w:pPr>
    </w:p>
    <w:p>
      <w:pPr>
        <w:ind w:left="1220" w:firstLine="651"/>
        <w:spacing w:after="0" w:line="263" w:lineRule="auto"/>
        <w:tabs>
          <w:tab w:leader="none" w:pos="2298"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to the extent not specifically identified above, any assets to the extent included in the calculation of the Adjustment Amount in accordance with </w:t>
      </w:r>
      <w:r>
        <w:rPr>
          <w:rFonts w:ascii="Arial" w:cs="Arial" w:eastAsia="Arial" w:hAnsi="Arial"/>
          <w:sz w:val="22"/>
          <w:szCs w:val="22"/>
          <w:u w:val="single" w:color="auto"/>
          <w:color w:val="auto"/>
        </w:rPr>
        <w:t>Appendix A</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jc w:val="both"/>
        <w:ind w:left="1220" w:firstLine="651"/>
        <w:spacing w:after="0" w:line="253" w:lineRule="auto"/>
        <w:tabs>
          <w:tab w:leader="none" w:pos="2463"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other tangible assets that are primarily related to the current operation of the Business and any other intangible assets that are exclusively related to the current operation of the Business, in each case, other than the Excluded Assets.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Excluded Assets</w:t>
      </w:r>
      <w:r>
        <w:rPr>
          <w:rFonts w:ascii="Arial" w:cs="Arial" w:eastAsia="Arial" w:hAnsi="Arial"/>
          <w:sz w:val="22"/>
          <w:szCs w:val="22"/>
          <w:color w:val="auto"/>
        </w:rPr>
        <w:t xml:space="preserve">. The Purchased Assets do not include any property or assets of Seller other than as described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and, notwithstanding any provision to the contrary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elsewhere in this Agreement (other than as set forth on </w:t>
      </w:r>
      <w:r>
        <w:rPr>
          <w:rFonts w:ascii="Arial" w:cs="Arial" w:eastAsia="Arial" w:hAnsi="Arial"/>
          <w:sz w:val="22"/>
          <w:szCs w:val="22"/>
          <w:u w:val="single" w:color="auto"/>
          <w:color w:val="auto"/>
        </w:rPr>
        <w:t>Schedule 2.1(j)</w:t>
      </w:r>
      <w:r>
        <w:rPr>
          <w:rFonts w:ascii="Arial" w:cs="Arial" w:eastAsia="Arial" w:hAnsi="Arial"/>
          <w:sz w:val="22"/>
          <w:szCs w:val="22"/>
          <w:color w:val="auto"/>
        </w:rPr>
        <w:t xml:space="preserve">), the Purchased Assets do not include the following property or assets of Seller (all assets excluded pursuant to this </w:t>
      </w:r>
      <w:r>
        <w:rPr>
          <w:rFonts w:ascii="Arial" w:cs="Arial" w:eastAsia="Arial" w:hAnsi="Arial"/>
          <w:sz w:val="22"/>
          <w:szCs w:val="22"/>
          <w:u w:val="single" w:color="auto"/>
          <w:color w:val="auto"/>
        </w:rPr>
        <w:t>Section 2.2</w:t>
      </w:r>
      <w:r>
        <w:rPr>
          <w:rFonts w:ascii="Arial" w:cs="Arial" w:eastAsia="Arial" w:hAnsi="Arial"/>
          <w:sz w:val="22"/>
          <w:szCs w:val="22"/>
          <w:color w:val="auto"/>
        </w:rPr>
        <w:t>, the “</w:t>
      </w:r>
      <w:r>
        <w:rPr>
          <w:rFonts w:ascii="Arial" w:cs="Arial" w:eastAsia="Arial" w:hAnsi="Arial"/>
          <w:sz w:val="22"/>
          <w:szCs w:val="22"/>
          <w:u w:val="single" w:color="auto"/>
          <w:color w:val="auto"/>
        </w:rPr>
        <w:t>Excluded Assets</w:t>
      </w:r>
      <w:r>
        <w:rPr>
          <w:rFonts w:ascii="Arial" w:cs="Arial" w:eastAsia="Arial" w:hAnsi="Arial"/>
          <w:sz w:val="22"/>
          <w:szCs w:val="22"/>
          <w:color w:val="auto"/>
        </w:rPr>
        <w:t>”):</w:t>
      </w:r>
    </w:p>
    <w:p>
      <w:pPr>
        <w:spacing w:after="0" w:line="188" w:lineRule="exact"/>
        <w:rPr>
          <w:sz w:val="20"/>
          <w:szCs w:val="20"/>
          <w:color w:val="auto"/>
        </w:rPr>
      </w:pPr>
    </w:p>
    <w:p>
      <w:pPr>
        <w:ind w:left="2320" w:hanging="449"/>
        <w:spacing w:after="0"/>
        <w:tabs>
          <w:tab w:leader="none" w:pos="23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cash, cash equivalents, and bank deposits except as described in </w:t>
      </w:r>
      <w:r>
        <w:rPr>
          <w:rFonts w:ascii="Arial" w:cs="Arial" w:eastAsia="Arial" w:hAnsi="Arial"/>
          <w:sz w:val="22"/>
          <w:szCs w:val="22"/>
          <w:u w:val="single" w:color="auto"/>
          <w:color w:val="auto"/>
        </w:rPr>
        <w:t>Section 2.1(l)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20" w:firstLine="651"/>
        <w:spacing w:after="0" w:line="263" w:lineRule="auto"/>
        <w:tabs>
          <w:tab w:leader="none" w:pos="24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certificates of deposit, shares of stock, securities, bonds, debentures, evidences of Indebtedness, and any other debt or equity interest in any Person;</w:t>
      </w:r>
    </w:p>
    <w:p>
      <w:pPr>
        <w:spacing w:after="0" w:line="174" w:lineRule="exact"/>
        <w:rPr>
          <w:rFonts w:ascii="Arial" w:cs="Arial" w:eastAsia="Arial" w:hAnsi="Arial"/>
          <w:sz w:val="22"/>
          <w:szCs w:val="22"/>
          <w:color w:val="auto"/>
        </w:rPr>
      </w:pPr>
    </w:p>
    <w:p>
      <w:pPr>
        <w:ind w:left="1220" w:firstLine="651"/>
        <w:spacing w:after="0" w:line="263" w:lineRule="auto"/>
        <w:tabs>
          <w:tab w:leader="none" w:pos="2454"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assets used by Seller in performing corporate, support, administrative and other services from locations outside of the Territories;</w:t>
      </w:r>
    </w:p>
    <w:p>
      <w:pPr>
        <w:spacing w:after="0" w:line="174" w:lineRule="exact"/>
        <w:rPr>
          <w:rFonts w:ascii="Arial" w:cs="Arial" w:eastAsia="Arial" w:hAnsi="Arial"/>
          <w:sz w:val="22"/>
          <w:szCs w:val="22"/>
          <w:color w:val="auto"/>
        </w:rPr>
      </w:pPr>
    </w:p>
    <w:p>
      <w:pPr>
        <w:ind w:left="2340" w:hanging="469"/>
        <w:spacing w:after="0"/>
        <w:tabs>
          <w:tab w:leader="none" w:pos="23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all assets relating to the Benefit Plans, except for those assets transferred pursuant to </w:t>
      </w:r>
      <w:r>
        <w:rPr>
          <w:rFonts w:ascii="Arial" w:cs="Arial" w:eastAsia="Arial" w:hAnsi="Arial"/>
          <w:sz w:val="19"/>
          <w:szCs w:val="19"/>
          <w:u w:val="single" w:color="auto"/>
          <w:color w:val="auto"/>
        </w:rPr>
        <w:t>Section 7.11</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left="1220" w:firstLine="651"/>
        <w:spacing w:after="0" w:line="302" w:lineRule="auto"/>
        <w:tabs>
          <w:tab w:leader="none" w:pos="2353" w:val="left"/>
        </w:tabs>
        <w:numPr>
          <w:ilvl w:val="0"/>
          <w:numId w:val="72"/>
        </w:numPr>
        <w:rPr>
          <w:rFonts w:ascii="Arial" w:cs="Arial" w:eastAsia="Arial" w:hAnsi="Arial"/>
          <w:sz w:val="19"/>
          <w:szCs w:val="19"/>
          <w:color w:val="auto"/>
        </w:rPr>
      </w:pPr>
      <w:r>
        <w:rPr>
          <w:rFonts w:ascii="Arial" w:cs="Arial" w:eastAsia="Arial" w:hAnsi="Arial"/>
          <w:sz w:val="19"/>
          <w:szCs w:val="19"/>
          <w:color w:val="auto"/>
        </w:rPr>
        <w:t>all information technology and communications equipment, network resources, software applications, websites and integrated systems of Seller (other than the IT Assets), which for the avoidance of doubt may also be used in connection with the Business and the operation of the Purchased Assets, such as network resources and integrated systems of Seller to which the IT Assets connect or with which the IT Assets communicate;</w:t>
      </w:r>
    </w:p>
    <w:p>
      <w:pPr>
        <w:spacing w:after="0" w:line="142" w:lineRule="exact"/>
        <w:rPr>
          <w:rFonts w:ascii="Arial" w:cs="Arial" w:eastAsia="Arial" w:hAnsi="Arial"/>
          <w:sz w:val="19"/>
          <w:szCs w:val="19"/>
          <w:color w:val="auto"/>
        </w:rPr>
      </w:pPr>
    </w:p>
    <w:p>
      <w:pPr>
        <w:jc w:val="both"/>
        <w:ind w:left="1220" w:firstLine="651"/>
        <w:spacing w:after="0" w:line="247" w:lineRule="auto"/>
        <w:tabs>
          <w:tab w:leader="none" w:pos="2354"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(i) all Contracts set forth on </w:t>
      </w:r>
      <w:r>
        <w:rPr>
          <w:rFonts w:ascii="Arial" w:cs="Arial" w:eastAsia="Arial" w:hAnsi="Arial"/>
          <w:sz w:val="22"/>
          <w:szCs w:val="22"/>
          <w:u w:val="single" w:color="auto"/>
          <w:color w:val="auto"/>
        </w:rPr>
        <w:t>Schedule 2.2(f)</w:t>
      </w:r>
      <w:r>
        <w:rPr>
          <w:rFonts w:ascii="Arial" w:cs="Arial" w:eastAsia="Arial" w:hAnsi="Arial"/>
          <w:sz w:val="22"/>
          <w:szCs w:val="22"/>
          <w:color w:val="auto"/>
        </w:rPr>
        <w:t xml:space="preserve">, (ii) all Material Contracts existing as of the date hereof that are not set forth on </w:t>
      </w:r>
      <w:r>
        <w:rPr>
          <w:rFonts w:ascii="Arial" w:cs="Arial" w:eastAsia="Arial" w:hAnsi="Arial"/>
          <w:sz w:val="22"/>
          <w:szCs w:val="22"/>
          <w:u w:val="single" w:color="auto"/>
          <w:color w:val="auto"/>
        </w:rPr>
        <w:t>Schedule 5.10(a)</w:t>
      </w:r>
      <w:r>
        <w:rPr>
          <w:rFonts w:ascii="Arial" w:cs="Arial" w:eastAsia="Arial" w:hAnsi="Arial"/>
          <w:sz w:val="22"/>
          <w:szCs w:val="22"/>
          <w:color w:val="auto"/>
        </w:rPr>
        <w:t xml:space="preserve"> as of the date hereof, unless otherwise elected by Buyer to be included as Purchased Assets, and (iii) except as otherwise provided in </w:t>
      </w:r>
      <w:r>
        <w:rPr>
          <w:rFonts w:ascii="Arial" w:cs="Arial" w:eastAsia="Arial" w:hAnsi="Arial"/>
          <w:sz w:val="22"/>
          <w:szCs w:val="22"/>
          <w:u w:val="single" w:color="auto"/>
          <w:color w:val="auto"/>
        </w:rPr>
        <w:t>Section 7.1(b)</w:t>
      </w:r>
      <w:r>
        <w:rPr>
          <w:rFonts w:ascii="Arial" w:cs="Arial" w:eastAsia="Arial" w:hAnsi="Arial"/>
          <w:sz w:val="22"/>
          <w:szCs w:val="22"/>
          <w:color w:val="auto"/>
        </w:rPr>
        <w:t xml:space="preserve"> or unless otherwise elected by Buyer to be included as Purchased Assets, any Business Agreement that is entered into after the date hereof that, if existing on the date hereof, would be required to be set forth on </w:t>
      </w:r>
      <w:r>
        <w:rPr>
          <w:rFonts w:ascii="Arial" w:cs="Arial" w:eastAsia="Arial" w:hAnsi="Arial"/>
          <w:sz w:val="22"/>
          <w:szCs w:val="22"/>
          <w:u w:val="single" w:color="auto"/>
          <w:color w:val="auto"/>
        </w:rPr>
        <w:t>Schedule 5.10(a)</w:t>
      </w:r>
      <w:r>
        <w:rPr>
          <w:rFonts w:ascii="Arial" w:cs="Arial" w:eastAsia="Arial" w:hAnsi="Arial"/>
          <w:sz w:val="22"/>
          <w:szCs w:val="22"/>
          <w:color w:val="auto"/>
        </w:rPr>
        <w:t xml:space="preserve"> as a Material Contract (all of the foregoing, the “</w:t>
      </w:r>
      <w:r>
        <w:rPr>
          <w:rFonts w:ascii="Arial" w:cs="Arial" w:eastAsia="Arial" w:hAnsi="Arial"/>
          <w:sz w:val="22"/>
          <w:szCs w:val="22"/>
          <w:u w:val="single" w:color="auto"/>
          <w:color w:val="auto"/>
        </w:rPr>
        <w:t>Retained Agreements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114" w:name="page115"/>
    <w:bookmarkEnd w:id="114"/>
    <w:p>
      <w:pPr>
        <w:ind w:left="100" w:firstLine="651"/>
        <w:spacing w:after="0" w:line="263" w:lineRule="auto"/>
        <w:tabs>
          <w:tab w:leader="none" w:pos="1332"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assets that have been disposed of by Seller in compliance with this Agreement after the date hereof and prior to the Closing;</w:t>
      </w:r>
    </w:p>
    <w:p>
      <w:pPr>
        <w:spacing w:after="0" w:line="174" w:lineRule="exact"/>
        <w:rPr>
          <w:rFonts w:ascii="Arial" w:cs="Arial" w:eastAsia="Arial" w:hAnsi="Arial"/>
          <w:sz w:val="22"/>
          <w:szCs w:val="22"/>
          <w:color w:val="auto"/>
        </w:rPr>
      </w:pPr>
    </w:p>
    <w:p>
      <w:pPr>
        <w:jc w:val="both"/>
        <w:ind w:left="100" w:firstLine="651"/>
        <w:spacing w:after="0" w:line="246" w:lineRule="auto"/>
        <w:tabs>
          <w:tab w:leader="none" w:pos="1259"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except to the extent provided in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7.9(c)</w:t>
      </w:r>
      <w:r>
        <w:rPr>
          <w:rFonts w:ascii="Arial" w:cs="Arial" w:eastAsia="Arial" w:hAnsi="Arial"/>
          <w:sz w:val="22"/>
          <w:szCs w:val="22"/>
          <w:color w:val="auto"/>
        </w:rPr>
        <w:t>, all books and records of Seller or any of its Affiliates other than the Documents, including (A) the corporate seal, Governing Documents, minute books or stock books of Seller or any of its Affiliates and the original financial and accounting books and records and Tax Returns of Seller or any of its Affiliates (including supporting work papers and other documents relating to the financial, accounting and Tax policies of Seller, such as transfer pricing studies and other proprietary information related to the preparation and filing of Tax Returns, calculations of Tax and similar matters), and (B) copies of any books and records relating to the ongoing businesses (other than the Business) of Seller or any of its Affiliates;</w:t>
      </w:r>
    </w:p>
    <w:p>
      <w:pPr>
        <w:spacing w:after="0" w:line="193" w:lineRule="exact"/>
        <w:rPr>
          <w:rFonts w:ascii="Arial" w:cs="Arial" w:eastAsia="Arial" w:hAnsi="Arial"/>
          <w:sz w:val="22"/>
          <w:szCs w:val="22"/>
          <w:color w:val="auto"/>
        </w:rPr>
      </w:pPr>
    </w:p>
    <w:p>
      <w:pPr>
        <w:ind w:left="1180" w:hanging="429"/>
        <w:spacing w:after="0"/>
        <w:tabs>
          <w:tab w:leader="none" w:pos="11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Seller Marks (which, for the avoidance of doubt, do not include any Business Marks);</w:t>
      </w:r>
    </w:p>
    <w:p>
      <w:pPr>
        <w:spacing w:after="0" w:line="219" w:lineRule="exact"/>
        <w:rPr>
          <w:rFonts w:ascii="Arial" w:cs="Arial" w:eastAsia="Arial" w:hAnsi="Arial"/>
          <w:sz w:val="22"/>
          <w:szCs w:val="22"/>
          <w:color w:val="auto"/>
        </w:rPr>
      </w:pPr>
    </w:p>
    <w:p>
      <w:pPr>
        <w:jc w:val="both"/>
        <w:ind w:left="100" w:firstLine="651"/>
        <w:spacing w:after="0" w:line="312" w:lineRule="auto"/>
        <w:tabs>
          <w:tab w:leader="none" w:pos="12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refund of or credit for Taxes of Seller, and any refund of or credit for Taxes with respect to the ownership of the Purchased Assets or the operation of the Business related to a Pre-Closing Tax Period paid by or on behalf of Seller, whether such refund is received as a payment or as a credit against future Taxes payable;</w:t>
      </w:r>
    </w:p>
    <w:p>
      <w:pPr>
        <w:spacing w:after="0" w:line="133" w:lineRule="exact"/>
        <w:rPr>
          <w:rFonts w:ascii="Arial" w:cs="Arial" w:eastAsia="Arial" w:hAnsi="Arial"/>
          <w:sz w:val="19"/>
          <w:szCs w:val="19"/>
          <w:color w:val="auto"/>
        </w:rPr>
      </w:pPr>
    </w:p>
    <w:p>
      <w:pPr>
        <w:ind w:left="1220" w:hanging="469"/>
        <w:spacing w:after="0"/>
        <w:tabs>
          <w:tab w:leader="none" w:pos="12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except to the extent expressly provided in </w:t>
      </w:r>
      <w:r>
        <w:rPr>
          <w:rFonts w:ascii="Arial" w:cs="Arial" w:eastAsia="Arial" w:hAnsi="Arial"/>
          <w:sz w:val="19"/>
          <w:szCs w:val="19"/>
          <w:u w:val="single" w:color="auto"/>
          <w:color w:val="auto"/>
        </w:rPr>
        <w:t>Section 2.1(i)</w:t>
      </w:r>
      <w:r>
        <w:rPr>
          <w:rFonts w:ascii="Arial" w:cs="Arial" w:eastAsia="Arial" w:hAnsi="Arial"/>
          <w:sz w:val="19"/>
          <w:szCs w:val="19"/>
          <w:color w:val="auto"/>
        </w:rPr>
        <w:t>, all Claims of Seller against any Person;</w:t>
      </w:r>
    </w:p>
    <w:p>
      <w:pPr>
        <w:spacing w:after="0" w:line="254" w:lineRule="exact"/>
        <w:rPr>
          <w:rFonts w:ascii="Arial" w:cs="Arial" w:eastAsia="Arial" w:hAnsi="Arial"/>
          <w:sz w:val="19"/>
          <w:szCs w:val="19"/>
          <w:color w:val="auto"/>
        </w:rPr>
      </w:pPr>
    </w:p>
    <w:p>
      <w:pPr>
        <w:ind w:left="100" w:firstLine="651"/>
        <w:spacing w:after="0" w:line="263" w:lineRule="auto"/>
        <w:tabs>
          <w:tab w:leader="none" w:pos="1313"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all insurance policies, and, subject to Buyer’s rights under </w:t>
      </w:r>
      <w:r>
        <w:rPr>
          <w:rFonts w:ascii="Arial" w:cs="Arial" w:eastAsia="Arial" w:hAnsi="Arial"/>
          <w:sz w:val="22"/>
          <w:szCs w:val="22"/>
          <w:u w:val="single" w:color="auto"/>
          <w:color w:val="auto"/>
        </w:rPr>
        <w:t>Section 7.12(a)</w:t>
      </w:r>
      <w:r>
        <w:rPr>
          <w:rFonts w:ascii="Arial" w:cs="Arial" w:eastAsia="Arial" w:hAnsi="Arial"/>
          <w:sz w:val="22"/>
          <w:szCs w:val="22"/>
          <w:color w:val="auto"/>
        </w:rPr>
        <w:t>, the rights thereunder, including any such policies and rights in respect of the Purchased Assets or the Business;</w:t>
      </w:r>
    </w:p>
    <w:p>
      <w:pPr>
        <w:spacing w:after="0" w:line="174" w:lineRule="exact"/>
        <w:rPr>
          <w:rFonts w:ascii="Arial" w:cs="Arial" w:eastAsia="Arial" w:hAnsi="Arial"/>
          <w:sz w:val="22"/>
          <w:szCs w:val="22"/>
          <w:color w:val="auto"/>
        </w:rPr>
      </w:pPr>
    </w:p>
    <w:p>
      <w:pPr>
        <w:ind w:left="100" w:firstLine="651"/>
        <w:spacing w:after="0" w:line="287" w:lineRule="auto"/>
        <w:tabs>
          <w:tab w:leader="none" w:pos="1424"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rights of Seller arising under or in connection with this Agreement, any certificate or other document delivered in connection herewith, and any of the transactions contemplated hereby and thereby;</w:t>
      </w:r>
    </w:p>
    <w:p>
      <w:pPr>
        <w:spacing w:after="0" w:line="151" w:lineRule="exact"/>
        <w:rPr>
          <w:rFonts w:ascii="Arial" w:cs="Arial" w:eastAsia="Arial" w:hAnsi="Arial"/>
          <w:sz w:val="21"/>
          <w:szCs w:val="21"/>
          <w:color w:val="auto"/>
        </w:rPr>
      </w:pPr>
    </w:p>
    <w:p>
      <w:pPr>
        <w:jc w:val="both"/>
        <w:ind w:left="100" w:firstLine="651"/>
        <w:spacing w:after="0" w:line="302" w:lineRule="auto"/>
        <w:tabs>
          <w:tab w:leader="none" w:pos="1351"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all attorney-client privilege and attorney work-product protection of Seller or associated with the Business arising with respect to legal counsel representation of Seller or its Affiliates or the Business in connection with the transactions contemplated by this Agreement or any of the Ancillary Agreements and all documents subject to the attorney-client privilege or work-product protection described in this </w:t>
      </w:r>
      <w:r>
        <w:rPr>
          <w:rFonts w:ascii="Arial" w:cs="Arial" w:eastAsia="Arial" w:hAnsi="Arial"/>
          <w:sz w:val="19"/>
          <w:szCs w:val="19"/>
          <w:u w:val="single" w:color="auto"/>
          <w:color w:val="auto"/>
        </w:rPr>
        <w:t>Section 2.2(n)</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1320" w:hanging="569"/>
        <w:spacing w:after="0"/>
        <w:tabs>
          <w:tab w:leader="none" w:pos="13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all rights in, to and under all Permits and other rights under any Law, other than the Transferrable</w:t>
      </w:r>
    </w:p>
    <w:p>
      <w:pPr>
        <w:spacing w:after="0" w:line="55"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120"/>
          </w:cols>
          <w:pgMar w:left="1440" w:top="1428" w:right="339" w:bottom="1440" w:gutter="0" w:footer="0" w:header="0"/>
        </w:sectPr>
      </w:pPr>
    </w:p>
    <w:bookmarkStart w:id="115" w:name="page116"/>
    <w:bookmarkEnd w:id="115"/>
    <w:p>
      <w:pPr>
        <w:ind w:left="1220" w:firstLine="651"/>
        <w:spacing w:after="0" w:line="263" w:lineRule="auto"/>
        <w:tabs>
          <w:tab w:leader="none" w:pos="2366"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investment in the capital stock or other equity interests of (or any intercompany advances to) any Affiliate of Seller;</w:t>
      </w:r>
    </w:p>
    <w:p>
      <w:pPr>
        <w:spacing w:after="0" w:line="174" w:lineRule="exact"/>
        <w:rPr>
          <w:rFonts w:ascii="Arial" w:cs="Arial" w:eastAsia="Arial" w:hAnsi="Arial"/>
          <w:sz w:val="22"/>
          <w:szCs w:val="22"/>
          <w:color w:val="auto"/>
        </w:rPr>
      </w:pPr>
    </w:p>
    <w:p>
      <w:pPr>
        <w:ind w:left="1220" w:firstLine="651"/>
        <w:spacing w:after="0" w:line="263" w:lineRule="auto"/>
        <w:tabs>
          <w:tab w:leader="none" w:pos="2367"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personnel records and other records relating to the Business that Seller or any Affiliate of Seller is required by Law to retain in its possession to the extent so required;</w:t>
      </w:r>
    </w:p>
    <w:p>
      <w:pPr>
        <w:spacing w:after="0" w:line="174" w:lineRule="exact"/>
        <w:rPr>
          <w:rFonts w:ascii="Arial" w:cs="Arial" w:eastAsia="Arial" w:hAnsi="Arial"/>
          <w:sz w:val="22"/>
          <w:szCs w:val="22"/>
          <w:color w:val="auto"/>
        </w:rPr>
      </w:pPr>
    </w:p>
    <w:p>
      <w:pPr>
        <w:ind w:left="2300" w:hanging="429"/>
        <w:spacing w:after="0"/>
        <w:tabs>
          <w:tab w:leader="none" w:pos="23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all loans to employees of Seller or any of its Affiliates other than normal travel or expense allowances;</w:t>
      </w:r>
    </w:p>
    <w:p>
      <w:pPr>
        <w:spacing w:after="0" w:line="254" w:lineRule="exact"/>
        <w:rPr>
          <w:rFonts w:ascii="Arial" w:cs="Arial" w:eastAsia="Arial" w:hAnsi="Arial"/>
          <w:sz w:val="19"/>
          <w:szCs w:val="19"/>
          <w:color w:val="auto"/>
        </w:rPr>
      </w:pPr>
    </w:p>
    <w:p>
      <w:pPr>
        <w:ind w:left="1220" w:firstLine="651"/>
        <w:spacing w:after="0" w:line="263" w:lineRule="auto"/>
        <w:tabs>
          <w:tab w:leader="none" w:pos="2552"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documents maintained by Seller in connection with the transactions contemplated by this Agreement or any of the Ancillary Agreements;</w:t>
      </w:r>
    </w:p>
    <w:p>
      <w:pPr>
        <w:spacing w:after="0" w:line="174" w:lineRule="exact"/>
        <w:rPr>
          <w:rFonts w:ascii="Arial" w:cs="Arial" w:eastAsia="Arial" w:hAnsi="Arial"/>
          <w:sz w:val="22"/>
          <w:szCs w:val="22"/>
          <w:color w:val="auto"/>
        </w:rPr>
      </w:pPr>
    </w:p>
    <w:p>
      <w:pPr>
        <w:ind w:left="2300" w:hanging="429"/>
        <w:spacing w:after="0"/>
        <w:tabs>
          <w:tab w:leader="none" w:pos="2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7.16</w:t>
      </w:r>
      <w:r>
        <w:rPr>
          <w:rFonts w:ascii="Arial" w:cs="Arial" w:eastAsia="Arial" w:hAnsi="Arial"/>
          <w:sz w:val="21"/>
          <w:szCs w:val="21"/>
          <w:color w:val="auto"/>
        </w:rPr>
        <w:t xml:space="preserve">, the Shared Contracts and the Contracts set forth on </w:t>
      </w:r>
      <w:r>
        <w:rPr>
          <w:rFonts w:ascii="Arial" w:cs="Arial" w:eastAsia="Arial" w:hAnsi="Arial"/>
          <w:sz w:val="21"/>
          <w:szCs w:val="21"/>
          <w:u w:val="single" w:color="auto"/>
          <w:color w:val="auto"/>
        </w:rPr>
        <w:t>Schedule 2.2(t)</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left="2340" w:hanging="469"/>
        <w:spacing w:after="0"/>
        <w:tabs>
          <w:tab w:leader="none" w:pos="23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the assets and other rights set forth on </w:t>
      </w:r>
      <w:r>
        <w:rPr>
          <w:rFonts w:ascii="Arial" w:cs="Arial" w:eastAsia="Arial" w:hAnsi="Arial"/>
          <w:sz w:val="22"/>
          <w:szCs w:val="22"/>
          <w:u w:val="single" w:color="auto"/>
          <w:color w:val="auto"/>
        </w:rPr>
        <w:t>Schedule 2.2(u)</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2340" w:hanging="469"/>
        <w:spacing w:after="0"/>
        <w:tabs>
          <w:tab w:leader="none" w:pos="23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other asset of Seller or any of its Affiliates that is not a Purchased Asset.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Assumed Obligations</w:t>
      </w:r>
      <w:r>
        <w:rPr>
          <w:rFonts w:ascii="Arial" w:cs="Arial" w:eastAsia="Arial" w:hAnsi="Arial"/>
          <w:sz w:val="22"/>
          <w:szCs w:val="22"/>
          <w:color w:val="auto"/>
        </w:rPr>
        <w:t>. On the Closing Date, Buyer will deliver to Seller the Bill of Sale and Assignment and Assumption Agreement pursuant to which Buyer will specifically assume, as of the Effective Time, and become responsible for the following liabilities and obligations of Seller without recourse to Seller or any of its Affiliates, and thereafter pay, perform and discharge when due, the following (the “</w:t>
      </w:r>
      <w:r>
        <w:rPr>
          <w:rFonts w:ascii="Arial" w:cs="Arial" w:eastAsia="Arial" w:hAnsi="Arial"/>
          <w:sz w:val="22"/>
          <w:szCs w:val="22"/>
          <w:u w:val="single" w:color="auto"/>
          <w:color w:val="auto"/>
        </w:rPr>
        <w:t>Assumed Obligations</w:t>
      </w:r>
      <w:r>
        <w:rPr>
          <w:rFonts w:ascii="Arial" w:cs="Arial" w:eastAsia="Arial" w:hAnsi="Arial"/>
          <w:sz w:val="22"/>
          <w:szCs w:val="22"/>
          <w:color w:val="auto"/>
        </w:rPr>
        <w:t>”):</w:t>
      </w:r>
    </w:p>
    <w:p>
      <w:pPr>
        <w:spacing w:after="0" w:line="188" w:lineRule="exact"/>
        <w:rPr>
          <w:sz w:val="20"/>
          <w:szCs w:val="20"/>
          <w:color w:val="auto"/>
        </w:rPr>
      </w:pPr>
    </w:p>
    <w:p>
      <w:pPr>
        <w:ind w:left="1220" w:firstLine="651"/>
        <w:spacing w:after="0" w:line="263" w:lineRule="auto"/>
        <w:tabs>
          <w:tab w:leader="none" w:pos="2353"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any trade accounts payable or other accrued and unpaid current expenses to the extent included in the calculation of the Adjustment Amount in accordance with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220" w:firstLine="651"/>
        <w:spacing w:after="0" w:line="250" w:lineRule="auto"/>
        <w:tabs>
          <w:tab w:leader="none" w:pos="24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all liabilities and obligations of Seller with respect to over-recovered purchased gas cost adjustment charges, and all customer deposits, customer advances for construction, deferred credits, regulatory liabilities and other similar items, to the extent included in the calculation of the Adjustment Amount in accordance with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1220" w:firstLine="651"/>
        <w:spacing w:after="0" w:line="247" w:lineRule="auto"/>
        <w:tabs>
          <w:tab w:leader="none" w:pos="2392"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all liabilities and obligations of Seller under any Regulatory Order applicable to the Business or the Purchased Assets, other than (i) payment obligations of Seller arising in respect of periods prior to the Effective Time, except to the extent included in the calculation of the Adjustment Amount in accordance with </w:t>
      </w:r>
      <w:r>
        <w:rPr>
          <w:rFonts w:ascii="Arial" w:cs="Arial" w:eastAsia="Arial" w:hAnsi="Arial"/>
          <w:sz w:val="22"/>
          <w:szCs w:val="22"/>
          <w:u w:val="single" w:color="auto"/>
          <w:color w:val="auto"/>
        </w:rPr>
        <w:t>Appendix A</w:t>
      </w:r>
      <w:r>
        <w:rPr>
          <w:rFonts w:ascii="Arial" w:cs="Arial" w:eastAsia="Arial" w:hAnsi="Arial"/>
          <w:sz w:val="22"/>
          <w:szCs w:val="22"/>
          <w:color w:val="auto"/>
        </w:rPr>
        <w:t>; and (ii) obligations imposed on Seller or its Affiliates (rather than on Buyer as Seller’s successor with respect to the Business) under any Regulatory Order issued specifically with respect to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116" w:name="page117"/>
    <w:bookmarkEnd w:id="116"/>
    <w:p>
      <w:pPr>
        <w:jc w:val="both"/>
        <w:ind w:left="100" w:firstLine="651"/>
        <w:spacing w:after="0" w:line="253" w:lineRule="auto"/>
        <w:tabs>
          <w:tab w:leader="none" w:pos="121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all liabilities and obligations of Seller arising under the Business Agreements, the Transferable Permits and any other agreements or contractual rights, in each case to the extent assigned to Buyer pursuant to the terms of this Agreement;</w:t>
      </w:r>
    </w:p>
    <w:p>
      <w:pPr>
        <w:spacing w:after="0" w:line="185" w:lineRule="exact"/>
        <w:rPr>
          <w:rFonts w:ascii="Arial" w:cs="Arial" w:eastAsia="Arial" w:hAnsi="Arial"/>
          <w:sz w:val="22"/>
          <w:szCs w:val="22"/>
          <w:color w:val="auto"/>
        </w:rPr>
      </w:pPr>
    </w:p>
    <w:p>
      <w:pPr>
        <w:ind w:left="100" w:firstLine="651"/>
        <w:spacing w:after="0" w:line="343" w:lineRule="auto"/>
        <w:tabs>
          <w:tab w:leader="none" w:pos="1269" w:val="left"/>
        </w:tabs>
        <w:numPr>
          <w:ilvl w:val="0"/>
          <w:numId w:val="76"/>
        </w:numPr>
        <w:rPr>
          <w:rFonts w:ascii="Arial" w:cs="Arial" w:eastAsia="Arial" w:hAnsi="Arial"/>
          <w:sz w:val="19"/>
          <w:szCs w:val="19"/>
          <w:color w:val="auto"/>
        </w:rPr>
      </w:pPr>
      <w:r>
        <w:rPr>
          <w:rFonts w:ascii="Arial" w:cs="Arial" w:eastAsia="Arial" w:hAnsi="Arial"/>
          <w:sz w:val="19"/>
          <w:szCs w:val="19"/>
          <w:color w:val="auto"/>
        </w:rPr>
        <w:t>without duplication of any right to recovery herein, Taxes imposed with respect to the ownership of the Purchased Assets or the ownership or operation of the Business for a Post-Closing Tax Period;</w:t>
      </w:r>
    </w:p>
    <w:p>
      <w:pPr>
        <w:spacing w:after="0" w:line="104" w:lineRule="exact"/>
        <w:rPr>
          <w:rFonts w:ascii="Arial" w:cs="Arial" w:eastAsia="Arial" w:hAnsi="Arial"/>
          <w:sz w:val="19"/>
          <w:szCs w:val="19"/>
          <w:color w:val="auto"/>
        </w:rPr>
      </w:pPr>
    </w:p>
    <w:p>
      <w:pPr>
        <w:jc w:val="both"/>
        <w:ind w:left="100" w:firstLine="651"/>
        <w:spacing w:after="0" w:line="265" w:lineRule="auto"/>
        <w:tabs>
          <w:tab w:leader="none" w:pos="1246" w:val="left"/>
        </w:tabs>
        <w:numPr>
          <w:ilvl w:val="0"/>
          <w:numId w:val="76"/>
        </w:numPr>
        <w:rPr>
          <w:rFonts w:ascii="Arial" w:cs="Arial" w:eastAsia="Arial" w:hAnsi="Arial"/>
          <w:sz w:val="21"/>
          <w:szCs w:val="21"/>
          <w:color w:val="auto"/>
        </w:rPr>
      </w:pPr>
      <w:r>
        <w:rPr>
          <w:rFonts w:ascii="Arial" w:cs="Arial" w:eastAsia="Arial" w:hAnsi="Arial"/>
          <w:sz w:val="21"/>
          <w:szCs w:val="21"/>
          <w:color w:val="auto"/>
        </w:rPr>
        <w:t>all liabilities and obligations to any Business Employees relating to their employment with Buyer to the extent attributable to the period from and after the Effective Time, including liabilities or obligations (i) under any employment, wage and hour, equal opportunity, discrimination, plant closing or immigration and naturalization Laws, or (ii) under any collective bargaining or labor Laws, agreements or arrangements;</w:t>
      </w:r>
    </w:p>
    <w:p>
      <w:pPr>
        <w:spacing w:after="0" w:line="175" w:lineRule="exact"/>
        <w:rPr>
          <w:rFonts w:ascii="Arial" w:cs="Arial" w:eastAsia="Arial" w:hAnsi="Arial"/>
          <w:sz w:val="21"/>
          <w:szCs w:val="21"/>
          <w:color w:val="auto"/>
        </w:rPr>
      </w:pPr>
    </w:p>
    <w:p>
      <w:pPr>
        <w:jc w:val="both"/>
        <w:ind w:left="100" w:firstLine="651"/>
        <w:spacing w:after="0" w:line="312" w:lineRule="auto"/>
        <w:tabs>
          <w:tab w:leader="none" w:pos="1273" w:val="left"/>
        </w:tabs>
        <w:numPr>
          <w:ilvl w:val="0"/>
          <w:numId w:val="76"/>
        </w:numPr>
        <w:rPr>
          <w:rFonts w:ascii="Arial" w:cs="Arial" w:eastAsia="Arial" w:hAnsi="Arial"/>
          <w:sz w:val="19"/>
          <w:szCs w:val="19"/>
          <w:color w:val="auto"/>
        </w:rPr>
      </w:pPr>
      <w:r>
        <w:rPr>
          <w:rFonts w:ascii="Arial" w:cs="Arial" w:eastAsia="Arial" w:hAnsi="Arial"/>
          <w:sz w:val="19"/>
          <w:szCs w:val="19"/>
          <w:color w:val="auto"/>
        </w:rPr>
        <w:t>all liabilities and obligations to any Business Employees relating to their employment with Buyer to the extent attributable to the period prior to, from and after the Effective Time, including liabilities or obligations in connection with any workers’ compensation or any other employee health, accident, disability or safety claims;</w:t>
      </w:r>
    </w:p>
    <w:p>
      <w:pPr>
        <w:spacing w:after="0" w:line="133" w:lineRule="exact"/>
        <w:rPr>
          <w:rFonts w:ascii="Arial" w:cs="Arial" w:eastAsia="Arial" w:hAnsi="Arial"/>
          <w:sz w:val="19"/>
          <w:szCs w:val="19"/>
          <w:color w:val="auto"/>
        </w:rPr>
      </w:pPr>
    </w:p>
    <w:p>
      <w:pPr>
        <w:ind w:left="1220" w:hanging="469"/>
        <w:spacing w:after="0"/>
        <w:tabs>
          <w:tab w:leader="none" w:pos="1220"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all liabilities and obligations for which Buyer is expressly responsible pursuant to </w:t>
      </w:r>
      <w:r>
        <w:rPr>
          <w:rFonts w:ascii="Arial" w:cs="Arial" w:eastAsia="Arial" w:hAnsi="Arial"/>
          <w:sz w:val="21"/>
          <w:szCs w:val="21"/>
          <w:u w:val="single" w:color="auto"/>
          <w:color w:val="auto"/>
        </w:rPr>
        <w:t>Section 7.11</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jc w:val="both"/>
        <w:ind w:left="100" w:firstLine="651"/>
        <w:spacing w:after="0" w:line="271" w:lineRule="auto"/>
        <w:tabs>
          <w:tab w:leader="none" w:pos="1245" w:val="left"/>
        </w:tabs>
        <w:numPr>
          <w:ilvl w:val="0"/>
          <w:numId w:val="76"/>
        </w:numPr>
        <w:rPr>
          <w:rFonts w:ascii="Arial" w:cs="Arial" w:eastAsia="Arial" w:hAnsi="Arial"/>
          <w:sz w:val="21"/>
          <w:szCs w:val="21"/>
          <w:color w:val="auto"/>
        </w:rPr>
      </w:pPr>
      <w:r>
        <w:rPr>
          <w:rFonts w:ascii="Arial" w:cs="Arial" w:eastAsia="Arial" w:hAnsi="Arial"/>
          <w:sz w:val="21"/>
          <w:szCs w:val="21"/>
          <w:color w:val="auto"/>
        </w:rPr>
        <w:t>all liabilities, obligations and commitments, inclusive of asset retirement obligations, and other than the Excluded Liabilities, to the extent accruing or arising out of or relating to the conduct or operation of the Business or the ownership or use of the Purchased Assets prior to, from and after the Effective Time;</w:t>
      </w:r>
    </w:p>
    <w:p>
      <w:pPr>
        <w:spacing w:after="0" w:line="167" w:lineRule="exact"/>
        <w:rPr>
          <w:rFonts w:ascii="Arial" w:cs="Arial" w:eastAsia="Arial" w:hAnsi="Arial"/>
          <w:sz w:val="21"/>
          <w:szCs w:val="21"/>
          <w:color w:val="auto"/>
        </w:rPr>
      </w:pPr>
    </w:p>
    <w:p>
      <w:pPr>
        <w:jc w:val="both"/>
        <w:ind w:left="100" w:firstLine="651"/>
        <w:spacing w:after="0" w:line="250" w:lineRule="auto"/>
        <w:tabs>
          <w:tab w:leader="none" w:pos="121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all liabilities, obligations and commitments to the extent relating to the Business or Purchased Assets and arising under, based upon, or relating to, any Environmental Law, Environmental Permit, Environmental Claims or Release, regardless of when the conduct giving rise to any such liability, obligation, or commitment occurred;</w:t>
      </w:r>
    </w:p>
    <w:p>
      <w:pPr>
        <w:spacing w:after="0" w:line="187" w:lineRule="exact"/>
        <w:rPr>
          <w:rFonts w:ascii="Arial" w:cs="Arial" w:eastAsia="Arial" w:hAnsi="Arial"/>
          <w:sz w:val="22"/>
          <w:szCs w:val="22"/>
          <w:color w:val="auto"/>
        </w:rPr>
      </w:pPr>
    </w:p>
    <w:p>
      <w:pPr>
        <w:ind w:left="1220" w:hanging="469"/>
        <w:spacing w:after="0"/>
        <w:tabs>
          <w:tab w:leader="none" w:pos="12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the Shared Contract Obligations subject to </w:t>
      </w:r>
      <w:r>
        <w:rPr>
          <w:rFonts w:ascii="Arial" w:cs="Arial" w:eastAsia="Arial" w:hAnsi="Arial"/>
          <w:sz w:val="22"/>
          <w:szCs w:val="22"/>
          <w:u w:val="single" w:color="auto"/>
          <w:color w:val="auto"/>
        </w:rPr>
        <w:t>Section 7.18</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0" w:right="20" w:firstLine="651"/>
        <w:spacing w:after="0" w:line="263" w:lineRule="auto"/>
        <w:tabs>
          <w:tab w:leader="none" w:pos="1181"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to the extent not specifically identified above, any liabilities to the extent included in the calculation of the Adjustment Amount in accordance with </w:t>
      </w:r>
      <w:r>
        <w:rPr>
          <w:rFonts w:ascii="Arial" w:cs="Arial" w:eastAsia="Arial" w:hAnsi="Arial"/>
          <w:sz w:val="22"/>
          <w:szCs w:val="22"/>
          <w:u w:val="single" w:color="auto"/>
          <w:color w:val="auto"/>
        </w:rPr>
        <w:t>Appendix A</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280" w:hanging="529"/>
        <w:spacing w:after="0"/>
        <w:tabs>
          <w:tab w:leader="none" w:pos="12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the liabilities, obligations and commitments listed on </w:t>
      </w:r>
      <w:r>
        <w:rPr>
          <w:rFonts w:ascii="Arial" w:cs="Arial" w:eastAsia="Arial" w:hAnsi="Arial"/>
          <w:sz w:val="22"/>
          <w:szCs w:val="22"/>
          <w:u w:val="single" w:color="auto"/>
          <w:color w:val="auto"/>
        </w:rPr>
        <w:t>Schedule 2.3(m)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120"/>
          </w:cols>
          <w:pgMar w:left="1440" w:top="1428" w:right="339" w:bottom="1440" w:gutter="0" w:footer="0" w:header="0"/>
        </w:sectPr>
      </w:pPr>
    </w:p>
    <w:bookmarkStart w:id="117" w:name="page118"/>
    <w:bookmarkEnd w:id="117"/>
    <w:p>
      <w:pPr>
        <w:jc w:val="both"/>
        <w:ind w:firstLine="648"/>
        <w:spacing w:after="0" w:line="253"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Seller acknowledges that the sole liabilities and obligations being assumed by Buyer are the Assumed Obligations and Seller shall retain all other liabilities and obligations, including (collectively, the “</w:t>
      </w:r>
      <w:r>
        <w:rPr>
          <w:rFonts w:ascii="Arial" w:cs="Arial" w:eastAsia="Arial" w:hAnsi="Arial"/>
          <w:sz w:val="22"/>
          <w:szCs w:val="22"/>
          <w:u w:val="single" w:color="auto"/>
          <w:color w:val="auto"/>
        </w:rPr>
        <w:t>Excluded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Liabilities</w:t>
      </w:r>
      <w:r>
        <w:rPr>
          <w:rFonts w:ascii="Arial" w:cs="Arial" w:eastAsia="Arial" w:hAnsi="Arial"/>
          <w:sz w:val="22"/>
          <w:szCs w:val="22"/>
          <w:color w:val="auto"/>
        </w:rPr>
        <w:t>”):</w:t>
      </w:r>
    </w:p>
    <w:p>
      <w:pPr>
        <w:spacing w:after="0" w:line="185" w:lineRule="exact"/>
        <w:rPr>
          <w:sz w:val="20"/>
          <w:szCs w:val="20"/>
          <w:color w:val="auto"/>
        </w:rPr>
      </w:pPr>
    </w:p>
    <w:p>
      <w:pPr>
        <w:ind w:left="1220" w:firstLine="651"/>
        <w:spacing w:after="0" w:line="263" w:lineRule="auto"/>
        <w:tabs>
          <w:tab w:leader="none" w:pos="2351"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any trade accounts payable or other accrued and unpaid current expenses to the extent not included in the calculation of the Adjustment Amount in accordance with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340" w:hanging="469"/>
        <w:spacing w:after="0"/>
        <w:tabs>
          <w:tab w:leader="none" w:pos="2340"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any liabilities or obligations of Seller to the extent related to any Excluded Assets;</w:t>
      </w:r>
    </w:p>
    <w:p>
      <w:pPr>
        <w:spacing w:after="0" w:line="219" w:lineRule="exact"/>
        <w:rPr>
          <w:rFonts w:ascii="Arial" w:cs="Arial" w:eastAsia="Arial" w:hAnsi="Arial"/>
          <w:sz w:val="22"/>
          <w:szCs w:val="22"/>
          <w:color w:val="auto"/>
        </w:rPr>
      </w:pPr>
    </w:p>
    <w:p>
      <w:pPr>
        <w:ind w:left="2320" w:hanging="449"/>
        <w:spacing w:after="0"/>
        <w:tabs>
          <w:tab w:leader="none" w:pos="23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any liabilities or obligations of Seller in respect of Indebtedness;</w:t>
      </w:r>
    </w:p>
    <w:p>
      <w:pPr>
        <w:spacing w:after="0" w:line="219" w:lineRule="exact"/>
        <w:rPr>
          <w:rFonts w:ascii="Arial" w:cs="Arial" w:eastAsia="Arial" w:hAnsi="Arial"/>
          <w:sz w:val="22"/>
          <w:szCs w:val="22"/>
          <w:color w:val="auto"/>
        </w:rPr>
      </w:pPr>
    </w:p>
    <w:p>
      <w:pPr>
        <w:ind w:left="2380" w:hanging="509"/>
        <w:spacing w:after="0"/>
        <w:tabs>
          <w:tab w:leader="none" w:pos="2380" w:val="left"/>
        </w:tabs>
        <w:numPr>
          <w:ilvl w:val="1"/>
          <w:numId w:val="77"/>
        </w:numPr>
        <w:rPr>
          <w:rFonts w:ascii="Arial" w:cs="Arial" w:eastAsia="Arial" w:hAnsi="Arial"/>
          <w:sz w:val="19"/>
          <w:szCs w:val="19"/>
          <w:color w:val="auto"/>
        </w:rPr>
      </w:pPr>
      <w:r>
        <w:rPr>
          <w:rFonts w:ascii="Arial" w:cs="Arial" w:eastAsia="Arial" w:hAnsi="Arial"/>
          <w:sz w:val="19"/>
          <w:szCs w:val="19"/>
          <w:color w:val="auto"/>
        </w:rPr>
        <w:t>without duplication of any right to recovery herein, and in no event including any Transaction Taxes,</w:t>
      </w:r>
    </w:p>
    <w:p>
      <w:pPr>
        <w:spacing w:after="0" w:line="55" w:lineRule="exact"/>
        <w:rPr>
          <w:rFonts w:ascii="Arial" w:cs="Arial" w:eastAsia="Arial" w:hAnsi="Arial"/>
          <w:sz w:val="19"/>
          <w:szCs w:val="19"/>
          <w:color w:val="auto"/>
        </w:rPr>
      </w:pPr>
    </w:p>
    <w:p>
      <w:pPr>
        <w:jc w:val="both"/>
        <w:ind w:left="1220" w:firstLine="3"/>
        <w:spacing w:after="0" w:line="257" w:lineRule="auto"/>
        <w:tabs>
          <w:tab w:leader="none" w:pos="1504"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any liabilities or obligations in respect of Taxes of Seller, (ii) any liability of Seller for unpaid Taxes of any Person under Treasury Regulation section 1.1502-6 (or similar provision of state, local, or foreign Law) as a transferee or successor, by contract or otherwise, (iii) any Taxes imposed with respect to the ownership of the Purchased Assets or the ownership or operation of the Business for a Pre-Closing Tax Period and (iv) any Taxes imposed on or with respect to the ownership or operation of the Excluded Assets or that are attributable to any asset or business of Seller that is not part of the Purchased Assets;</w:t>
      </w:r>
    </w:p>
    <w:p>
      <w:pPr>
        <w:spacing w:after="0" w:line="185" w:lineRule="exact"/>
        <w:rPr>
          <w:rFonts w:ascii="Arial" w:cs="Arial" w:eastAsia="Arial" w:hAnsi="Arial"/>
          <w:sz w:val="21"/>
          <w:szCs w:val="21"/>
          <w:color w:val="auto"/>
        </w:rPr>
      </w:pPr>
    </w:p>
    <w:p>
      <w:pPr>
        <w:jc w:val="both"/>
        <w:ind w:left="1220" w:firstLine="651"/>
        <w:spacing w:after="0" w:line="250" w:lineRule="auto"/>
        <w:tabs>
          <w:tab w:leader="none" w:pos="2383"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any obligations of Seller or any of its Affiliates with respect to wages, vacation pay, other paid time off, employment Taxes, bonuses, other incentive compensation, commissions, expense reimbursement, or retention or severance pay to Persons to the extent attributable to the period prior to the Effective Time or which may become payable as a result of the Closing;</w:t>
      </w:r>
    </w:p>
    <w:p>
      <w:pPr>
        <w:spacing w:after="0" w:line="187" w:lineRule="exact"/>
        <w:rPr>
          <w:rFonts w:ascii="Arial" w:cs="Arial" w:eastAsia="Arial" w:hAnsi="Arial"/>
          <w:sz w:val="22"/>
          <w:szCs w:val="22"/>
          <w:color w:val="auto"/>
        </w:rPr>
      </w:pPr>
    </w:p>
    <w:p>
      <w:pPr>
        <w:ind w:left="1220" w:right="20" w:firstLine="651"/>
        <w:spacing w:after="0" w:line="263" w:lineRule="auto"/>
        <w:tabs>
          <w:tab w:leader="none" w:pos="2324" w:val="left"/>
        </w:tabs>
        <w:numPr>
          <w:ilvl w:val="1"/>
          <w:numId w:val="78"/>
        </w:numPr>
        <w:rPr>
          <w:rFonts w:ascii="Arial" w:cs="Arial" w:eastAsia="Arial" w:hAnsi="Arial"/>
          <w:sz w:val="22"/>
          <w:szCs w:val="22"/>
          <w:color w:val="auto"/>
        </w:rPr>
      </w:pPr>
      <w:r>
        <w:rPr>
          <w:rFonts w:ascii="Arial" w:cs="Arial" w:eastAsia="Arial" w:hAnsi="Arial"/>
          <w:sz w:val="22"/>
          <w:szCs w:val="22"/>
          <w:color w:val="auto"/>
        </w:rPr>
        <w:t xml:space="preserve">any liabilities or obligations with respect to Shared Contracts that are not Shared Contract Obligations subject to </w:t>
      </w:r>
      <w:r>
        <w:rPr>
          <w:rFonts w:ascii="Arial" w:cs="Arial" w:eastAsia="Arial" w:hAnsi="Arial"/>
          <w:sz w:val="22"/>
          <w:szCs w:val="22"/>
          <w:u w:val="single" w:color="auto"/>
          <w:color w:val="auto"/>
        </w:rPr>
        <w:t>Section 7.18</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220" w:firstLine="651"/>
        <w:spacing w:after="0" w:line="248" w:lineRule="auto"/>
        <w:tabs>
          <w:tab w:leader="none" w:pos="2357" w:val="left"/>
        </w:tabs>
        <w:numPr>
          <w:ilvl w:val="1"/>
          <w:numId w:val="78"/>
        </w:numPr>
        <w:rPr>
          <w:rFonts w:ascii="Arial" w:cs="Arial" w:eastAsia="Arial" w:hAnsi="Arial"/>
          <w:sz w:val="22"/>
          <w:szCs w:val="22"/>
          <w:color w:val="auto"/>
        </w:rPr>
      </w:pPr>
      <w:r>
        <w:rPr>
          <w:rFonts w:ascii="Arial" w:cs="Arial" w:eastAsia="Arial" w:hAnsi="Arial"/>
          <w:sz w:val="22"/>
          <w:szCs w:val="22"/>
          <w:color w:val="auto"/>
        </w:rPr>
        <w:t xml:space="preserve">except as otherwise expressly provided in </w:t>
      </w:r>
      <w:r>
        <w:rPr>
          <w:rFonts w:ascii="Arial" w:cs="Arial" w:eastAsia="Arial" w:hAnsi="Arial"/>
          <w:sz w:val="22"/>
          <w:szCs w:val="22"/>
          <w:u w:val="single" w:color="auto"/>
          <w:color w:val="auto"/>
        </w:rPr>
        <w:t>Section 7.11</w:t>
      </w:r>
      <w:r>
        <w:rPr>
          <w:rFonts w:ascii="Arial" w:cs="Arial" w:eastAsia="Arial" w:hAnsi="Arial"/>
          <w:sz w:val="22"/>
          <w:szCs w:val="22"/>
          <w:color w:val="auto"/>
        </w:rPr>
        <w:t>, any liabilities under or relating to any Benefit Plan at any time maintained, contributed to or required to be contributed to by Seller or any of its Affiliates, or under which Seller or any Affiliate has or may incur liability, or any contributions, benefits or liabilities therefor, or any liability with respect to Seller’s or any of Seller’s Affiliate’s withdrawal or partial withdrawal from or termination of any Benefit Plan;</w:t>
      </w:r>
    </w:p>
    <w:p>
      <w:pPr>
        <w:spacing w:after="0" w:line="191" w:lineRule="exact"/>
        <w:rPr>
          <w:rFonts w:ascii="Arial" w:cs="Arial" w:eastAsia="Arial" w:hAnsi="Arial"/>
          <w:sz w:val="22"/>
          <w:szCs w:val="22"/>
          <w:color w:val="auto"/>
        </w:rPr>
      </w:pPr>
    </w:p>
    <w:p>
      <w:pPr>
        <w:ind w:left="2340" w:hanging="469"/>
        <w:spacing w:after="0"/>
        <w:tabs>
          <w:tab w:leader="none" w:pos="2340"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any criminal liabilities or actual fraud of Seller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118" w:name="page119"/>
    <w:bookmarkEnd w:id="118"/>
    <w:p>
      <w:pPr>
        <w:jc w:val="both"/>
        <w:ind w:left="1220" w:firstLine="651"/>
        <w:spacing w:after="0" w:line="253" w:lineRule="auto"/>
        <w:tabs>
          <w:tab w:leader="none" w:pos="2477"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liabilities or obligations of Seller arising under or in connection with this Agreement, any certificate or other document delivered in connection herewith, and any of the transactions contemplated hereby and thereby; and</w:t>
      </w:r>
    </w:p>
    <w:p>
      <w:pPr>
        <w:spacing w:after="0" w:line="185" w:lineRule="exact"/>
        <w:rPr>
          <w:rFonts w:ascii="Arial" w:cs="Arial" w:eastAsia="Arial" w:hAnsi="Arial"/>
          <w:sz w:val="22"/>
          <w:szCs w:val="22"/>
          <w:color w:val="auto"/>
        </w:rPr>
      </w:pPr>
    </w:p>
    <w:p>
      <w:pPr>
        <w:ind w:left="2300" w:hanging="429"/>
        <w:spacing w:after="0"/>
        <w:tabs>
          <w:tab w:leader="none" w:pos="23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any item designated as an Excluded Liability by Buyer in accordance with </w:t>
      </w:r>
      <w:r>
        <w:rPr>
          <w:rFonts w:ascii="Arial" w:cs="Arial" w:eastAsia="Arial" w:hAnsi="Arial"/>
          <w:sz w:val="22"/>
          <w:szCs w:val="22"/>
          <w:u w:val="single" w:color="auto"/>
          <w:color w:val="auto"/>
        </w:rPr>
        <w:t>Section 7.23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Intercompany Accounts</w:t>
      </w:r>
      <w:r>
        <w:rPr>
          <w:rFonts w:ascii="Arial" w:cs="Arial" w:eastAsia="Arial" w:hAnsi="Arial"/>
          <w:sz w:val="22"/>
          <w:szCs w:val="22"/>
          <w:color w:val="auto"/>
        </w:rPr>
        <w:t>. Prior to the Effective Time, Seller shall cause all intercompany payables, receivables and loans between the Business, on the one hand, and Seller and its Affiliates, on the other hand, to be fully settled or fully cancelled without further liability to the Business or Buyer.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PRICE</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Purchase Price</w:t>
      </w:r>
      <w:r>
        <w:rPr>
          <w:rFonts w:ascii="Arial" w:cs="Arial" w:eastAsia="Arial" w:hAnsi="Arial"/>
          <w:sz w:val="22"/>
          <w:szCs w:val="22"/>
          <w:color w:val="auto"/>
        </w:rPr>
        <w:t>. Subject to the terms and conditions of this Agreement, the aggregate purchase price (the “</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for the Purchased Assets shall be an amount in cash equal to $2,150,000,000 increased by the Adjustment Amount if the Adjustment Amount is a positive number, or decreased by the Adjustment Amount if the Adjustment Amount is a negative number. The Adjustment Amount will be determined in accordance with this Agreement and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and in the same form and format as </w:t>
      </w:r>
      <w:r>
        <w:rPr>
          <w:rFonts w:ascii="Arial" w:cs="Arial" w:eastAsia="Arial" w:hAnsi="Arial"/>
          <w:sz w:val="22"/>
          <w:szCs w:val="22"/>
          <w:u w:val="single" w:color="auto"/>
          <w:color w:val="auto"/>
        </w:rPr>
        <w:t>Appendix B</w:t>
      </w:r>
      <w:r>
        <w:rPr>
          <w:rFonts w:ascii="Arial" w:cs="Arial" w:eastAsia="Arial" w:hAnsi="Arial"/>
          <w:sz w:val="22"/>
          <w:szCs w:val="22"/>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Determination of Purchase Price</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59" w:lineRule="auto"/>
        <w:tabs>
          <w:tab w:leader="none" w:pos="2358"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No later than five Business Days prior to the Closing Date, Seller will prepare and deliver to Buyer a good faith estimate of the Purchase Price, calculated in good faith in accordance with this Agreement and </w:t>
      </w:r>
      <w:r>
        <w:rPr>
          <w:rFonts w:ascii="Arial" w:cs="Arial" w:eastAsia="Arial" w:hAnsi="Arial"/>
          <w:sz w:val="21"/>
          <w:szCs w:val="21"/>
          <w:u w:val="single" w:color="auto"/>
          <w:color w:val="auto"/>
        </w:rPr>
        <w:t>Appendix</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and in the same form and format as </w:t>
      </w:r>
      <w:r>
        <w:rPr>
          <w:rFonts w:ascii="Arial" w:cs="Arial" w:eastAsia="Arial" w:hAnsi="Arial"/>
          <w:sz w:val="21"/>
          <w:szCs w:val="21"/>
          <w:u w:val="single" w:color="auto"/>
          <w:color w:val="auto"/>
        </w:rPr>
        <w:t>Appendix B</w:t>
      </w:r>
      <w:r>
        <w:rPr>
          <w:rFonts w:ascii="Arial" w:cs="Arial" w:eastAsia="Arial" w:hAnsi="Arial"/>
          <w:sz w:val="21"/>
          <w:szCs w:val="21"/>
          <w:color w:val="auto"/>
        </w:rPr>
        <w:t>, together with reasonable supporting documentation and worksheets. Within two Business Days following receipt by Buyer of such estimate, Buyer may in good faith object in writing to Seller’s estimate, in which case the Parties shall endeavor to reconcile their differences in good faith by negotiation prior to the Closing Date; provided that, in the event the Parties are unable to reconcile their differences, Seller’s estimate of the Purchase Price shall prevail. The amount of Seller’s estimate of the Purchase Price (or the estimate of the Purchase Price to which the Parties agree) (the “</w:t>
      </w:r>
      <w:r>
        <w:rPr>
          <w:rFonts w:ascii="Arial" w:cs="Arial" w:eastAsia="Arial" w:hAnsi="Arial"/>
          <w:sz w:val="21"/>
          <w:szCs w:val="21"/>
          <w:u w:val="single" w:color="auto"/>
          <w:color w:val="auto"/>
        </w:rPr>
        <w:t>Closing Payment Amount</w:t>
      </w:r>
      <w:r>
        <w:rPr>
          <w:rFonts w:ascii="Arial" w:cs="Arial" w:eastAsia="Arial" w:hAnsi="Arial"/>
          <w:sz w:val="21"/>
          <w:szCs w:val="21"/>
          <w:color w:val="auto"/>
        </w:rPr>
        <w:t>”) shall be paid to Seller at the Closing.</w:t>
      </w:r>
    </w:p>
    <w:p>
      <w:pPr>
        <w:spacing w:after="0" w:line="179" w:lineRule="exact"/>
        <w:rPr>
          <w:rFonts w:ascii="Arial" w:cs="Arial" w:eastAsia="Arial" w:hAnsi="Arial"/>
          <w:sz w:val="21"/>
          <w:szCs w:val="21"/>
          <w:color w:val="auto"/>
        </w:rPr>
      </w:pPr>
    </w:p>
    <w:p>
      <w:pPr>
        <w:jc w:val="both"/>
        <w:ind w:left="1220" w:firstLine="651"/>
        <w:spacing w:after="0" w:line="260" w:lineRule="auto"/>
        <w:tabs>
          <w:tab w:leader="none" w:pos="2340"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Within 90 days after the Closing Date, Seller will prepare and deliver to Buyer a revised calculation of the Purchase Price, calculated in good faith in accordance with this Agreement and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and in the same form and format as </w:t>
      </w:r>
      <w:r>
        <w:rPr>
          <w:rFonts w:ascii="Arial" w:cs="Arial" w:eastAsia="Arial" w:hAnsi="Arial"/>
          <w:sz w:val="21"/>
          <w:szCs w:val="21"/>
          <w:u w:val="single" w:color="auto"/>
          <w:color w:val="auto"/>
        </w:rPr>
        <w:t>Appendix B</w:t>
      </w:r>
      <w:r>
        <w:rPr>
          <w:rFonts w:ascii="Arial" w:cs="Arial" w:eastAsia="Arial" w:hAnsi="Arial"/>
          <w:sz w:val="21"/>
          <w:szCs w:val="21"/>
          <w:color w:val="auto"/>
        </w:rPr>
        <w:t>, together with worksheets and supporting documentation (the “</w:t>
      </w:r>
      <w:r>
        <w:rPr>
          <w:rFonts w:ascii="Arial" w:cs="Arial" w:eastAsia="Arial" w:hAnsi="Arial"/>
          <w:sz w:val="21"/>
          <w:szCs w:val="21"/>
          <w:u w:val="single" w:color="auto"/>
          <w:color w:val="auto"/>
        </w:rPr>
        <w:t>Post-Closing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Adjustment Statement</w:t>
      </w:r>
      <w:r>
        <w:rPr>
          <w:rFonts w:ascii="Arial" w:cs="Arial" w:eastAsia="Arial" w:hAnsi="Arial"/>
          <w:sz w:val="21"/>
          <w:szCs w:val="21"/>
          <w:color w:val="auto"/>
        </w:rPr>
        <w:t>”). Buyer shall have a reasonable right of consultation with Seller in connection with Seller’s preparation of the Post-Closing Adjustment Statement and related information, and will provide Seller with access to its books, records, information, and employees as Seller may reasonably request. Buyer shall cause the personnel of Buyer and its Subsidiaries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119" w:name="page120"/>
    <w:bookmarkEnd w:id="119"/>
    <w:p>
      <w:pPr>
        <w:jc w:val="both"/>
        <w:ind w:left="100"/>
        <w:spacing w:after="0" w:line="248" w:lineRule="auto"/>
        <w:rPr>
          <w:sz w:val="20"/>
          <w:szCs w:val="20"/>
          <w:color w:val="auto"/>
        </w:rPr>
      </w:pPr>
      <w:r>
        <w:rPr>
          <w:rFonts w:ascii="Arial" w:cs="Arial" w:eastAsia="Arial" w:hAnsi="Arial"/>
          <w:sz w:val="22"/>
          <w:szCs w:val="22"/>
          <w:color w:val="auto"/>
        </w:rPr>
        <w:t>Business) to cooperate with Seller and its Representatives in connection with their preparation of the Post-Closing Adjustment Statement. In the event Buyer raises any objections or disagreements with any methodology used or determination made by Seller during the preparation of the Post-Closing Adjustment Statement, the Parties shall endeavor to reconcile their differences in good faith by negotiation prior to delivery of the Post-Closing Adjustment Statement by Seller to Buyer.</w:t>
      </w:r>
    </w:p>
    <w:p>
      <w:pPr>
        <w:spacing w:after="0" w:line="192" w:lineRule="exact"/>
        <w:rPr>
          <w:sz w:val="20"/>
          <w:szCs w:val="20"/>
          <w:color w:val="auto"/>
        </w:rPr>
      </w:pPr>
    </w:p>
    <w:p>
      <w:pPr>
        <w:jc w:val="both"/>
        <w:ind w:left="100" w:firstLine="651"/>
        <w:spacing w:after="0" w:line="288" w:lineRule="auto"/>
        <w:tabs>
          <w:tab w:leader="none" w:pos="12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amounts determined by Seller as set forth in the Post-Closing Adjustment Statement will be final, binding, and conclusive for all purposes unless, and only to the extent, that within 30 days after Seller has delivered the Post-Closing Adjustment Statement Buyer notifies Seller of any dispute with respect to matters set out in the Post-Closing Adjustment Statement. Any such notice of dispute delivered by Buyer (an “</w:t>
      </w:r>
      <w:r>
        <w:rPr>
          <w:rFonts w:ascii="Arial" w:cs="Arial" w:eastAsia="Arial" w:hAnsi="Arial"/>
          <w:sz w:val="19"/>
          <w:szCs w:val="19"/>
          <w:u w:val="single" w:color="auto"/>
          <w:color w:val="auto"/>
        </w:rPr>
        <w:t>Adjustment Dispute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will identify with specificity each item in the Post-Closing Adjustment Statement with respect to which Buyer disagrees, the basis of such disagreement, and Buyer’s position with respect to such disputed item, accompanied by reasonably detailed documentation showing Buyer’s calculation of the disputed amounts; provided that the disagreement may be based for purposes of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only on mathematical errors or amounts reflected in the Post-Closing Adjustment Statement not being calculated in accordance with this Agreement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the accounting principles specified therein.</w:t>
      </w:r>
    </w:p>
    <w:p>
      <w:pPr>
        <w:spacing w:after="0" w:line="159" w:lineRule="exact"/>
        <w:rPr>
          <w:rFonts w:ascii="Arial" w:cs="Arial" w:eastAsia="Arial" w:hAnsi="Arial"/>
          <w:sz w:val="19"/>
          <w:szCs w:val="19"/>
          <w:color w:val="auto"/>
        </w:rPr>
      </w:pPr>
    </w:p>
    <w:p>
      <w:pPr>
        <w:jc w:val="both"/>
        <w:ind w:left="100" w:firstLine="651"/>
        <w:spacing w:after="0" w:line="285" w:lineRule="auto"/>
        <w:tabs>
          <w:tab w:leader="none" w:pos="1324"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If Buyer delivers an Adjustment Dispute Notice in compliance with </w:t>
      </w:r>
      <w:r>
        <w:rPr>
          <w:rFonts w:ascii="Arial" w:cs="Arial" w:eastAsia="Arial" w:hAnsi="Arial"/>
          <w:sz w:val="19"/>
          <w:szCs w:val="19"/>
          <w:u w:val="single" w:color="auto"/>
          <w:color w:val="auto"/>
        </w:rPr>
        <w:t>Section 3.2(c)</w:t>
      </w:r>
      <w:r>
        <w:rPr>
          <w:rFonts w:ascii="Arial" w:cs="Arial" w:eastAsia="Arial" w:hAnsi="Arial"/>
          <w:sz w:val="19"/>
          <w:szCs w:val="19"/>
          <w:color w:val="auto"/>
        </w:rPr>
        <w:t xml:space="preserve"> and Seller and Buyer are unable to reach a resolution with respect to all disputed items within 30 days of delivery of the Adjustment Dispute Notice, Seller and Buyer will submit any items remaining in dispute for determination and resolution to the Independent Accounting Firm. The Independent Accounting Firm will be instructed to, and shall, determine and resolve any such remaining disputed items in accordance with this Agreement and the accounting principles described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as appropriate depending on the item at issue, and report to the Parties, within 30 days after such submission, of the Independent Accounting Firm’s determination and resolution. In resolving any disputed items, the Independent Accounting Firm (i) shall limit its review to matters specifically set forth in the Adjustment Dispute Notice, (ii) shall limit its review to correcting mathematical errors and determining whether disputed items were determined in accordance with this Agreement and accounting principles listed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shall not make any other determination, including any determination as to whether any estimates on the Post-Closing Adjustment Statement are correct, adequate or sufficient and (iii) may not assign a value to any item greater than the greatest value claimed for such item or less than the smallest value for such item claimed by either Buyer or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the determination of the value of any disputed item directly affects any other item used in calculating the Final Purchase Price such direct effect may be taken into account by the Independent Accounting Firm. The report of the Independent Accounting Firm will be final, binding, and conclusive on the Parties for all purposes. The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120"/>
          </w:cols>
          <w:pgMar w:left="1440" w:top="1428" w:right="339" w:bottom="1440" w:gutter="0" w:footer="0" w:header="0"/>
        </w:sectPr>
      </w:pPr>
    </w:p>
    <w:bookmarkStart w:id="120" w:name="page121"/>
    <w:bookmarkEnd w:id="120"/>
    <w:p>
      <w:pPr>
        <w:jc w:val="both"/>
        <w:ind w:left="1220"/>
        <w:spacing w:after="0" w:line="248" w:lineRule="auto"/>
        <w:rPr>
          <w:sz w:val="20"/>
          <w:szCs w:val="20"/>
          <w:color w:val="auto"/>
        </w:rPr>
      </w:pPr>
      <w:r>
        <w:rPr>
          <w:rFonts w:ascii="Arial" w:cs="Arial" w:eastAsia="Arial" w:hAnsi="Arial"/>
          <w:sz w:val="22"/>
          <w:szCs w:val="22"/>
          <w:color w:val="auto"/>
        </w:rPr>
        <w:t>and disbursements of the Independent Accounting Firm will be allocated between Seller and Buyer so that Buyer’s share of such fees and disbursements will be in the same proportion that the aggregate amount of any such remaining disputed items so submitted to the Independent Accounting Firm that is unsuccessfully disputed by Buyer (as finally determined by the Independent Accounting Firm) bears to the total amount of such disputed amounts initially submitted to the Independent Accounting Firm.</w:t>
      </w:r>
    </w:p>
    <w:p>
      <w:pPr>
        <w:spacing w:after="0" w:line="192" w:lineRule="exact"/>
        <w:rPr>
          <w:sz w:val="20"/>
          <w:szCs w:val="20"/>
          <w:color w:val="auto"/>
        </w:rPr>
      </w:pPr>
    </w:p>
    <w:p>
      <w:pPr>
        <w:jc w:val="both"/>
        <w:ind w:left="1220" w:firstLine="651"/>
        <w:spacing w:after="0" w:line="289" w:lineRule="auto"/>
        <w:tabs>
          <w:tab w:leader="none" w:pos="2365"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Within 10 Business Days following the final determination of the Purchase Price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3.2(d)</w:t>
      </w:r>
      <w:r>
        <w:rPr>
          <w:rFonts w:ascii="Arial" w:cs="Arial" w:eastAsia="Arial" w:hAnsi="Arial"/>
          <w:sz w:val="19"/>
          <w:szCs w:val="19"/>
          <w:color w:val="auto"/>
        </w:rPr>
        <w:t xml:space="preserve"> (as so determined, the “</w:t>
      </w:r>
      <w:r>
        <w:rPr>
          <w:rFonts w:ascii="Arial" w:cs="Arial" w:eastAsia="Arial" w:hAnsi="Arial"/>
          <w:sz w:val="19"/>
          <w:szCs w:val="19"/>
          <w:u w:val="single" w:color="auto"/>
          <w:color w:val="auto"/>
        </w:rPr>
        <w:t>Final Purchase Price</w:t>
      </w:r>
      <w:r>
        <w:rPr>
          <w:rFonts w:ascii="Arial" w:cs="Arial" w:eastAsia="Arial" w:hAnsi="Arial"/>
          <w:sz w:val="19"/>
          <w:szCs w:val="19"/>
          <w:color w:val="auto"/>
        </w:rPr>
        <w:t xml:space="preserve">”), (i) if the Final Purchase Price is greater than the Closing Payment Amount, Buyer will pay the difference to Seller; or (ii) if the Final Purchase Price is less than the Closing Payment Amount, Seller will pay the difference to Buyer. Any amount paid under this </w:t>
      </w:r>
      <w:r>
        <w:rPr>
          <w:rFonts w:ascii="Arial" w:cs="Arial" w:eastAsia="Arial" w:hAnsi="Arial"/>
          <w:sz w:val="19"/>
          <w:szCs w:val="19"/>
          <w:u w:val="single" w:color="auto"/>
          <w:color w:val="auto"/>
        </w:rPr>
        <w:t>Section 3.2(e)</w:t>
      </w:r>
      <w:r>
        <w:rPr>
          <w:rFonts w:ascii="Arial" w:cs="Arial" w:eastAsia="Arial" w:hAnsi="Arial"/>
          <w:sz w:val="19"/>
          <w:szCs w:val="19"/>
          <w:color w:val="auto"/>
        </w:rPr>
        <w:t xml:space="preserve"> will be paid with interest for the period commencing on the Closing Date through the date of payment, calculated at the Prime Rate in effect on the Closing Date. Any amount paid under this </w:t>
      </w:r>
      <w:r>
        <w:rPr>
          <w:rFonts w:ascii="Arial" w:cs="Arial" w:eastAsia="Arial" w:hAnsi="Arial"/>
          <w:sz w:val="19"/>
          <w:szCs w:val="19"/>
          <w:u w:val="single" w:color="auto"/>
          <w:color w:val="auto"/>
        </w:rPr>
        <w:t>Section 3.2(e)</w:t>
      </w:r>
      <w:r>
        <w:rPr>
          <w:rFonts w:ascii="Arial" w:cs="Arial" w:eastAsia="Arial" w:hAnsi="Arial"/>
          <w:sz w:val="19"/>
          <w:szCs w:val="19"/>
          <w:color w:val="auto"/>
        </w:rPr>
        <w:t xml:space="preserve"> shall be paid in cash by wire transfer of immediately available funds to the account specified by the Party receiving payment. Neither the determination of the Final Purchase Price nor any payment thereof shall be deemed to waive or limit in any respect any representation or warranty or rights in respect thereof under this Agreement.</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Allocation of Purchase Price</w:t>
      </w:r>
      <w:r>
        <w:rPr>
          <w:rFonts w:ascii="Arial" w:cs="Arial" w:eastAsia="Arial" w:hAnsi="Arial"/>
          <w:sz w:val="21"/>
          <w:szCs w:val="21"/>
          <w:color w:val="auto"/>
        </w:rPr>
        <w:t xml:space="preserve">. The sum of the Purchase Price and the Assumed Obligations will be allocated among the Purchased Assets on a basis consistent with Section 1060 of the Code and the Treasury Regulations thereunder. The Parties will work together in good faith to agree upon such allocation in conjunction with the determination of the Final Purchase Price. In the event that such agreement has not been reached within 30 days following the determination of the Final Purchase Price, the allocation will be determined by the Independent Accounting Firm, and such determination will be binding on the Parties. Each Party will pay one-half of the fees and expenses of the Independent Accounting Firm in connection with such determination. The Parties will in good faith revise the allocation to reflect any subsequent adjustment to the purchase consideration for income Tax purposes of the Purchased Assets. Each Party will report the transactions contemplated by this Agreement for Tax purposes in a manner consistent with such allocation. Each Party will provide the other promptly with any other information required to complete Form 8594 under the Code. Each Party will notify the other, and will provide the other with reasonably requested cooperation, in the event of an examination, audit, or other proceeding regarding the allocations provided for in this </w:t>
      </w:r>
      <w:r>
        <w:rPr>
          <w:rFonts w:ascii="Arial" w:cs="Arial" w:eastAsia="Arial" w:hAnsi="Arial"/>
          <w:sz w:val="21"/>
          <w:szCs w:val="21"/>
          <w:u w:val="single" w:color="auto"/>
          <w:color w:val="auto"/>
        </w:rPr>
        <w:t>Section 3.3</w:t>
      </w:r>
      <w:r>
        <w:rPr>
          <w:rFonts w:ascii="Arial" w:cs="Arial" w:eastAsia="Arial" w:hAnsi="Arial"/>
          <w:sz w:val="21"/>
          <w:szCs w:val="21"/>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Prorations</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50" w:lineRule="auto"/>
        <w:tabs>
          <w:tab w:leader="none" w:pos="24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For purposes of determining the Purchase Price, personal property and real property Taxes (to be allocated between the Pre-Closing Tax Period and Post-Closing Tax Period portions of a Straddle Period in accordance with </w:t>
      </w:r>
      <w:r>
        <w:rPr>
          <w:rFonts w:ascii="Arial" w:cs="Arial" w:eastAsia="Arial" w:hAnsi="Arial"/>
          <w:sz w:val="22"/>
          <w:szCs w:val="22"/>
          <w:u w:val="single" w:color="auto"/>
          <w:color w:val="auto"/>
        </w:rPr>
        <w:t>Section 7.9(d)</w:t>
      </w:r>
      <w:r>
        <w:rPr>
          <w:rFonts w:ascii="Arial" w:cs="Arial" w:eastAsia="Arial" w:hAnsi="Arial"/>
          <w:sz w:val="22"/>
          <w:szCs w:val="22"/>
          <w:color w:val="auto"/>
        </w:rPr>
        <w:t>), rents under any leases of real or personal property, or other similar expenses, that are not due or assessed until after the Effective Time but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121" w:name="page122"/>
    <w:bookmarkEnd w:id="121"/>
    <w:p>
      <w:pPr>
        <w:jc w:val="both"/>
        <w:ind w:left="1220"/>
        <w:spacing w:after="0" w:line="259" w:lineRule="auto"/>
        <w:rPr>
          <w:sz w:val="20"/>
          <w:szCs w:val="20"/>
          <w:color w:val="auto"/>
        </w:rPr>
      </w:pPr>
      <w:r>
        <w:rPr>
          <w:rFonts w:ascii="Arial" w:cs="Arial" w:eastAsia="Arial" w:hAnsi="Arial"/>
          <w:sz w:val="21"/>
          <w:szCs w:val="21"/>
          <w:color w:val="auto"/>
        </w:rPr>
        <w:t>attributable in whole or in part to any period commencing prior to the Effective Time, and any other amounts that by the terms of this Agreement are to be allocated between the Parties, will be prorated as of the Effective Time, with Seller liable to the extent such items relate to any period prior to the Effective Time, and Buyer liable to the extent such items relate to any period from and after the Effective Time. If the actual amounts to be prorated are not known as of the Effective Time, Seller shall include an itemized estimate in the Post-Closing Adjustment Statement based upon the most recent available rates, assessments, valuations, or other data, and the Parties shall adjust the amounts paid at the Closing to reflect such prorations. Any prorations shall be made so as to avoid duplication of any amounts, and will be adjusted to properly take into account any amounts thereof used in determining the Purchase Price.</w:t>
      </w:r>
    </w:p>
    <w:p>
      <w:pPr>
        <w:spacing w:after="0" w:line="179" w:lineRule="exact"/>
        <w:rPr>
          <w:sz w:val="20"/>
          <w:szCs w:val="20"/>
          <w:color w:val="auto"/>
        </w:rPr>
      </w:pPr>
    </w:p>
    <w:p>
      <w:pPr>
        <w:jc w:val="both"/>
        <w:ind w:left="1220" w:firstLine="651"/>
        <w:spacing w:after="0" w:line="290" w:lineRule="auto"/>
        <w:tabs>
          <w:tab w:leader="none" w:pos="2415"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proration of all items under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will be recalculated by Buyer within a reasonable period of time following the date upon which the actual amounts become available to Buyer. Buyer will notify Seller of such recalculated amounts, and will provide Seller with all reasonable documentation relating to such recalculations. The Parties will make such payments to each other as are necessary to reconcile any estimated amounts prorated as of the Effective Time with the final amounts to be prorated. Seller and Buyer agree to furnish each other with such documents and other records as may be reasonably requested in order to confirm all proration calculations made pursuant to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For the avoidance of doubt, </w:t>
      </w:r>
      <w:r>
        <w:rPr>
          <w:rFonts w:ascii="Arial" w:cs="Arial" w:eastAsia="Arial" w:hAnsi="Arial"/>
          <w:sz w:val="19"/>
          <w:szCs w:val="19"/>
          <w:u w:val="single" w:color="auto"/>
          <w:color w:val="auto"/>
        </w:rPr>
        <w:t>Section 7.9(b)</w:t>
      </w:r>
      <w:r>
        <w:rPr>
          <w:rFonts w:ascii="Arial" w:cs="Arial" w:eastAsia="Arial" w:hAnsi="Arial"/>
          <w:sz w:val="19"/>
          <w:szCs w:val="19"/>
          <w:color w:val="auto"/>
        </w:rPr>
        <w:t xml:space="preserve"> and not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3.4(b)</w:t>
      </w:r>
      <w:r>
        <w:rPr>
          <w:rFonts w:ascii="Arial" w:cs="Arial" w:eastAsia="Arial" w:hAnsi="Arial"/>
          <w:sz w:val="19"/>
          <w:szCs w:val="19"/>
          <w:color w:val="auto"/>
        </w:rPr>
        <w:t xml:space="preserve"> will apply to recalculations or reconciliations with respect to Taxes.</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u w:val="single" w:color="auto"/>
          <w:color w:val="auto"/>
        </w:rPr>
        <w:t>Unbilled Revenues</w:t>
      </w:r>
      <w:r>
        <w:rPr>
          <w:rFonts w:ascii="Arial" w:cs="Arial" w:eastAsia="Arial" w:hAnsi="Arial"/>
          <w:sz w:val="21"/>
          <w:szCs w:val="21"/>
          <w:color w:val="auto"/>
        </w:rPr>
        <w:t>. Prior to the Closing Date, Seller shall read all customer meters in their normal cycle and in due course render the related bills to its customers served by the Business. Seller shall also read each daily read transportation customer meter (collectively, the “</w:t>
      </w:r>
      <w:r>
        <w:rPr>
          <w:rFonts w:ascii="Arial" w:cs="Arial" w:eastAsia="Arial" w:hAnsi="Arial"/>
          <w:sz w:val="21"/>
          <w:szCs w:val="21"/>
          <w:u w:val="single" w:color="auto"/>
          <w:color w:val="auto"/>
        </w:rPr>
        <w:t>Large Volume Meters</w:t>
      </w:r>
      <w:r>
        <w:rPr>
          <w:rFonts w:ascii="Arial" w:cs="Arial" w:eastAsia="Arial" w:hAnsi="Arial"/>
          <w:sz w:val="21"/>
          <w:szCs w:val="21"/>
          <w:color w:val="auto"/>
        </w:rPr>
        <w:t xml:space="preserve">”) on the day immediately preceding the Closing Date. Seller shall provide Buyer with the last meter reading from each of the Large Volume Meters made on the day immediately preceding the Closing Date as soon as practicable after the Closing Date. On and after the Closing Date, Buyer shall read the customer meters for their first time, in the normal cycle, and in due course render bills for service during the period between Seller’s last reading in the normal cycle and Buyer’s first reading in the normal cycle to the customers served by the Business. Buyer shall determine the volume of gas sold by Seller prior to the Closing Date through Large Volume Meters by Seller’s meter readings on the day immediately preceding the Closing Date. Buyer shall determine by allocation the volumes of gas sold through all meters other than Large Volume Meters, by Seller prior to the Closing Date, and by Buyer on and after the Closing Date and prior to its first meter reading, through meters without charts. Such allocation shall be consistent with Seller’s past practices for unbilled revenues. The receivables related to the volume of gas allocable to Seller under this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but not yet billed to customers served by the Business, net of allowance for bad debts, shall be defined as “</w:t>
      </w:r>
      <w:r>
        <w:rPr>
          <w:rFonts w:ascii="Arial" w:cs="Arial" w:eastAsia="Arial" w:hAnsi="Arial"/>
          <w:sz w:val="21"/>
          <w:szCs w:val="21"/>
          <w:u w:val="single" w:color="auto"/>
          <w:color w:val="auto"/>
        </w:rPr>
        <w:t>Unbilled Revenues</w:t>
      </w:r>
      <w:r>
        <w:rPr>
          <w:rFonts w:ascii="Arial" w:cs="Arial" w:eastAsia="Arial" w:hAnsi="Arial"/>
          <w:sz w:val="21"/>
          <w:szCs w:val="21"/>
          <w:color w:val="auto"/>
        </w:rPr>
        <w:t>.” “</w:t>
      </w:r>
      <w:r>
        <w:rPr>
          <w:rFonts w:ascii="Arial" w:cs="Arial" w:eastAsia="Arial" w:hAnsi="Arial"/>
          <w:sz w:val="21"/>
          <w:szCs w:val="21"/>
          <w:u w:val="single" w:color="auto"/>
          <w:color w:val="auto"/>
        </w:rPr>
        <w:t>Billed Revenues</w:t>
      </w:r>
      <w:r>
        <w:rPr>
          <w:rFonts w:ascii="Arial" w:cs="Arial" w:eastAsia="Arial" w:hAnsi="Arial"/>
          <w:sz w:val="21"/>
          <w:szCs w:val="21"/>
          <w:color w:val="auto"/>
        </w:rPr>
        <w:t>” shall mean all outstanding bills to customers served by the Business that have not been paid as of the Closing Date less (i) any offset that results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122" w:name="page123"/>
    <w:bookmarkEnd w:id="122"/>
    <w:p>
      <w:pPr>
        <w:jc w:val="both"/>
        <w:spacing w:after="0" w:line="263" w:lineRule="auto"/>
        <w:rPr>
          <w:sz w:val="20"/>
          <w:szCs w:val="20"/>
          <w:color w:val="auto"/>
        </w:rPr>
      </w:pPr>
      <w:r>
        <w:rPr>
          <w:rFonts w:ascii="Arial" w:cs="Arial" w:eastAsia="Arial" w:hAnsi="Arial"/>
          <w:sz w:val="22"/>
          <w:szCs w:val="22"/>
          <w:color w:val="auto"/>
        </w:rPr>
        <w:t>difference between installment payments and gas consumed and (ii) allowance for bad debt, which shall be calculated consistent with Seller’s past practices.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3.6 </w:t>
      </w:r>
      <w:r>
        <w:rPr>
          <w:rFonts w:ascii="Arial" w:cs="Arial" w:eastAsia="Arial" w:hAnsi="Arial"/>
          <w:sz w:val="21"/>
          <w:szCs w:val="21"/>
          <w:u w:val="single" w:color="auto"/>
          <w:color w:val="auto"/>
        </w:rPr>
        <w:t>Withholding</w:t>
      </w:r>
      <w:r>
        <w:rPr>
          <w:rFonts w:ascii="Arial" w:cs="Arial" w:eastAsia="Arial" w:hAnsi="Arial"/>
          <w:sz w:val="21"/>
          <w:szCs w:val="21"/>
          <w:color w:val="auto"/>
        </w:rPr>
        <w:t>. Buyer or any of its Affiliates shall be entitled to deduct and withhold (or have deducted and withheld) from any amounts payable pursuant to this Agreement such amounts as it reasonably determines are required to be deducted or withheld therefrom or in connection therewith under the Code or any provision of state, local or foreign Tax Law or under any other applicable Law or Order. To the extent such amounts are so deducted or withheld, such amounts shall be remitted to the applicable Governmental Entity and be treated for all purposes under this Agreement as having been paid to the Person to whom such amounts would otherwise have been paid. Buyer shall reasonably cooperate with Seller to eliminate or reduce the basis for such deduction or withholding.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CLOSING</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u w:val="single" w:color="auto"/>
          <w:color w:val="auto"/>
        </w:rPr>
        <w:t>Time and Place of Closing</w:t>
      </w:r>
      <w:r>
        <w:rPr>
          <w:rFonts w:ascii="Arial" w:cs="Arial" w:eastAsia="Arial" w:hAnsi="Arial"/>
          <w:sz w:val="21"/>
          <w:szCs w:val="21"/>
          <w:color w:val="auto"/>
        </w:rPr>
        <w:t xml:space="preserve">. Upon the terms and subject to the satisfaction of the conditions contained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of this Agreement, the closing of the purchase and sale of the Purchased Assets and assumption of the Assumed Obligations (the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will take place electronically or otherwise at the offices of Seller in Houston, Texas, beginning at 10:00 A.M. (Central time) on the third Business Day following the date on which the conditions set forth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(other than conditions to be satisfied by deliveries at the Closing) have been satisfied or waived, or at such other place or time as the Parties may agree; provided, the Parties acknowledge and agree that the Closing Date will need to allow for the events described in </w:t>
      </w:r>
      <w:r>
        <w:rPr>
          <w:rFonts w:ascii="Arial" w:cs="Arial" w:eastAsia="Arial" w:hAnsi="Arial"/>
          <w:sz w:val="21"/>
          <w:szCs w:val="21"/>
          <w:u w:val="single" w:color="auto"/>
          <w:color w:val="auto"/>
        </w:rPr>
        <w:t>Section 3.2(a)</w:t>
      </w:r>
      <w:r>
        <w:rPr>
          <w:rFonts w:ascii="Arial" w:cs="Arial" w:eastAsia="Arial" w:hAnsi="Arial"/>
          <w:sz w:val="21"/>
          <w:szCs w:val="21"/>
          <w:color w:val="auto"/>
        </w:rPr>
        <w:t>. The date on which the Closing occurs is referred to herein as the “</w:t>
      </w:r>
      <w:r>
        <w:rPr>
          <w:rFonts w:ascii="Arial" w:cs="Arial" w:eastAsia="Arial" w:hAnsi="Arial"/>
          <w:sz w:val="21"/>
          <w:szCs w:val="21"/>
          <w:u w:val="single" w:color="auto"/>
          <w:color w:val="auto"/>
        </w:rPr>
        <w:t>Closing Date</w:t>
      </w:r>
      <w:r>
        <w:rPr>
          <w:rFonts w:ascii="Arial" w:cs="Arial" w:eastAsia="Arial" w:hAnsi="Arial"/>
          <w:sz w:val="21"/>
          <w:szCs w:val="21"/>
          <w:color w:val="auto"/>
        </w:rPr>
        <w:t>.” The purchase and sale of the Purchased Assets and assumption of the Assumed Obligations will be effective as of 12:01 A.M. (Central time) on the Closing Date (the “</w:t>
      </w:r>
      <w:r>
        <w:rPr>
          <w:rFonts w:ascii="Arial" w:cs="Arial" w:eastAsia="Arial" w:hAnsi="Arial"/>
          <w:sz w:val="21"/>
          <w:szCs w:val="21"/>
          <w:u w:val="single" w:color="auto"/>
          <w:color w:val="auto"/>
        </w:rPr>
        <w:t>Effective Time</w:t>
      </w:r>
      <w:r>
        <w:rPr>
          <w:rFonts w:ascii="Arial" w:cs="Arial" w:eastAsia="Arial" w:hAnsi="Arial"/>
          <w:sz w:val="21"/>
          <w:szCs w:val="21"/>
          <w:color w:val="auto"/>
        </w:rPr>
        <w:t>”).</w:t>
      </w:r>
    </w:p>
    <w:p>
      <w:pPr>
        <w:spacing w:after="0" w:line="17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Closing Payment</w:t>
      </w:r>
      <w:r>
        <w:rPr>
          <w:rFonts w:ascii="Arial" w:cs="Arial" w:eastAsia="Arial" w:hAnsi="Arial"/>
          <w:sz w:val="19"/>
          <w:szCs w:val="19"/>
          <w:color w:val="auto"/>
        </w:rPr>
        <w:t>. At the Closing, Buyer will pay or cause to be paid to Seller the Closing Payment Amount, by wire transfer of immediately available funds or by such other means as may be agreed upon by Seller and Buyer.</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Seller’s Closing Deliveries</w:t>
      </w:r>
      <w:r>
        <w:rPr>
          <w:rFonts w:ascii="Arial" w:cs="Arial" w:eastAsia="Arial" w:hAnsi="Arial"/>
          <w:sz w:val="22"/>
          <w:szCs w:val="22"/>
          <w:color w:val="auto"/>
        </w:rPr>
        <w:t>. At or prior to the Closing, Seller will deliver the following to Buyer:</w:t>
      </w:r>
    </w:p>
    <w:p>
      <w:pPr>
        <w:spacing w:after="0" w:line="220" w:lineRule="exact"/>
        <w:rPr>
          <w:sz w:val="20"/>
          <w:szCs w:val="20"/>
          <w:color w:val="auto"/>
        </w:rPr>
      </w:pPr>
    </w:p>
    <w:p>
      <w:pPr>
        <w:ind w:left="2320" w:hanging="449"/>
        <w:spacing w:after="0"/>
        <w:tabs>
          <w:tab w:leader="none" w:pos="23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the certificate contemplated by </w:t>
      </w:r>
      <w:r>
        <w:rPr>
          <w:rFonts w:ascii="Arial" w:cs="Arial" w:eastAsia="Arial" w:hAnsi="Arial"/>
          <w:sz w:val="22"/>
          <w:szCs w:val="22"/>
          <w:u w:val="single" w:color="auto"/>
          <w:color w:val="auto"/>
        </w:rPr>
        <w:t>Section 8.2(d)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340" w:hanging="469"/>
        <w:spacing w:after="0"/>
        <w:tabs>
          <w:tab w:leader="none" w:pos="23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Bill of Sale, duly executed by Seller;</w:t>
      </w:r>
    </w:p>
    <w:p>
      <w:pPr>
        <w:spacing w:after="0" w:line="219" w:lineRule="exact"/>
        <w:rPr>
          <w:rFonts w:ascii="Arial" w:cs="Arial" w:eastAsia="Arial" w:hAnsi="Arial"/>
          <w:sz w:val="22"/>
          <w:szCs w:val="22"/>
          <w:color w:val="auto"/>
        </w:rPr>
      </w:pPr>
    </w:p>
    <w:p>
      <w:pPr>
        <w:ind w:left="2320" w:hanging="449"/>
        <w:spacing w:after="0"/>
        <w:tabs>
          <w:tab w:leader="none" w:pos="23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Assignment and Assumption Agreements, duly executed by Seller;</w:t>
      </w:r>
    </w:p>
    <w:p>
      <w:pPr>
        <w:spacing w:after="0" w:line="219" w:lineRule="exact"/>
        <w:rPr>
          <w:rFonts w:ascii="Arial" w:cs="Arial" w:eastAsia="Arial" w:hAnsi="Arial"/>
          <w:sz w:val="22"/>
          <w:szCs w:val="22"/>
          <w:color w:val="auto"/>
        </w:rPr>
      </w:pPr>
    </w:p>
    <w:p>
      <w:pPr>
        <w:jc w:val="both"/>
        <w:ind w:left="1220" w:firstLine="651"/>
        <w:spacing w:after="0" w:line="253" w:lineRule="auto"/>
        <w:tabs>
          <w:tab w:leader="none" w:pos="2411" w:val="left"/>
        </w:tabs>
        <w:numPr>
          <w:ilvl w:val="0"/>
          <w:numId w:val="85"/>
        </w:numPr>
        <w:rPr>
          <w:rFonts w:ascii="Arial" w:cs="Arial" w:eastAsia="Arial" w:hAnsi="Arial"/>
          <w:sz w:val="22"/>
          <w:szCs w:val="22"/>
          <w:color w:val="auto"/>
        </w:rPr>
      </w:pPr>
      <w:r>
        <w:rPr>
          <w:rFonts w:ascii="Arial" w:cs="Arial" w:eastAsia="Arial" w:hAnsi="Arial"/>
          <w:sz w:val="22"/>
          <w:szCs w:val="22"/>
          <w:color w:val="auto"/>
        </w:rPr>
        <w:t>one or more Special Warranty Deeds of conveyance of the parcels of Real Property with respect to which Seller holds fee interests, substantially in the form of the applicable Special Warranty Deed, duly executed and acknowledged by Seller, and in recordable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123" w:name="page124"/>
    <w:bookmarkEnd w:id="123"/>
    <w:p>
      <w:pPr>
        <w:jc w:val="both"/>
        <w:ind w:left="560" w:firstLine="651"/>
        <w:spacing w:after="0" w:line="253" w:lineRule="auto"/>
        <w:tabs>
          <w:tab w:leader="none" w:pos="1781" w:val="left"/>
        </w:tabs>
        <w:numPr>
          <w:ilvl w:val="0"/>
          <w:numId w:val="86"/>
        </w:numPr>
        <w:rPr>
          <w:rFonts w:ascii="Arial" w:cs="Arial" w:eastAsia="Arial" w:hAnsi="Arial"/>
          <w:sz w:val="22"/>
          <w:szCs w:val="22"/>
          <w:color w:val="auto"/>
        </w:rPr>
      </w:pPr>
      <w:r>
        <w:rPr>
          <w:rFonts w:ascii="Arial" w:cs="Arial" w:eastAsia="Arial" w:hAnsi="Arial"/>
          <w:sz w:val="22"/>
          <w:szCs w:val="22"/>
          <w:color w:val="auto"/>
        </w:rPr>
        <w:t>one or more instruments of assignment or conveyance, substantially in the applicable form of the Assignments of Easements, as are necessary to transfer the Purchased Easements, duly executed and acknowledged by Seller and in recordable form;</w:t>
      </w:r>
    </w:p>
    <w:p>
      <w:pPr>
        <w:spacing w:after="0" w:line="185" w:lineRule="exact"/>
        <w:rPr>
          <w:rFonts w:ascii="Arial" w:cs="Arial" w:eastAsia="Arial" w:hAnsi="Arial"/>
          <w:sz w:val="22"/>
          <w:szCs w:val="22"/>
          <w:color w:val="auto"/>
        </w:rPr>
      </w:pPr>
    </w:p>
    <w:p>
      <w:pPr>
        <w:ind w:left="1640" w:hanging="429"/>
        <w:spacing w:after="0"/>
        <w:tabs>
          <w:tab w:leader="none" w:pos="16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one or more Assignments of Lease, with respect to each Lease;</w:t>
      </w:r>
    </w:p>
    <w:p>
      <w:pPr>
        <w:spacing w:after="0" w:line="219" w:lineRule="exact"/>
        <w:rPr>
          <w:rFonts w:ascii="Arial" w:cs="Arial" w:eastAsia="Arial" w:hAnsi="Arial"/>
          <w:sz w:val="22"/>
          <w:szCs w:val="22"/>
          <w:color w:val="auto"/>
        </w:rPr>
      </w:pPr>
    </w:p>
    <w:p>
      <w:pPr>
        <w:ind w:left="560" w:firstLine="651"/>
        <w:spacing w:after="0" w:line="287" w:lineRule="auto"/>
        <w:tabs>
          <w:tab w:leader="none" w:pos="1811" w:val="left"/>
        </w:tabs>
        <w:numPr>
          <w:ilvl w:val="0"/>
          <w:numId w:val="86"/>
        </w:numPr>
        <w:rPr>
          <w:rFonts w:ascii="Arial" w:cs="Arial" w:eastAsia="Arial" w:hAnsi="Arial"/>
          <w:sz w:val="21"/>
          <w:szCs w:val="21"/>
          <w:color w:val="auto"/>
        </w:rPr>
      </w:pPr>
      <w:r>
        <w:rPr>
          <w:rFonts w:ascii="Arial" w:cs="Arial" w:eastAsia="Arial" w:hAnsi="Arial"/>
          <w:sz w:val="21"/>
          <w:szCs w:val="21"/>
          <w:color w:val="auto"/>
        </w:rPr>
        <w:t>all such other instruments of assignment or conveyance as are reasonably requested by Buyer in connection with the transfer of the Purchased Assets to Buyer in accordance with this Agreement;</w:t>
      </w:r>
    </w:p>
    <w:p>
      <w:pPr>
        <w:spacing w:after="0" w:line="151" w:lineRule="exact"/>
        <w:rPr>
          <w:rFonts w:ascii="Arial" w:cs="Arial" w:eastAsia="Arial" w:hAnsi="Arial"/>
          <w:sz w:val="21"/>
          <w:szCs w:val="21"/>
          <w:color w:val="auto"/>
        </w:rPr>
      </w:pPr>
    </w:p>
    <w:p>
      <w:pPr>
        <w:ind w:left="1680" w:hanging="469"/>
        <w:spacing w:after="0"/>
        <w:tabs>
          <w:tab w:leader="none" w:pos="16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Seller;</w:t>
      </w:r>
    </w:p>
    <w:p>
      <w:pPr>
        <w:spacing w:after="0" w:line="219" w:lineRule="exact"/>
        <w:rPr>
          <w:rFonts w:ascii="Arial" w:cs="Arial" w:eastAsia="Arial" w:hAnsi="Arial"/>
          <w:sz w:val="22"/>
          <w:szCs w:val="22"/>
          <w:color w:val="auto"/>
        </w:rPr>
      </w:pPr>
    </w:p>
    <w:p>
      <w:pPr>
        <w:ind w:left="560" w:firstLine="651"/>
        <w:spacing w:after="0" w:line="263" w:lineRule="auto"/>
        <w:tabs>
          <w:tab w:leader="none" w:pos="1662" w:val="left"/>
        </w:tabs>
        <w:numPr>
          <w:ilvl w:val="0"/>
          <w:numId w:val="86"/>
        </w:numPr>
        <w:rPr>
          <w:rFonts w:ascii="Arial" w:cs="Arial" w:eastAsia="Arial" w:hAnsi="Arial"/>
          <w:sz w:val="22"/>
          <w:szCs w:val="22"/>
          <w:color w:val="auto"/>
        </w:rPr>
      </w:pPr>
      <w:r>
        <w:rPr>
          <w:rFonts w:ascii="Arial" w:cs="Arial" w:eastAsia="Arial" w:hAnsi="Arial"/>
          <w:sz w:val="22"/>
          <w:szCs w:val="22"/>
          <w:color w:val="auto"/>
        </w:rPr>
        <w:t>all required consents, waivers or approvals as obtained by Seller from third parties in connection with this Agreement;</w:t>
      </w:r>
    </w:p>
    <w:p>
      <w:pPr>
        <w:spacing w:after="0" w:line="174" w:lineRule="exact"/>
        <w:rPr>
          <w:rFonts w:ascii="Arial" w:cs="Arial" w:eastAsia="Arial" w:hAnsi="Arial"/>
          <w:sz w:val="22"/>
          <w:szCs w:val="22"/>
          <w:color w:val="auto"/>
        </w:rPr>
      </w:pPr>
    </w:p>
    <w:p>
      <w:pPr>
        <w:ind w:left="560" w:firstLine="651"/>
        <w:spacing w:after="0" w:line="263" w:lineRule="auto"/>
        <w:tabs>
          <w:tab w:leader="none" w:pos="163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all Tax Returns for Transaction Taxes required by applicable Law to be executed by Seller at or prior to Closing, if any, duly executed (and acknowledged, if appropriate) by Seller;</w:t>
      </w:r>
    </w:p>
    <w:p>
      <w:pPr>
        <w:spacing w:after="0" w:line="174" w:lineRule="exact"/>
        <w:rPr>
          <w:rFonts w:ascii="Arial" w:cs="Arial" w:eastAsia="Arial" w:hAnsi="Arial"/>
          <w:sz w:val="22"/>
          <w:szCs w:val="22"/>
          <w:color w:val="auto"/>
        </w:rPr>
      </w:pPr>
    </w:p>
    <w:p>
      <w:pPr>
        <w:jc w:val="both"/>
        <w:ind w:left="560" w:firstLine="651"/>
        <w:spacing w:after="0" w:line="253" w:lineRule="auto"/>
        <w:tabs>
          <w:tab w:leader="none" w:pos="1736"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certificate, in form and substance reasonably acceptable to Buyer and meeting the requirements of Treasury Regulation Section 1.1445-2(b)(2), duly executed by Seller, to the effect that Seller is not a “foreign person” within the meaning of Section 1445 of the Code; and</w:t>
      </w:r>
    </w:p>
    <w:p>
      <w:pPr>
        <w:spacing w:after="0" w:line="185" w:lineRule="exact"/>
        <w:rPr>
          <w:rFonts w:ascii="Arial" w:cs="Arial" w:eastAsia="Arial" w:hAnsi="Arial"/>
          <w:sz w:val="22"/>
          <w:szCs w:val="22"/>
          <w:color w:val="auto"/>
        </w:rPr>
      </w:pPr>
    </w:p>
    <w:p>
      <w:pPr>
        <w:jc w:val="both"/>
        <w:ind w:left="560" w:firstLine="651"/>
        <w:spacing w:after="0" w:line="294" w:lineRule="auto"/>
        <w:tabs>
          <w:tab w:leader="none" w:pos="1667" w:val="left"/>
        </w:tabs>
        <w:numPr>
          <w:ilvl w:val="0"/>
          <w:numId w:val="86"/>
        </w:numPr>
        <w:rPr>
          <w:rFonts w:ascii="Arial" w:cs="Arial" w:eastAsia="Arial" w:hAnsi="Arial"/>
          <w:sz w:val="19"/>
          <w:szCs w:val="19"/>
          <w:color w:val="auto"/>
        </w:rPr>
      </w:pPr>
      <w:r>
        <w:rPr>
          <w:rFonts w:ascii="Arial" w:cs="Arial" w:eastAsia="Arial" w:hAnsi="Arial"/>
          <w:sz w:val="19"/>
          <w:szCs w:val="19"/>
          <w:color w:val="auto"/>
        </w:rPr>
        <w:t>such other agreements, documents, instruments, and writings as are required to be delivered by Seller on or prior to the Closing Date pursuant to this Agreement or as may reasonably be required by Buyer to consummate the transactions contemplated hereby, including all affidavits, statements, declarations, forms and other documents and instruments required by applicable Law to transfer real property and interests in real property or to record deeds, assignments and other transfer documentation relating to real property or interests in real property, duly executed (and acknowledged, if appropriate) by Seller or such other party as may be required.</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Buyer’s Closing Deliveries</w:t>
      </w:r>
      <w:r>
        <w:rPr>
          <w:rFonts w:ascii="Arial" w:cs="Arial" w:eastAsia="Arial" w:hAnsi="Arial"/>
          <w:sz w:val="22"/>
          <w:szCs w:val="22"/>
          <w:color w:val="auto"/>
        </w:rPr>
        <w:t>. At or prior to the Closing, Buyer will deliver the following to Seller:</w:t>
      </w:r>
    </w:p>
    <w:p>
      <w:pPr>
        <w:spacing w:after="0" w:line="220" w:lineRule="exact"/>
        <w:rPr>
          <w:sz w:val="20"/>
          <w:szCs w:val="20"/>
          <w:color w:val="auto"/>
        </w:rPr>
      </w:pPr>
    </w:p>
    <w:p>
      <w:pPr>
        <w:ind w:left="1660" w:hanging="449"/>
        <w:spacing w:after="0"/>
        <w:tabs>
          <w:tab w:leader="none" w:pos="1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the certificate contemplated by </w:t>
      </w:r>
      <w:r>
        <w:rPr>
          <w:rFonts w:ascii="Arial" w:cs="Arial" w:eastAsia="Arial" w:hAnsi="Arial"/>
          <w:sz w:val="22"/>
          <w:szCs w:val="22"/>
          <w:u w:val="single" w:color="auto"/>
          <w:color w:val="auto"/>
        </w:rPr>
        <w:t>Section 8.3(c)</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560" w:right="20" w:firstLine="651"/>
        <w:spacing w:after="0" w:line="263" w:lineRule="auto"/>
        <w:tabs>
          <w:tab w:leader="none" w:pos="1712"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the Insurance Policy, duly executed by Buyer and the insurer(s), in such form and with such terms as specified in </w:t>
      </w:r>
      <w:r>
        <w:rPr>
          <w:rFonts w:ascii="Arial" w:cs="Arial" w:eastAsia="Arial" w:hAnsi="Arial"/>
          <w:sz w:val="22"/>
          <w:szCs w:val="22"/>
          <w:u w:val="single" w:color="auto"/>
          <w:color w:val="auto"/>
        </w:rPr>
        <w:t>Section 7.12(b)</w:t>
      </w:r>
      <w:r>
        <w:rPr>
          <w:rFonts w:ascii="Arial" w:cs="Arial" w:eastAsia="Arial" w:hAnsi="Arial"/>
          <w:sz w:val="22"/>
          <w:szCs w:val="22"/>
          <w:color w:val="auto"/>
        </w:rPr>
        <w:t xml:space="preserve"> and paid in full by Buyer as of the time of delivery;</w:t>
      </w:r>
    </w:p>
    <w:p>
      <w:pPr>
        <w:spacing w:after="0" w:line="174" w:lineRule="exact"/>
        <w:rPr>
          <w:rFonts w:ascii="Arial" w:cs="Arial" w:eastAsia="Arial" w:hAnsi="Arial"/>
          <w:sz w:val="22"/>
          <w:szCs w:val="22"/>
          <w:color w:val="auto"/>
        </w:rPr>
      </w:pPr>
    </w:p>
    <w:p>
      <w:pPr>
        <w:ind w:left="1660" w:hanging="449"/>
        <w:spacing w:after="0"/>
        <w:tabs>
          <w:tab w:leader="none" w:pos="1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Bill of Sale, duly executed by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580"/>
          </w:cols>
          <w:pgMar w:left="980" w:top="1428" w:right="339" w:bottom="1440" w:gutter="0" w:footer="0" w:header="0"/>
        </w:sectPr>
      </w:pPr>
    </w:p>
    <w:bookmarkStart w:id="124" w:name="page125"/>
    <w:bookmarkEnd w:id="124"/>
    <w:p>
      <w:pPr>
        <w:ind w:left="2340" w:hanging="469"/>
        <w:spacing w:after="0"/>
        <w:tabs>
          <w:tab w:leader="none" w:pos="23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Assignment and Assumption Agreements, duly executed by Buyer;</w:t>
      </w:r>
    </w:p>
    <w:p>
      <w:pPr>
        <w:spacing w:after="0" w:line="219" w:lineRule="exact"/>
        <w:rPr>
          <w:rFonts w:ascii="Arial" w:cs="Arial" w:eastAsia="Arial" w:hAnsi="Arial"/>
          <w:sz w:val="22"/>
          <w:szCs w:val="22"/>
          <w:color w:val="auto"/>
        </w:rPr>
      </w:pPr>
    </w:p>
    <w:p>
      <w:pPr>
        <w:ind w:left="1220" w:firstLine="651"/>
        <w:spacing w:after="0" w:line="263" w:lineRule="auto"/>
        <w:tabs>
          <w:tab w:leader="none" w:pos="2472"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Assignments of Easements and Assignments of Lease, duly executed (and acknowledged, as applicable) by Buyer;</w:t>
      </w:r>
    </w:p>
    <w:p>
      <w:pPr>
        <w:spacing w:after="0" w:line="174" w:lineRule="exact"/>
        <w:rPr>
          <w:rFonts w:ascii="Arial" w:cs="Arial" w:eastAsia="Arial" w:hAnsi="Arial"/>
          <w:sz w:val="22"/>
          <w:szCs w:val="22"/>
          <w:color w:val="auto"/>
        </w:rPr>
      </w:pPr>
    </w:p>
    <w:p>
      <w:pPr>
        <w:ind w:left="2300" w:hanging="429"/>
        <w:spacing w:after="0"/>
        <w:tabs>
          <w:tab w:leader="none" w:pos="23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Buyer;</w:t>
      </w:r>
    </w:p>
    <w:p>
      <w:pPr>
        <w:spacing w:after="0" w:line="219" w:lineRule="exact"/>
        <w:rPr>
          <w:rFonts w:ascii="Arial" w:cs="Arial" w:eastAsia="Arial" w:hAnsi="Arial"/>
          <w:sz w:val="22"/>
          <w:szCs w:val="22"/>
          <w:color w:val="auto"/>
        </w:rPr>
      </w:pPr>
    </w:p>
    <w:p>
      <w:pPr>
        <w:ind w:left="1220" w:firstLine="651"/>
        <w:spacing w:after="0" w:line="343" w:lineRule="auto"/>
        <w:tabs>
          <w:tab w:leader="none" w:pos="2469" w:val="left"/>
        </w:tabs>
        <w:numPr>
          <w:ilvl w:val="0"/>
          <w:numId w:val="88"/>
        </w:numPr>
        <w:rPr>
          <w:rFonts w:ascii="Arial" w:cs="Arial" w:eastAsia="Arial" w:hAnsi="Arial"/>
          <w:sz w:val="19"/>
          <w:szCs w:val="19"/>
          <w:color w:val="auto"/>
        </w:rPr>
      </w:pPr>
      <w:r>
        <w:rPr>
          <w:rFonts w:ascii="Arial" w:cs="Arial" w:eastAsia="Arial" w:hAnsi="Arial"/>
          <w:sz w:val="19"/>
          <w:szCs w:val="19"/>
          <w:color w:val="auto"/>
        </w:rPr>
        <w:t>all such other documents, instruments, and undertakings as are reasonably requested by Seller in connection with the assumption by Buyer of the Assumed Obligations in accordance with this Agreement;</w:t>
      </w:r>
    </w:p>
    <w:p>
      <w:pPr>
        <w:spacing w:after="0" w:line="104" w:lineRule="exact"/>
        <w:rPr>
          <w:rFonts w:ascii="Arial" w:cs="Arial" w:eastAsia="Arial" w:hAnsi="Arial"/>
          <w:sz w:val="19"/>
          <w:szCs w:val="19"/>
          <w:color w:val="auto"/>
        </w:rPr>
      </w:pPr>
    </w:p>
    <w:p>
      <w:pPr>
        <w:ind w:left="1220" w:firstLine="651"/>
        <w:spacing w:after="0" w:line="263" w:lineRule="auto"/>
        <w:tabs>
          <w:tab w:leader="none" w:pos="2344" w:val="left"/>
        </w:tabs>
        <w:numPr>
          <w:ilvl w:val="0"/>
          <w:numId w:val="88"/>
        </w:numPr>
        <w:rPr>
          <w:rFonts w:ascii="Arial" w:cs="Arial" w:eastAsia="Arial" w:hAnsi="Arial"/>
          <w:sz w:val="22"/>
          <w:szCs w:val="22"/>
          <w:color w:val="auto"/>
        </w:rPr>
      </w:pPr>
      <w:r>
        <w:rPr>
          <w:rFonts w:ascii="Arial" w:cs="Arial" w:eastAsia="Arial" w:hAnsi="Arial"/>
          <w:sz w:val="22"/>
          <w:szCs w:val="22"/>
          <w:color w:val="auto"/>
        </w:rPr>
        <w:t>all required consents, waivers, or approvals as obtained by Buyer from third parties in connection with this Agreement; and</w:t>
      </w:r>
    </w:p>
    <w:p>
      <w:pPr>
        <w:spacing w:after="0" w:line="174" w:lineRule="exact"/>
        <w:rPr>
          <w:rFonts w:ascii="Arial" w:cs="Arial" w:eastAsia="Arial" w:hAnsi="Arial"/>
          <w:sz w:val="22"/>
          <w:szCs w:val="22"/>
          <w:color w:val="auto"/>
        </w:rPr>
      </w:pPr>
    </w:p>
    <w:p>
      <w:pPr>
        <w:jc w:val="both"/>
        <w:ind w:left="1220" w:firstLine="651"/>
        <w:spacing w:after="0" w:line="253" w:lineRule="auto"/>
        <w:tabs>
          <w:tab w:leader="none" w:pos="2333" w:val="left"/>
        </w:tabs>
        <w:numPr>
          <w:ilvl w:val="0"/>
          <w:numId w:val="88"/>
        </w:numPr>
        <w:rPr>
          <w:rFonts w:ascii="Arial" w:cs="Arial" w:eastAsia="Arial" w:hAnsi="Arial"/>
          <w:sz w:val="22"/>
          <w:szCs w:val="22"/>
          <w:color w:val="auto"/>
        </w:rPr>
      </w:pPr>
      <w:r>
        <w:rPr>
          <w:rFonts w:ascii="Arial" w:cs="Arial" w:eastAsia="Arial" w:hAnsi="Arial"/>
          <w:sz w:val="22"/>
          <w:szCs w:val="22"/>
          <w:color w:val="auto"/>
        </w:rPr>
        <w:t>such other agreements, documents, instruments and writings as are required to be delivered by Buyer on or prior to the Closing Date pursuant to this Agreement or as may reasonably be required by Seller to consummate the transactions contemplated hereby.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as set forth in the Seller Disclosure Schedules, Seller hereby represents and warrants to Buyer, as of the date hereof and, except to the extent expressly made only as of an earlier date, as of the Closing:</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Organization and Good Standing</w:t>
      </w:r>
      <w:r>
        <w:rPr>
          <w:rFonts w:ascii="Arial" w:cs="Arial" w:eastAsia="Arial" w:hAnsi="Arial"/>
          <w:sz w:val="21"/>
          <w:szCs w:val="21"/>
          <w:color w:val="auto"/>
        </w:rPr>
        <w:t>. Seller is a corporation duly organized, validly existing, and in good standing under the laws of the State of Delaware and has all requisite corporate power and authority to own, lease, and operate the Purchased Assets and to carry on the Business as presently conducted. Seller is duly qualified or licensed to do business as a foreign corporation and is in good standing in each jurisdiction in which the conduct of the Business, or the ownership or operation of any Purchased Assets, by Seller makes such qualification necessary, except, in each case, for any such failures that would not, individually or in the aggregate, have a Material Adverse Effect.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u w:val="single" w:color="auto"/>
          <w:color w:val="auto"/>
        </w:rPr>
        <w:t>Authority and Enforceability</w:t>
      </w:r>
      <w:r>
        <w:rPr>
          <w:rFonts w:ascii="Arial" w:cs="Arial" w:eastAsia="Arial" w:hAnsi="Arial"/>
          <w:sz w:val="21"/>
          <w:szCs w:val="21"/>
          <w:color w:val="auto"/>
        </w:rPr>
        <w:t>. Seller has all corporate power and authority necessary to execute and deliver, and to perform its obligations under, and, subject to the satisfaction of the closing conditions, to consummate the transactions contemplated by, this Agreement and the Ancillary Agreements. The execution, delivery and performance by Seller of this Agreement and the Ancillary Agreements and the consummation of the transactions contemplated hereby and thereby have been duly and validly authorized by the sole director of Seller, and no other corporate proceedings on the part of Seller are necessary to authorize this Agreement or any Ancillary Agreement or to consummate the transactions contemplated hereby or thereby. This Agreement has been duly and validly executed and delivered by Seller, and, assuming this Agreement constitutes the legal, valid and binding agreement of Buyer,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125" w:name="page126"/>
    <w:bookmarkEnd w:id="125"/>
    <w:p>
      <w:pPr>
        <w:jc w:val="both"/>
        <w:spacing w:after="0" w:line="290" w:lineRule="auto"/>
        <w:rPr>
          <w:sz w:val="20"/>
          <w:szCs w:val="20"/>
          <w:color w:val="auto"/>
        </w:rPr>
      </w:pPr>
      <w:r>
        <w:rPr>
          <w:rFonts w:ascii="Arial" w:cs="Arial" w:eastAsia="Arial" w:hAnsi="Arial"/>
          <w:sz w:val="19"/>
          <w:szCs w:val="19"/>
          <w:color w:val="auto"/>
        </w:rPr>
        <w:t>Agreement constitutes a valid and binding agreement of Seller, enforceable against Seller in accordance with its terms, except as such enforceability may be limited by applicable bankruptcy, insolvency, reorganization, fraudulent conveyance, moratorium, or other similar Laws affecting or relating to enforcement of creditors’ rights generally or general principles of equity. At the Closing, each Ancillary Agreement to which Seller is contemplated to be a party will be duly and validly executed and delivered by Seller and, assuming such Ancillary Agreement constitutes the legal, valid and binding agreement of the other parties thereto, will constitute a valid and binding agreement of Seller, enforceable against Seller in accordance with its terms, except as such enforceability may be limited by applicable bankruptcy, insolvency, reorganization, fraudulent conveyance, moratorium, or other similar Laws affecting or relating to enforcement of creditors’ rights generally or general principles of equity.</w:t>
      </w:r>
    </w:p>
    <w:p>
      <w:pPr>
        <w:spacing w:after="0" w:line="15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No Conflicts; Consents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5.3</w:t>
      </w:r>
      <w:r>
        <w:rPr>
          <w:rFonts w:ascii="Arial" w:cs="Arial" w:eastAsia="Arial" w:hAnsi="Arial"/>
          <w:sz w:val="22"/>
          <w:szCs w:val="22"/>
          <w:color w:val="auto"/>
        </w:rPr>
        <w:t>, none of the execution, delivery and performance by Seller of this Agreement or any Ancillary Agreement, nor the consummation of the transactions contemplated hereby or thereby, will:</w:t>
      </w:r>
    </w:p>
    <w:p>
      <w:pPr>
        <w:spacing w:after="0" w:line="185" w:lineRule="exact"/>
        <w:rPr>
          <w:sz w:val="20"/>
          <w:szCs w:val="20"/>
          <w:color w:val="auto"/>
        </w:rPr>
      </w:pPr>
    </w:p>
    <w:p>
      <w:pPr>
        <w:ind w:left="2320" w:hanging="449"/>
        <w:spacing w:after="0"/>
        <w:tabs>
          <w:tab w:leader="none" w:pos="23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violate or conflict with any of Seller’s Governing Documents in any material respect;</w:t>
      </w:r>
    </w:p>
    <w:p>
      <w:pPr>
        <w:spacing w:after="0" w:line="219" w:lineRule="exact"/>
        <w:rPr>
          <w:rFonts w:ascii="Arial" w:cs="Arial" w:eastAsia="Arial" w:hAnsi="Arial"/>
          <w:sz w:val="22"/>
          <w:szCs w:val="22"/>
          <w:color w:val="auto"/>
        </w:rPr>
      </w:pPr>
    </w:p>
    <w:p>
      <w:pPr>
        <w:jc w:val="both"/>
        <w:ind w:left="1220" w:firstLine="651"/>
        <w:spacing w:after="0" w:line="248" w:lineRule="auto"/>
        <w:tabs>
          <w:tab w:leader="none" w:pos="2356" w:val="left"/>
        </w:tabs>
        <w:numPr>
          <w:ilvl w:val="0"/>
          <w:numId w:val="89"/>
        </w:numPr>
        <w:rPr>
          <w:rFonts w:ascii="Arial" w:cs="Arial" w:eastAsia="Arial" w:hAnsi="Arial"/>
          <w:sz w:val="22"/>
          <w:szCs w:val="22"/>
          <w:color w:val="auto"/>
        </w:rPr>
      </w:pPr>
      <w:r>
        <w:rPr>
          <w:rFonts w:ascii="Arial" w:cs="Arial" w:eastAsia="Arial" w:hAnsi="Arial"/>
          <w:sz w:val="22"/>
          <w:szCs w:val="22"/>
          <w:color w:val="auto"/>
        </w:rPr>
        <w:t>assuming that all of the Required Regulatory Approvals have been made or obtained, violate any Law or Order applicable to Seller or any of the Purchased Assets, except for any such violations of Law or Order that (i) would not reasonably be expected to materially and adversely affect Buyer’s operation of the Business or use of the Purchased Assets in the manner currently used or (ii) arise as a result of any facts or circumstances relating particularly to Buyer or any of its Affiliates;</w:t>
      </w:r>
    </w:p>
    <w:p>
      <w:pPr>
        <w:spacing w:after="0" w:line="191" w:lineRule="exact"/>
        <w:rPr>
          <w:rFonts w:ascii="Arial" w:cs="Arial" w:eastAsia="Arial" w:hAnsi="Arial"/>
          <w:sz w:val="22"/>
          <w:szCs w:val="22"/>
          <w:color w:val="auto"/>
        </w:rPr>
      </w:pPr>
    </w:p>
    <w:p>
      <w:pPr>
        <w:jc w:val="both"/>
        <w:ind w:left="1220" w:firstLine="651"/>
        <w:spacing w:after="0" w:line="259" w:lineRule="auto"/>
        <w:tabs>
          <w:tab w:leader="none" w:pos="2343" w:val="left"/>
        </w:tabs>
        <w:numPr>
          <w:ilvl w:val="0"/>
          <w:numId w:val="89"/>
        </w:numPr>
        <w:rPr>
          <w:rFonts w:ascii="Arial" w:cs="Arial" w:eastAsia="Arial" w:hAnsi="Arial"/>
          <w:sz w:val="21"/>
          <w:szCs w:val="21"/>
          <w:color w:val="auto"/>
        </w:rPr>
      </w:pPr>
      <w:r>
        <w:rPr>
          <w:rFonts w:ascii="Arial" w:cs="Arial" w:eastAsia="Arial" w:hAnsi="Arial"/>
          <w:sz w:val="21"/>
          <w:szCs w:val="21"/>
          <w:color w:val="auto"/>
        </w:rPr>
        <w:t>other than the Required Regulatory Approvals, require any declaration, filing, or registration by Seller or any of its Affiliates with, or notice by Seller or any of its Affiliates to, or authorization, consent, or approval with respect to Seller or any of its Affiliates of, any Governmental Entity, except for any such declarations, filings, registrations, notices, authorizations, consents, or approvals (i) with the SEC under the Exchange Act as may be required in connection with this Agreement and the transactions contemplated hereby; (ii) the failure of which to obtain or make would not reasonably be expected to materially and adversely affect Buyer’s operation of the Business or use of the Purchased Assets in the manner currently used; or (iii) that arise as a result of any facts or circumstances relating to Buyer or any of its Affiliates; or</w:t>
      </w:r>
    </w:p>
    <w:p>
      <w:pPr>
        <w:spacing w:after="0" w:line="183" w:lineRule="exact"/>
        <w:rPr>
          <w:rFonts w:ascii="Arial" w:cs="Arial" w:eastAsia="Arial" w:hAnsi="Arial"/>
          <w:sz w:val="21"/>
          <w:szCs w:val="21"/>
          <w:color w:val="auto"/>
        </w:rPr>
      </w:pPr>
    </w:p>
    <w:p>
      <w:pPr>
        <w:jc w:val="both"/>
        <w:ind w:left="1220" w:firstLine="651"/>
        <w:spacing w:after="0" w:line="297" w:lineRule="auto"/>
        <w:tabs>
          <w:tab w:leader="none" w:pos="2356" w:val="left"/>
        </w:tabs>
        <w:numPr>
          <w:ilvl w:val="0"/>
          <w:numId w:val="89"/>
        </w:numPr>
        <w:rPr>
          <w:rFonts w:ascii="Arial" w:cs="Arial" w:eastAsia="Arial" w:hAnsi="Arial"/>
          <w:sz w:val="19"/>
          <w:szCs w:val="19"/>
          <w:color w:val="auto"/>
        </w:rPr>
      </w:pPr>
      <w:r>
        <w:rPr>
          <w:rFonts w:ascii="Arial" w:cs="Arial" w:eastAsia="Arial" w:hAnsi="Arial"/>
          <w:sz w:val="19"/>
          <w:szCs w:val="19"/>
          <w:color w:val="auto"/>
        </w:rPr>
        <w:t>assuming that all of the Required Regulatory Approvals have been made or obtained, violate any Law or Order applicable to Seller or any of the Purchased Assets, violate, conflict with, result in a breach of, require any consent or approval of, or (with or without notice or lapse of time or both) constitute a default, give rise to any right of modification, acceleration, payment, cancellation or termination, or result in the creation or imposition of any Encumbrance (other than a Permitted Encumbrance) upon any of the Purchased Assets (i) 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126" w:name="page127"/>
    <w:bookmarkEnd w:id="126"/>
    <w:p>
      <w:pPr>
        <w:jc w:val="both"/>
        <w:ind w:left="1220"/>
        <w:spacing w:after="0" w:line="250" w:lineRule="auto"/>
        <w:rPr>
          <w:sz w:val="20"/>
          <w:szCs w:val="20"/>
          <w:color w:val="auto"/>
        </w:rPr>
      </w:pPr>
      <w:r>
        <w:rPr>
          <w:rFonts w:ascii="Arial" w:cs="Arial" w:eastAsia="Arial" w:hAnsi="Arial"/>
          <w:sz w:val="22"/>
          <w:szCs w:val="22"/>
          <w:color w:val="auto"/>
        </w:rPr>
        <w:t>pursuant to any Permit or Environmental Permit, or (ii) under or pursuant to any Material Contract, except for any such violations, conflicts, breaches, consents, approvals, defaults or other occurrences that would not have a Material Adverse Effect; or (iii) that arise solely as a result of any action or inaction of Buyer or any of its Affiliates.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Governmental Filings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5.4</w:t>
      </w:r>
      <w:r>
        <w:rPr>
          <w:rFonts w:ascii="Arial" w:cs="Arial" w:eastAsia="Arial" w:hAnsi="Arial"/>
          <w:sz w:val="19"/>
          <w:szCs w:val="19"/>
          <w:color w:val="auto"/>
        </w:rPr>
        <w:t>, since January 1, 2018, to Seller’s Knowledge, Seller has filed or caused to be filed with the Applicable Commission and FERC all material forms, statements, reports, and documents (including all exhibits, amendments, and supplements thereto) required by Law or Order to be filed by Seller with the Applicable Commission or FERC with respect to the Business, the Purchased Assets, or the Assumed Obligations. As of the respective dates on which such forms, statements, reports, and documents were filed (but giving effect to any subsequent amendment thereof prior to the date hereof), each complied in all material respects with all requirements of any Law or Order applicable thereto in effect on such date and were true and correct in all material respects, except for filings the failure of which to make or the failure of which to make in compliance with all applicable requirements of the applicable statute and the rules and regulations thereunder have not had a material and adverse effect on Seller’s operation of the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Financial Information</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87" w:lineRule="auto"/>
        <w:tabs>
          <w:tab w:leader="none" w:pos="2324"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Schedule 5.5(a)</w:t>
      </w:r>
      <w:r>
        <w:rPr>
          <w:rFonts w:ascii="Arial" w:cs="Arial" w:eastAsia="Arial" w:hAnsi="Arial"/>
          <w:sz w:val="19"/>
          <w:szCs w:val="19"/>
          <w:color w:val="auto"/>
        </w:rPr>
        <w:t xml:space="preserve"> sets forth the balance sheet of each of (i) the Arkansas Business and (ii) the Oklahoma Business as of December 31, 2019 and 2020 (the “</w:t>
      </w:r>
      <w:r>
        <w:rPr>
          <w:rFonts w:ascii="Arial" w:cs="Arial" w:eastAsia="Arial" w:hAnsi="Arial"/>
          <w:sz w:val="19"/>
          <w:szCs w:val="19"/>
          <w:u w:val="single" w:color="auto"/>
          <w:color w:val="auto"/>
        </w:rPr>
        <w:t>Balance Sheets</w:t>
      </w:r>
      <w:r>
        <w:rPr>
          <w:rFonts w:ascii="Arial" w:cs="Arial" w:eastAsia="Arial" w:hAnsi="Arial"/>
          <w:sz w:val="19"/>
          <w:szCs w:val="19"/>
          <w:color w:val="auto"/>
        </w:rPr>
        <w:t>”) and the income statements for each of (i) the Arkansas Business and (ii) the Oklahoma Business for the 12-month periods ended December 31, 2019 and 2020 (the “</w:t>
      </w:r>
      <w:r>
        <w:rPr>
          <w:rFonts w:ascii="Arial" w:cs="Arial" w:eastAsia="Arial" w:hAnsi="Arial"/>
          <w:sz w:val="19"/>
          <w:szCs w:val="19"/>
          <w:u w:val="single" w:color="auto"/>
          <w:color w:val="auto"/>
        </w:rPr>
        <w:t>Income Statements</w:t>
      </w:r>
      <w:r>
        <w:rPr>
          <w:rFonts w:ascii="Arial" w:cs="Arial" w:eastAsia="Arial" w:hAnsi="Arial"/>
          <w:sz w:val="19"/>
          <w:szCs w:val="19"/>
          <w:color w:val="auto"/>
        </w:rPr>
        <w:t xml:space="preserve">”). Each Balance Sheet and each Income Statement was prepared in accordance with principles used in the preparation of the financial statements of the applicable state-specific division in connection with the submission of such financial statements to the Applicable Commission (except that with respect to items disclosed on </w:t>
      </w:r>
      <w:r>
        <w:rPr>
          <w:rFonts w:ascii="Arial" w:cs="Arial" w:eastAsia="Arial" w:hAnsi="Arial"/>
          <w:sz w:val="19"/>
          <w:szCs w:val="19"/>
          <w:u w:val="single" w:color="auto"/>
          <w:color w:val="auto"/>
        </w:rPr>
        <w:t>Schedule 5.5(a)</w:t>
      </w:r>
      <w:r>
        <w:rPr>
          <w:rFonts w:ascii="Arial" w:cs="Arial" w:eastAsia="Arial" w:hAnsi="Arial"/>
          <w:sz w:val="19"/>
          <w:szCs w:val="19"/>
          <w:color w:val="auto"/>
        </w:rPr>
        <w:t xml:space="preserve"> that have been allocated by Seller to the Business), and fairly present, in all material respects, the financial condition and results of operation of the Arkansas Business and the Oklahoma Business as of the dates thereof or for the periods covered thereby. The Balance Sheets and Income Statements are based upon and consistent with information contained in the books and records of Seller kept in the Ordinary Course of Business (which books and records are true, correct and complete in all material respects).</w:t>
      </w:r>
    </w:p>
    <w:p>
      <w:pPr>
        <w:spacing w:after="0" w:line="163" w:lineRule="exact"/>
        <w:rPr>
          <w:rFonts w:ascii="Arial" w:cs="Arial" w:eastAsia="Arial" w:hAnsi="Arial"/>
          <w:sz w:val="19"/>
          <w:szCs w:val="19"/>
          <w:color w:val="auto"/>
        </w:rPr>
      </w:pPr>
    </w:p>
    <w:p>
      <w:pPr>
        <w:jc w:val="both"/>
        <w:ind w:left="1220" w:firstLine="651"/>
        <w:spacing w:after="0" w:line="297" w:lineRule="auto"/>
        <w:tabs>
          <w:tab w:leader="none" w:pos="2342"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5.5(b)</w:t>
      </w:r>
      <w:r>
        <w:rPr>
          <w:rFonts w:ascii="Arial" w:cs="Arial" w:eastAsia="Arial" w:hAnsi="Arial"/>
          <w:sz w:val="19"/>
          <w:szCs w:val="19"/>
          <w:color w:val="auto"/>
        </w:rPr>
        <w:t>, neither Seller nor any of its Affiliates have any Indebtedness or liability, absolute or contingent, related to the Purchased Assets, or the Business, other than liabilities, obligations or contingencies (i) that are adequately accrued or reserved against in the Balance Sheets and (ii) that were incurred in the Ordinary Course of Business since December 31, 2020 (none of which is a liability resulting from, arising out of, relating to, in the nature of, or caused by any breach of contract,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127" w:name="page128"/>
    <w:bookmarkEnd w:id="127"/>
    <w:p>
      <w:pPr>
        <w:ind w:left="1220"/>
        <w:spacing w:after="0"/>
        <w:rPr>
          <w:sz w:val="20"/>
          <w:szCs w:val="20"/>
          <w:color w:val="auto"/>
        </w:rPr>
      </w:pPr>
      <w:r>
        <w:rPr>
          <w:rFonts w:ascii="Arial" w:cs="Arial" w:eastAsia="Arial" w:hAnsi="Arial"/>
          <w:sz w:val="22"/>
          <w:szCs w:val="22"/>
          <w:color w:val="auto"/>
        </w:rPr>
        <w:t>warranty, tort, infringement, violation of law, environmental matter, claim or lawsuit).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Changes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5.6</w:t>
      </w:r>
      <w:r>
        <w:rPr>
          <w:rFonts w:ascii="Arial" w:cs="Arial" w:eastAsia="Arial" w:hAnsi="Arial"/>
          <w:sz w:val="19"/>
          <w:szCs w:val="19"/>
          <w:color w:val="auto"/>
        </w:rPr>
        <w:t>, since December 31, 2020, the Business has been operated, in all material respects, in the Ordinary Course of Business (except as otherwise contemplated by, or in preparation for the transactions contemplated by, this Agreement), and no change or event has occurred which, either individually or in the aggregate, has resulted, or with the passage of time, would reasonably be expected to result in a Material Adverse Effect.</w:t>
      </w:r>
    </w:p>
    <w:p>
      <w:pPr>
        <w:spacing w:after="0" w:line="1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Purchased Assets</w:t>
      </w:r>
      <w:r>
        <w:rPr>
          <w:rFonts w:ascii="Arial" w:cs="Arial" w:eastAsia="Arial" w:hAnsi="Arial"/>
          <w:sz w:val="19"/>
          <w:szCs w:val="19"/>
          <w:color w:val="auto"/>
        </w:rPr>
        <w:t xml:space="preserve">. Except for (i) Shared Contracts that are not Ongoing Shared Contracts or Shared Contract Rights, (ii) the assets and properties to which the Business will have continued access to or use of after the Closing Date pursuant to the Ancillary Agreements and (iii) as set forth in </w:t>
      </w:r>
      <w:r>
        <w:rPr>
          <w:rFonts w:ascii="Arial" w:cs="Arial" w:eastAsia="Arial" w:hAnsi="Arial"/>
          <w:sz w:val="19"/>
          <w:szCs w:val="19"/>
          <w:u w:val="single" w:color="auto"/>
          <w:color w:val="auto"/>
        </w:rPr>
        <w:t>Schedule 5.7</w:t>
      </w:r>
      <w:r>
        <w:rPr>
          <w:rFonts w:ascii="Arial" w:cs="Arial" w:eastAsia="Arial" w:hAnsi="Arial"/>
          <w:sz w:val="19"/>
          <w:szCs w:val="19"/>
          <w:color w:val="auto"/>
        </w:rPr>
        <w:t xml:space="preserve">, the Purchased Assets include no assets other than those relating to the Business and, together with the Excluded Assets identified in subsections (a) through (u) of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Buyer’s rights under this Agreement and the Ancillary Agreements, constitute all of the material tangible assets required by Seller for the conduct of the Business in substantially the same manner as currently conducted by Seller.</w:t>
      </w:r>
    </w:p>
    <w:p>
      <w:pPr>
        <w:spacing w:after="0" w:line="1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Title</w:t>
      </w:r>
      <w:r>
        <w:rPr>
          <w:rFonts w:ascii="Arial" w:cs="Arial" w:eastAsia="Arial" w:hAnsi="Arial"/>
          <w:sz w:val="19"/>
          <w:szCs w:val="19"/>
          <w:color w:val="auto"/>
        </w:rPr>
        <w:t xml:space="preserve">. Upon consummation of the transactions contemplated by this Agreement and receipt of all consents and approvals disclosed on </w:t>
      </w:r>
      <w:r>
        <w:rPr>
          <w:rFonts w:ascii="Arial" w:cs="Arial" w:eastAsia="Arial" w:hAnsi="Arial"/>
          <w:sz w:val="19"/>
          <w:szCs w:val="19"/>
          <w:u w:val="single" w:color="auto"/>
          <w:color w:val="auto"/>
        </w:rPr>
        <w:t>Schedule 5.3</w:t>
      </w:r>
      <w:r>
        <w:rPr>
          <w:rFonts w:ascii="Arial" w:cs="Arial" w:eastAsia="Arial" w:hAnsi="Arial"/>
          <w:sz w:val="19"/>
          <w:szCs w:val="19"/>
          <w:color w:val="auto"/>
        </w:rPr>
        <w:t>, Seller will have assigned, transferred and conveyed to Buyer good and transferable title to, or a valid leasehold interest in or valid right to use, the material tangible personal property included in the Purchased Assets, free and clear of all Encumbrances (other than Permitted Encumbrances), except as would not reasonably be expected to materially and adversely affect Buyer’s operation of the Business or use of the Purchased Assets in the manner currently used.</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u w:val="single" w:color="auto"/>
          <w:color w:val="auto"/>
        </w:rPr>
        <w:t>Regulatory Status</w:t>
      </w:r>
      <w:r>
        <w:rPr>
          <w:rFonts w:ascii="Arial" w:cs="Arial" w:eastAsia="Arial" w:hAnsi="Arial"/>
          <w:sz w:val="19"/>
          <w:szCs w:val="19"/>
          <w:color w:val="auto"/>
        </w:rPr>
        <w:t xml:space="preserve">. Except with respect to certain facilities that cross the Arkansas state border, which makes the Arkansas Business subject to FERC’s jurisdiction pursuant to Section 7(f) of the Natural Gas Act, 15. U.S.C. § 717(f) and </w:t>
      </w:r>
      <w:r>
        <w:rPr>
          <w:rFonts w:ascii="Arial" w:cs="Arial" w:eastAsia="Arial" w:hAnsi="Arial"/>
          <w:sz w:val="19"/>
          <w:szCs w:val="19"/>
          <w:i w:val="1"/>
          <w:iCs w:val="1"/>
          <w:color w:val="auto"/>
        </w:rPr>
        <w:t>CenterPoint Energy Resources Corporation</w:t>
      </w:r>
      <w:r>
        <w:rPr>
          <w:rFonts w:ascii="Arial" w:cs="Arial" w:eastAsia="Arial" w:hAnsi="Arial"/>
          <w:sz w:val="19"/>
          <w:szCs w:val="19"/>
          <w:color w:val="auto"/>
        </w:rPr>
        <w:t>, 168 FERC ¶ 62,011 (2019), Seller has not engaged in the transportation of natural</w:t>
      </w:r>
      <w:r>
        <w:rPr>
          <w:rFonts w:ascii="Arial" w:cs="Arial" w:eastAsia="Arial" w:hAnsi="Arial"/>
          <w:sz w:val="19"/>
          <w:szCs w:val="19"/>
          <w:i w:val="1"/>
          <w:iCs w:val="1"/>
          <w:color w:val="auto"/>
        </w:rPr>
        <w:t xml:space="preserve"> </w:t>
      </w:r>
      <w:r>
        <w:rPr>
          <w:rFonts w:ascii="Arial" w:cs="Arial" w:eastAsia="Arial" w:hAnsi="Arial"/>
          <w:sz w:val="19"/>
          <w:szCs w:val="19"/>
          <w:color w:val="auto"/>
        </w:rPr>
        <w:t>gas using the natural gas distribution facilities that are part of the Purchased Assets in a manner that is subject to FERC’s jurisdiction pursuant to Section 1(b) of the Natural Gas Act, 15 U.S.C. § 717(1)(b). To Seller’s Knowledge, no Claim is pending against Seller challenging the jurisdictional status of the Business under the Natural Gas Act.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Material Contracts</w:t>
      </w:r>
      <w:r>
        <w:rPr>
          <w:rFonts w:ascii="Arial" w:cs="Arial" w:eastAsia="Arial" w:hAnsi="Arial"/>
          <w:sz w:val="22"/>
          <w:szCs w:val="22"/>
          <w:color w:val="auto"/>
        </w:rPr>
        <w:t>.</w:t>
      </w:r>
    </w:p>
    <w:p>
      <w:pPr>
        <w:spacing w:after="0" w:line="220" w:lineRule="exact"/>
        <w:rPr>
          <w:sz w:val="20"/>
          <w:szCs w:val="20"/>
          <w:color w:val="auto"/>
        </w:rPr>
      </w:pPr>
    </w:p>
    <w:p>
      <w:pPr>
        <w:ind w:left="2320" w:hanging="449"/>
        <w:spacing w:after="0"/>
        <w:tabs>
          <w:tab w:leader="none" w:pos="232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Schedule 5.10(a)</w:t>
      </w:r>
      <w:r>
        <w:rPr>
          <w:rFonts w:ascii="Arial" w:cs="Arial" w:eastAsia="Arial" w:hAnsi="Arial"/>
          <w:sz w:val="22"/>
          <w:szCs w:val="22"/>
          <w:color w:val="auto"/>
        </w:rPr>
        <w:t xml:space="preserve"> lists all of the following Business Agreements (the “</w:t>
      </w:r>
      <w:r>
        <w:rPr>
          <w:rFonts w:ascii="Arial" w:cs="Arial" w:eastAsia="Arial" w:hAnsi="Arial"/>
          <w:sz w:val="22"/>
          <w:szCs w:val="22"/>
          <w:u w:val="single" w:color="auto"/>
          <w:color w:val="auto"/>
        </w:rPr>
        <w:t>Material Contracts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652"/>
        <w:spacing w:after="0" w:line="250" w:lineRule="auto"/>
        <w:tabs>
          <w:tab w:leader="none" w:pos="2411" w:val="left"/>
        </w:tabs>
        <w:numPr>
          <w:ilvl w:val="1"/>
          <w:numId w:val="91"/>
        </w:numPr>
        <w:rPr>
          <w:rFonts w:ascii="Arial" w:cs="Arial" w:eastAsia="Arial" w:hAnsi="Arial"/>
          <w:sz w:val="22"/>
          <w:szCs w:val="22"/>
          <w:color w:val="auto"/>
        </w:rPr>
      </w:pPr>
      <w:r>
        <w:rPr>
          <w:rFonts w:ascii="Arial" w:cs="Arial" w:eastAsia="Arial" w:hAnsi="Arial"/>
          <w:sz w:val="22"/>
          <w:szCs w:val="22"/>
          <w:color w:val="auto"/>
        </w:rPr>
        <w:t>(A) each agreement, ordinance, or other grant of any municipal, town or county franchise relating to the Business (the “</w:t>
      </w:r>
      <w:r>
        <w:rPr>
          <w:rFonts w:ascii="Arial" w:cs="Arial" w:eastAsia="Arial" w:hAnsi="Arial"/>
          <w:sz w:val="22"/>
          <w:szCs w:val="22"/>
          <w:u w:val="single" w:color="auto"/>
          <w:color w:val="auto"/>
        </w:rPr>
        <w:t>Franchises</w:t>
      </w:r>
      <w:r>
        <w:rPr>
          <w:rFonts w:ascii="Arial" w:cs="Arial" w:eastAsia="Arial" w:hAnsi="Arial"/>
          <w:sz w:val="22"/>
          <w:szCs w:val="22"/>
          <w:color w:val="auto"/>
        </w:rPr>
        <w:t>”), except for such Franchises, the absence of which would not, individually or in the aggregate, reasonably be expected to be material to the Business and (B) each agreement, agreement in principle, memorandum of understanding or option agreement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128" w:name="page129"/>
    <w:bookmarkEnd w:id="128"/>
    <w:p>
      <w:pPr>
        <w:ind w:left="180"/>
        <w:spacing w:after="0" w:line="263" w:lineRule="auto"/>
        <w:rPr>
          <w:sz w:val="20"/>
          <w:szCs w:val="20"/>
          <w:color w:val="auto"/>
        </w:rPr>
      </w:pPr>
      <w:r>
        <w:rPr>
          <w:rFonts w:ascii="Arial" w:cs="Arial" w:eastAsia="Arial" w:hAnsi="Arial"/>
          <w:sz w:val="22"/>
          <w:szCs w:val="22"/>
          <w:color w:val="auto"/>
        </w:rPr>
        <w:t>acquire or be granted, or to sell or relinquish, a Franchise that would result in the addition or loss of service territory for the Business;</w:t>
      </w:r>
    </w:p>
    <w:p>
      <w:pPr>
        <w:spacing w:after="0" w:line="175" w:lineRule="exact"/>
        <w:rPr>
          <w:sz w:val="20"/>
          <w:szCs w:val="20"/>
          <w:color w:val="auto"/>
        </w:rPr>
      </w:pPr>
    </w:p>
    <w:p>
      <w:pPr>
        <w:jc w:val="both"/>
        <w:ind w:left="180" w:firstLine="652"/>
        <w:spacing w:after="0" w:line="253" w:lineRule="auto"/>
        <w:tabs>
          <w:tab w:leader="none" w:pos="1451" w:val="left"/>
        </w:tabs>
        <w:numPr>
          <w:ilvl w:val="1"/>
          <w:numId w:val="92"/>
        </w:numPr>
        <w:rPr>
          <w:rFonts w:ascii="Arial" w:cs="Arial" w:eastAsia="Arial" w:hAnsi="Arial"/>
          <w:sz w:val="22"/>
          <w:szCs w:val="22"/>
          <w:color w:val="auto"/>
        </w:rPr>
      </w:pPr>
      <w:r>
        <w:rPr>
          <w:rFonts w:ascii="Arial" w:cs="Arial" w:eastAsia="Arial" w:hAnsi="Arial"/>
          <w:sz w:val="22"/>
          <w:szCs w:val="22"/>
          <w:color w:val="auto"/>
        </w:rPr>
        <w:t>all agreements between Seller and any of its Affiliates used primarily in or with respect to the Business, Purchased Assets or Assumed Obligations, including all such agreements for the provision of any commodities, goods, or services and/or related to the use of Intellectual Property;</w:t>
      </w:r>
    </w:p>
    <w:p>
      <w:pPr>
        <w:spacing w:after="0" w:line="185" w:lineRule="exact"/>
        <w:rPr>
          <w:rFonts w:ascii="Arial" w:cs="Arial" w:eastAsia="Arial" w:hAnsi="Arial"/>
          <w:sz w:val="22"/>
          <w:szCs w:val="22"/>
          <w:color w:val="auto"/>
        </w:rPr>
      </w:pPr>
    </w:p>
    <w:p>
      <w:pPr>
        <w:ind w:left="180" w:firstLine="652"/>
        <w:spacing w:after="0" w:line="287" w:lineRule="auto"/>
        <w:tabs>
          <w:tab w:leader="none" w:pos="1376" w:val="left"/>
        </w:tabs>
        <w:numPr>
          <w:ilvl w:val="1"/>
          <w:numId w:val="92"/>
        </w:numPr>
        <w:rPr>
          <w:rFonts w:ascii="Arial" w:cs="Arial" w:eastAsia="Arial" w:hAnsi="Arial"/>
          <w:sz w:val="21"/>
          <w:szCs w:val="21"/>
          <w:color w:val="auto"/>
        </w:rPr>
      </w:pPr>
      <w:r>
        <w:rPr>
          <w:rFonts w:ascii="Arial" w:cs="Arial" w:eastAsia="Arial" w:hAnsi="Arial"/>
          <w:sz w:val="21"/>
          <w:szCs w:val="21"/>
          <w:color w:val="auto"/>
        </w:rPr>
        <w:t>all agreements granting to any Person any right or option to purchase or otherwise acquire any of the Purchased Assets, including rights of first option, rights of first refusal or other preferential rights;</w:t>
      </w:r>
    </w:p>
    <w:p>
      <w:pPr>
        <w:spacing w:after="0" w:line="151" w:lineRule="exact"/>
        <w:rPr>
          <w:rFonts w:ascii="Arial" w:cs="Arial" w:eastAsia="Arial" w:hAnsi="Arial"/>
          <w:sz w:val="21"/>
          <w:szCs w:val="21"/>
          <w:color w:val="auto"/>
        </w:rPr>
      </w:pPr>
    </w:p>
    <w:p>
      <w:pPr>
        <w:jc w:val="both"/>
        <w:ind w:left="180" w:firstLine="652"/>
        <w:spacing w:after="0" w:line="291" w:lineRule="auto"/>
        <w:tabs>
          <w:tab w:leader="none" w:pos="1527" w:val="left"/>
        </w:tabs>
        <w:numPr>
          <w:ilvl w:val="1"/>
          <w:numId w:val="92"/>
        </w:numPr>
        <w:rPr>
          <w:rFonts w:ascii="Arial" w:cs="Arial" w:eastAsia="Arial" w:hAnsi="Arial"/>
          <w:sz w:val="19"/>
          <w:szCs w:val="19"/>
          <w:color w:val="auto"/>
        </w:rPr>
      </w:pPr>
      <w:r>
        <w:rPr>
          <w:rFonts w:ascii="Arial" w:cs="Arial" w:eastAsia="Arial" w:hAnsi="Arial"/>
          <w:sz w:val="19"/>
          <w:szCs w:val="19"/>
          <w:color w:val="auto"/>
        </w:rPr>
        <w:t>(A) all agreements between Seller and one or more Business Employees that provides for (I) employment other than on an at-will basis or (II) any retention, severance or change of control payment, and</w:t>
      </w:r>
    </w:p>
    <w:p>
      <w:pPr>
        <w:spacing w:after="0" w:line="1" w:lineRule="exact"/>
        <w:rPr>
          <w:rFonts w:ascii="Arial" w:cs="Arial" w:eastAsia="Arial" w:hAnsi="Arial"/>
          <w:sz w:val="19"/>
          <w:szCs w:val="19"/>
          <w:color w:val="auto"/>
        </w:rPr>
      </w:pPr>
    </w:p>
    <w:p>
      <w:pPr>
        <w:ind w:left="180" w:firstLine="4"/>
        <w:spacing w:after="0" w:line="269" w:lineRule="auto"/>
        <w:tabs>
          <w:tab w:leader="none" w:pos="522" w:val="left"/>
        </w:tabs>
        <w:numPr>
          <w:ilvl w:val="0"/>
          <w:numId w:val="93"/>
        </w:numPr>
        <w:rPr>
          <w:rFonts w:ascii="Arial" w:cs="Arial" w:eastAsia="Arial" w:hAnsi="Arial"/>
          <w:sz w:val="21"/>
          <w:szCs w:val="21"/>
          <w:color w:val="auto"/>
        </w:rPr>
      </w:pPr>
      <w:r>
        <w:rPr>
          <w:rFonts w:ascii="Arial" w:cs="Arial" w:eastAsia="Arial" w:hAnsi="Arial"/>
          <w:sz w:val="21"/>
          <w:szCs w:val="21"/>
          <w:color w:val="auto"/>
        </w:rPr>
        <w:t>all collective bargaining agreements or other agreements with any labor union, employees’ association or other employee representative of a group of Business Employees (“</w:t>
      </w:r>
      <w:r>
        <w:rPr>
          <w:rFonts w:ascii="Arial" w:cs="Arial" w:eastAsia="Arial" w:hAnsi="Arial"/>
          <w:sz w:val="21"/>
          <w:szCs w:val="21"/>
          <w:u w:val="single" w:color="auto"/>
          <w:color w:val="auto"/>
        </w:rPr>
        <w:t>Collective Bargaining Agreements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180" w:firstLine="652"/>
        <w:spacing w:after="0" w:line="248" w:lineRule="auto"/>
        <w:tabs>
          <w:tab w:leader="none" w:pos="1443" w:val="left"/>
        </w:tabs>
        <w:numPr>
          <w:ilvl w:val="1"/>
          <w:numId w:val="93"/>
        </w:numPr>
        <w:rPr>
          <w:rFonts w:ascii="Arial" w:cs="Arial" w:eastAsia="Arial" w:hAnsi="Arial"/>
          <w:sz w:val="22"/>
          <w:szCs w:val="22"/>
          <w:color w:val="auto"/>
        </w:rPr>
      </w:pPr>
      <w:r>
        <w:rPr>
          <w:rFonts w:ascii="Arial" w:cs="Arial" w:eastAsia="Arial" w:hAnsi="Arial"/>
          <w:sz w:val="22"/>
          <w:szCs w:val="22"/>
          <w:color w:val="auto"/>
        </w:rPr>
        <w:t>all leases, subleases, licenses or other agreements (which, for the avoidance of doubt, shall not include Purchased Easements) by which any right to use or occupy any interest in real property is granted by or to Seller and which require annual payments by Seller in excess of $500,000 except for such leases, subleases, licenses or other agreements, the existence or absence of which would not, individually or in the aggregate, reasonably be expected to have a Material Adverse Effect;</w:t>
      </w:r>
    </w:p>
    <w:p>
      <w:pPr>
        <w:spacing w:after="0" w:line="191" w:lineRule="exact"/>
        <w:rPr>
          <w:rFonts w:ascii="Arial" w:cs="Arial" w:eastAsia="Arial" w:hAnsi="Arial"/>
          <w:sz w:val="22"/>
          <w:szCs w:val="22"/>
          <w:color w:val="auto"/>
        </w:rPr>
      </w:pPr>
    </w:p>
    <w:p>
      <w:pPr>
        <w:ind w:left="180" w:firstLine="652"/>
        <w:spacing w:after="0" w:line="263" w:lineRule="auto"/>
        <w:tabs>
          <w:tab w:leader="none" w:pos="1359" w:val="left"/>
        </w:tabs>
        <w:numPr>
          <w:ilvl w:val="1"/>
          <w:numId w:val="93"/>
        </w:numPr>
        <w:rPr>
          <w:rFonts w:ascii="Arial" w:cs="Arial" w:eastAsia="Arial" w:hAnsi="Arial"/>
          <w:sz w:val="22"/>
          <w:szCs w:val="22"/>
          <w:color w:val="auto"/>
        </w:rPr>
      </w:pPr>
      <w:r>
        <w:rPr>
          <w:rFonts w:ascii="Arial" w:cs="Arial" w:eastAsia="Arial" w:hAnsi="Arial"/>
          <w:sz w:val="22"/>
          <w:szCs w:val="22"/>
          <w:color w:val="auto"/>
        </w:rPr>
        <w:t>all Business Agreements that individually involve anticipated or forecasted expenditures (whether by or to Seller) in excess of $5,000,000 in any year;</w:t>
      </w:r>
    </w:p>
    <w:p>
      <w:pPr>
        <w:spacing w:after="0" w:line="174" w:lineRule="exact"/>
        <w:rPr>
          <w:rFonts w:ascii="Arial" w:cs="Arial" w:eastAsia="Arial" w:hAnsi="Arial"/>
          <w:sz w:val="22"/>
          <w:szCs w:val="22"/>
          <w:color w:val="auto"/>
        </w:rPr>
      </w:pPr>
    </w:p>
    <w:p>
      <w:pPr>
        <w:ind w:left="1420" w:hanging="588"/>
        <w:spacing w:after="0"/>
        <w:tabs>
          <w:tab w:leader="none" w:pos="1420" w:val="left"/>
        </w:tabs>
        <w:numPr>
          <w:ilvl w:val="1"/>
          <w:numId w:val="93"/>
        </w:numPr>
        <w:rPr>
          <w:rFonts w:ascii="Arial" w:cs="Arial" w:eastAsia="Arial" w:hAnsi="Arial"/>
          <w:sz w:val="22"/>
          <w:szCs w:val="22"/>
          <w:color w:val="auto"/>
        </w:rPr>
      </w:pPr>
      <w:r>
        <w:rPr>
          <w:rFonts w:ascii="Arial" w:cs="Arial" w:eastAsia="Arial" w:hAnsi="Arial"/>
          <w:sz w:val="22"/>
          <w:szCs w:val="22"/>
          <w:color w:val="auto"/>
        </w:rPr>
        <w:t>all agreements for or relating to Indebtedness in excess of $2,000,000 in any one year;</w:t>
      </w:r>
    </w:p>
    <w:p>
      <w:pPr>
        <w:spacing w:after="0" w:line="219" w:lineRule="exact"/>
        <w:rPr>
          <w:rFonts w:ascii="Arial" w:cs="Arial" w:eastAsia="Arial" w:hAnsi="Arial"/>
          <w:sz w:val="22"/>
          <w:szCs w:val="22"/>
          <w:color w:val="auto"/>
        </w:rPr>
      </w:pPr>
    </w:p>
    <w:p>
      <w:pPr>
        <w:jc w:val="both"/>
        <w:ind w:left="180" w:firstLine="652"/>
        <w:spacing w:after="0" w:line="250" w:lineRule="auto"/>
        <w:tabs>
          <w:tab w:leader="none" w:pos="1497" w:val="left"/>
        </w:tabs>
        <w:numPr>
          <w:ilvl w:val="1"/>
          <w:numId w:val="93"/>
        </w:numPr>
        <w:rPr>
          <w:rFonts w:ascii="Arial" w:cs="Arial" w:eastAsia="Arial" w:hAnsi="Arial"/>
          <w:sz w:val="22"/>
          <w:szCs w:val="22"/>
          <w:color w:val="auto"/>
        </w:rPr>
      </w:pPr>
      <w:r>
        <w:rPr>
          <w:rFonts w:ascii="Arial" w:cs="Arial" w:eastAsia="Arial" w:hAnsi="Arial"/>
          <w:sz w:val="22"/>
          <w:szCs w:val="22"/>
          <w:color w:val="auto"/>
        </w:rPr>
        <w:t>all agreements providing for the extension of credit by Seller in excess of $10,000,000 in any year, other than (A) the extension of credit to vendors in the Ordinary Course of Business, and (B) normal employee advances and other customary extensions of credit in the Ordinary Course of Business that are not material in amount;</w:t>
      </w:r>
    </w:p>
    <w:p>
      <w:pPr>
        <w:spacing w:after="0" w:line="187" w:lineRule="exact"/>
        <w:rPr>
          <w:rFonts w:ascii="Arial" w:cs="Arial" w:eastAsia="Arial" w:hAnsi="Arial"/>
          <w:sz w:val="22"/>
          <w:szCs w:val="22"/>
          <w:color w:val="auto"/>
        </w:rPr>
      </w:pPr>
    </w:p>
    <w:p>
      <w:pPr>
        <w:jc w:val="both"/>
        <w:ind w:left="180" w:firstLine="652"/>
        <w:spacing w:after="0" w:line="253" w:lineRule="auto"/>
        <w:tabs>
          <w:tab w:leader="none" w:pos="1477" w:val="left"/>
        </w:tabs>
        <w:numPr>
          <w:ilvl w:val="1"/>
          <w:numId w:val="93"/>
        </w:numPr>
        <w:rPr>
          <w:rFonts w:ascii="Arial" w:cs="Arial" w:eastAsia="Arial" w:hAnsi="Arial"/>
          <w:sz w:val="22"/>
          <w:szCs w:val="22"/>
          <w:color w:val="auto"/>
        </w:rPr>
      </w:pPr>
      <w:r>
        <w:rPr>
          <w:rFonts w:ascii="Arial" w:cs="Arial" w:eastAsia="Arial" w:hAnsi="Arial"/>
          <w:sz w:val="22"/>
          <w:szCs w:val="22"/>
          <w:color w:val="auto"/>
        </w:rPr>
        <w:t>all futures contracts, option contracts or other agreements evidencing a derivative transaction or otherwise relating to the supply or price of natural gas for the Business that has a term longer than ninety (90) days and a notional value greater than $2,000,000;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120"/>
          </w:cols>
          <w:pgMar w:left="1440" w:top="1428" w:right="339" w:bottom="1440" w:gutter="0" w:footer="0" w:header="0"/>
        </w:sectPr>
      </w:pPr>
    </w:p>
    <w:bookmarkStart w:id="129" w:name="page130"/>
    <w:bookmarkEnd w:id="129"/>
    <w:p>
      <w:pPr>
        <w:ind w:left="180" w:firstLine="652"/>
        <w:spacing w:after="0" w:line="263" w:lineRule="auto"/>
        <w:tabs>
          <w:tab w:leader="none" w:pos="1336" w:val="left"/>
        </w:tabs>
        <w:numPr>
          <w:ilvl w:val="1"/>
          <w:numId w:val="94"/>
        </w:numPr>
        <w:rPr>
          <w:rFonts w:ascii="Arial" w:cs="Arial" w:eastAsia="Arial" w:hAnsi="Arial"/>
          <w:sz w:val="22"/>
          <w:szCs w:val="22"/>
          <w:color w:val="auto"/>
        </w:rPr>
      </w:pPr>
      <w:r>
        <w:rPr>
          <w:rFonts w:ascii="Arial" w:cs="Arial" w:eastAsia="Arial" w:hAnsi="Arial"/>
          <w:sz w:val="22"/>
          <w:szCs w:val="22"/>
          <w:color w:val="auto"/>
        </w:rPr>
        <w:t>all gas transportation or gas storage contract that is reasonably expected to result in future payments by the Business in excess of $2,000,000 in any one-year period;</w:t>
      </w:r>
    </w:p>
    <w:p>
      <w:pPr>
        <w:spacing w:after="0" w:line="174" w:lineRule="exact"/>
        <w:rPr>
          <w:rFonts w:ascii="Arial" w:cs="Arial" w:eastAsia="Arial" w:hAnsi="Arial"/>
          <w:sz w:val="22"/>
          <w:szCs w:val="22"/>
          <w:color w:val="auto"/>
        </w:rPr>
      </w:pPr>
    </w:p>
    <w:p>
      <w:pPr>
        <w:jc w:val="both"/>
        <w:ind w:left="180" w:right="20" w:firstLine="652"/>
        <w:spacing w:after="0" w:line="312" w:lineRule="auto"/>
        <w:tabs>
          <w:tab w:leader="none" w:pos="1433" w:val="left"/>
        </w:tabs>
        <w:numPr>
          <w:ilvl w:val="1"/>
          <w:numId w:val="94"/>
        </w:numPr>
        <w:rPr>
          <w:rFonts w:ascii="Arial" w:cs="Arial" w:eastAsia="Arial" w:hAnsi="Arial"/>
          <w:sz w:val="19"/>
          <w:szCs w:val="19"/>
          <w:color w:val="auto"/>
        </w:rPr>
      </w:pPr>
      <w:r>
        <w:rPr>
          <w:rFonts w:ascii="Arial" w:cs="Arial" w:eastAsia="Arial" w:hAnsi="Arial"/>
          <w:sz w:val="19"/>
          <w:szCs w:val="19"/>
          <w:color w:val="auto"/>
        </w:rPr>
        <w:t>all agreements that, upon or after the Closing, would limit the ability of Buyer or the Business to compete with any Person or in any line of business or geographic area, including any agreement that contains exclusivity or non-compete provisions and any agreement with non-solicitation or no-hire provisions;</w:t>
      </w:r>
    </w:p>
    <w:p>
      <w:pPr>
        <w:spacing w:after="0" w:line="133" w:lineRule="exact"/>
        <w:rPr>
          <w:rFonts w:ascii="Arial" w:cs="Arial" w:eastAsia="Arial" w:hAnsi="Arial"/>
          <w:sz w:val="19"/>
          <w:szCs w:val="19"/>
          <w:color w:val="auto"/>
        </w:rPr>
      </w:pPr>
    </w:p>
    <w:p>
      <w:pPr>
        <w:jc w:val="both"/>
        <w:ind w:left="180" w:firstLine="652"/>
        <w:spacing w:after="0" w:line="253" w:lineRule="auto"/>
        <w:tabs>
          <w:tab w:leader="none" w:pos="1575" w:val="left"/>
        </w:tabs>
        <w:numPr>
          <w:ilvl w:val="1"/>
          <w:numId w:val="94"/>
        </w:numPr>
        <w:rPr>
          <w:rFonts w:ascii="Arial" w:cs="Arial" w:eastAsia="Arial" w:hAnsi="Arial"/>
          <w:sz w:val="22"/>
          <w:szCs w:val="22"/>
          <w:color w:val="auto"/>
        </w:rPr>
      </w:pPr>
      <w:r>
        <w:rPr>
          <w:rFonts w:ascii="Arial" w:cs="Arial" w:eastAsia="Arial" w:hAnsi="Arial"/>
          <w:sz w:val="22"/>
          <w:szCs w:val="22"/>
          <w:color w:val="auto"/>
        </w:rPr>
        <w:t>all settlement, conciliation or similar agreement with any Governmental Entity relating to the Business, the Purchased Assets or the Assumed Obligations that will involve payment after the Effective Time of any amount; and</w:t>
      </w:r>
    </w:p>
    <w:p>
      <w:pPr>
        <w:spacing w:after="0" w:line="185" w:lineRule="exact"/>
        <w:rPr>
          <w:rFonts w:ascii="Arial" w:cs="Arial" w:eastAsia="Arial" w:hAnsi="Arial"/>
          <w:sz w:val="22"/>
          <w:szCs w:val="22"/>
          <w:color w:val="auto"/>
        </w:rPr>
      </w:pPr>
    </w:p>
    <w:p>
      <w:pPr>
        <w:jc w:val="both"/>
        <w:ind w:left="180" w:firstLine="652"/>
        <w:spacing w:after="0" w:line="253" w:lineRule="auto"/>
        <w:tabs>
          <w:tab w:leader="none" w:pos="1533" w:val="left"/>
        </w:tabs>
        <w:numPr>
          <w:ilvl w:val="1"/>
          <w:numId w:val="94"/>
        </w:numPr>
        <w:rPr>
          <w:rFonts w:ascii="Arial" w:cs="Arial" w:eastAsia="Arial" w:hAnsi="Arial"/>
          <w:sz w:val="22"/>
          <w:szCs w:val="22"/>
          <w:color w:val="auto"/>
        </w:rPr>
      </w:pPr>
      <w:r>
        <w:rPr>
          <w:rFonts w:ascii="Arial" w:cs="Arial" w:eastAsia="Arial" w:hAnsi="Arial"/>
          <w:sz w:val="22"/>
          <w:szCs w:val="22"/>
          <w:color w:val="auto"/>
        </w:rPr>
        <w:t>all partnership, joint venture and joint ownership agreements, and all similar material agreements (however named) relating to the Business, Purchased Assets or Assumed Obligations involving a sharing of assets, profits, losses, costs or liabilities.</w:t>
      </w:r>
    </w:p>
    <w:p>
      <w:pPr>
        <w:spacing w:after="0" w:line="185" w:lineRule="exact"/>
        <w:rPr>
          <w:rFonts w:ascii="Arial" w:cs="Arial" w:eastAsia="Arial" w:hAnsi="Arial"/>
          <w:sz w:val="22"/>
          <w:szCs w:val="22"/>
          <w:color w:val="auto"/>
        </w:rPr>
      </w:pPr>
    </w:p>
    <w:p>
      <w:pPr>
        <w:jc w:val="both"/>
        <w:ind w:left="100" w:firstLine="651"/>
        <w:spacing w:after="0" w:line="259" w:lineRule="auto"/>
        <w:tabs>
          <w:tab w:leader="none" w:pos="1273"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Except as set forth on Schedule 5.10(b)(i), Seller has made available to Buyer copies of all Material Contracts together with all material amendments, waivers, or other changes thereto, which are correct and complete in all material respects. Except as set forth on </w:t>
      </w:r>
      <w:r>
        <w:rPr>
          <w:rFonts w:ascii="Arial" w:cs="Arial" w:eastAsia="Arial" w:hAnsi="Arial"/>
          <w:sz w:val="21"/>
          <w:szCs w:val="21"/>
          <w:u w:val="single" w:color="auto"/>
          <w:color w:val="auto"/>
        </w:rPr>
        <w:t>Schedule 5.10(b)(ii)</w:t>
      </w:r>
      <w:r>
        <w:rPr>
          <w:rFonts w:ascii="Arial" w:cs="Arial" w:eastAsia="Arial" w:hAnsi="Arial"/>
          <w:sz w:val="21"/>
          <w:szCs w:val="21"/>
          <w:color w:val="auto"/>
        </w:rPr>
        <w:t>, (i) each Material Contract is a valid and binding obligation of Seller, enforceable against it in accordance with its terms, and, to Seller’s Knowledge, is a valid and binding obligation of each other party thereto, enforceable against it in accordance with its terms, in each case except as the same may be limited by bankruptcy, insolvency, reorganization, fraudulent conveyance, moratorium or similar Laws relating to creditors’ rights generally, and (ii) neither Seller nor, to Seller’s Knowledge, any other party thereto is (or, upon the passage of time or the giving of notice, or both, would be) in material default under or breach of any Material Contract.</w:t>
      </w:r>
    </w:p>
    <w:p>
      <w:pPr>
        <w:spacing w:after="0" w:line="179" w:lineRule="exact"/>
        <w:rPr>
          <w:rFonts w:ascii="Arial" w:cs="Arial" w:eastAsia="Arial" w:hAnsi="Arial"/>
          <w:sz w:val="21"/>
          <w:szCs w:val="21"/>
          <w:color w:val="auto"/>
        </w:rPr>
      </w:pPr>
    </w:p>
    <w:p>
      <w:pPr>
        <w:jc w:val="both"/>
        <w:ind w:left="100" w:firstLine="651"/>
        <w:spacing w:after="0" w:line="250" w:lineRule="auto"/>
        <w:tabs>
          <w:tab w:leader="none" w:pos="137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All agreements entered into or otherwise used by Seller for the purchase, supply, transmission, transportation, storage and delivery of natural gas or other energy commodities, or for the management of price or other risks associated therewith, in each case that relate exclusively to the Business, have been approved by or otherwise satisfy all requirements of the Applicable Commission.</w:t>
      </w:r>
    </w:p>
    <w:p>
      <w:pPr>
        <w:spacing w:after="0" w:line="187" w:lineRule="exact"/>
        <w:rPr>
          <w:rFonts w:ascii="Arial" w:cs="Arial" w:eastAsia="Arial" w:hAnsi="Arial"/>
          <w:sz w:val="22"/>
          <w:szCs w:val="22"/>
          <w:color w:val="auto"/>
        </w:rPr>
      </w:pPr>
    </w:p>
    <w:p>
      <w:pPr>
        <w:jc w:val="both"/>
        <w:ind w:left="100" w:firstLine="651"/>
        <w:spacing w:after="0" w:line="248" w:lineRule="auto"/>
        <w:tabs>
          <w:tab w:leader="none" w:pos="1384"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Seller has all Franchises and other rights required under applicable Law to provide natural gas distribution service to all retail distribution customers of the Business, except for such Franchises as would not reasonably be expected to materially and adversely affect Buyer’s operation of the Business or use of the Purchased Assets in the manner currently used. Except as set forth on </w:t>
      </w:r>
      <w:r>
        <w:rPr>
          <w:rFonts w:ascii="Arial" w:cs="Arial" w:eastAsia="Arial" w:hAnsi="Arial"/>
          <w:sz w:val="22"/>
          <w:szCs w:val="22"/>
          <w:u w:val="single" w:color="auto"/>
          <w:color w:val="auto"/>
        </w:rPr>
        <w:t>Schedule 5.10(d)</w:t>
      </w:r>
      <w:r>
        <w:rPr>
          <w:rFonts w:ascii="Arial" w:cs="Arial" w:eastAsia="Arial" w:hAnsi="Arial"/>
          <w:sz w:val="22"/>
          <w:szCs w:val="22"/>
          <w:color w:val="auto"/>
        </w:rPr>
        <w:t>, such Permits are not prohibited by applicable Law or the terms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120"/>
          </w:cols>
          <w:pgMar w:left="1440" w:top="1428" w:right="339" w:bottom="1440" w:gutter="0" w:footer="0" w:header="0"/>
        </w:sectPr>
      </w:pPr>
    </w:p>
    <w:bookmarkStart w:id="130" w:name="page131"/>
    <w:bookmarkEnd w:id="130"/>
    <w:p>
      <w:pPr>
        <w:ind w:left="1220"/>
        <w:spacing w:after="0"/>
        <w:rPr>
          <w:sz w:val="20"/>
          <w:szCs w:val="20"/>
          <w:color w:val="auto"/>
        </w:rPr>
      </w:pPr>
      <w:r>
        <w:rPr>
          <w:rFonts w:ascii="Arial" w:cs="Arial" w:eastAsia="Arial" w:hAnsi="Arial"/>
          <w:sz w:val="22"/>
          <w:szCs w:val="22"/>
          <w:color w:val="auto"/>
        </w:rPr>
        <w:t>from being assigned to Buyer in connection with the transactions contemplated hereby.</w:t>
      </w:r>
    </w:p>
    <w:p>
      <w:pPr>
        <w:spacing w:after="0" w:line="220" w:lineRule="exact"/>
        <w:rPr>
          <w:sz w:val="20"/>
          <w:szCs w:val="20"/>
          <w:color w:val="auto"/>
        </w:rPr>
      </w:pPr>
    </w:p>
    <w:p>
      <w:pPr>
        <w:ind w:left="1880"/>
        <w:spacing w:after="0"/>
        <w:tabs>
          <w:tab w:leader="none" w:pos="23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u w:val="single" w:color="auto"/>
          <w:color w:val="auto"/>
        </w:rPr>
        <w:t xml:space="preserve">Schedule 5.10(e) </w:t>
      </w:r>
      <w:r>
        <w:rPr>
          <w:rFonts w:ascii="Arial" w:cs="Arial" w:eastAsia="Arial" w:hAnsi="Arial"/>
          <w:sz w:val="19"/>
          <w:szCs w:val="19"/>
          <w:color w:val="auto"/>
        </w:rPr>
        <w:t>sets forth a list of each Shared Contract material to the operation of the Business.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Support Obligations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sets forth all credit support maintained by Seller or its Affiliates for the benefit of the Business pursuant to applicable Law or the terms of a Material Contract or Transferable Permit, including guarantees, letters of credit, escrows, sureties, performance bonds, security agreements and other similar arrangements.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50" w:lineRule="auto"/>
        <w:tabs>
          <w:tab w:leader="none" w:pos="2334" w:val="left"/>
        </w:tabs>
        <w:numPr>
          <w:ilvl w:val="1"/>
          <w:numId w:val="96"/>
        </w:numPr>
        <w:rPr>
          <w:rFonts w:ascii="Arial" w:cs="Arial" w:eastAsia="Arial" w:hAnsi="Arial"/>
          <w:sz w:val="22"/>
          <w:szCs w:val="22"/>
          <w:color w:val="auto"/>
        </w:rPr>
      </w:pPr>
      <w:r>
        <w:rPr>
          <w:rFonts w:ascii="Arial" w:cs="Arial" w:eastAsia="Arial" w:hAnsi="Arial"/>
          <w:sz w:val="22"/>
          <w:szCs w:val="22"/>
          <w:color w:val="auto"/>
        </w:rPr>
        <w:t>Seller and its Affiliates own all right, title and interest in and to the Business Intellectual Property, free and clear of Encumbrances other than Permitted Encumbrances. Seller has taken reasonable measures to protect, preserve and maintain the proprietary nature of the Business Intellectual Property, and the confidentiality of all Business Confidential Information in their possession.</w:t>
      </w:r>
    </w:p>
    <w:p>
      <w:pPr>
        <w:spacing w:after="0" w:line="187" w:lineRule="exact"/>
        <w:rPr>
          <w:rFonts w:ascii="Arial" w:cs="Arial" w:eastAsia="Arial" w:hAnsi="Arial"/>
          <w:sz w:val="22"/>
          <w:szCs w:val="22"/>
          <w:color w:val="auto"/>
        </w:rPr>
      </w:pPr>
    </w:p>
    <w:p>
      <w:pPr>
        <w:ind w:left="2420" w:hanging="549"/>
        <w:spacing w:after="0"/>
        <w:tabs>
          <w:tab w:leader="none" w:pos="2420"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Business Intellectual Property combined with the (1) Intellectual Property licensed pursuant to</w:t>
      </w:r>
    </w:p>
    <w:p>
      <w:pPr>
        <w:spacing w:after="0" w:line="55" w:lineRule="exact"/>
        <w:rPr>
          <w:rFonts w:ascii="Arial" w:cs="Arial" w:eastAsia="Arial" w:hAnsi="Arial"/>
          <w:sz w:val="19"/>
          <w:szCs w:val="19"/>
          <w:color w:val="auto"/>
        </w:rPr>
      </w:pPr>
    </w:p>
    <w:p>
      <w:pPr>
        <w:jc w:val="both"/>
        <w:ind w:left="1220" w:firstLine="3"/>
        <w:spacing w:after="0" w:line="302" w:lineRule="auto"/>
        <w:tabs>
          <w:tab w:leader="none" w:pos="1582"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Shared Contracts or (B) the Business Agreements included in the Purchased Assets and (2) the Intellectual Property that will be licensed to Buyer under the Transition Services Agreement constitute a scope of the Intellectual Property suitable to operate the Business as conducted as of the date of this Agreement.</w:t>
      </w:r>
    </w:p>
    <w:p>
      <w:pPr>
        <w:spacing w:after="0" w:line="142" w:lineRule="exact"/>
        <w:rPr>
          <w:rFonts w:ascii="Arial" w:cs="Arial" w:eastAsia="Arial" w:hAnsi="Arial"/>
          <w:sz w:val="19"/>
          <w:szCs w:val="19"/>
          <w:color w:val="auto"/>
        </w:rPr>
      </w:pPr>
    </w:p>
    <w:p>
      <w:pPr>
        <w:jc w:val="both"/>
        <w:ind w:left="1220" w:firstLine="651"/>
        <w:spacing w:after="0" w:line="290" w:lineRule="auto"/>
        <w:tabs>
          <w:tab w:leader="none" w:pos="2320" w:val="left"/>
        </w:tabs>
        <w:numPr>
          <w:ilvl w:val="1"/>
          <w:numId w:val="97"/>
        </w:numPr>
        <w:rPr>
          <w:rFonts w:ascii="Arial" w:cs="Arial" w:eastAsia="Arial" w:hAnsi="Arial"/>
          <w:sz w:val="19"/>
          <w:szCs w:val="19"/>
          <w:color w:val="auto"/>
        </w:rPr>
      </w:pPr>
      <w:r>
        <w:rPr>
          <w:rFonts w:ascii="Arial" w:cs="Arial" w:eastAsia="Arial" w:hAnsi="Arial"/>
          <w:sz w:val="19"/>
          <w:szCs w:val="19"/>
          <w:color w:val="auto"/>
        </w:rPr>
        <w:t>To Seller’s Knowledge, the conduct of the Business and the use of the Business Intellectual Property in connection with the Business does not infringe, dilute, misappropriate or otherwise violate the Intellectual Property or other rights of any Person. No Claim is pending or, to Seller’s Knowledge, threatened, that alleges any such infringement, violation or misappropriation, and none of the Business Intellectual Property is subject to any outstanding Order that would materially and adversely affect the Buyer’s rights under the Business Intellectual Property. Further, to Seller’s Knowledge, no Person is infringing, violating or misappropriating, any Seller Intellectual Property, and no Claim is pending or threatened by Seller or its Affiliates against another Person that alleges any such infringement, violation or misappropriation of the Business Intellectual Property.</w:t>
      </w:r>
    </w:p>
    <w:p>
      <w:pPr>
        <w:spacing w:after="0" w:line="15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Legal Proceedings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(a) there are no pending, or to Seller’s Knowledge threatened in writing, Claims relating to the Business, the Purchased Assets or the Assumed Obligations, except for such Claims that would not, individually or in the aggregate, reasonably expected to be material and adverse to the Business, the Purchased Assets or the Assumed Obligations and (b) there are no pending, or threatened in writing, material Claims by Seller on behalf of the Business, the Purchased Assets or the Assumed Obligations against any third party. None of the matters on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involves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131" w:name="page132"/>
    <w:bookmarkEnd w:id="131"/>
    <w:p>
      <w:pPr>
        <w:ind w:right="20"/>
        <w:spacing w:after="0" w:line="343" w:lineRule="auto"/>
        <w:rPr>
          <w:sz w:val="20"/>
          <w:szCs w:val="20"/>
          <w:color w:val="auto"/>
        </w:rPr>
      </w:pPr>
      <w:r>
        <w:rPr>
          <w:rFonts w:ascii="Arial" w:cs="Arial" w:eastAsia="Arial" w:hAnsi="Arial"/>
          <w:sz w:val="19"/>
          <w:szCs w:val="19"/>
          <w:color w:val="auto"/>
        </w:rPr>
        <w:t>injunctive or equitable relief that, if adversely determined against the Business, the Purchased Assets or the Assumed Obligations, would be reasonably expected to be material to the Business, the Purchased Assets or the Assumed Obligations.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u w:val="single" w:color="auto"/>
          <w:color w:val="auto"/>
        </w:rPr>
        <w:t>Compliance with Law; Orders; Permits</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53" w:lineRule="auto"/>
        <w:tabs>
          <w:tab w:leader="none" w:pos="2336"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5.14(a)</w:t>
      </w:r>
      <w:r>
        <w:rPr>
          <w:rFonts w:ascii="Arial" w:cs="Arial" w:eastAsia="Arial" w:hAnsi="Arial"/>
          <w:sz w:val="22"/>
          <w:szCs w:val="22"/>
          <w:color w:val="auto"/>
        </w:rPr>
        <w:t>, Seller is, and to Seller’s Knowledge at all times since January 1, 2018 has been, in compliance in all material respects with all Laws, Orders and Permits applicable to the Purchased Assets or the Business.</w:t>
      </w:r>
    </w:p>
    <w:p>
      <w:pPr>
        <w:spacing w:after="0" w:line="185" w:lineRule="exact"/>
        <w:rPr>
          <w:rFonts w:ascii="Arial" w:cs="Arial" w:eastAsia="Arial" w:hAnsi="Arial"/>
          <w:sz w:val="22"/>
          <w:szCs w:val="22"/>
          <w:color w:val="auto"/>
        </w:rPr>
      </w:pPr>
    </w:p>
    <w:p>
      <w:pPr>
        <w:jc w:val="both"/>
        <w:ind w:left="1220" w:firstLine="651"/>
        <w:spacing w:after="0" w:line="297" w:lineRule="auto"/>
        <w:tabs>
          <w:tab w:leader="none" w:pos="2354"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5.14(b)</w:t>
      </w:r>
      <w:r>
        <w:rPr>
          <w:rFonts w:ascii="Arial" w:cs="Arial" w:eastAsia="Arial" w:hAnsi="Arial"/>
          <w:sz w:val="19"/>
          <w:szCs w:val="19"/>
          <w:color w:val="auto"/>
        </w:rPr>
        <w:t xml:space="preserve">, Seller possesses all Permits necessary to own and operate the Business and the Purchased Assets as currently operated in all material respects, all of such Permits are in full force and effect, and no appeal or other proceeding is pending or, to Seller’s Knowledge, threatened in writing to revoke any such Permits. Except as set forth on </w:t>
      </w:r>
      <w:r>
        <w:rPr>
          <w:rFonts w:ascii="Arial" w:cs="Arial" w:eastAsia="Arial" w:hAnsi="Arial"/>
          <w:sz w:val="19"/>
          <w:szCs w:val="19"/>
          <w:u w:val="single" w:color="auto"/>
          <w:color w:val="auto"/>
        </w:rPr>
        <w:t>Schedule 5.14(b)</w:t>
      </w:r>
      <w:r>
        <w:rPr>
          <w:rFonts w:ascii="Arial" w:cs="Arial" w:eastAsia="Arial" w:hAnsi="Arial"/>
          <w:sz w:val="19"/>
          <w:szCs w:val="19"/>
          <w:color w:val="auto"/>
        </w:rPr>
        <w:t>, such Permits are not prohibited by applicable Law or the terms of such from being assigned to Buyer in connection with the transactions contemplated hereby.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5.15 </w:t>
      </w:r>
      <w:r>
        <w:rPr>
          <w:rFonts w:ascii="Arial" w:cs="Arial" w:eastAsia="Arial" w:hAnsi="Arial"/>
          <w:sz w:val="22"/>
          <w:szCs w:val="22"/>
          <w:u w:val="single" w:color="auto"/>
          <w:color w:val="auto"/>
        </w:rPr>
        <w:t>Anti-Corruption; Anti-Money Laundering; Sanctions</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53" w:lineRule="auto"/>
        <w:tabs>
          <w:tab w:leader="none" w:pos="2324" w:val="left"/>
        </w:tabs>
        <w:numPr>
          <w:ilvl w:val="0"/>
          <w:numId w:val="99"/>
        </w:numPr>
        <w:rPr>
          <w:rFonts w:ascii="Arial" w:cs="Arial" w:eastAsia="Arial" w:hAnsi="Arial"/>
          <w:sz w:val="22"/>
          <w:szCs w:val="22"/>
          <w:color w:val="auto"/>
        </w:rPr>
      </w:pPr>
      <w:r>
        <w:rPr>
          <w:rFonts w:ascii="Arial" w:cs="Arial" w:eastAsia="Arial" w:hAnsi="Arial"/>
          <w:sz w:val="22"/>
          <w:szCs w:val="22"/>
          <w:color w:val="auto"/>
        </w:rPr>
        <w:t>Neither Seller nor its directors or officers has breached or is in breach of any applicable anti-corruption Laws, including the U.S. Foreign Corrupt Practices Act or any other applicable Laws relating to anti-bribery and anti-corruption in any material respect.</w:t>
      </w:r>
    </w:p>
    <w:p>
      <w:pPr>
        <w:spacing w:after="0" w:line="185" w:lineRule="exact"/>
        <w:rPr>
          <w:rFonts w:ascii="Arial" w:cs="Arial" w:eastAsia="Arial" w:hAnsi="Arial"/>
          <w:sz w:val="22"/>
          <w:szCs w:val="22"/>
          <w:color w:val="auto"/>
        </w:rPr>
      </w:pPr>
    </w:p>
    <w:p>
      <w:pPr>
        <w:jc w:val="both"/>
        <w:ind w:left="1220" w:firstLine="651"/>
        <w:spacing w:after="0" w:line="250" w:lineRule="auto"/>
        <w:tabs>
          <w:tab w:leader="none" w:pos="2422"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of Seller and any Person controlling Seller are in compliance in all material respects with all anti-money laundering Laws related to the prevention of money laundering and terrorist financing, including the Bank Secrecy Act and the USA PATRIOT Act in the jurisdictions in which Seller, or such Person controlling Seller, as applicable, operate.</w:t>
      </w:r>
    </w:p>
    <w:p>
      <w:pPr>
        <w:spacing w:after="0" w:line="187" w:lineRule="exact"/>
        <w:rPr>
          <w:rFonts w:ascii="Arial" w:cs="Arial" w:eastAsia="Arial" w:hAnsi="Arial"/>
          <w:sz w:val="22"/>
          <w:szCs w:val="22"/>
          <w:color w:val="auto"/>
        </w:rPr>
      </w:pPr>
    </w:p>
    <w:p>
      <w:pPr>
        <w:jc w:val="both"/>
        <w:ind w:left="1220" w:firstLine="651"/>
        <w:spacing w:after="0" w:line="263" w:lineRule="auto"/>
        <w:tabs>
          <w:tab w:leader="none" w:pos="2405" w:val="left"/>
        </w:tabs>
        <w:numPr>
          <w:ilvl w:val="0"/>
          <w:numId w:val="99"/>
        </w:numPr>
        <w:rPr>
          <w:rFonts w:ascii="Arial" w:cs="Arial" w:eastAsia="Arial" w:hAnsi="Arial"/>
          <w:sz w:val="21"/>
          <w:szCs w:val="21"/>
          <w:color w:val="auto"/>
        </w:rPr>
      </w:pPr>
      <w:r>
        <w:rPr>
          <w:rFonts w:ascii="Arial" w:cs="Arial" w:eastAsia="Arial" w:hAnsi="Arial"/>
          <w:sz w:val="21"/>
          <w:szCs w:val="21"/>
          <w:color w:val="auto"/>
        </w:rPr>
        <w:t>Seller is not a Person that is, or is fifty percent (50%) or more owned or controlled by a Person or Persons that are: (i) the subject of any economic or financial sanctions or trade embargoes imposed, administered or enforced by the U.S. Department of the Treasury’s Office of Foreign Assets Control or the U.S. Department of State or other relevant sanctions authority (collectively, “</w:t>
      </w:r>
      <w:r>
        <w:rPr>
          <w:rFonts w:ascii="Arial" w:cs="Arial" w:eastAsia="Arial" w:hAnsi="Arial"/>
          <w:sz w:val="21"/>
          <w:szCs w:val="21"/>
          <w:u w:val="single" w:color="auto"/>
          <w:color w:val="auto"/>
        </w:rPr>
        <w:t>Sanctions</w:t>
      </w:r>
      <w:r>
        <w:rPr>
          <w:rFonts w:ascii="Arial" w:cs="Arial" w:eastAsia="Arial" w:hAnsi="Arial"/>
          <w:sz w:val="21"/>
          <w:szCs w:val="21"/>
          <w:color w:val="auto"/>
        </w:rPr>
        <w:t>”), or (ii) located, organized or resident in a country or territory that is, or whose government is, the subject of Sanctions.</w:t>
      </w:r>
    </w:p>
    <w:p>
      <w:pPr>
        <w:spacing w:after="0" w:line="175" w:lineRule="exact"/>
        <w:rPr>
          <w:rFonts w:ascii="Arial" w:cs="Arial" w:eastAsia="Arial" w:hAnsi="Arial"/>
          <w:sz w:val="21"/>
          <w:szCs w:val="21"/>
          <w:color w:val="auto"/>
        </w:rPr>
      </w:pPr>
    </w:p>
    <w:p>
      <w:pPr>
        <w:ind w:left="2340" w:hanging="469"/>
        <w:spacing w:after="0"/>
        <w:tabs>
          <w:tab w:leader="none" w:pos="23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 sale or other transaction contemplated by this Agreement will violate Sanctions.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5.16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132" w:name="page133"/>
    <w:bookmarkEnd w:id="132"/>
    <w:p>
      <w:pPr>
        <w:jc w:val="both"/>
        <w:ind w:left="100" w:firstLine="651"/>
        <w:spacing w:after="0" w:line="288" w:lineRule="auto"/>
        <w:tabs>
          <w:tab w:leader="none" w:pos="132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5.16(a)</w:t>
      </w:r>
      <w:r>
        <w:rPr>
          <w:rFonts w:ascii="Arial" w:cs="Arial" w:eastAsia="Arial" w:hAnsi="Arial"/>
          <w:sz w:val="19"/>
          <w:szCs w:val="19"/>
          <w:color w:val="auto"/>
        </w:rPr>
        <w:t xml:space="preserve"> or as would not, individually or in the aggregate, have a Material Adverse Effect, (i) Seller holds all material Environmental Permits necessary for Seller to operate the Business as it is currently being operated; (ii) Seller is in material compliance with such Environmental Permits;</w:t>
      </w:r>
    </w:p>
    <w:p>
      <w:pPr>
        <w:jc w:val="both"/>
        <w:ind w:left="100" w:firstLine="3"/>
        <w:spacing w:after="0" w:line="244" w:lineRule="auto"/>
        <w:tabs>
          <w:tab w:leader="none" w:pos="48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Environmental Permits in effect on the date hereof (if still used by the Business on the Effective Date) are transferrable to Buyer; (iv) such Environmental Permits are in full force and effect and any applications required to renew or maintain the Environmental Permits in full force and effect have been submitted to the applicable Governmental Entity; and (v) to Seller’s Knowledge, there are no pending Claims that would suspend, cancel, withdraw, limit or revoke any Environmental Permit.</w:t>
      </w:r>
    </w:p>
    <w:p>
      <w:pPr>
        <w:spacing w:after="0" w:line="194" w:lineRule="exact"/>
        <w:rPr>
          <w:rFonts w:ascii="Arial" w:cs="Arial" w:eastAsia="Arial" w:hAnsi="Arial"/>
          <w:sz w:val="22"/>
          <w:szCs w:val="22"/>
          <w:color w:val="auto"/>
        </w:rPr>
      </w:pPr>
    </w:p>
    <w:p>
      <w:pPr>
        <w:jc w:val="both"/>
        <w:ind w:left="100" w:firstLine="651"/>
        <w:spacing w:after="0" w:line="294" w:lineRule="auto"/>
        <w:tabs>
          <w:tab w:leader="none" w:pos="122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5.16(b)</w:t>
      </w:r>
      <w:r>
        <w:rPr>
          <w:rFonts w:ascii="Arial" w:cs="Arial" w:eastAsia="Arial" w:hAnsi="Arial"/>
          <w:sz w:val="19"/>
          <w:szCs w:val="19"/>
          <w:color w:val="auto"/>
        </w:rPr>
        <w:t>, neither Seller nor any Affiliates of Seller has, since January 1, 2018, entered into or been subject to any consent decree or agreement, been subject to any Order, or received any written notice, report, or other information regarding any actual or alleged violation of Environmental Laws or any liabilities or potential liabilities, including any investigatory, remedial, or corrective obligations, arising under Environmental Laws, in each case relating to the ownership or operation of the Business or the Purchased Assets, except for notices, reports, or information with respect to matters that have been resolved, settled or withdrawn.</w:t>
      </w:r>
    </w:p>
    <w:p>
      <w:pPr>
        <w:spacing w:after="0" w:line="149" w:lineRule="exact"/>
        <w:rPr>
          <w:rFonts w:ascii="Arial" w:cs="Arial" w:eastAsia="Arial" w:hAnsi="Arial"/>
          <w:sz w:val="19"/>
          <w:szCs w:val="19"/>
          <w:color w:val="auto"/>
        </w:rPr>
      </w:pPr>
    </w:p>
    <w:p>
      <w:pPr>
        <w:jc w:val="both"/>
        <w:ind w:left="100" w:firstLine="651"/>
        <w:spacing w:after="0" w:line="259" w:lineRule="auto"/>
        <w:tabs>
          <w:tab w:leader="none" w:pos="1312" w:val="left"/>
        </w:tabs>
        <w:numPr>
          <w:ilvl w:val="1"/>
          <w:numId w:val="101"/>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5.16(c)</w:t>
      </w:r>
      <w:r>
        <w:rPr>
          <w:rFonts w:ascii="Arial" w:cs="Arial" w:eastAsia="Arial" w:hAnsi="Arial"/>
          <w:sz w:val="21"/>
          <w:szCs w:val="21"/>
          <w:color w:val="auto"/>
        </w:rPr>
        <w:t xml:space="preserve">, or as would not, individually or in the aggregate, have a Material Adverse Effect, (i) Seller has not caused any Release from, in, on, or beneath any of the Real Property or any of the manufactured gas plant sites disclosed on </w:t>
      </w:r>
      <w:r>
        <w:rPr>
          <w:rFonts w:ascii="Arial" w:cs="Arial" w:eastAsia="Arial" w:hAnsi="Arial"/>
          <w:sz w:val="21"/>
          <w:szCs w:val="21"/>
          <w:u w:val="single" w:color="auto"/>
          <w:color w:val="auto"/>
        </w:rPr>
        <w:t>Schedule 2.3(m)</w:t>
      </w:r>
      <w:r>
        <w:rPr>
          <w:rFonts w:ascii="Arial" w:cs="Arial" w:eastAsia="Arial" w:hAnsi="Arial"/>
          <w:sz w:val="21"/>
          <w:szCs w:val="21"/>
          <w:color w:val="auto"/>
        </w:rPr>
        <w:t>) that could form a basis for an Environmental Claim or Loss pursuant to Environmental Laws; (ii) to Seller’s Knowledge, there is and has been no Release from, in, on, or beneath any of the Real Property by any third-party that could form a basis for an Environmental Claim or Loss pursuant to Environmental Laws; and (iii) there are no written Environmental Claims pending or, to Seller’s Knowledge threatened in writing, that relate to the Purchased Assets or the Business or, to Seller’s Knowledge, that relate to any property or assets previously used in connection with the ownership or operation of the Business or Purchased Assets.</w:t>
      </w:r>
    </w:p>
    <w:p>
      <w:pPr>
        <w:spacing w:after="0" w:line="179" w:lineRule="exact"/>
        <w:rPr>
          <w:rFonts w:ascii="Arial" w:cs="Arial" w:eastAsia="Arial" w:hAnsi="Arial"/>
          <w:sz w:val="21"/>
          <w:szCs w:val="21"/>
          <w:color w:val="auto"/>
        </w:rPr>
      </w:pPr>
    </w:p>
    <w:p>
      <w:pPr>
        <w:jc w:val="both"/>
        <w:ind w:left="100" w:firstLine="651"/>
        <w:spacing w:after="0" w:line="250" w:lineRule="auto"/>
        <w:tabs>
          <w:tab w:leader="none" w:pos="1317"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There have been no material environmental assessments, inspections or audits conducted by or on behalf of Seller (or to Seller’s Knowledge by any Governmental Entity) in respect of any of the Real Property or the Business during the past three years, other than those for which copies of the associated reports within Seller’s possession or control have been provided to Buyer.</w:t>
      </w:r>
    </w:p>
    <w:p>
      <w:pPr>
        <w:spacing w:after="0" w:line="187" w:lineRule="exact"/>
        <w:rPr>
          <w:rFonts w:ascii="Arial" w:cs="Arial" w:eastAsia="Arial" w:hAnsi="Arial"/>
          <w:sz w:val="22"/>
          <w:szCs w:val="22"/>
          <w:color w:val="auto"/>
        </w:rPr>
      </w:pPr>
    </w:p>
    <w:p>
      <w:pPr>
        <w:jc w:val="both"/>
        <w:ind w:left="100" w:firstLine="651"/>
        <w:spacing w:after="0" w:line="253" w:lineRule="auto"/>
        <w:tabs>
          <w:tab w:leader="none" w:pos="1302" w:val="left"/>
        </w:tabs>
        <w:numPr>
          <w:ilvl w:val="1"/>
          <w:numId w:val="101"/>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the representations and warranties set forth in this </w:t>
      </w:r>
      <w:r>
        <w:rPr>
          <w:rFonts w:ascii="Arial" w:cs="Arial" w:eastAsia="Arial" w:hAnsi="Arial"/>
          <w:sz w:val="22"/>
          <w:szCs w:val="22"/>
          <w:u w:val="single" w:color="auto"/>
          <w:color w:val="auto"/>
        </w:rPr>
        <w:t>Section 5.16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5.18(c)</w:t>
      </w:r>
      <w:r>
        <w:rPr>
          <w:rFonts w:ascii="Arial" w:cs="Arial" w:eastAsia="Arial" w:hAnsi="Arial"/>
          <w:sz w:val="22"/>
          <w:szCs w:val="22"/>
          <w:color w:val="auto"/>
        </w:rPr>
        <w:t xml:space="preserve"> are Seller’s sole and exclusive representations and warranties regarding Environmental Laws and Environmental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120"/>
          </w:cols>
          <w:pgMar w:left="1440" w:top="1427"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 xml:space="preserve">Section 5.17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58" w:lineRule="auto"/>
        <w:tabs>
          <w:tab w:leader="none" w:pos="167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All material Tax Returns relating to the Business or the Purchased Assets required to be filed by or on behalf of Seller have been filed in a timely manner, such Tax Returns are true, correct and complete in all material respects, and all Taxes required to be shown on such Tax Returns have been paid in full. There are no material audits or other examinations pending or, to Seller’s Knowledge, threatened in writing relating to any Taxes relating to the Business or the Purchased Assets. No claim has been made since January 1, 2016 by any Governmental Entity in a jurisdiction where Seller does not file Tax Returns that Seller is or may be subject to taxation by that jurisdiction with respect to the Business or the Purchased Assets. Seller has not granted any waiver of any statute of limitations regarding, or any extension of any period for the assessment of, any material Tax relating to the Business or the Purchased Assets. There are no Encumbrances for Taxes on any of the Purchased Assets other than Permitted Encumbrances.</w:t>
      </w:r>
    </w:p>
    <w:p>
      <w:pPr>
        <w:spacing w:after="0" w:line="185" w:lineRule="exact"/>
        <w:rPr>
          <w:rFonts w:ascii="Arial" w:cs="Arial" w:eastAsia="Arial" w:hAnsi="Arial"/>
          <w:sz w:val="21"/>
          <w:szCs w:val="21"/>
          <w:color w:val="auto"/>
        </w:rPr>
      </w:pPr>
    </w:p>
    <w:p>
      <w:pPr>
        <w:jc w:val="both"/>
        <w:ind w:left="560" w:firstLine="651"/>
        <w:spacing w:after="0" w:line="250" w:lineRule="auto"/>
        <w:tabs>
          <w:tab w:leader="none" w:pos="17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Seller has withheld and paid all material Taxes required to have been withheld and paid in connection with amounts paid or owing to any employee, independent contractor, creditor, stockholder, or other third party of the Business, and all tax and information reporting forms required with respect thereto have been properly completed and timely filed.</w:t>
      </w:r>
    </w:p>
    <w:p>
      <w:pPr>
        <w:spacing w:after="0" w:line="187" w:lineRule="exact"/>
        <w:rPr>
          <w:rFonts w:ascii="Arial" w:cs="Arial" w:eastAsia="Arial" w:hAnsi="Arial"/>
          <w:sz w:val="22"/>
          <w:szCs w:val="22"/>
          <w:color w:val="auto"/>
        </w:rPr>
      </w:pPr>
    </w:p>
    <w:p>
      <w:pPr>
        <w:jc w:val="both"/>
        <w:ind w:left="560" w:firstLine="651"/>
        <w:spacing w:after="0" w:line="253" w:lineRule="auto"/>
        <w:tabs>
          <w:tab w:leader="none" w:pos="185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Seller has not entered into any transaction with respect to the Business that is either a “listed transaction” or a “reportable transaction” (both as defined in Treasury Regulation Section 1.6011-4, as modified by published Internal Revenue Service guidance).</w:t>
      </w:r>
    </w:p>
    <w:p>
      <w:pPr>
        <w:spacing w:after="0" w:line="185" w:lineRule="exact"/>
        <w:rPr>
          <w:rFonts w:ascii="Arial" w:cs="Arial" w:eastAsia="Arial" w:hAnsi="Arial"/>
          <w:sz w:val="22"/>
          <w:szCs w:val="22"/>
          <w:color w:val="auto"/>
        </w:rPr>
      </w:pPr>
    </w:p>
    <w:p>
      <w:pPr>
        <w:ind w:left="560" w:firstLine="651"/>
        <w:spacing w:after="0" w:line="263" w:lineRule="auto"/>
        <w:tabs>
          <w:tab w:leader="none" w:pos="17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None of the Purchased Assets is an interest in an entity taxable as a corporation, partnership, trust or real estate mortgage investment conduit for federal income Tax purposes.</w:t>
      </w:r>
    </w:p>
    <w:p>
      <w:pPr>
        <w:spacing w:after="0" w:line="174" w:lineRule="exact"/>
        <w:rPr>
          <w:rFonts w:ascii="Arial" w:cs="Arial" w:eastAsia="Arial" w:hAnsi="Arial"/>
          <w:sz w:val="22"/>
          <w:szCs w:val="22"/>
          <w:color w:val="auto"/>
        </w:rPr>
      </w:pPr>
    </w:p>
    <w:p>
      <w:pPr>
        <w:jc w:val="both"/>
        <w:ind w:left="560" w:firstLine="651"/>
        <w:spacing w:after="0" w:line="265" w:lineRule="auto"/>
        <w:tabs>
          <w:tab w:leader="none" w:pos="1749" w:val="left"/>
        </w:tabs>
        <w:numPr>
          <w:ilvl w:val="0"/>
          <w:numId w:val="102"/>
        </w:numPr>
        <w:rPr>
          <w:rFonts w:ascii="Arial" w:cs="Arial" w:eastAsia="Arial" w:hAnsi="Arial"/>
          <w:sz w:val="21"/>
          <w:szCs w:val="21"/>
          <w:color w:val="auto"/>
        </w:rPr>
      </w:pPr>
      <w:r>
        <w:rPr>
          <w:rFonts w:ascii="Arial" w:cs="Arial" w:eastAsia="Arial" w:hAnsi="Arial"/>
          <w:sz w:val="21"/>
          <w:szCs w:val="21"/>
          <w:color w:val="auto"/>
        </w:rPr>
        <w:t>Seller has not executed or entered into any agreement with, or obtained any consents or clearances from, any Governmental Entity with respect to Taxes, and has not been subject to any ruling guidance specific to Seller, to the extent that any of such agreement, consent, clearance or ruling would be binding on either Buyer for any taxable period (or portion thereof) ending after the Closing Date.</w:t>
      </w:r>
    </w:p>
    <w:p>
      <w:pPr>
        <w:spacing w:after="0" w:line="175" w:lineRule="exact"/>
        <w:rPr>
          <w:rFonts w:ascii="Arial" w:cs="Arial" w:eastAsia="Arial" w:hAnsi="Arial"/>
          <w:sz w:val="21"/>
          <w:szCs w:val="21"/>
          <w:color w:val="auto"/>
        </w:rPr>
      </w:pPr>
    </w:p>
    <w:p>
      <w:pPr>
        <w:jc w:val="both"/>
        <w:ind w:left="560" w:firstLine="651"/>
        <w:spacing w:after="0" w:line="253" w:lineRule="auto"/>
        <w:tabs>
          <w:tab w:leader="none" w:pos="17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the representations and warranties set forth in this </w:t>
      </w:r>
      <w:r>
        <w:rPr>
          <w:rFonts w:ascii="Arial" w:cs="Arial" w:eastAsia="Arial" w:hAnsi="Arial"/>
          <w:sz w:val="22"/>
          <w:szCs w:val="22"/>
          <w:u w:val="single" w:color="auto"/>
          <w:color w:val="auto"/>
        </w:rPr>
        <w:t>Section 5.17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5.19</w:t>
      </w:r>
      <w:r>
        <w:rPr>
          <w:rFonts w:ascii="Arial" w:cs="Arial" w:eastAsia="Arial" w:hAnsi="Arial"/>
          <w:sz w:val="22"/>
          <w:szCs w:val="22"/>
          <w:color w:val="auto"/>
        </w:rPr>
        <w:t xml:space="preserve"> are Seller’s sole and exclusive representations and warranties regarding Taxes.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5.18 </w:t>
      </w:r>
      <w:r>
        <w:rPr>
          <w:rFonts w:ascii="Arial" w:cs="Arial" w:eastAsia="Arial" w:hAnsi="Arial"/>
          <w:sz w:val="22"/>
          <w:szCs w:val="22"/>
          <w:u w:val="single" w:color="auto"/>
          <w:color w:val="auto"/>
        </w:rPr>
        <w:t>Labor Matters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580"/>
          </w:cols>
          <w:pgMar w:left="980" w:top="1427" w:right="339" w:bottom="1440" w:gutter="0" w:footer="0" w:header="0"/>
        </w:sectPr>
      </w:pPr>
    </w:p>
    <w:bookmarkStart w:id="134" w:name="page135"/>
    <w:bookmarkEnd w:id="134"/>
    <w:p>
      <w:pPr>
        <w:jc w:val="both"/>
        <w:ind w:left="560" w:firstLine="651"/>
        <w:spacing w:after="0" w:line="253" w:lineRule="auto"/>
        <w:tabs>
          <w:tab w:leader="none" w:pos="168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Seller has made available to Buyer a complete list (as of the date set forth therein) of names, positions and current annual salaries or wage rates, bonus and other compensation, and the paid time off pay of all Business Employees.</w:t>
      </w:r>
    </w:p>
    <w:p>
      <w:pPr>
        <w:spacing w:after="0" w:line="185" w:lineRule="exact"/>
        <w:rPr>
          <w:rFonts w:ascii="Arial" w:cs="Arial" w:eastAsia="Arial" w:hAnsi="Arial"/>
          <w:sz w:val="22"/>
          <w:szCs w:val="22"/>
          <w:color w:val="auto"/>
        </w:rPr>
      </w:pPr>
    </w:p>
    <w:p>
      <w:pPr>
        <w:jc w:val="both"/>
        <w:ind w:left="560" w:firstLine="651"/>
        <w:spacing w:after="0" w:line="259" w:lineRule="auto"/>
        <w:tabs>
          <w:tab w:leader="none" w:pos="168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 Seller is, as of the date hereof, in compliance in all material respects with all Laws applicable to the Business Employees respecting employment and employment practices, terms and conditions of employment, and wages and hours; (ii) Seller has not, within the past three years, received written notice of any unfair labor practice charge against Seller pending before the National Labor Relations Board with respect to any of the Business Employees; (iii) Seller has not, within the past three years, received notice that any representation petition respecting the Business Employees has been filed with the National Labor Relations Board; and (iv) there is no labor strike, slowdown, work stoppage, or lockout actually pending or, to Seller’s Knowledge, threatened in writing involving the Business Employees.</w:t>
      </w:r>
    </w:p>
    <w:p>
      <w:pPr>
        <w:spacing w:after="0" w:line="183" w:lineRule="exact"/>
        <w:rPr>
          <w:rFonts w:ascii="Arial" w:cs="Arial" w:eastAsia="Arial" w:hAnsi="Arial"/>
          <w:sz w:val="21"/>
          <w:szCs w:val="21"/>
          <w:color w:val="auto"/>
        </w:rPr>
      </w:pPr>
    </w:p>
    <w:p>
      <w:pPr>
        <w:jc w:val="both"/>
        <w:ind w:left="560" w:firstLine="651"/>
        <w:spacing w:after="0" w:line="297" w:lineRule="auto"/>
        <w:tabs>
          <w:tab w:leader="none" w:pos="166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Since January 1, 2018, Seller has complied in all material respects with all applicable Laws and Orders relating to employee health and safety in all material respects, and no Seller has received any written notice from any Governmental Authority that past or present conditions of the Purchased Assets violate any applicable Laws and Orders or otherwise will be made the basis of any claim, proceeding, or investigation based on violations of the Occupational Safety and Health Act of 1970 or otherwise related to employee health and safety.</w:t>
      </w:r>
    </w:p>
    <w:p>
      <w:pPr>
        <w:spacing w:after="0" w:line="146" w:lineRule="exact"/>
        <w:rPr>
          <w:rFonts w:ascii="Arial" w:cs="Arial" w:eastAsia="Arial" w:hAnsi="Arial"/>
          <w:sz w:val="19"/>
          <w:szCs w:val="19"/>
          <w:color w:val="auto"/>
        </w:rPr>
      </w:pPr>
    </w:p>
    <w:p>
      <w:pPr>
        <w:jc w:val="both"/>
        <w:ind w:left="560" w:firstLine="651"/>
        <w:spacing w:after="0" w:line="257" w:lineRule="auto"/>
        <w:tabs>
          <w:tab w:leader="none" w:pos="193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Seller is in compliance with all applicable Laws and Orders pertaining to employment and employment practices to the extent they relate to Business Employees, including all Laws and Orders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and unemployment insurance, except where the failure to so comply would not reasonably be expected to have a Material Adverse Effect. All individuals classified as independent contractors under all applicable Laws and Orders are properly classified. All Business Employees classified as exempt under the Fair Labor Standards Act and state and local wage and hour Laws are properly classified. There are no charges, complaints, or actions against Seller pending, or to Seller’s Knowledge, threatened to be brought or filed, by or with any court, agency or governmental body or arbitrator relating to the Business Employees, including any claim relating to unfair labor practices, employment discrimination, harassment, retaliation, equal pay, wages and hours, health and safety, or any other employment-related matter arising under applicable Laws.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5.19 </w:t>
      </w:r>
      <w:r>
        <w:rPr>
          <w:rFonts w:ascii="Arial" w:cs="Arial" w:eastAsia="Arial" w:hAnsi="Arial"/>
          <w:sz w:val="22"/>
          <w:szCs w:val="22"/>
          <w:u w:val="single" w:color="auto"/>
          <w:color w:val="auto"/>
        </w:rPr>
        <w:t>Employee Benefits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580"/>
          </w:cols>
          <w:pgMar w:left="980" w:top="1427" w:right="339" w:bottom="1440" w:gutter="0" w:footer="0" w:header="0"/>
        </w:sectPr>
      </w:pPr>
    </w:p>
    <w:bookmarkStart w:id="135" w:name="page136"/>
    <w:bookmarkEnd w:id="135"/>
    <w:p>
      <w:pPr>
        <w:jc w:val="both"/>
        <w:ind w:left="100" w:firstLine="651"/>
        <w:spacing w:after="0" w:line="260" w:lineRule="auto"/>
        <w:tabs>
          <w:tab w:leader="none" w:pos="1244"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Schedule 5.19(a)</w:t>
      </w:r>
      <w:r>
        <w:rPr>
          <w:rFonts w:ascii="Arial" w:cs="Arial" w:eastAsia="Arial" w:hAnsi="Arial"/>
          <w:sz w:val="21"/>
          <w:szCs w:val="21"/>
          <w:color w:val="auto"/>
        </w:rPr>
        <w:t xml:space="preserve"> lists each material employee benefit plan (as such term is defined in section 3(3) of ERISA) and each other material employee benefit plan, program, or arrangement providing benefits to employees that is maintained by, contributed to, or required to be contributed to by Seller or any of its ERISA Affiliates as of the date hereof on account of current Business Employees or persons who have retired or may retire from the Business (each, a “</w:t>
      </w:r>
      <w:r>
        <w:rPr>
          <w:rFonts w:ascii="Arial" w:cs="Arial" w:eastAsia="Arial" w:hAnsi="Arial"/>
          <w:sz w:val="21"/>
          <w:szCs w:val="21"/>
          <w:u w:val="single" w:color="auto"/>
          <w:color w:val="auto"/>
        </w:rPr>
        <w:t>Benefit Plan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employment agreements, long-term incentive agreements and similar agreements, only the forms of such agreements and arrangements shall be listed, together with any material deviations from such forms.</w:t>
      </w:r>
    </w:p>
    <w:p>
      <w:pPr>
        <w:spacing w:after="0" w:line="180" w:lineRule="exact"/>
        <w:rPr>
          <w:rFonts w:ascii="Arial" w:cs="Arial" w:eastAsia="Arial" w:hAnsi="Arial"/>
          <w:sz w:val="21"/>
          <w:szCs w:val="21"/>
          <w:color w:val="auto"/>
        </w:rPr>
      </w:pPr>
    </w:p>
    <w:p>
      <w:pPr>
        <w:jc w:val="both"/>
        <w:ind w:left="100" w:firstLine="651"/>
        <w:spacing w:after="0" w:line="294" w:lineRule="auto"/>
        <w:tabs>
          <w:tab w:leader="none" w:pos="133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With respect to each Benefit Plan, Seller has made available to Buyer true, complete and correct copies of each of the following documents: (i) each Benefit Plan (including all amendments thereto) or, in the case of any unwritten Benefit Plan, a description thereof; (ii) the most recent summary plan description, together with each summary of material modifications, if required under ERISA, with respect to such Benefit Plan; and (iii) the most recent determination letter received from the United States Internal Revenue Service with respect to each Benefit Plan that is intended to be qualified under Section 401(a) of the Code.</w:t>
      </w:r>
    </w:p>
    <w:p>
      <w:pPr>
        <w:spacing w:after="0" w:line="149" w:lineRule="exact"/>
        <w:rPr>
          <w:rFonts w:ascii="Arial" w:cs="Arial" w:eastAsia="Arial" w:hAnsi="Arial"/>
          <w:sz w:val="19"/>
          <w:szCs w:val="19"/>
          <w:color w:val="auto"/>
        </w:rPr>
      </w:pPr>
    </w:p>
    <w:p>
      <w:pPr>
        <w:ind w:left="1200" w:hanging="449"/>
        <w:spacing w:after="0"/>
        <w:tabs>
          <w:tab w:leader="none" w:pos="12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5.19(c)</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80" w:firstLine="652"/>
        <w:spacing w:after="0" w:line="250" w:lineRule="auto"/>
        <w:tabs>
          <w:tab w:leader="none" w:pos="133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Each Benefit Plan that is intended to be qualified under section 401(a) of the Code has received a determination from the Internal Revenue Service that such Benefit Plan is so qualified. To Seller’s Knowledge, nothing has occurred since the date of such determination that would be reasonably expected to materially adversely affect the qualified status of such Benefit Plan.</w:t>
      </w:r>
    </w:p>
    <w:p>
      <w:pPr>
        <w:spacing w:after="0" w:line="187" w:lineRule="exact"/>
        <w:rPr>
          <w:rFonts w:ascii="Arial" w:cs="Arial" w:eastAsia="Arial" w:hAnsi="Arial"/>
          <w:sz w:val="22"/>
          <w:szCs w:val="22"/>
          <w:color w:val="auto"/>
        </w:rPr>
      </w:pPr>
    </w:p>
    <w:p>
      <w:pPr>
        <w:jc w:val="both"/>
        <w:ind w:left="180" w:firstLine="652"/>
        <w:spacing w:after="0" w:line="263" w:lineRule="auto"/>
        <w:tabs>
          <w:tab w:leader="none" w:pos="140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Each Benefit Plan has been maintained, funded, and administered in material compliance with its terms and in material compliance with all applicable Laws, including ERISA and the Code. There are no pending or, to Seller’s Knowledge, threatened claims by or on behalf of any of the Benefit Plans, by any Business Employee or any beneficiary thereof covered under any such Benefit Plan or otherwise involving any such Benefit Plan (other than routine claims for benefits) that would result in liability to Buyer.</w:t>
      </w:r>
    </w:p>
    <w:p>
      <w:pPr>
        <w:spacing w:after="0" w:line="175" w:lineRule="exact"/>
        <w:rPr>
          <w:rFonts w:ascii="Arial" w:cs="Arial" w:eastAsia="Arial" w:hAnsi="Arial"/>
          <w:sz w:val="21"/>
          <w:szCs w:val="21"/>
          <w:color w:val="auto"/>
        </w:rPr>
      </w:pPr>
    </w:p>
    <w:p>
      <w:pPr>
        <w:jc w:val="both"/>
        <w:ind w:left="180" w:firstLine="652"/>
        <w:spacing w:after="0" w:line="250" w:lineRule="auto"/>
        <w:tabs>
          <w:tab w:leader="none" w:pos="140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There are no administrative or other proceedings, audits, examinations or investigations pending or asserted or, to Seller’s Knowledge, threatened, anticipated, or expected to be asserted with respect to any Benefit Plan or the assets of any such Benefit Plan (other than routine claims for benefits arising in the ordinary course) that would result in liability to Buyer.</w:t>
      </w:r>
    </w:p>
    <w:p>
      <w:pPr>
        <w:spacing w:after="0" w:line="187" w:lineRule="exact"/>
        <w:rPr>
          <w:rFonts w:ascii="Arial" w:cs="Arial" w:eastAsia="Arial" w:hAnsi="Arial"/>
          <w:sz w:val="22"/>
          <w:szCs w:val="22"/>
          <w:color w:val="auto"/>
        </w:rPr>
      </w:pPr>
    </w:p>
    <w:p>
      <w:pPr>
        <w:ind w:left="180" w:firstLine="652"/>
        <w:spacing w:after="0" w:line="263" w:lineRule="auto"/>
        <w:tabs>
          <w:tab w:leader="none" w:pos="1467" w:val="left"/>
        </w:tabs>
        <w:numPr>
          <w:ilvl w:val="1"/>
          <w:numId w:val="104"/>
        </w:numPr>
        <w:rPr>
          <w:rFonts w:ascii="Arial" w:cs="Arial" w:eastAsia="Arial" w:hAnsi="Arial"/>
          <w:sz w:val="22"/>
          <w:szCs w:val="22"/>
          <w:color w:val="auto"/>
        </w:rPr>
      </w:pPr>
      <w:r>
        <w:rPr>
          <w:rFonts w:ascii="Arial" w:cs="Arial" w:eastAsia="Arial" w:hAnsi="Arial"/>
          <w:sz w:val="22"/>
          <w:szCs w:val="22"/>
          <w:color w:val="auto"/>
        </w:rPr>
        <w:t>Seller has the right, at any time and without liability, to amend or terminate any post-retirement medical and life benefits, and to adjust premiums or cost-sharing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120"/>
          </w:cols>
          <w:pgMar w:left="1440" w:top="1427" w:right="339" w:bottom="1440" w:gutter="0" w:footer="0" w:header="0"/>
        </w:sectPr>
      </w:pPr>
    </w:p>
    <w:bookmarkStart w:id="136" w:name="page137"/>
    <w:bookmarkEnd w:id="136"/>
    <w:p>
      <w:pPr>
        <w:jc w:val="both"/>
        <w:ind w:left="640" w:firstLine="652"/>
        <w:spacing w:after="0" w:line="287" w:lineRule="auto"/>
        <w:tabs>
          <w:tab w:leader="none" w:pos="183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No liability under section 412 or 430 of the Code or Title IV or section 302 or 303 of ERISA has been incurred by Seller or any ERISA Affiliate that has not been satisfied in full, and no condition or circumstance exists, to Seller’s Knowledge, that would be reasonably expected to result in any unsatisfied liability of Seller or any ERISA Affiliate under Title IV or section 302 of ERISA. Any Benefit Plan subject to Title IV of ERISA or any trust established thereunder has satisfied the minimum funding standards of Section 412 of the Code and Section 302 of ERISA, whether or not waived, as of the last day of the most recent fiscal year of each such Benefit Plan ended prior to the Closing Date. There has been no “reportable event” (as such term is defined in Section 4043(c) of ERISA) in connection with any Benefit Plan within the prior three years other than reportable events for which notice is waived under applicable regulations or that would not reasonably be expected to result in material liability to Buyer. No Benefit Plan subject to Title IV of ERISA is a “multiemployer pension plan,” nor is any Benefit Plan subject to Title IV of ERISA a plan described in section 4063(a) of ERISA.</w:t>
      </w:r>
    </w:p>
    <w:p>
      <w:pPr>
        <w:spacing w:after="0" w:line="163" w:lineRule="exact"/>
        <w:rPr>
          <w:rFonts w:ascii="Arial" w:cs="Arial" w:eastAsia="Arial" w:hAnsi="Arial"/>
          <w:sz w:val="19"/>
          <w:szCs w:val="19"/>
          <w:color w:val="auto"/>
        </w:rPr>
      </w:pPr>
    </w:p>
    <w:p>
      <w:pPr>
        <w:ind w:left="640" w:right="20" w:firstLine="652"/>
        <w:spacing w:after="0" w:line="263" w:lineRule="auto"/>
        <w:tabs>
          <w:tab w:leader="none" w:pos="1828"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All contributions required by Law to be made to the Benefit Plans for all periods ending prior to the Closing Date will be paid by Seller to the Benefit Plans within the time required by Law.</w:t>
      </w:r>
    </w:p>
    <w:p>
      <w:pPr>
        <w:spacing w:after="0" w:line="174" w:lineRule="exact"/>
        <w:rPr>
          <w:rFonts w:ascii="Arial" w:cs="Arial" w:eastAsia="Arial" w:hAnsi="Arial"/>
          <w:sz w:val="22"/>
          <w:szCs w:val="22"/>
          <w:color w:val="auto"/>
        </w:rPr>
      </w:pPr>
    </w:p>
    <w:p>
      <w:pPr>
        <w:jc w:val="both"/>
        <w:ind w:left="560" w:firstLine="651"/>
        <w:spacing w:after="0" w:line="294" w:lineRule="auto"/>
        <w:tabs>
          <w:tab w:leader="none" w:pos="17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5.19(d)</w:t>
      </w:r>
      <w:r>
        <w:rPr>
          <w:rFonts w:ascii="Arial" w:cs="Arial" w:eastAsia="Arial" w:hAnsi="Arial"/>
          <w:sz w:val="19"/>
          <w:szCs w:val="19"/>
          <w:color w:val="auto"/>
        </w:rPr>
        <w:t xml:space="preserve"> or as otherwise expressly provided for in </w:t>
      </w:r>
      <w:r>
        <w:rPr>
          <w:rFonts w:ascii="Arial" w:cs="Arial" w:eastAsia="Arial" w:hAnsi="Arial"/>
          <w:sz w:val="19"/>
          <w:szCs w:val="19"/>
          <w:u w:val="single" w:color="auto"/>
          <w:color w:val="auto"/>
        </w:rPr>
        <w:t>Section 7.11</w:t>
      </w:r>
      <w:r>
        <w:rPr>
          <w:rFonts w:ascii="Arial" w:cs="Arial" w:eastAsia="Arial" w:hAnsi="Arial"/>
          <w:sz w:val="19"/>
          <w:szCs w:val="19"/>
          <w:color w:val="auto"/>
        </w:rPr>
        <w:t>, the consummation of the transactions contemplated hereby will not accelerate the vesting or the time of payment, or increase the amount, of any compensation or benefits of any Business Employee. The execution of this Agreement and the consummation of the transactions contemplated hereby, do not constitute a triggering event under any Benefit Plan, which (either alone or upon the occurrence of any additional or subsequent event) will or may result in any “parachute payment” (as such term is defined in Section 280G of the Code).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5.20 </w:t>
      </w:r>
      <w:r>
        <w:rPr>
          <w:rFonts w:ascii="Arial" w:cs="Arial" w:eastAsia="Arial" w:hAnsi="Arial"/>
          <w:sz w:val="22"/>
          <w:szCs w:val="22"/>
          <w:u w:val="single" w:color="auto"/>
          <w:color w:val="auto"/>
        </w:rPr>
        <w:t>Information Technology and Data Security</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47" w:lineRule="auto"/>
        <w:tabs>
          <w:tab w:leader="none" w:pos="172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To Seller’s Knowledge, the IT Assets (i) are functioning properly (in the case of hardware, ordinary wear and tear excepted); (ii) are configured and maintained in a manner reasonably designed to minimize the effects of viruses and do not contain trojan horses, spyware, adware, malware or other malicious code; and (iii) are not suffering any material error, interruption, breakdown, failure, or security breach that has caused material disruption, unauthorized disclosure or corruption of Confidential Information or damage to the Business or the operation of the Purchased Assets;</w:t>
      </w:r>
    </w:p>
    <w:p>
      <w:pPr>
        <w:spacing w:after="0" w:line="192" w:lineRule="exact"/>
        <w:rPr>
          <w:rFonts w:ascii="Arial" w:cs="Arial" w:eastAsia="Arial" w:hAnsi="Arial"/>
          <w:sz w:val="22"/>
          <w:szCs w:val="22"/>
          <w:color w:val="auto"/>
        </w:rPr>
      </w:pPr>
    </w:p>
    <w:p>
      <w:pPr>
        <w:jc w:val="both"/>
        <w:ind w:left="560" w:firstLine="651"/>
        <w:spacing w:after="0" w:line="271" w:lineRule="auto"/>
        <w:tabs>
          <w:tab w:leader="none" w:pos="1726" w:val="left"/>
        </w:tabs>
        <w:numPr>
          <w:ilvl w:val="0"/>
          <w:numId w:val="107"/>
        </w:numPr>
        <w:rPr>
          <w:rFonts w:ascii="Arial" w:cs="Arial" w:eastAsia="Arial" w:hAnsi="Arial"/>
          <w:sz w:val="21"/>
          <w:szCs w:val="21"/>
          <w:color w:val="auto"/>
        </w:rPr>
      </w:pPr>
      <w:r>
        <w:rPr>
          <w:rFonts w:ascii="Arial" w:cs="Arial" w:eastAsia="Arial" w:hAnsi="Arial"/>
          <w:sz w:val="21"/>
          <w:szCs w:val="21"/>
          <w:color w:val="auto"/>
        </w:rPr>
        <w:t>With respect to the Business and the Purchased Assets, Seller maintains sufficient back-ups, disaster recovery and business continuity arrangements, IT systems, software and other hardware and software support and maintenance reasonably designed to reduce (i) the risk of material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580"/>
          </w:cols>
          <w:pgMar w:left="980" w:top="1427" w:right="339" w:bottom="1440" w:gutter="0" w:footer="0" w:header="0"/>
        </w:sectPr>
      </w:pPr>
    </w:p>
    <w:bookmarkStart w:id="137" w:name="page138"/>
    <w:bookmarkEnd w:id="137"/>
    <w:p>
      <w:pPr>
        <w:jc w:val="both"/>
        <w:ind w:left="1220"/>
        <w:spacing w:after="0" w:line="253" w:lineRule="auto"/>
        <w:rPr>
          <w:sz w:val="20"/>
          <w:szCs w:val="20"/>
          <w:color w:val="auto"/>
        </w:rPr>
      </w:pPr>
      <w:r>
        <w:rPr>
          <w:rFonts w:ascii="Arial" w:cs="Arial" w:eastAsia="Arial" w:hAnsi="Arial"/>
          <w:sz w:val="22"/>
          <w:szCs w:val="22"/>
          <w:color w:val="auto"/>
        </w:rPr>
        <w:t>interruption, breakdown, failure and (ii) the risk that, if such event does occur, it would not cause a material disruption, unauthorized disclosure or corruption of Confidential Information, or damage to the Business or the operation of the Purchased Assets;</w:t>
      </w:r>
    </w:p>
    <w:p>
      <w:pPr>
        <w:spacing w:after="0" w:line="185" w:lineRule="exact"/>
        <w:rPr>
          <w:sz w:val="20"/>
          <w:szCs w:val="20"/>
          <w:color w:val="auto"/>
        </w:rPr>
      </w:pPr>
    </w:p>
    <w:p>
      <w:pPr>
        <w:jc w:val="both"/>
        <w:ind w:left="1220" w:firstLine="651"/>
        <w:spacing w:after="0" w:line="286" w:lineRule="auto"/>
        <w:tabs>
          <w:tab w:leader="none" w:pos="248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Seller has, with respect to the Business and the operation of the Purchased Assets, at all times complied in all material respects with all Laws and Contracts, as well as its own internal policies and procedures, relating to rights of publicity, consumer protection, privacy, and data security and the collection, use, storage and disposal of personal information collected, used or held for use by the Business. No Claim has been asserted or threatened in writing alleging a material violation of any person’s rights of publicity or privacy or personal information or data rights and the consummation of the transactions contemplated by this Agreement will not breach or otherwise cause any violation of any policies or procedures, or obligations under any contract to which each Business is a party. Seller has, with respect to the Business and the operation of the Purchased Assets, taken commercially reasonable measures, including all measures required by any applicable Laws, to ensure that personal information (including financial information) and other sensitive information is protected against unauthorized access, use, modification or other misuse. Seller has, with respect to the Business and the operation of the Purchased Assets, reasonable security practices, policies, and procedures designed to reduce (i) the risk of a material error, breakdown, failure, or security breach occurring and (ii) the risk that, if such an event does occur, it would cause a material disruption to the Business; and</w:t>
      </w:r>
    </w:p>
    <w:p>
      <w:pPr>
        <w:spacing w:after="0" w:line="161" w:lineRule="exact"/>
        <w:rPr>
          <w:rFonts w:ascii="Arial" w:cs="Arial" w:eastAsia="Arial" w:hAnsi="Arial"/>
          <w:sz w:val="19"/>
          <w:szCs w:val="19"/>
          <w:color w:val="auto"/>
        </w:rPr>
      </w:pPr>
    </w:p>
    <w:p>
      <w:pPr>
        <w:jc w:val="both"/>
        <w:ind w:left="1220" w:firstLine="651"/>
        <w:spacing w:after="0" w:line="248" w:lineRule="auto"/>
        <w:tabs>
          <w:tab w:leader="none" w:pos="234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Since January 1, 2018, Seller has not suffered any error, breakdown, failure or security breach that has caused any material loss of data, material disruption, material unauthorized disclosure or material corruption of Confidential Information or material damage to the Purchased Assets, the operation of the Purchased Assets or the Business, or that was reportable to any Governmental Entity or any affected individual, in either case in connection with the Business.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5.21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All insurance policies of Seller providing coverage for the Purchased Assets, Assumed Obligations and the Business are in full force and effect, (b) Seller is not in material breach of or default under, and, to Seller’s Knowledge, no event has occurred which, with notice or the lapse of time or both, would constitute such a material breach of or default under, or permit termination or modification under, any such policies, (c) all material premiums due with respect to each such policy have been paid, and (d) since the most recent renewal date, Seller has not received any written notice threatening termination of, material premium increases with respect to, or material alteration of coverage under, any such policies. Seller maintains insurance coverage sufficient in amount to pay all claimed or potential damages with respect to all such actions, suits or proceedings required to be disclosed on </w:t>
      </w:r>
      <w:r>
        <w:rPr>
          <w:rFonts w:ascii="Arial" w:cs="Arial" w:eastAsia="Arial" w:hAnsi="Arial"/>
          <w:sz w:val="19"/>
          <w:szCs w:val="19"/>
          <w:u w:val="single" w:color="auto"/>
          <w:color w:val="auto"/>
        </w:rPr>
        <w:t>Schedule 5.13</w:t>
      </w:r>
      <w:r>
        <w:rPr>
          <w:rFonts w:ascii="Arial" w:cs="Arial" w:eastAsia="Arial" w:hAnsi="Arial"/>
          <w:sz w:val="19"/>
          <w:szCs w:val="19"/>
          <w:color w:val="auto"/>
        </w:rPr>
        <w: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5.22 </w:t>
      </w:r>
      <w:r>
        <w:rPr>
          <w:rFonts w:ascii="Arial" w:cs="Arial" w:eastAsia="Arial" w:hAnsi="Arial"/>
          <w:sz w:val="22"/>
          <w:szCs w:val="22"/>
          <w:u w:val="single" w:color="auto"/>
          <w:color w:val="auto"/>
        </w:rPr>
        <w:t>Real Property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7" w:right="339" w:bottom="1440" w:gutter="0" w:footer="0" w:header="0"/>
        </w:sectPr>
      </w:pPr>
    </w:p>
    <w:bookmarkStart w:id="138" w:name="page139"/>
    <w:bookmarkEnd w:id="138"/>
    <w:p>
      <w:pPr>
        <w:ind w:left="1220" w:right="20" w:firstLine="651"/>
        <w:spacing w:after="0" w:line="263" w:lineRule="auto"/>
        <w:tabs>
          <w:tab w:leader="none" w:pos="245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To Seller’s Knowledge, </w:t>
      </w:r>
      <w:r>
        <w:rPr>
          <w:rFonts w:ascii="Arial" w:cs="Arial" w:eastAsia="Arial" w:hAnsi="Arial"/>
          <w:sz w:val="22"/>
          <w:szCs w:val="22"/>
          <w:u w:val="single" w:color="auto"/>
          <w:color w:val="auto"/>
        </w:rPr>
        <w:t>Schedule 5.22</w:t>
      </w:r>
      <w:r>
        <w:rPr>
          <w:rFonts w:ascii="Arial" w:cs="Arial" w:eastAsia="Arial" w:hAnsi="Arial"/>
          <w:sz w:val="22"/>
          <w:szCs w:val="22"/>
          <w:color w:val="auto"/>
        </w:rPr>
        <w:t xml:space="preserve"> includes all of the Owned Real Property, the Leased Real Property and the Purchased Easements.</w:t>
      </w:r>
    </w:p>
    <w:p>
      <w:pPr>
        <w:spacing w:after="0" w:line="174" w:lineRule="exact"/>
        <w:rPr>
          <w:rFonts w:ascii="Arial" w:cs="Arial" w:eastAsia="Arial" w:hAnsi="Arial"/>
          <w:sz w:val="22"/>
          <w:szCs w:val="22"/>
          <w:color w:val="auto"/>
        </w:rPr>
      </w:pPr>
    </w:p>
    <w:p>
      <w:pPr>
        <w:jc w:val="both"/>
        <w:ind w:left="1220" w:firstLine="651"/>
        <w:spacing w:after="0" w:line="289" w:lineRule="auto"/>
        <w:tabs>
          <w:tab w:leader="none" w:pos="236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Except as would not be reasonably expected to result in a material and adverse effect on the Business or use of the Purchased Assets as a whole in the manner currently conducted, (i) Seller has on the date of this Agreement (and immediately prior to the Closing will have) good and marketable fee simple title to the Owned Real Property and all improvements thereon and good and valid leasehold interests in the Leased Real Property and all improvements thereon (to the extent leased by Seller), and (ii) good and marketable easement interests in the Purchased Easements and all improvements thereon (to the extent held by Seller), free and clear of all Encumbrances except Permitted Encumbrances. The Purchased Easements, together with the Owned Real Property and Leased Real Property, constitute all real property and interests in real property that are used in or otherwise required for the operation of the Business as currently conducted.</w:t>
      </w:r>
    </w:p>
    <w:p>
      <w:pPr>
        <w:spacing w:after="0" w:line="156" w:lineRule="exact"/>
        <w:rPr>
          <w:rFonts w:ascii="Arial" w:cs="Arial" w:eastAsia="Arial" w:hAnsi="Arial"/>
          <w:sz w:val="19"/>
          <w:szCs w:val="19"/>
          <w:color w:val="auto"/>
        </w:rPr>
      </w:pPr>
    </w:p>
    <w:p>
      <w:pPr>
        <w:jc w:val="both"/>
        <w:ind w:left="1220" w:firstLine="651"/>
        <w:spacing w:after="0" w:line="289" w:lineRule="auto"/>
        <w:tabs>
          <w:tab w:leader="none" w:pos="236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Seller has not received any written notice of existing, pending or threatened zoning, building code or other moratorium proceedings, or similar matters except for such proceedings and matters that would not reasonably be expected to materially and adversely affect Buyer’s operation of the Business or use of the Purchased Assets in the manner currently used. Seller has not made any claim that is currently pending under any policy of title insurance insuring its title or interest in any Owned Real Property, Leased Real Property or Purchased Easements. All improvements on the Owned Real Property, Leased Real Property and Purchased Easements are structurally safe and sound without any latent or patent defects, fit for their intended purpose, and in good working order and condition except for such defects or conditions that would not reasonably be expected to materially and adversely affect Buyer’s operation of the Business or use of the Purchase Assets in the manner currently used.</w:t>
      </w:r>
    </w:p>
    <w:p>
      <w:pPr>
        <w:spacing w:after="0" w:line="156" w:lineRule="exact"/>
        <w:rPr>
          <w:rFonts w:ascii="Arial" w:cs="Arial" w:eastAsia="Arial" w:hAnsi="Arial"/>
          <w:sz w:val="19"/>
          <w:szCs w:val="19"/>
          <w:color w:val="auto"/>
        </w:rPr>
      </w:pPr>
    </w:p>
    <w:p>
      <w:pPr>
        <w:ind w:left="1220" w:right="20" w:firstLine="651"/>
        <w:spacing w:after="0" w:line="263" w:lineRule="auto"/>
        <w:tabs>
          <w:tab w:leader="none" w:pos="241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As of the Closing, true, correct and complete copies of all Leases and Purchased Easements in the possession of Seller have been made available to Buyer.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5.23 </w:t>
      </w:r>
      <w:r>
        <w:rPr>
          <w:rFonts w:ascii="Arial" w:cs="Arial" w:eastAsia="Arial" w:hAnsi="Arial"/>
          <w:sz w:val="22"/>
          <w:szCs w:val="22"/>
          <w:u w:val="single" w:color="auto"/>
          <w:color w:val="auto"/>
        </w:rPr>
        <w:t>Brokers and Finders</w:t>
      </w:r>
      <w:r>
        <w:rPr>
          <w:rFonts w:ascii="Arial" w:cs="Arial" w:eastAsia="Arial" w:hAnsi="Arial"/>
          <w:sz w:val="22"/>
          <w:szCs w:val="22"/>
          <w:color w:val="auto"/>
        </w:rPr>
        <w:t>. No broker, finder, or other Person is entitled to any brokerage fees, commissions, or finder’s fees for which Buyer or its Affiliates could become liable or obligated in connection with the transactions contemplated hereby by reason of any action taken by Seller or any of its Affiliates.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5.24 </w:t>
      </w:r>
      <w:r>
        <w:rPr>
          <w:rFonts w:ascii="Arial" w:cs="Arial" w:eastAsia="Arial" w:hAnsi="Arial"/>
          <w:sz w:val="22"/>
          <w:szCs w:val="22"/>
          <w:u w:val="single" w:color="auto"/>
          <w:color w:val="auto"/>
        </w:rPr>
        <w:t>Exclusivity of Representations and Warranties</w:t>
      </w:r>
      <w:r>
        <w:rPr>
          <w:rFonts w:ascii="Arial" w:cs="Arial" w:eastAsia="Arial" w:hAnsi="Arial"/>
          <w:sz w:val="22"/>
          <w:szCs w:val="22"/>
          <w:color w:val="auto"/>
        </w:rPr>
        <w:t xml:space="preserve">. Neither Seller nor any of its Affiliates or Seller’s Representatives is making any representation or warranty of any kind or nature whatsoever, oral or written, express or implied (including any relating to financial condition or results of operations of the Business or maintenance, repair, condition, design, performance, value, merchantability or fitness for any particular purpose of the Purchased Assets), except as expressly set forth in this </w:t>
      </w:r>
      <w:r>
        <w:rPr>
          <w:rFonts w:ascii="Arial" w:cs="Arial" w:eastAsia="Arial" w:hAnsi="Arial"/>
          <w:sz w:val="22"/>
          <w:szCs w:val="22"/>
          <w:u w:val="single" w:color="auto"/>
          <w:color w:val="auto"/>
        </w:rPr>
        <w:t>Article V</w:t>
      </w:r>
      <w:r>
        <w:rPr>
          <w:rFonts w:ascii="Arial" w:cs="Arial" w:eastAsia="Arial" w:hAnsi="Arial"/>
          <w:sz w:val="22"/>
          <w:szCs w:val="22"/>
          <w:color w:val="auto"/>
        </w:rPr>
        <w:t>, the Special Warranty Deeds, and the Seller Disclosure Schedules or any certificates delivered pursuant to this Agreement or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7" w:right="339" w:bottom="1440" w:gutter="0" w:footer="0" w:header="0"/>
        </w:sectPr>
      </w:pPr>
    </w:p>
    <w:bookmarkStart w:id="139" w:name="page140"/>
    <w:bookmarkEnd w:id="139"/>
    <w:p>
      <w:pPr>
        <w:spacing w:after="0"/>
        <w:rPr>
          <w:sz w:val="20"/>
          <w:szCs w:val="20"/>
          <w:color w:val="auto"/>
        </w:rPr>
      </w:pPr>
      <w:r>
        <w:rPr>
          <w:rFonts w:ascii="Arial" w:cs="Arial" w:eastAsia="Arial" w:hAnsi="Arial"/>
          <w:sz w:val="21"/>
          <w:szCs w:val="21"/>
          <w:color w:val="auto"/>
        </w:rPr>
        <w:t>transactions contemplated by this Agreement, and Seller hereby disclaims any such other representations or warranties.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Buyer hereby represents and warrants to Seller, as of the date hereof and, except to the extent expressly made only as of an earlier date, as of the Closing:</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Buyer is a limited liability company duly organized, validly existing, and in good standing under the laws of Delaware and has all requisite corporate power and authority to own, lease and operate its assets and to carry on its business as presently conducted. As of the Closing, Buyer will be duly qualified or licensed to do business as a foreign entity and is in good standing in each jurisdiction in which the conduct of the Business, or the ownership or operation of any Purchased Assets, by Buyer makes such qualification necessary, except, in each case, for any such failures that would not, individually or in the aggregate, have a material adverse effect on the ability of Buyer to perform its obligations under this Agreement or consummate the transactions contemplated hereby on a timely basis.</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Authority and Enforceability</w:t>
      </w:r>
      <w:r>
        <w:rPr>
          <w:rFonts w:ascii="Arial" w:cs="Arial" w:eastAsia="Arial" w:hAnsi="Arial"/>
          <w:sz w:val="19"/>
          <w:szCs w:val="19"/>
          <w:color w:val="auto"/>
        </w:rPr>
        <w:t>. Buyer has all limited liability company power and authority necessary to execute and deliver, and to perform its obligations under, and, subject to the satisfaction of the closing conditions, to consummate the transactions contemplated by, this Agreement and the Ancillary Agreements. The execution, delivery and performance by Buyer of this Agreement and the Ancillary Agreements and the consummation of the transactions contemplated hereby and thereby have been duly and validly authorized by the sole member of Buyer, and no other limited liability company proceedings on the part of Buyer are necessary to authorize this Agreement or any Ancillary Agreement or to consummate the transactions contemplated hereby or thereby. This Agreement has been duly and validly executed and delivered by Buyer, and, assuming this Agreement constitutes the legal, valid and binding agreement of Seller, this Agreement constitutes a valid and binding agreement of Buyer, enforceable against Buyer in accordance with its terms, except as such enforceability may be limited by applicable bankruptcy, insolvency, reorganization, fraudulent conveyance, moratorium, or other similar Laws affecting or relating to enforcement of creditors’ rights generally or general principles of equity. At the Closing, each Ancillary Agreement to which Buyer is contemplated to be a party will be duly and validly executed and delivered by Buyer and, assuming such Ancillary Agreement constitutes the legal, valid and binding agreement of the other parties thereto, will constitute a valid and binding agreement of Buyer, enforceable against Buyer in accordance with its terms, except as such enforceability may be limited by applicable bankruptcy, insolvency, reorganization, fraudulent conveyance, moratorium, or other similar Laws affecting or relating to enforcement of creditors’ rights generally or general principles of equity.</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No Conflicts; Consents</w:t>
      </w:r>
      <w:r>
        <w:rPr>
          <w:rFonts w:ascii="Arial" w:cs="Arial" w:eastAsia="Arial" w:hAnsi="Arial"/>
          <w:sz w:val="19"/>
          <w:szCs w:val="19"/>
          <w:color w:val="auto"/>
        </w:rPr>
        <w:t>. Neither the execution, delivery and performance by Buyer of this Agreement or 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Ancillary Agreement, nor the consummation of the transactions contemplated hereby or thereby,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7" w:right="339" w:bottom="1440" w:gutter="0" w:footer="0" w:header="0"/>
        </w:sectPr>
      </w:pPr>
    </w:p>
    <w:bookmarkStart w:id="140" w:name="page141"/>
    <w:bookmarkEnd w:id="140"/>
    <w:p>
      <w:pPr>
        <w:ind w:left="1660" w:hanging="449"/>
        <w:spacing w:after="0"/>
        <w:tabs>
          <w:tab w:leader="none" w:pos="16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violate or conflict with any of Buyer’s Governing Documents;</w:t>
      </w:r>
    </w:p>
    <w:p>
      <w:pPr>
        <w:spacing w:after="0" w:line="219" w:lineRule="exact"/>
        <w:rPr>
          <w:rFonts w:ascii="Arial" w:cs="Arial" w:eastAsia="Arial" w:hAnsi="Arial"/>
          <w:sz w:val="22"/>
          <w:szCs w:val="22"/>
          <w:color w:val="auto"/>
        </w:rPr>
      </w:pPr>
    </w:p>
    <w:p>
      <w:pPr>
        <w:jc w:val="both"/>
        <w:ind w:left="560" w:firstLine="651"/>
        <w:spacing w:after="0" w:line="248" w:lineRule="auto"/>
        <w:tabs>
          <w:tab w:leader="none" w:pos="169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assuming that all of the Required Regulatory Approvals have been made or obtained, violate any Law or Order applicable to Buyer, except for any such violations of Law or Order that would not have a material adverse effect on the ability of Buyer to perform its obligations under this Agreement or consummate the transactions contemplated hereby on a timely basis or arise as a result of any facts or circumstances relating to Seller or any of its Affiliates;</w:t>
      </w:r>
    </w:p>
    <w:p>
      <w:pPr>
        <w:spacing w:after="0" w:line="191" w:lineRule="exact"/>
        <w:rPr>
          <w:rFonts w:ascii="Arial" w:cs="Arial" w:eastAsia="Arial" w:hAnsi="Arial"/>
          <w:sz w:val="22"/>
          <w:szCs w:val="22"/>
          <w:color w:val="auto"/>
        </w:rPr>
      </w:pPr>
    </w:p>
    <w:p>
      <w:pPr>
        <w:jc w:val="both"/>
        <w:ind w:left="560" w:firstLine="651"/>
        <w:spacing w:after="0" w:line="260" w:lineRule="auto"/>
        <w:tabs>
          <w:tab w:leader="none" w:pos="167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other than the Required Regulatory Approvals, require any declaration, filing, or registration by Buyer or any of its Affiliates with, or notice by Buyer or any of its Affiliates to, or authorization, consent, or approval with respect to Buyer or any of its Affiliates of, any Governmental Entity, except for any such declarations, filings, registrations, notices, authorizations, consents, or approvals (i) the failure of which to obtain or make would not have a material adverse effect on the ability of Buyer to perform its obligations under this Agreement or consummate the transactions contemplated hereby on a timely basis or (ii) that arise as a result of any facts or circumstances relating to Seller or any of its Affiliates; or</w:t>
      </w:r>
    </w:p>
    <w:p>
      <w:pPr>
        <w:spacing w:after="0" w:line="180" w:lineRule="exact"/>
        <w:rPr>
          <w:rFonts w:ascii="Arial" w:cs="Arial" w:eastAsia="Arial" w:hAnsi="Arial"/>
          <w:sz w:val="21"/>
          <w:szCs w:val="21"/>
          <w:color w:val="auto"/>
        </w:rPr>
      </w:pPr>
    </w:p>
    <w:p>
      <w:pPr>
        <w:jc w:val="both"/>
        <w:ind w:left="560" w:firstLine="651"/>
        <w:spacing w:after="0" w:line="259" w:lineRule="auto"/>
        <w:tabs>
          <w:tab w:leader="none" w:pos="1703"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assuming that all of the Required Regulatory Approvals have been made or obtained, violate, conflict with, result in a breach of, require any consent or approval of, or (with or without notice or lapse of time or both) constitute a default, give rise to any right of modification, acceleration, payment, cancellation or termination under or pursuant to any loan agreement, note, bond, mortgage, indenture, or other material instrument or agreement to which Buyer or its Affiliates is a party or by which Buyer or any of its Affiliates or any of their assets may be bound, except for any such violations, conflicts, breaches, consents, approvals, defaults or other occurrences that (i) would not have a material adverse effect on the ability of Buyer to perform its obligations under this Agreement or consummate the transactions contemplated hereby on a timely basis or (ii) arise as a result of any facts or circumstances relating to Seller or any of its Affiliates.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Financial Capability</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90" w:lineRule="auto"/>
        <w:tabs>
          <w:tab w:leader="none" w:pos="169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Buyer has delivered to the Seller true and complete fully executed copies of (i) executed commitment letter(s), dated as of the date hereof between Buyer and the Financing Sources party thereto (including all exhibits, schedules and annexes thereto, and the executed fee letter (the “</w:t>
      </w:r>
      <w:r>
        <w:rPr>
          <w:rFonts w:ascii="Arial" w:cs="Arial" w:eastAsia="Arial" w:hAnsi="Arial"/>
          <w:sz w:val="19"/>
          <w:szCs w:val="19"/>
          <w:u w:val="single" w:color="auto"/>
          <w:color w:val="auto"/>
        </w:rPr>
        <w:t>Fee Letter</w:t>
      </w:r>
      <w:r>
        <w:rPr>
          <w:rFonts w:ascii="Arial" w:cs="Arial" w:eastAsia="Arial" w:hAnsi="Arial"/>
          <w:sz w:val="19"/>
          <w:szCs w:val="19"/>
          <w:color w:val="auto"/>
        </w:rPr>
        <w:t xml:space="preserve">”) associated therewith (provided that the amount of fees, flex provisions, pricing terms and pricing caps set forth in any commitment letter or the Fee Letter may be redacted; provided, further, that none of the redacted terms (x) could reasonably be expected to adversely affect the availability of the Debt Financing or (y) affect the conditionality, enforceability, availability or aggregate principal amount of the Debt Financing), as the same may be amended pursuant to </w:t>
      </w:r>
      <w:r>
        <w:rPr>
          <w:rFonts w:ascii="Arial" w:cs="Arial" w:eastAsia="Arial" w:hAnsi="Arial"/>
          <w:sz w:val="19"/>
          <w:szCs w:val="19"/>
          <w:u w:val="single" w:color="auto"/>
          <w:color w:val="auto"/>
        </w:rPr>
        <w:t>Section 7.21</w:t>
      </w:r>
      <w:r>
        <w:rPr>
          <w:rFonts w:ascii="Arial" w:cs="Arial" w:eastAsia="Arial" w:hAnsi="Arial"/>
          <w:sz w:val="19"/>
          <w:szCs w:val="19"/>
          <w:color w:val="auto"/>
        </w:rPr>
        <w:t>, collectively, the “</w:t>
      </w:r>
      <w:r>
        <w:rPr>
          <w:rFonts w:ascii="Arial" w:cs="Arial" w:eastAsia="Arial" w:hAnsi="Arial"/>
          <w:sz w:val="19"/>
          <w:szCs w:val="19"/>
          <w:u w:val="single" w:color="auto"/>
          <w:color w:val="auto"/>
        </w:rPr>
        <w:t>Debt Financing Commitment Letter</w:t>
      </w:r>
      <w:r>
        <w:rPr>
          <w:rFonts w:ascii="Arial" w:cs="Arial" w:eastAsia="Arial" w:hAnsi="Arial"/>
          <w:sz w:val="19"/>
          <w:szCs w:val="19"/>
          <w:color w:val="auto"/>
        </w:rPr>
        <w:t>” and, together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580"/>
          </w:cols>
          <w:pgMar w:left="980" w:top="1427" w:right="339" w:bottom="1440" w:gutter="0" w:footer="0" w:header="0"/>
        </w:sectPr>
      </w:pPr>
    </w:p>
    <w:bookmarkStart w:id="141" w:name="page142"/>
    <w:bookmarkEnd w:id="141"/>
    <w:p>
      <w:pPr>
        <w:jc w:val="both"/>
        <w:ind w:left="100"/>
        <w:spacing w:after="0" w:line="258" w:lineRule="auto"/>
        <w:rPr>
          <w:sz w:val="20"/>
          <w:szCs w:val="20"/>
          <w:color w:val="auto"/>
        </w:rPr>
      </w:pPr>
      <w:r>
        <w:rPr>
          <w:rFonts w:ascii="Arial" w:cs="Arial" w:eastAsia="Arial" w:hAnsi="Arial"/>
          <w:sz w:val="21"/>
          <w:szCs w:val="21"/>
          <w:color w:val="auto"/>
        </w:rPr>
        <w:t>Equity Commitment Letter, the “</w:t>
      </w:r>
      <w:r>
        <w:rPr>
          <w:rFonts w:ascii="Arial" w:cs="Arial" w:eastAsia="Arial" w:hAnsi="Arial"/>
          <w:sz w:val="21"/>
          <w:szCs w:val="21"/>
          <w:u w:val="single" w:color="auto"/>
          <w:color w:val="auto"/>
        </w:rPr>
        <w:t>Financing Commitment Letters</w:t>
      </w:r>
      <w:r>
        <w:rPr>
          <w:rFonts w:ascii="Arial" w:cs="Arial" w:eastAsia="Arial" w:hAnsi="Arial"/>
          <w:sz w:val="21"/>
          <w:szCs w:val="21"/>
          <w:color w:val="auto"/>
        </w:rPr>
        <w:t>”) pursuant to which the lender parties thereto have agreed, subject to the terms and conditions thereof, to provide or cause to be provided the debt financing in the amounts set forth therein (the “</w:t>
      </w:r>
      <w:r>
        <w:rPr>
          <w:rFonts w:ascii="Arial" w:cs="Arial" w:eastAsia="Arial" w:hAnsi="Arial"/>
          <w:sz w:val="21"/>
          <w:szCs w:val="21"/>
          <w:u w:val="single" w:color="auto"/>
          <w:color w:val="auto"/>
        </w:rPr>
        <w:t>Debt Financing</w:t>
      </w:r>
      <w:r>
        <w:rPr>
          <w:rFonts w:ascii="Arial" w:cs="Arial" w:eastAsia="Arial" w:hAnsi="Arial"/>
          <w:sz w:val="21"/>
          <w:szCs w:val="21"/>
          <w:color w:val="auto"/>
        </w:rPr>
        <w:t>”) and (ii) the Equity Commitment Letter, pursuant to which the Equity Provider has agreed and committed, subject to the terms and conditions thereof, to invest in Buyer, directly or indirectly, the cash amounts set forth therein (such financing, the “</w:t>
      </w:r>
      <w:r>
        <w:rPr>
          <w:rFonts w:ascii="Arial" w:cs="Arial" w:eastAsia="Arial" w:hAnsi="Arial"/>
          <w:sz w:val="21"/>
          <w:szCs w:val="21"/>
          <w:u w:val="single" w:color="auto"/>
          <w:color w:val="auto"/>
        </w:rPr>
        <w:t>Equity Financing</w:t>
      </w:r>
      <w:r>
        <w:rPr>
          <w:rFonts w:ascii="Arial" w:cs="Arial" w:eastAsia="Arial" w:hAnsi="Arial"/>
          <w:sz w:val="21"/>
          <w:szCs w:val="21"/>
          <w:color w:val="auto"/>
        </w:rPr>
        <w:t>” and, together with the Debt Financing, the “</w:t>
      </w:r>
      <w:r>
        <w:rPr>
          <w:rFonts w:ascii="Arial" w:cs="Arial" w:eastAsia="Arial" w:hAnsi="Arial"/>
          <w:sz w:val="21"/>
          <w:szCs w:val="21"/>
          <w:u w:val="single" w:color="auto"/>
          <w:color w:val="auto"/>
        </w:rPr>
        <w:t>Financing Commitments</w:t>
      </w:r>
      <w:r>
        <w:rPr>
          <w:rFonts w:ascii="Arial" w:cs="Arial" w:eastAsia="Arial" w:hAnsi="Arial"/>
          <w:sz w:val="21"/>
          <w:szCs w:val="21"/>
          <w:color w:val="auto"/>
        </w:rPr>
        <w:t>”) for the purpose of satisfying Buyer’s obligations under this Agreement and to consummate the transactions contemplated hereby and to pay all fees and expenses reasonably expected to be incurred in connection herewith and with the Financing. The Equity Commitment Letter provides that the Seller is an express third-party beneficiary thereof and Buyer and the Equity Provider will not oppose the granting of an injunction, specific performance or other equitable relief in connection with the exercise of such third-party beneficiary rights.</w:t>
      </w:r>
    </w:p>
    <w:p>
      <w:pPr>
        <w:spacing w:after="0" w:line="182" w:lineRule="exact"/>
        <w:rPr>
          <w:sz w:val="20"/>
          <w:szCs w:val="20"/>
          <w:color w:val="auto"/>
        </w:rPr>
      </w:pPr>
    </w:p>
    <w:p>
      <w:pPr>
        <w:jc w:val="both"/>
        <w:ind w:left="100" w:firstLine="651"/>
        <w:spacing w:after="0" w:line="286" w:lineRule="auto"/>
        <w:tabs>
          <w:tab w:leader="none" w:pos="125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As of the date of this Agreement, the Financing Commitment Letters and the terms of the Financing Commitments have not been withdrawn (and no party thereto has indicated an intent to so withdraw), amended, restated or otherwise modified or waived, and the respective commitments contained therein have not been withdrawn, modified or rescinded in any respect, and, except as permitted by </w:t>
      </w:r>
      <w:r>
        <w:rPr>
          <w:rFonts w:ascii="Arial" w:cs="Arial" w:eastAsia="Arial" w:hAnsi="Arial"/>
          <w:sz w:val="19"/>
          <w:szCs w:val="19"/>
          <w:u w:val="single" w:color="auto"/>
          <w:color w:val="auto"/>
        </w:rPr>
        <w:t>Section 7.21</w:t>
      </w:r>
      <w:r>
        <w:rPr>
          <w:rFonts w:ascii="Arial" w:cs="Arial" w:eastAsia="Arial" w:hAnsi="Arial"/>
          <w:sz w:val="19"/>
          <w:szCs w:val="19"/>
          <w:color w:val="auto"/>
        </w:rPr>
        <w:t xml:space="preserve"> or as otherwise agreed to in writing by the Seller, no such amendment, restatement or modification thereto is contemplated; provided that the existence or exercise of “market flex” provisions contained in the Fee Letter shall not constitute an amendment or modification of the Debt Financing Commitment Letter. As of the date of this Agreement, the Financing Commitment Letters are in full force and effect and constitute the legal, valid and binding obligation of the Buyer and, to the knowledge of Buyer, the other parties thereto, enforceable against each party thereto in accordance with its terms (in each case, except as such enforceability may be limited by applicable bankruptcy, insolvency, fraudulent conveyance, reorganization, rehabilitation, liquidation, preferential transfer, moratorium and similar Laws now or hereafter affecting creditors’ rights generally and subject, as to enforceability, to general principles of equity (regardless of whether enforcement is sought in a proceeding at equity or law)).</w:t>
      </w:r>
    </w:p>
    <w:p>
      <w:pPr>
        <w:spacing w:after="0" w:line="165" w:lineRule="exact"/>
        <w:rPr>
          <w:rFonts w:ascii="Arial" w:cs="Arial" w:eastAsia="Arial" w:hAnsi="Arial"/>
          <w:sz w:val="19"/>
          <w:szCs w:val="19"/>
          <w:color w:val="auto"/>
        </w:rPr>
      </w:pPr>
    </w:p>
    <w:p>
      <w:pPr>
        <w:jc w:val="both"/>
        <w:ind w:left="100" w:firstLine="651"/>
        <w:spacing w:after="0" w:line="297" w:lineRule="auto"/>
        <w:tabs>
          <w:tab w:leader="none" w:pos="122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There are no side letters or other legally binding agreements, contracts or arrangements relating to the funding or investing, as applicable, of the full amount of the Equity Financing or the Debt Financing, other than as expressly set forth in the Equity Commitment Letter or the Debt Financing Commitment Letter, as applicable. Neither the Equity Financing nor the Debt Financing is subject to any conditions precedent other than those expressly set forth in the Equity Commitment Letter or the Debt Financing Commitment Letter,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120"/>
          </w:cols>
          <w:pgMar w:left="1440" w:top="1427" w:right="339" w:bottom="1440" w:gutter="0" w:footer="0" w:header="0"/>
        </w:sectPr>
      </w:pPr>
    </w:p>
    <w:bookmarkStart w:id="142" w:name="page143"/>
    <w:bookmarkEnd w:id="142"/>
    <w:p>
      <w:pPr>
        <w:jc w:val="both"/>
        <w:ind w:left="1220" w:firstLine="651"/>
        <w:spacing w:after="0" w:line="248" w:lineRule="auto"/>
        <w:tabs>
          <w:tab w:leader="none" w:pos="234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Assuming the funding in full of the Financing, the net proceeds of the Financing Commitments, when funded in accordance with the Financing Commitment Letters, will be, in the aggregate, sufficient for the satisfaction of Buyer’s obligations under this Agreement and to consummate the transactions contemplated hereby and to pay all fees and expenses reasonably expected to be incurred in connection herewith and with the Financing Commitments.</w:t>
      </w:r>
    </w:p>
    <w:p>
      <w:pPr>
        <w:spacing w:after="0" w:line="191" w:lineRule="exact"/>
        <w:rPr>
          <w:rFonts w:ascii="Arial" w:cs="Arial" w:eastAsia="Arial" w:hAnsi="Arial"/>
          <w:sz w:val="22"/>
          <w:szCs w:val="22"/>
          <w:color w:val="auto"/>
        </w:rPr>
      </w:pPr>
    </w:p>
    <w:p>
      <w:pPr>
        <w:jc w:val="both"/>
        <w:ind w:left="1220" w:firstLine="651"/>
        <w:spacing w:after="0" w:line="289" w:lineRule="auto"/>
        <w:tabs>
          <w:tab w:leader="none" w:pos="236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As of the date of this Agreement, (i) to the knowledge of Buyer, no event has occurred which would constitute or would reasonably be expected to constitute a breach or default (or an event which with notice or lapse of time or both would constitute or would reasonably be expected to constitute a default) on the part of any party to the Financing Commitment Letters, under the Financing Commitment Letters, and (ii) Buyer has no reason to believe that any of the conditions to the Financing Commitments will not be satisfied (or that the full amount of the Equity Financing and the full amount of the Debt Financing will not be available to Buyer) on or prior to the Closing Date. Buyer will fully pay when due (and has paid to the extent required to be paid prior to the date of this Agreement) any and all commitment and other fees, costs and expenses that are required to be paid pursuant to the Financing Commitment Letters or otherwise in connection with the Financing Commitments.</w:t>
      </w:r>
    </w:p>
    <w:p>
      <w:pPr>
        <w:spacing w:after="0" w:line="156" w:lineRule="exact"/>
        <w:rPr>
          <w:rFonts w:ascii="Arial" w:cs="Arial" w:eastAsia="Arial" w:hAnsi="Arial"/>
          <w:sz w:val="19"/>
          <w:szCs w:val="19"/>
          <w:color w:val="auto"/>
        </w:rPr>
      </w:pPr>
    </w:p>
    <w:p>
      <w:pPr>
        <w:jc w:val="both"/>
        <w:ind w:left="1220" w:firstLine="651"/>
        <w:spacing w:after="0" w:line="248" w:lineRule="auto"/>
        <w:tabs>
          <w:tab w:leader="none" w:pos="235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parties acknowledge and agree that it shall not be a condition to the obligations of Buyer to consummate the transactions contemplated by this Agreement or any of its obligations under this Agreement that Buyer continue to have access to the financing contemplated by the Financing Commitments (i.e., Buyer’s obligations are not conditioned upon the availability of financing).</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Brokers and Finders</w:t>
      </w:r>
      <w:r>
        <w:rPr>
          <w:rFonts w:ascii="Arial" w:cs="Arial" w:eastAsia="Arial" w:hAnsi="Arial"/>
          <w:sz w:val="22"/>
          <w:szCs w:val="22"/>
          <w:color w:val="auto"/>
        </w:rPr>
        <w:t>. No broker, finder, or other Person is entitled to any brokerage fees, commissions, or finder’s fees for which Seller or its Affiliates could become liable or obligated in connection with the transactions contemplated hereby by reason of any action taken by Buyer or any of its Affiliates.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Legal Proceedings</w:t>
      </w:r>
      <w:r>
        <w:rPr>
          <w:rFonts w:ascii="Arial" w:cs="Arial" w:eastAsia="Arial" w:hAnsi="Arial"/>
          <w:sz w:val="22"/>
          <w:szCs w:val="22"/>
          <w:color w:val="auto"/>
        </w:rPr>
        <w:t>. There are no pending or, to Buyer’s knowledge, threatened in writing, Claims that would, individually or in the aggregate, have a material adverse effect on the ability of Buyer to perform its obligations under this Agreement or consummate the transactions contemplated hereby on a timely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Regulation as a Utility</w:t>
      </w:r>
      <w:r>
        <w:rPr>
          <w:rFonts w:ascii="Arial" w:cs="Arial" w:eastAsia="Arial" w:hAnsi="Arial"/>
          <w:sz w:val="22"/>
          <w:szCs w:val="22"/>
          <w:color w:val="auto"/>
        </w:rPr>
        <w:t>. As of the date of this Agreement, Buyer is not subject to regulation as a public utility or public service company (or similar designation) by the United States, any state of the United States, any foreign country or any municipality or any political subdivision of the foregoing.</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Investigation by Buyer</w:t>
      </w:r>
      <w:r>
        <w:rPr>
          <w:rFonts w:ascii="Arial" w:cs="Arial" w:eastAsia="Arial" w:hAnsi="Arial"/>
          <w:sz w:val="22"/>
          <w:szCs w:val="22"/>
          <w:color w:val="auto"/>
        </w:rPr>
        <w:t>. Buyer has performed all due diligence that it has deemed necessary to perform concerning the Business, the Purchased Assets, and the Assumed Obligations in connection with its decision to enter into this Agreement and the Ancillary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7" w:right="339" w:bottom="1440" w:gutter="0" w:footer="0" w:header="0"/>
        </w:sectPr>
      </w:pPr>
    </w:p>
    <w:bookmarkStart w:id="143" w:name="page144"/>
    <w:bookmarkEnd w:id="143"/>
    <w:p>
      <w:pPr>
        <w:jc w:val="both"/>
        <w:spacing w:after="0" w:line="312" w:lineRule="auto"/>
        <w:rPr>
          <w:sz w:val="20"/>
          <w:szCs w:val="20"/>
          <w:color w:val="auto"/>
        </w:rPr>
      </w:pPr>
      <w:r>
        <w:rPr>
          <w:rFonts w:ascii="Arial" w:cs="Arial" w:eastAsia="Arial" w:hAnsi="Arial"/>
          <w:sz w:val="19"/>
          <w:szCs w:val="19"/>
          <w:color w:val="auto"/>
        </w:rPr>
        <w:t>Agreements and to consummate the transactions contemplated hereby and thereby and acknowledges that Buyer and Buyer’s Representatives have been provided access to the personnel, properties, premises and records of Seller for such purpose. In entering into this Agreement, Buyer has relied solely upon its own investigation and analysis, and Buyer:</w:t>
      </w:r>
    </w:p>
    <w:p>
      <w:pPr>
        <w:spacing w:after="0" w:line="133" w:lineRule="exact"/>
        <w:rPr>
          <w:sz w:val="20"/>
          <w:szCs w:val="20"/>
          <w:color w:val="auto"/>
        </w:rPr>
      </w:pPr>
    </w:p>
    <w:p>
      <w:pPr>
        <w:jc w:val="both"/>
        <w:ind w:left="1220" w:firstLine="651"/>
        <w:spacing w:after="0" w:line="261" w:lineRule="auto"/>
        <w:tabs>
          <w:tab w:leader="none" w:pos="238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acknowledges that none of Seller or any of its Affiliates or any of Seller’s Representatives makes or has made any representation or warranty, of any kind or nature whatsoever, either express or implied, oral or written, as to the accuracy or completeness of any of the information provided or made available to Buyer or Buyer’s Representatives, except that the foregoing limitations shall not apply with respect to Seller to the specific representations and warranties set forth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this Agreement or any Ancillary Agreement, but always subject to the limitations and restrictions contained herein;</w:t>
      </w:r>
    </w:p>
    <w:p>
      <w:pPr>
        <w:spacing w:after="0" w:line="179" w:lineRule="exact"/>
        <w:rPr>
          <w:rFonts w:ascii="Arial" w:cs="Arial" w:eastAsia="Arial" w:hAnsi="Arial"/>
          <w:sz w:val="21"/>
          <w:szCs w:val="21"/>
          <w:color w:val="auto"/>
        </w:rPr>
      </w:pPr>
    </w:p>
    <w:p>
      <w:pPr>
        <w:jc w:val="both"/>
        <w:ind w:left="1220" w:firstLine="651"/>
        <w:spacing w:after="0" w:line="287" w:lineRule="auto"/>
        <w:tabs>
          <w:tab w:leader="none" w:pos="236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agrees, to the fullest extent permitted by applicable Law, that none of Seller or any of its Affiliates or any of Seller’s Representatives shall have any liability or responsibility whatsoever to Buyer on any basis based upon any information provided or made available, or statements made, whether oral or written, to Buyer or Buyer’s Representatives (including any documents, financial statements, estimates, budgets, forecasts, including forecasted natural gas demand, information, projected information, third party reports, such as the quality of earnings report or the market and regulatory vendor due diligence report, or other material), in any “data rooms,” teaser, confidential information memorandum, due diligence discussions, management presentations or otherwise in connection with the transactions contemplated by this Agreement except with respect to the representations and warranties in this Agreement and the Ancillary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6.8(b)</w:t>
      </w:r>
      <w:r>
        <w:rPr>
          <w:rFonts w:ascii="Arial" w:cs="Arial" w:eastAsia="Arial" w:hAnsi="Arial"/>
          <w:sz w:val="19"/>
          <w:szCs w:val="19"/>
          <w:color w:val="auto"/>
        </w:rPr>
        <w:t xml:space="preserve"> shall in any way be deemed to limit or modify any rights of Buyer or its Affiliates under the Insurance Policy or inhibit Buyer from obtaining any remedies Buyer may have against any insurer under the Insurance Policy;</w:t>
      </w:r>
    </w:p>
    <w:p>
      <w:pPr>
        <w:spacing w:after="0" w:line="163" w:lineRule="exact"/>
        <w:rPr>
          <w:rFonts w:ascii="Arial" w:cs="Arial" w:eastAsia="Arial" w:hAnsi="Arial"/>
          <w:sz w:val="19"/>
          <w:szCs w:val="19"/>
          <w:color w:val="auto"/>
        </w:rPr>
      </w:pPr>
    </w:p>
    <w:p>
      <w:pPr>
        <w:jc w:val="both"/>
        <w:ind w:left="1220" w:firstLine="651"/>
        <w:spacing w:after="0" w:line="247" w:lineRule="auto"/>
        <w:tabs>
          <w:tab w:leader="none" w:pos="247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acknowledges that there are inherent uncertainties in any estimates, budgets, forecasts, including forecasted natural gas demand, third party reports, projected information estimates or similar information and that Buyer takes full responsibility for making its own evaluation of the adequacy and accuracy of any such estimates, budgets, forecasts, third party reports projected information estimates or similar information (including the reasonableness of the assumptions underlying any such estimates, budgets, forecasts, projected information estimates or similar information); and</w:t>
      </w:r>
    </w:p>
    <w:p>
      <w:pPr>
        <w:spacing w:after="0" w:line="192" w:lineRule="exact"/>
        <w:rPr>
          <w:rFonts w:ascii="Arial" w:cs="Arial" w:eastAsia="Arial" w:hAnsi="Arial"/>
          <w:sz w:val="22"/>
          <w:szCs w:val="22"/>
          <w:color w:val="auto"/>
        </w:rPr>
      </w:pPr>
    </w:p>
    <w:p>
      <w:pPr>
        <w:jc w:val="both"/>
        <w:ind w:left="1220" w:firstLine="651"/>
        <w:spacing w:after="0" w:line="253" w:lineRule="auto"/>
        <w:tabs>
          <w:tab w:leader="none" w:pos="246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acknowledges that, except as expressly set forth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of this Agreement or the Ancillary Agreements, there are no representations or warranties of any kind, express or implied, oral or written, with respect to the Business, the Purchased Assets or the Assumed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Exclusivity of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7" w:right="339" w:bottom="1440" w:gutter="0" w:footer="0" w:header="0"/>
        </w:sectPr>
      </w:pPr>
    </w:p>
    <w:bookmarkStart w:id="144" w:name="page145"/>
    <w:bookmarkEnd w:id="144"/>
    <w:p>
      <w:pPr>
        <w:jc w:val="both"/>
        <w:ind w:firstLine="8"/>
        <w:spacing w:after="0" w:line="250" w:lineRule="auto"/>
        <w:tabs>
          <w:tab w:leader="none" w:pos="13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Neither Buyer nor any of its Affiliates or Buyer’s Representatives is making any representation or warranty of any kind or nature whatsoever, oral or written, express or implied, except as expressly set forth in this </w:t>
      </w:r>
      <w:r>
        <w:rPr>
          <w:rFonts w:ascii="Arial" w:cs="Arial" w:eastAsia="Arial" w:hAnsi="Arial"/>
          <w:sz w:val="22"/>
          <w:szCs w:val="22"/>
          <w:u w:val="single" w:color="auto"/>
          <w:color w:val="auto"/>
        </w:rPr>
        <w:t>Article VI</w:t>
      </w:r>
      <w:r>
        <w:rPr>
          <w:rFonts w:ascii="Arial" w:cs="Arial" w:eastAsia="Arial" w:hAnsi="Arial"/>
          <w:sz w:val="22"/>
          <w:szCs w:val="22"/>
          <w:color w:val="auto"/>
        </w:rPr>
        <w:t>, and any certificates delivered pursuant to this Agreement or any of the transactions contemplated by this Agreement, and Buyer hereby disclaims any such other representations or warranties.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OF THE PARTIES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Conduct of the Business</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87" w:lineRule="auto"/>
        <w:tabs>
          <w:tab w:leader="none" w:pos="236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Except (i) as contemplated in this Agreement or required by applicable Law or Order; (ii) for actions approved by Buyer in writing (which approval shall not be unreasonably withheld, conditioned, or delayed); (iii) in connection with necessary repairs due to unanticipated breakdown or casualty, or other actions in accordance with Good Utility Practice in response to a business emergency or other unforeseen operational matters; (iv) for any COVID-19 Measures taken or not taken with respect to the Purchased Assets and the Business; or (v) as otherwise described on </w:t>
      </w:r>
      <w:r>
        <w:rPr>
          <w:rFonts w:ascii="Arial" w:cs="Arial" w:eastAsia="Arial" w:hAnsi="Arial"/>
          <w:sz w:val="19"/>
          <w:szCs w:val="19"/>
          <w:u w:val="single" w:color="auto"/>
          <w:color w:val="auto"/>
        </w:rPr>
        <w:t>Schedule 7.1</w:t>
      </w:r>
      <w:r>
        <w:rPr>
          <w:rFonts w:ascii="Arial" w:cs="Arial" w:eastAsia="Arial" w:hAnsi="Arial"/>
          <w:sz w:val="19"/>
          <w:szCs w:val="19"/>
          <w:color w:val="auto"/>
        </w:rPr>
        <w:t>, during the period from the date of this Agreement to the Effective Time, Seller (x) will use commercially reasonable efforts to operate the Purchased Assets and the Business in the Ordinary Course of Business, (y) will use commercially reasonable efforts to preserve intact the Business, and to preserve the goodwill and relationships with customers, suppliers, Business Employees, regulators and others material relationships of the Business and (z) will not, with respect to the Business or the Purchased Assets, without the prior written consent of Buyer (which consent shall not be unreasonably withheld, conditioned or delayed):</w:t>
      </w:r>
    </w:p>
    <w:p>
      <w:pPr>
        <w:spacing w:after="0" w:line="163" w:lineRule="exact"/>
        <w:rPr>
          <w:rFonts w:ascii="Arial" w:cs="Arial" w:eastAsia="Arial" w:hAnsi="Arial"/>
          <w:sz w:val="19"/>
          <w:szCs w:val="19"/>
          <w:color w:val="auto"/>
        </w:rPr>
      </w:pPr>
    </w:p>
    <w:p>
      <w:pPr>
        <w:jc w:val="both"/>
        <w:ind w:left="1300" w:firstLine="652"/>
        <w:spacing w:after="0" w:line="250" w:lineRule="auto"/>
        <w:tabs>
          <w:tab w:leader="none" w:pos="2383" w:val="left"/>
        </w:tabs>
        <w:numPr>
          <w:ilvl w:val="1"/>
          <w:numId w:val="116"/>
        </w:numPr>
        <w:rPr>
          <w:rFonts w:ascii="Arial" w:cs="Arial" w:eastAsia="Arial" w:hAnsi="Arial"/>
          <w:sz w:val="22"/>
          <w:szCs w:val="22"/>
          <w:color w:val="auto"/>
        </w:rPr>
      </w:pPr>
      <w:r>
        <w:rPr>
          <w:rFonts w:ascii="Arial" w:cs="Arial" w:eastAsia="Arial" w:hAnsi="Arial"/>
          <w:sz w:val="22"/>
          <w:szCs w:val="22"/>
          <w:color w:val="auto"/>
        </w:rPr>
        <w:t xml:space="preserve">sell, lease (as lessor), transfer, or otherwise dispose of any of the Purchased Assets, other than (A) the use or sale of Inventory in the Ordinary Course of Business, (B) the disposal of Purchased Assets having an aggregate value of less than $2,000,000 or (C) the disposal of Purchased Assets that are obsolete or worn-out with </w:t>
      </w:r>
      <w:r>
        <w:rPr>
          <w:rFonts w:ascii="Arial" w:cs="Arial" w:eastAsia="Arial" w:hAnsi="Arial"/>
          <w:sz w:val="22"/>
          <w:szCs w:val="22"/>
          <w:i w:val="1"/>
          <w:iCs w:val="1"/>
          <w:color w:val="auto"/>
        </w:rPr>
        <w:t xml:space="preserve">de minimis </w:t>
      </w:r>
      <w:r>
        <w:rPr>
          <w:rFonts w:ascii="Arial" w:cs="Arial" w:eastAsia="Arial" w:hAnsi="Arial"/>
          <w:sz w:val="22"/>
          <w:szCs w:val="22"/>
          <w:color w:val="auto"/>
        </w:rPr>
        <w:t>or no book value;</w:t>
      </w:r>
    </w:p>
    <w:p>
      <w:pPr>
        <w:spacing w:after="0" w:line="187" w:lineRule="exact"/>
        <w:rPr>
          <w:rFonts w:ascii="Arial" w:cs="Arial" w:eastAsia="Arial" w:hAnsi="Arial"/>
          <w:sz w:val="22"/>
          <w:szCs w:val="22"/>
          <w:color w:val="auto"/>
        </w:rPr>
      </w:pPr>
    </w:p>
    <w:p>
      <w:pPr>
        <w:ind w:left="1300" w:firstLine="652"/>
        <w:spacing w:after="0" w:line="263" w:lineRule="auto"/>
        <w:tabs>
          <w:tab w:leader="none" w:pos="2445" w:val="left"/>
        </w:tabs>
        <w:numPr>
          <w:ilvl w:val="1"/>
          <w:numId w:val="116"/>
        </w:numPr>
        <w:rPr>
          <w:rFonts w:ascii="Arial" w:cs="Arial" w:eastAsia="Arial" w:hAnsi="Arial"/>
          <w:sz w:val="22"/>
          <w:szCs w:val="22"/>
          <w:color w:val="auto"/>
        </w:rPr>
      </w:pPr>
      <w:r>
        <w:rPr>
          <w:rFonts w:ascii="Arial" w:cs="Arial" w:eastAsia="Arial" w:hAnsi="Arial"/>
          <w:sz w:val="22"/>
          <w:szCs w:val="22"/>
          <w:color w:val="auto"/>
        </w:rPr>
        <w:t>make any material change in the levels of Inventory customarily maintained by Seller with respect to the Business;</w:t>
      </w:r>
    </w:p>
    <w:p>
      <w:pPr>
        <w:spacing w:after="0" w:line="174" w:lineRule="exact"/>
        <w:rPr>
          <w:rFonts w:ascii="Arial" w:cs="Arial" w:eastAsia="Arial" w:hAnsi="Arial"/>
          <w:sz w:val="22"/>
          <w:szCs w:val="22"/>
          <w:color w:val="auto"/>
        </w:rPr>
      </w:pPr>
    </w:p>
    <w:p>
      <w:pPr>
        <w:ind w:left="1300" w:firstLine="652"/>
        <w:spacing w:after="0" w:line="343" w:lineRule="auto"/>
        <w:tabs>
          <w:tab w:leader="none" w:pos="2504"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terminate, assign, relinquish any material rights under, grant any material waiver or material consent under, or amend in any material respect any of the Material Contracts, Transferable Permits or Leases;</w:t>
      </w:r>
    </w:p>
    <w:p>
      <w:pPr>
        <w:spacing w:after="0" w:line="104" w:lineRule="exact"/>
        <w:rPr>
          <w:rFonts w:ascii="Arial" w:cs="Arial" w:eastAsia="Arial" w:hAnsi="Arial"/>
          <w:sz w:val="19"/>
          <w:szCs w:val="19"/>
          <w:color w:val="auto"/>
        </w:rPr>
      </w:pPr>
    </w:p>
    <w:p>
      <w:pPr>
        <w:jc w:val="both"/>
        <w:ind w:left="1300" w:firstLine="652"/>
        <w:spacing w:after="0" w:line="250" w:lineRule="auto"/>
        <w:tabs>
          <w:tab w:leader="none" w:pos="247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enter into any Business Agreement that (A) has a term longer than one year and cannot be terminated by Buyer after the Closing without penalty or other material and adverse effect on the Business or the Purchased Assets upon written notice of 90 days or less, other than “blanket” or other contracts that do not provide for a binding commitment to or for the Business or an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7" w:right="339" w:bottom="1440" w:gutter="0" w:footer="0" w:header="0"/>
        </w:sectPr>
      </w:pPr>
    </w:p>
    <w:bookmarkStart w:id="145" w:name="page146"/>
    <w:bookmarkEnd w:id="145"/>
    <w:p>
      <w:pPr>
        <w:jc w:val="both"/>
        <w:ind w:left="180"/>
        <w:spacing w:after="0" w:line="294" w:lineRule="auto"/>
        <w:rPr>
          <w:sz w:val="20"/>
          <w:szCs w:val="20"/>
          <w:color w:val="auto"/>
        </w:rPr>
      </w:pPr>
      <w:r>
        <w:rPr>
          <w:rFonts w:ascii="Arial" w:cs="Arial" w:eastAsia="Arial" w:hAnsi="Arial"/>
          <w:sz w:val="19"/>
          <w:szCs w:val="19"/>
          <w:color w:val="auto"/>
        </w:rPr>
        <w:t xml:space="preserve">Obligation of more than $5,000,000 in the aggregate, (B) provides for a binding commitment to or for the Business or an Assumed Obligation of more than $5,000,000 in the aggregate or (C) contains any exclusivity, non-compete provisions, non-solicitation or no-hire provisions binding on the Business or the Purchased Assets that would materially impair the operation of the Business or use of the Purchased Assets after Closing; provided that, notwithstanding anything to the contrary in this </w:t>
      </w:r>
      <w:r>
        <w:rPr>
          <w:rFonts w:ascii="Arial" w:cs="Arial" w:eastAsia="Arial" w:hAnsi="Arial"/>
          <w:sz w:val="19"/>
          <w:szCs w:val="19"/>
          <w:u w:val="single" w:color="auto"/>
          <w:color w:val="auto"/>
        </w:rPr>
        <w:t>Section 7.1</w:t>
      </w:r>
      <w:r>
        <w:rPr>
          <w:rFonts w:ascii="Arial" w:cs="Arial" w:eastAsia="Arial" w:hAnsi="Arial"/>
          <w:sz w:val="19"/>
          <w:szCs w:val="19"/>
          <w:color w:val="auto"/>
        </w:rPr>
        <w:t>, Seller shall not be required to seek the consent of Buyer to renew any Business Agreement with a term ending prior to the Closing Date.</w:t>
      </w:r>
    </w:p>
    <w:p>
      <w:pPr>
        <w:spacing w:after="0" w:line="149" w:lineRule="exact"/>
        <w:rPr>
          <w:sz w:val="20"/>
          <w:szCs w:val="20"/>
          <w:color w:val="auto"/>
        </w:rPr>
      </w:pPr>
    </w:p>
    <w:p>
      <w:pPr>
        <w:ind w:left="180" w:right="20" w:firstLine="652"/>
        <w:spacing w:after="0" w:line="343" w:lineRule="auto"/>
        <w:tabs>
          <w:tab w:leader="none" w:pos="133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materially increase or decrease the number of, or transfer a material number of employees from, the positions of employment in which Business Employees are employed, except in the Ordinary Course of Business;</w:t>
      </w:r>
    </w:p>
    <w:p>
      <w:pPr>
        <w:spacing w:after="0" w:line="104" w:lineRule="exact"/>
        <w:rPr>
          <w:rFonts w:ascii="Arial" w:cs="Arial" w:eastAsia="Arial" w:hAnsi="Arial"/>
          <w:sz w:val="19"/>
          <w:szCs w:val="19"/>
          <w:color w:val="auto"/>
        </w:rPr>
      </w:pPr>
    </w:p>
    <w:p>
      <w:pPr>
        <w:jc w:val="both"/>
        <w:ind w:left="180" w:firstLine="652"/>
        <w:spacing w:after="0" w:line="265" w:lineRule="auto"/>
        <w:tabs>
          <w:tab w:leader="none" w:pos="1475"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grant any increase in the compensation of, or grant any bonus or retention or severance pay to, Business Employees, except (A) for increases in compensation and bonuses in the Ordinary Course of Business and (B) for bonuses, including long-term incentive awards, and retention and severance pay that will be fully paid by Seller; </w:t>
      </w:r>
      <w:r>
        <w:rPr>
          <w:rFonts w:ascii="Arial" w:cs="Arial" w:eastAsia="Arial" w:hAnsi="Arial"/>
          <w:sz w:val="21"/>
          <w:szCs w:val="21"/>
          <w:u w:val="single" w:color="auto"/>
          <w:color w:val="auto"/>
        </w:rPr>
        <w:t>provided</w:t>
      </w:r>
      <w:r>
        <w:rPr>
          <w:rFonts w:ascii="Arial" w:cs="Arial" w:eastAsia="Arial" w:hAnsi="Arial"/>
          <w:sz w:val="21"/>
          <w:szCs w:val="21"/>
          <w:color w:val="auto"/>
        </w:rPr>
        <w:t>, in each case, that Seller informs Buyer in writing prior thereto;</w:t>
      </w:r>
    </w:p>
    <w:p>
      <w:pPr>
        <w:spacing w:after="0" w:line="175" w:lineRule="exact"/>
        <w:rPr>
          <w:rFonts w:ascii="Arial" w:cs="Arial" w:eastAsia="Arial" w:hAnsi="Arial"/>
          <w:sz w:val="21"/>
          <w:szCs w:val="21"/>
          <w:color w:val="auto"/>
        </w:rPr>
      </w:pPr>
    </w:p>
    <w:p>
      <w:pPr>
        <w:ind w:left="180" w:right="20" w:firstLine="652"/>
        <w:spacing w:after="0" w:line="263" w:lineRule="auto"/>
        <w:tabs>
          <w:tab w:leader="none" w:pos="146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settle or compromise any pending or threatened action, suit, or proceeding or any claim or claims, that in the aggregate, would reasonably be expected to be greater than $5,000,000;</w:t>
      </w:r>
    </w:p>
    <w:p>
      <w:pPr>
        <w:spacing w:after="0" w:line="174" w:lineRule="exact"/>
        <w:rPr>
          <w:rFonts w:ascii="Arial" w:cs="Arial" w:eastAsia="Arial" w:hAnsi="Arial"/>
          <w:sz w:val="22"/>
          <w:szCs w:val="22"/>
          <w:color w:val="auto"/>
        </w:rPr>
      </w:pPr>
    </w:p>
    <w:p>
      <w:pPr>
        <w:ind w:left="180" w:firstLine="652"/>
        <w:spacing w:after="0" w:line="263" w:lineRule="auto"/>
        <w:tabs>
          <w:tab w:leader="none" w:pos="154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fail to make capital expenditures in accordance with the capital plan set forth on </w:t>
      </w:r>
      <w:r>
        <w:rPr>
          <w:rFonts w:ascii="Arial" w:cs="Arial" w:eastAsia="Arial" w:hAnsi="Arial"/>
          <w:sz w:val="22"/>
          <w:szCs w:val="22"/>
          <w:u w:val="single" w:color="auto"/>
          <w:color w:val="auto"/>
        </w:rPr>
        <w:t>Schedule 7.1(a)</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subject to a 10% annual variance;</w:t>
      </w:r>
    </w:p>
    <w:p>
      <w:pPr>
        <w:spacing w:after="0" w:line="174" w:lineRule="exact"/>
        <w:rPr>
          <w:rFonts w:ascii="Arial" w:cs="Arial" w:eastAsia="Arial" w:hAnsi="Arial"/>
          <w:sz w:val="22"/>
          <w:szCs w:val="22"/>
          <w:color w:val="auto"/>
        </w:rPr>
      </w:pPr>
    </w:p>
    <w:p>
      <w:pPr>
        <w:jc w:val="both"/>
        <w:ind w:left="180" w:firstLine="652"/>
        <w:spacing w:after="0" w:line="312" w:lineRule="auto"/>
        <w:tabs>
          <w:tab w:leader="none" w:pos="142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engage in efforts outside of the Ordinary Course of Business with respect to its cash management customs and practices (including the collection of receivables and payment of payables) that would reasonably be expected to affect the calculation of the Purchase Price or the Adjustment Amount in any material respect;</w:t>
      </w:r>
    </w:p>
    <w:p>
      <w:pPr>
        <w:spacing w:after="0" w:line="133" w:lineRule="exact"/>
        <w:rPr>
          <w:rFonts w:ascii="Arial" w:cs="Arial" w:eastAsia="Arial" w:hAnsi="Arial"/>
          <w:sz w:val="19"/>
          <w:szCs w:val="19"/>
          <w:color w:val="auto"/>
        </w:rPr>
      </w:pPr>
    </w:p>
    <w:p>
      <w:pPr>
        <w:jc w:val="both"/>
        <w:ind w:left="180" w:firstLine="652"/>
        <w:spacing w:after="0" w:line="271" w:lineRule="auto"/>
        <w:tabs>
          <w:tab w:leader="none" w:pos="1316" w:val="left"/>
        </w:tabs>
        <w:numPr>
          <w:ilvl w:val="0"/>
          <w:numId w:val="117"/>
        </w:numPr>
        <w:rPr>
          <w:rFonts w:ascii="Arial" w:cs="Arial" w:eastAsia="Arial" w:hAnsi="Arial"/>
          <w:sz w:val="21"/>
          <w:szCs w:val="21"/>
          <w:color w:val="auto"/>
        </w:rPr>
      </w:pPr>
      <w:r>
        <w:rPr>
          <w:rFonts w:ascii="Arial" w:cs="Arial" w:eastAsia="Arial" w:hAnsi="Arial"/>
          <w:sz w:val="21"/>
          <w:szCs w:val="21"/>
          <w:color w:val="auto"/>
        </w:rPr>
        <w:t>enter into any Contract with any union or labor organization (including any such Contract that would be deemed to be a Collective Bargaining Agreement if entered into by Seller with respect to any Business Employees) or amend or modify any Collective Bargaining Agreements in any material respect;</w:t>
      </w:r>
    </w:p>
    <w:p>
      <w:pPr>
        <w:spacing w:after="0" w:line="167" w:lineRule="exact"/>
        <w:rPr>
          <w:rFonts w:ascii="Arial" w:cs="Arial" w:eastAsia="Arial" w:hAnsi="Arial"/>
          <w:sz w:val="21"/>
          <w:szCs w:val="21"/>
          <w:color w:val="auto"/>
        </w:rPr>
      </w:pPr>
    </w:p>
    <w:p>
      <w:pPr>
        <w:jc w:val="both"/>
        <w:ind w:left="180" w:firstLine="652"/>
        <w:spacing w:after="0" w:line="297" w:lineRule="auto"/>
        <w:tabs>
          <w:tab w:leader="none" w:pos="138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to the extent relating primarily to the Purchased Assets or the Business, (A) make, revoke or change any material election with respect to Taxes, (B) settle or compromise any Tax audit, claim, or assessment of any material liability for Taxes, (C) file any amendment to a Tax Return which may result in a material adjustment of any item of income, gain, deduction or loss with respect to the Business, (D) enter into any closing agreement or obtain any Tax ruling affecting any material Tax liability or refund, (E) surrender any right to claim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120"/>
          </w:cols>
          <w:pgMar w:left="1440" w:top="1427" w:right="339" w:bottom="1440" w:gutter="0" w:footer="0" w:header="0"/>
        </w:sectPr>
      </w:pPr>
    </w:p>
    <w:bookmarkStart w:id="146" w:name="page147"/>
    <w:bookmarkEnd w:id="146"/>
    <w:p>
      <w:pPr>
        <w:jc w:val="both"/>
        <w:ind w:left="180"/>
        <w:spacing w:after="0" w:line="292" w:lineRule="auto"/>
        <w:rPr>
          <w:sz w:val="20"/>
          <w:szCs w:val="20"/>
          <w:color w:val="auto"/>
        </w:rPr>
      </w:pPr>
      <w:r>
        <w:rPr>
          <w:rFonts w:ascii="Arial" w:cs="Arial" w:eastAsia="Arial" w:hAnsi="Arial"/>
          <w:sz w:val="19"/>
          <w:szCs w:val="19"/>
          <w:color w:val="auto"/>
        </w:rPr>
        <w:t xml:space="preserve">refund of any material Tax liability or refund, (F) consent to any extension or waiver with respect to any material Tax claim, assessment, or liability, or (G) change any material financial or Tax accounting methods, policies or practices except as required by a change in GAAP or in the generally applicable principles used in the preparation of the financial statements as required by any Applicable Commission, provided, however, that nothing in this </w:t>
      </w:r>
      <w:r>
        <w:rPr>
          <w:rFonts w:ascii="Arial" w:cs="Arial" w:eastAsia="Arial" w:hAnsi="Arial"/>
          <w:sz w:val="19"/>
          <w:szCs w:val="19"/>
          <w:u w:val="single" w:color="auto"/>
          <w:color w:val="auto"/>
        </w:rPr>
        <w:t>Section 7.1(a)(xi)</w:t>
      </w:r>
      <w:r>
        <w:rPr>
          <w:rFonts w:ascii="Arial" w:cs="Arial" w:eastAsia="Arial" w:hAnsi="Arial"/>
          <w:sz w:val="19"/>
          <w:szCs w:val="19"/>
          <w:color w:val="auto"/>
        </w:rPr>
        <w:t xml:space="preserve"> shall prevent Seller from taking any action that primarily affects the assets and business of Seller other than Purchased Assets or the Business (including, for example, any actions affecting rate recovery or securitization with respect to the Winter Weather Event as it relates to such assets or business);</w:t>
      </w:r>
    </w:p>
    <w:p>
      <w:pPr>
        <w:spacing w:after="0" w:line="151" w:lineRule="exact"/>
        <w:rPr>
          <w:sz w:val="20"/>
          <w:szCs w:val="20"/>
          <w:color w:val="auto"/>
        </w:rPr>
      </w:pPr>
    </w:p>
    <w:p>
      <w:pPr>
        <w:ind w:left="180" w:firstLine="652"/>
        <w:spacing w:after="0" w:line="263" w:lineRule="auto"/>
        <w:tabs>
          <w:tab w:leader="none" w:pos="147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operate, or permit any Affiliate to operate, the Purchased Assets in a manner that would cause the Purchased Assets to become subject to additional FERC jurisdiction; and</w:t>
      </w:r>
    </w:p>
    <w:p>
      <w:pPr>
        <w:spacing w:after="0" w:line="174" w:lineRule="exact"/>
        <w:rPr>
          <w:rFonts w:ascii="Arial" w:cs="Arial" w:eastAsia="Arial" w:hAnsi="Arial"/>
          <w:sz w:val="22"/>
          <w:szCs w:val="22"/>
          <w:color w:val="auto"/>
        </w:rPr>
      </w:pPr>
    </w:p>
    <w:p>
      <w:pPr>
        <w:ind w:left="1540" w:hanging="708"/>
        <w:spacing w:after="0"/>
        <w:tabs>
          <w:tab w:leader="none" w:pos="154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agree or commit to take any action which would be a violation of the restrictions set forth in this</w:t>
      </w:r>
    </w:p>
    <w:p>
      <w:pPr>
        <w:spacing w:after="0" w:line="55"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jc w:val="both"/>
        <w:ind w:left="100" w:firstLine="651"/>
        <w:spacing w:after="0" w:line="286" w:lineRule="auto"/>
        <w:tabs>
          <w:tab w:leader="none" w:pos="125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Except to the extent that Buyer’s consent is not required under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Seller shall reasonably consult with Buyer prior to entering into any Business Agreement that, if existing as of the date hereof, would be required to be set forth on </w:t>
      </w:r>
      <w:r>
        <w:rPr>
          <w:rFonts w:ascii="Arial" w:cs="Arial" w:eastAsia="Arial" w:hAnsi="Arial"/>
          <w:sz w:val="19"/>
          <w:szCs w:val="19"/>
          <w:u w:val="single" w:color="auto"/>
          <w:color w:val="auto"/>
        </w:rPr>
        <w:t>Schedule 5.10(a)</w:t>
      </w:r>
      <w:r>
        <w:rPr>
          <w:rFonts w:ascii="Arial" w:cs="Arial" w:eastAsia="Arial" w:hAnsi="Arial"/>
          <w:sz w:val="19"/>
          <w:szCs w:val="19"/>
          <w:color w:val="auto"/>
        </w:rPr>
        <w:t xml:space="preserve"> as a Material Contract and promptly provide to Buyer a copy of any such agreement. </w:t>
      </w:r>
      <w:r>
        <w:rPr>
          <w:rFonts w:ascii="Arial" w:cs="Arial" w:eastAsia="Arial" w:hAnsi="Arial"/>
          <w:sz w:val="19"/>
          <w:szCs w:val="19"/>
          <w:u w:val="single" w:color="auto"/>
          <w:color w:val="auto"/>
        </w:rPr>
        <w:t>Schedule 5.10(a)</w:t>
      </w:r>
      <w:r>
        <w:rPr>
          <w:rFonts w:ascii="Arial" w:cs="Arial" w:eastAsia="Arial" w:hAnsi="Arial"/>
          <w:sz w:val="19"/>
          <w:szCs w:val="19"/>
          <w:color w:val="auto"/>
        </w:rPr>
        <w:t xml:space="preserve"> shall be deemed supplemented to include such agreement if (i) Buyer consents in writing thereto (which consent shall not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Seller has requested Buyer’s consent to enter into a Material Contract that requires Buyer’s consent pursuant to this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and Buyer has not responded to such request within five Business Days, Buyer shall be deemed to have consented to the entry into such Material Contract, or (ii) such agreement is an agreement for the provision of commodities, goods or services by any third party (other than an Affiliate) entered into in the Ordinary Course of Business that may be terminated by Buyer, without penalty or cost, on no more than 90 days prior written notice following the Closing. Such Business Agreements shall otherwise constitute Retained Agreements, notwithstanding any other provision of this Agreement, and the failure of such Retained Agreements to be set forth on </w:t>
      </w:r>
      <w:r>
        <w:rPr>
          <w:rFonts w:ascii="Arial" w:cs="Arial" w:eastAsia="Arial" w:hAnsi="Arial"/>
          <w:sz w:val="19"/>
          <w:szCs w:val="19"/>
          <w:u w:val="single" w:color="auto"/>
          <w:color w:val="auto"/>
        </w:rPr>
        <w:t>Schedule 5.10(a)</w:t>
      </w:r>
      <w:r>
        <w:rPr>
          <w:rFonts w:ascii="Arial" w:cs="Arial" w:eastAsia="Arial" w:hAnsi="Arial"/>
          <w:sz w:val="19"/>
          <w:szCs w:val="19"/>
          <w:color w:val="auto"/>
        </w:rPr>
        <w:t xml:space="preserve"> shall not constitute a breach by Seller of any representation or warranty in this Agreement.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100" w:firstLine="651"/>
        <w:spacing w:after="0" w:line="253" w:lineRule="auto"/>
        <w:tabs>
          <w:tab w:leader="none" w:pos="121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Seller shall keep Buyer apprised of the matters known to Seller that Seller reasonably expects to result in a material increase in operating expenses or a material decrease in revenue for the Business, the Purchased Assets, or the Assumed Obligations.</w:t>
      </w:r>
    </w:p>
    <w:p>
      <w:pPr>
        <w:spacing w:after="0" w:line="185" w:lineRule="exact"/>
        <w:rPr>
          <w:rFonts w:ascii="Arial" w:cs="Arial" w:eastAsia="Arial" w:hAnsi="Arial"/>
          <w:sz w:val="22"/>
          <w:szCs w:val="22"/>
          <w:color w:val="auto"/>
        </w:rPr>
      </w:pPr>
    </w:p>
    <w:p>
      <w:pPr>
        <w:jc w:val="both"/>
        <w:ind w:left="100" w:firstLine="651"/>
        <w:spacing w:after="0" w:line="253" w:lineRule="auto"/>
        <w:tabs>
          <w:tab w:leader="none" w:pos="13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Parties shall cooperate in the planning and preparation for, and the implementation of, the transition to Buyer of data, files, knowledge, functions and responsibilities relating to the operation of the Business, as necessary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120"/>
          </w:cols>
          <w:pgMar w:left="1440" w:top="1427" w:right="339" w:bottom="1440" w:gutter="0" w:footer="0" w:header="0"/>
        </w:sectPr>
      </w:pPr>
    </w:p>
    <w:bookmarkStart w:id="147" w:name="page148"/>
    <w:bookmarkEnd w:id="147"/>
    <w:p>
      <w:pPr>
        <w:jc w:val="both"/>
        <w:ind w:left="560"/>
        <w:spacing w:after="0" w:line="302" w:lineRule="auto"/>
        <w:rPr>
          <w:sz w:val="20"/>
          <w:szCs w:val="20"/>
          <w:color w:val="auto"/>
        </w:rPr>
      </w:pPr>
      <w:r>
        <w:rPr>
          <w:rFonts w:ascii="Arial" w:cs="Arial" w:eastAsia="Arial" w:hAnsi="Arial"/>
          <w:sz w:val="19"/>
          <w:szCs w:val="19"/>
          <w:color w:val="auto"/>
        </w:rPr>
        <w:t>commencement and continuance by Buyer, without interruption, of the conduct of the Business, operation of the Purchased Assets, and performance of the Assumed Obligations upon the Closing. In addition to the foregoing, each Party agrees to use commercially reasonable efforts to comply with such conditions as may be required by any Applicable Commission with regard to the transition to Buyer of the operations of the Business.</w:t>
      </w:r>
    </w:p>
    <w:p>
      <w:pPr>
        <w:spacing w:after="0" w:line="142" w:lineRule="exact"/>
        <w:rPr>
          <w:sz w:val="20"/>
          <w:szCs w:val="20"/>
          <w:color w:val="auto"/>
        </w:rPr>
      </w:pPr>
    </w:p>
    <w:p>
      <w:pPr>
        <w:ind w:left="1660" w:hanging="449"/>
        <w:spacing w:after="0"/>
        <w:tabs>
          <w:tab w:leader="none" w:pos="166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Subject to any limitations based on advice of legal counsel, Seller, to the extent reasonably practicable:</w:t>
      </w:r>
    </w:p>
    <w:p>
      <w:pPr>
        <w:spacing w:after="0" w:line="55" w:lineRule="exact"/>
        <w:rPr>
          <w:rFonts w:ascii="Arial" w:cs="Arial" w:eastAsia="Arial" w:hAnsi="Arial"/>
          <w:sz w:val="19"/>
          <w:szCs w:val="19"/>
          <w:color w:val="auto"/>
        </w:rPr>
      </w:pPr>
    </w:p>
    <w:p>
      <w:pPr>
        <w:jc w:val="both"/>
        <w:ind w:left="560" w:firstLine="3"/>
        <w:spacing w:after="0" w:line="283" w:lineRule="auto"/>
        <w:tabs>
          <w:tab w:leader="none" w:pos="82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shall consult with Buyer and consider in good faith reasonable input provided in a timely manner from Buyer on a current basis regarding any rate filing, rate update and rate proceeding, including with respect to rate riders, formula rates, performance-based rates, securitization or the Winter Weather Event, in each case relating the Business or the Purchased Assets (“</w:t>
      </w:r>
      <w:r>
        <w:rPr>
          <w:rFonts w:ascii="Arial" w:cs="Arial" w:eastAsia="Arial" w:hAnsi="Arial"/>
          <w:sz w:val="19"/>
          <w:szCs w:val="19"/>
          <w:u w:val="single" w:color="auto"/>
          <w:color w:val="auto"/>
        </w:rPr>
        <w:t>Rate Proceeding</w:t>
      </w:r>
      <w:r>
        <w:rPr>
          <w:rFonts w:ascii="Arial" w:cs="Arial" w:eastAsia="Arial" w:hAnsi="Arial"/>
          <w:sz w:val="19"/>
          <w:szCs w:val="19"/>
          <w:color w:val="auto"/>
        </w:rPr>
        <w:t xml:space="preserve">”), Seller shall consider in good faith reasonable input provided in a timely manner with respect to the preparation, filing of or response to such Rate Proceeding; (ii) shall keep Buyer informed as promptly as reasonably practicable of any material communications or meetings with FERC, any applicable commission or any other Governmental Authority, including meetings with regulatory staff relating to the Business or the Purchased Assets; (iii) shall provide copies of any material non-public written communication or materials with respect thereto to Buyer; (iv) shall convene and hold periodic status meetings with Buyer as reasonably requested by Buyer; (v) shall consult with Buyer and give Buyer a reasonable opportunity, within the applicable time constraints, to comment on any related material communications or materials submitted to a Governmental Entity relating to the Business or the Purchased Assets and consider in good faith reasonable comments provided in a timely manner from Buyer; and (vi) shall not settle or compromise, or offer any proposal to settle or compromise, any Rate Proceeding that would reasonably be expected to result in a Regulatory Order that would have a material impact on (A) the rates or rate structure applicable to the Purchased Assets or the Business or (B) the treatment of rate recovery or securitization with respect to the Winter Weather Event as related to the Purchased Assets or the Business without the prior written consent of Buyer (which consent shall not be unreasonably withheld, conditioned or delayed); provided, that clauses (i), (ii), (iii) and (v) of this </w:t>
      </w:r>
      <w:r>
        <w:rPr>
          <w:rFonts w:ascii="Arial" w:cs="Arial" w:eastAsia="Arial" w:hAnsi="Arial"/>
          <w:sz w:val="19"/>
          <w:szCs w:val="19"/>
          <w:u w:val="single" w:color="auto"/>
          <w:color w:val="auto"/>
        </w:rPr>
        <w:t>Section 7.1(e)</w:t>
      </w:r>
      <w:r>
        <w:rPr>
          <w:rFonts w:ascii="Arial" w:cs="Arial" w:eastAsia="Arial" w:hAnsi="Arial"/>
          <w:sz w:val="19"/>
          <w:szCs w:val="19"/>
          <w:color w:val="auto"/>
        </w:rPr>
        <w:t>, shall not apply to any responses to discovery requests in the course of a regulatory proceeding to the extent Seller reasonably determines in good faith that the responses to which would not be reasonably likely to materially impact the Business or the Purchased Assets.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Access</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50" w:lineRule="auto"/>
        <w:tabs>
          <w:tab w:leader="none" w:pos="175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Subject to confidentiality obligations and similar restrictions that may be applicable to information furnished to Seller or any of its Subsidiaries by third parties that may be in Seller’s or any of its Subsidiaries’ possession from time to time, from the date hereof until the Closing Date, to the extent permitted by applicable Law, including in accordance with the HSR Act, between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580"/>
          </w:cols>
          <w:pgMar w:left="980" w:top="1427" w:right="339" w:bottom="1440" w:gutter="0" w:footer="0" w:header="0"/>
        </w:sectPr>
      </w:pPr>
    </w:p>
    <w:bookmarkStart w:id="148" w:name="page149"/>
    <w:bookmarkEnd w:id="148"/>
    <w:p>
      <w:pPr>
        <w:jc w:val="both"/>
        <w:ind w:left="100"/>
        <w:spacing w:after="0" w:line="283" w:lineRule="auto"/>
        <w:rPr>
          <w:sz w:val="20"/>
          <w:szCs w:val="20"/>
          <w:color w:val="auto"/>
        </w:rPr>
      </w:pPr>
      <w:r>
        <w:rPr>
          <w:rFonts w:ascii="Arial" w:cs="Arial" w:eastAsia="Arial" w:hAnsi="Arial"/>
          <w:sz w:val="19"/>
          <w:szCs w:val="19"/>
          <w:color w:val="auto"/>
        </w:rPr>
        <w:t xml:space="preserve">this Agreement and the Closing Date, Seller will, during ordinary business hours and upon reasonable notice, (i) give Buyer and Buyer’s Representatives reasonable access to the Purchased Assets, (ii) permit Buyer to make such reasonable inspections thereof (including performing one or more ALTA/NSPS surveys of the Owned Real Property or any portion thereof) as Buyer may reasonably request, (iii) furnish Buyer with such financial and operating data and other information with respect to the Business as Buyer may from time to time reasonably request and (iv) furnish Buyer with a copy of each material report, schedule, or other document primarily relating to the Business (which may be reasonably redacted by Seller if not exclusively relating to the Business) filed or submitted by Seller with, or received by Seller from, any Governmental Entity, in each case (A) to comply with reporting, disclosure, filing or other requirements imposed on Buyer or its Affiliates (including under applicable securities Laws) or for other bona fide business reasons, (B) to satisfy audit, accounting, claims, regulatory, litigation, subpoena or other similar requirements, or (C) to comply with the obligations of Buyer under this Agreement or the Ancillary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access will be conducted at Buyer’s risk and expense, at a reasonable time, under the supervision of Seller’s or its Affiliates’ personnel and (w) any such investigation will be conducted in such a manner as not to interfere unreasonably with the operation of the Business or any other Person; (x) Seller shall not be required to take any action which would constitute or result in a waiver of the attorney-client privilege, work product doctrine or other legal privilege; (y) Seller shall not be required to supply any information relating to the sale process for the Business and information and analysis (including financial analysis) relating thereto; and (z) Seller shall not be required to supply Buyer with any information which Seller is under a legal obligation not to supply; provided further, that, Buyer’s access to the Purchased Assets may be limited to the extent Seller reasonably determines, in light of the COVID-19 Pandemic, that such access would jeopardize the health and safety of any of its employees or other Representatives. Notwithstanding the foregoing, any Party may, as it deems advisable and necessary, reasonably designate any competitively sensitive material provided to the other Parties under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as “outside counsel only.” Such materials and the information contained therein shall be given only to the outside counsel of the recipient Party, and the recipient Party shall cause such outside counsel not to disclose such materials or information to any employees, officers, directors or other Representatives of the recipient Party, unless express written permission is obtained in advance from the source of the materials. Notwithstanding anything herein to the contrary, no such access, disclosure or copying shall be permitted for a purpose relating to a dispute or potential dispute between Seller and Buyer or any of their respective Affiliates. Buyer will indemnify and hold harmless Seller from and against any Losses incurred by Seller, its Affiliates or their Representatives by any action of Buyer or Buyer’s Representatives while present on any of the Purchased Assets or other premises to which Buyer is granted access hereunder (including restoring any such premises to the condition substantially equivalent to the condition such premises were in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120"/>
          </w:cols>
          <w:pgMar w:left="1440" w:top="1427" w:right="339" w:bottom="1440" w:gutter="0" w:footer="0" w:header="0"/>
        </w:sectPr>
      </w:pPr>
    </w:p>
    <w:bookmarkStart w:id="149" w:name="page150"/>
    <w:bookmarkEnd w:id="149"/>
    <w:p>
      <w:pPr>
        <w:jc w:val="both"/>
        <w:ind w:left="100"/>
        <w:spacing w:after="0" w:line="283" w:lineRule="auto"/>
        <w:rPr>
          <w:sz w:val="20"/>
          <w:szCs w:val="20"/>
          <w:color w:val="auto"/>
        </w:rPr>
      </w:pPr>
      <w:r>
        <w:rPr>
          <w:rFonts w:ascii="Arial" w:cs="Arial" w:eastAsia="Arial" w:hAnsi="Arial"/>
          <w:sz w:val="19"/>
          <w:szCs w:val="19"/>
          <w:color w:val="auto"/>
        </w:rPr>
        <w:t xml:space="preserve">to any such investigation). Notwithstanding anything in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to the contrary, (x) Buyer will not have access to personnel and medical records if such access could, in Seller’s opinion (in its reasonable discretion), subject Seller to risk of liability or otherwise violate applicable Law, including the Health Insurance Portability and Accountability Act of 1996; (y) Buyer will not have access to any information to the extent relating to any Tax Return of Seller or any of its Affiliates that does not constitute a Document and (z) any investigation of environmental matters by or on behalf of Buyer will be limited to visual inspections, review of records and site visits included in the scope of “Phase 1” level environmental inspections and compliance inspections, and Buyer will not have the right to perform or conduct any sampling or testing at, in, on, or underneath any of the Purchased Assets. Buyer hereby agrees to defend, indemnify and hold harmless each of the Seller Indemnified Parties from and against any and all Losses arising out of, resulting from or relating to any field visit, environmental property assessment, or other investigation activities or other due diligence activity conducted by Buyer or any of its Representatives with respect to the Business, EVEN IF SUCH LOSSES ARISE OUT OF OR RESULT FROM,</w:t>
      </w:r>
    </w:p>
    <w:p>
      <w:pPr>
        <w:spacing w:after="0" w:line="4" w:lineRule="exact"/>
        <w:rPr>
          <w:sz w:val="20"/>
          <w:szCs w:val="20"/>
          <w:color w:val="auto"/>
        </w:rPr>
      </w:pPr>
    </w:p>
    <w:p>
      <w:pPr>
        <w:jc w:val="both"/>
        <w:ind w:left="100"/>
        <w:spacing w:after="0" w:line="243" w:lineRule="auto"/>
        <w:rPr>
          <w:sz w:val="20"/>
          <w:szCs w:val="20"/>
          <w:color w:val="auto"/>
        </w:rPr>
      </w:pPr>
      <w:r>
        <w:rPr>
          <w:rFonts w:ascii="Arial" w:cs="Arial" w:eastAsia="Arial" w:hAnsi="Arial"/>
          <w:sz w:val="22"/>
          <w:szCs w:val="22"/>
          <w:color w:val="auto"/>
        </w:rPr>
        <w:t>SOLELY OR IN PART, THE SOLE, ACTIVE, PASSIVE, CONCURRENT OR COMPARATIVE NEGLIGENCE, STRICT LIABILITY, OR OTHER FAULT OR VIOLATION OF LAW OF OR BY ANY OF THE SELLER INDEMNIFIED GROUP, EXCEPTING ONLY LOSSES ACTUALLY RESULTING ON ACCOUNT OF THE WILLFUL MISCONDUCT OR GROSS NEGLIGENCE OF ANY OF THE SELLER INDEMNIFIED GROUP. Seller shall have the right to have a Representative present at all times during any such inspections, interviews and examinations. Buyer shall hold in confidence all such information on the terms and subject to the conditions contained in the Confidentiality Agreement. No investigation by Buyer or other information received by Buyer shall operate as a waiver or otherwise affect any representation, warranty, covenant or agreement given or made by Seller in this Agreement.</w:t>
      </w:r>
    </w:p>
    <w:p>
      <w:pPr>
        <w:spacing w:after="0" w:line="201" w:lineRule="exact"/>
        <w:rPr>
          <w:sz w:val="20"/>
          <w:szCs w:val="20"/>
          <w:color w:val="auto"/>
        </w:rPr>
      </w:pPr>
    </w:p>
    <w:p>
      <w:pPr>
        <w:jc w:val="both"/>
        <w:ind w:left="100" w:firstLine="651"/>
        <w:spacing w:after="0" w:line="287" w:lineRule="auto"/>
        <w:tabs>
          <w:tab w:leader="none" w:pos="138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For a period of five years after the Closing Date, each Party and its Representatives will have reasonable access to all of the books and records primarily and to the extent relating to the Business or the Purchased Assets, including all Transferred Employee Records, in the possession of the other Party, and to the employees of the other Party, to the extent that such access may reasonably be required by such Party in connection with the Assumed Obligations or the Excluded Liabilities, or other matters relating to or affected by the operation of the Business and the Purchased Assets. Such access will be afforded by the applicable Party upon receipt of reasonable advance notice and during normal business hours, and will be conducted in such a manner as not to interfere unreasonably with the operation of the business of any Party or its respective Affiliates. The Party exercising the right of access hereunder will be solely responsible for any costs or expenses incurred by either Party in connection therewith. If the Party in possession of such books and records desires to dispose of any such books and records prior to the expiration of such five-year period,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120"/>
          </w:cols>
          <w:pgMar w:left="1440" w:top="1427" w:right="339" w:bottom="1440" w:gutter="0" w:footer="0" w:header="0"/>
        </w:sectPr>
      </w:pPr>
    </w:p>
    <w:bookmarkStart w:id="150" w:name="page151"/>
    <w:bookmarkEnd w:id="150"/>
    <w:p>
      <w:pPr>
        <w:ind w:left="560"/>
        <w:spacing w:after="0" w:line="263" w:lineRule="auto"/>
        <w:rPr>
          <w:sz w:val="20"/>
          <w:szCs w:val="20"/>
          <w:color w:val="auto"/>
        </w:rPr>
      </w:pPr>
      <w:r>
        <w:rPr>
          <w:rFonts w:ascii="Arial" w:cs="Arial" w:eastAsia="Arial" w:hAnsi="Arial"/>
          <w:sz w:val="22"/>
          <w:szCs w:val="22"/>
          <w:color w:val="auto"/>
        </w:rPr>
        <w:t>Party will, prior to such disposition, give the other Party a reasonable opportunity at such other Party’s expense to segregate and take possession of such books and records as such other Party may select.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84" w:lineRule="auto"/>
        <w:tabs>
          <w:tab w:leader="none" w:pos="171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For a period of two years following the Closing or the termination of this Agreement, (i) Buyer will, and will cause its Affiliates and Buyer’s Representatives to, hold all Seller Confidential Information in strict confidence and not disclose any Seller Confidential Information to any Person other than its Affiliates and Buyer’s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upon the Closing, the provisions of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will expire with respect to any information primarily related to the Purchased Assets, Assumed Obligations or the Business, and (ii) Seller will, and will cause its Affiliates and Seller’s Representatives to, hold all Buyer Confidential Information in strict confidence and not disclose any Buyer Confidential Information to any Person other than its Affiliates and Seller’s Representatives. “</w:t>
      </w:r>
      <w:r>
        <w:rPr>
          <w:rFonts w:ascii="Arial" w:cs="Arial" w:eastAsia="Arial" w:hAnsi="Arial"/>
          <w:sz w:val="19"/>
          <w:szCs w:val="19"/>
          <w:u w:val="single" w:color="auto"/>
          <w:color w:val="auto"/>
        </w:rPr>
        <w:t>Seller Confidential Information</w:t>
      </w:r>
      <w:r>
        <w:rPr>
          <w:rFonts w:ascii="Arial" w:cs="Arial" w:eastAsia="Arial" w:hAnsi="Arial"/>
          <w:sz w:val="19"/>
          <w:szCs w:val="19"/>
          <w:color w:val="auto"/>
        </w:rPr>
        <w:t>” means (i) prior to the Closing, all information in any form heretofore or hereafter obtained from Seller in connection with Buyer’s evaluation of the Business, Purchased Assets or Assumed Obligations or the negotiation of this Agreement, whether pertaining to financial condition, results of operations, methods of operation or otherwise, other than information that is in the public domain through no violation of this Agreement or the Confidentiality Agreement by Buyer, its Affiliates, or Buyer’s Representatives and (ii) after the Closing, information in any form heretofore or hereafter obtained from Seller in connection with Buyer’s evaluation of the Business, Purchased Assets or Assumed Obligations primarily related to the Excluded Assets, Excluded Liabilities or Seller’s business other than the Business. “</w:t>
      </w:r>
      <w:r>
        <w:rPr>
          <w:rFonts w:ascii="Arial" w:cs="Arial" w:eastAsia="Arial" w:hAnsi="Arial"/>
          <w:sz w:val="19"/>
          <w:szCs w:val="19"/>
          <w:u w:val="single" w:color="auto"/>
          <w:color w:val="auto"/>
        </w:rPr>
        <w:t>Buyer 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in any form heretofore or hereafter obtained from Buyer in connection with this Agreement and the terms of this Agreement, except to the extent such information (i) is in the public domain through no violation of this Agreement or the Confidentiality Agreement by Seller, its Affiliates, or Seller’s Representatives, (ii) is lawfully acquired by Seller, any of its Affiliates or their respective Representatives from and after the Closing from sources not known to be prohibited from disclosing such information to such Person by an obligation of confidentiality to Buyer or (iii) is developed independently by Seller, any of its Affiliates or any of their respective Representatives without the use of Business Confidential Information.</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560" w:firstLine="651"/>
        <w:spacing w:after="0" w:line="297" w:lineRule="auto"/>
        <w:tabs>
          <w:tab w:leader="none" w:pos="172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Notwithstanding the foregoing, a Party may disclose Confidential Information to the extent that such information is required to be disclosed by such Party by Law or in connection with any proceeding by or before a Governmental Entity, including any disclosure, financial or otherwise, required to comply with the rules of any securities commission or exchange. In the event that either Party believes any such disclosure is required, such Party will give the other Party notice thereof as promptly as possible and, at the disclosing Party’s expense,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580"/>
          </w:cols>
          <w:pgMar w:left="980" w:top="1427" w:right="339" w:bottom="1440" w:gutter="0" w:footer="0" w:header="0"/>
        </w:sectPr>
      </w:pPr>
    </w:p>
    <w:bookmarkStart w:id="151" w:name="page152"/>
    <w:bookmarkEnd w:id="151"/>
    <w:p>
      <w:pPr>
        <w:ind w:left="1220" w:right="20"/>
        <w:spacing w:after="0" w:line="263" w:lineRule="auto"/>
        <w:rPr>
          <w:sz w:val="20"/>
          <w:szCs w:val="20"/>
          <w:color w:val="auto"/>
        </w:rPr>
      </w:pPr>
      <w:r>
        <w:rPr>
          <w:rFonts w:ascii="Arial" w:cs="Arial" w:eastAsia="Arial" w:hAnsi="Arial"/>
          <w:sz w:val="22"/>
          <w:szCs w:val="22"/>
          <w:color w:val="auto"/>
        </w:rPr>
        <w:t>cooperate with the other Party in seeking any protective orders or other relief as such disclosing Party may reasonably request.</w:t>
      </w:r>
    </w:p>
    <w:p>
      <w:pPr>
        <w:spacing w:after="0" w:line="175" w:lineRule="exact"/>
        <w:rPr>
          <w:sz w:val="20"/>
          <w:szCs w:val="20"/>
          <w:color w:val="auto"/>
        </w:rPr>
      </w:pPr>
    </w:p>
    <w:p>
      <w:pPr>
        <w:jc w:val="both"/>
        <w:ind w:left="1220" w:firstLine="651"/>
        <w:spacing w:after="0" w:line="259" w:lineRule="auto"/>
        <w:tabs>
          <w:tab w:leader="none" w:pos="2378" w:val="left"/>
        </w:tabs>
        <w:numPr>
          <w:ilvl w:val="0"/>
          <w:numId w:val="125"/>
        </w:numPr>
        <w:rPr>
          <w:rFonts w:ascii="Arial" w:cs="Arial" w:eastAsia="Arial" w:hAnsi="Arial"/>
          <w:sz w:val="21"/>
          <w:szCs w:val="21"/>
          <w:color w:val="auto"/>
        </w:rPr>
      </w:pPr>
      <w:r>
        <w:rPr>
          <w:rFonts w:ascii="Arial" w:cs="Arial" w:eastAsia="Arial" w:hAnsi="Arial"/>
          <w:sz w:val="21"/>
          <w:szCs w:val="21"/>
          <w:color w:val="auto"/>
        </w:rPr>
        <w:t xml:space="preserve">If the transactions contemplated hereby are not consummated, each Party will promptly return to the other Party or destroy all copies of any Confidential Information, including any materials prepared by either Party or their respective Representatives incorporating or reflecting Confidential Information, and an officer of the Party returning such copies or materials shall certify in writing compliance by such Party with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foregoing shall not apply to computer back-up tapes or similar electronic archival storage or materials required to be maintained in conjunction with policies and procedures designed to comply with applicable law, regulation, professional standards or reasonable business practice, including to enforce the terms of this Agreement.</w:t>
      </w:r>
    </w:p>
    <w:p>
      <w:pPr>
        <w:spacing w:after="0" w:line="183" w:lineRule="exact"/>
        <w:rPr>
          <w:rFonts w:ascii="Arial" w:cs="Arial" w:eastAsia="Arial" w:hAnsi="Arial"/>
          <w:sz w:val="21"/>
          <w:szCs w:val="21"/>
          <w:color w:val="auto"/>
        </w:rPr>
      </w:pPr>
    </w:p>
    <w:p>
      <w:pPr>
        <w:ind w:left="2340" w:hanging="469"/>
        <w:spacing w:after="0"/>
        <w:tabs>
          <w:tab w:leader="none" w:pos="234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supersede the Confidentiality Agreement.</w:t>
      </w:r>
    </w:p>
    <w:p>
      <w:pPr>
        <w:spacing w:after="0" w:line="219" w:lineRule="exact"/>
        <w:rPr>
          <w:rFonts w:ascii="Arial" w:cs="Arial" w:eastAsia="Arial" w:hAnsi="Arial"/>
          <w:sz w:val="22"/>
          <w:szCs w:val="22"/>
          <w:color w:val="auto"/>
        </w:rPr>
      </w:pPr>
    </w:p>
    <w:p>
      <w:pPr>
        <w:jc w:val="both"/>
        <w:ind w:left="1220" w:firstLine="651"/>
        <w:spacing w:after="0" w:line="287" w:lineRule="auto"/>
        <w:tabs>
          <w:tab w:leader="none" w:pos="237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Notwithstanding anything contrary set forth herein, (i) for so long as Confidential Information is not disclosed by or for Buyer to a J.P. Morgan Chase &amp; Co. business group other than J.P. Morgan Asset Management’s Alternatives – Infrastructure Investments Group, no such business group shall be deemed to be a “Buyer’s Representative” for purposes of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and (ii) for so long as Confidential Information is not disclosed by or for Buyer to a fund, investment vehicle or separate account that is sponsored, advised and/or managed by J.P. Morgan Investment Management Inc. or any of its Affiliates, no such fund, investment vehicle or separate account shall be deemed to be a “Buyer’s Representative” for purposes of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Notwithstanding anything contrary set forth herein, neither Buyer nor any of Buyer’s Representatives or Affiliates shall be required to inform or notify Seller or any other Person of any disclosure made to or requested by a bank examiner, regulatory examiner or self-regulatory examiner in the course of such examiner’s routine examination, inspection or audit where Seller, its Affiliates or the transactions contemplated by this Agreement are not the target of such examination, inspection or audit, and any such disclosure shall not be deemed a breach of this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1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Notices of Events</w:t>
      </w:r>
      <w:r>
        <w:rPr>
          <w:rFonts w:ascii="Arial" w:cs="Arial" w:eastAsia="Arial" w:hAnsi="Arial"/>
          <w:sz w:val="21"/>
          <w:szCs w:val="21"/>
          <w:color w:val="auto"/>
        </w:rPr>
        <w:t xml:space="preserve">. Each Party shall, promptly after obtaining knowledge thereof, give written notice to the other Party of any event or condition that causes or will cause any representation or warranty of such Party to be inaccurate or that will result in the non-fulfillment of any of the conditions to the consummation of the transactions hereunder. Except as expressly provided in </w:t>
      </w:r>
      <w:r>
        <w:rPr>
          <w:rFonts w:ascii="Arial" w:cs="Arial" w:eastAsia="Arial" w:hAnsi="Arial"/>
          <w:sz w:val="21"/>
          <w:szCs w:val="21"/>
          <w:u w:val="single" w:color="auto"/>
          <w:color w:val="auto"/>
        </w:rPr>
        <w:t>Section 7.1(b)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w:t>
      </w:r>
      <w:r>
        <w:rPr>
          <w:rFonts w:ascii="Arial" w:cs="Arial" w:eastAsia="Arial" w:hAnsi="Arial"/>
          <w:sz w:val="21"/>
          <w:szCs w:val="21"/>
          <w:color w:val="auto"/>
        </w:rPr>
        <w:t>, neither such notice nor the receiving Party’s resulting knowledge of the matters disclosed therein shall be deemed to waive or limit in any respect any representation or warranty, rights in respect thereof, or conditions to the consummation of the transactions under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7" w:right="339" w:bottom="1440" w:gutter="0" w:footer="0" w:header="0"/>
        </w:sectPr>
      </w:pPr>
    </w:p>
    <w:bookmarkStart w:id="152" w:name="page153"/>
    <w:bookmarkEnd w:id="152"/>
    <w:p>
      <w:pPr>
        <w:jc w:val="both"/>
        <w:ind w:firstLine="8"/>
        <w:spacing w:after="0" w:line="288" w:lineRule="auto"/>
        <w:tabs>
          <w:tab w:leader="none" w:pos="12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Buyer shall bear sole responsibility for all filing fees of either Party incurred in connection with any filings or submissions under the HSR Act. Buyer shall bear the cost of the premium and other costs of procuring the Insurance Policy and any other fees, costs or deductibles associated with the Insurance Policy. Except as provided in the foregoing or to the extent otherwise specifically provided herein, and irrespective of whether the transactions contemplated hereby are consummated, all other costs and expenses incurred in connection with this Agreement and the transactions contemplated hereby will be borne by the Party incurring such costs and expenses, including filing, recording, transfer, or other fees or charges of any nature in connection with any Required Regulatory Approvals or otherwise payable pursuant to any provision of any Law, Order or Franchise in connection with the sale, transfer, and assignment by Seller or its Affiliates of the Purchased Assets and the Assumed Obligations to Buyer or its Affiliates, and fees and expenses of legal counsel in connection with the preparation and prosecution of any and all applications and proceedings with respect to the Required Regulatory Approval of each Applicable Commission.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u w:val="single" w:color="auto"/>
          <w:color w:val="auto"/>
        </w:rPr>
        <w:t>Further Assurances</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92" w:lineRule="auto"/>
        <w:tabs>
          <w:tab w:leader="none" w:pos="244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each of the Parties will use commercially reasonable efforts to take, or cause to be taken, all action, and to do, or cause to be done, all things necessary, proper, or advisable under applicable Law to consummate and make effective the transactions contemplated hereby, including using commercially reasonable efforts to obtain satisfaction of the conditions precedent to each Party’s obligations hereunder. Neither Party will, and each Party will cause its Affiliates not to, in each case without the prior written consent of the other Party, take any action that would reasonably be expected to prevent or materially impede, interfere with or delay the transactions contemplated by this Agreement.</w:t>
      </w:r>
    </w:p>
    <w:p>
      <w:pPr>
        <w:spacing w:after="0" w:line="150" w:lineRule="exact"/>
        <w:rPr>
          <w:rFonts w:ascii="Arial" w:cs="Arial" w:eastAsia="Arial" w:hAnsi="Arial"/>
          <w:sz w:val="19"/>
          <w:szCs w:val="19"/>
          <w:color w:val="auto"/>
        </w:rPr>
      </w:pPr>
    </w:p>
    <w:p>
      <w:pPr>
        <w:jc w:val="both"/>
        <w:ind w:left="1220" w:firstLine="651"/>
        <w:spacing w:after="0" w:line="257" w:lineRule="auto"/>
        <w:tabs>
          <w:tab w:leader="none" w:pos="254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Agreement or any Ancillary Agreement to the contrary, this Agreement and the Ancillary Agreements shall not constitute an agreement to transfer or assign any Contract, Permit, Claim or right or any benefit or obligation arising thereunder or resulting therefrom if an attempted assignment thereof, without the consent of a third party, would constitute a breach or other contravention under any agreement or Law or Order to which Seller is a party or by which it is bound, or in any way adversely affect the rights of Seller or, upon transfer, Buyer under such Contract, Permit, Claim or right. Subject to </w:t>
      </w:r>
      <w:r>
        <w:rPr>
          <w:rFonts w:ascii="Arial" w:cs="Arial" w:eastAsia="Arial" w:hAnsi="Arial"/>
          <w:sz w:val="21"/>
          <w:szCs w:val="21"/>
          <w:u w:val="single" w:color="auto"/>
          <w:color w:val="auto"/>
        </w:rPr>
        <w:t>Section 7.17</w:t>
      </w:r>
      <w:r>
        <w:rPr>
          <w:rFonts w:ascii="Arial" w:cs="Arial" w:eastAsia="Arial" w:hAnsi="Arial"/>
          <w:sz w:val="21"/>
          <w:szCs w:val="21"/>
          <w:color w:val="auto"/>
        </w:rPr>
        <w:t xml:space="preserve">, Seller will use its commercially reasonable efforts to obtain, promptly following the date hereof, any and all consents of third parties required to assign to Buyer Seller’s rights under the Business Agreements and assignable Permits. Buyer agrees to cooperate with Seller in Seller’s efforts to obtain any consents of third parties required to assign to Buyer Seller’s rights under the Business Agreements and assignable Permits, including the submission of such financial or other information concerning Buyer and the execution of any assumption agreements or similar documents reasonably requested by a third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the terms of any such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153" w:name="page154"/>
    <w:bookmarkEnd w:id="153"/>
    <w:p>
      <w:pPr>
        <w:jc w:val="both"/>
        <w:ind w:left="100"/>
        <w:spacing w:after="0" w:line="285" w:lineRule="auto"/>
        <w:rPr>
          <w:sz w:val="20"/>
          <w:szCs w:val="20"/>
          <w:color w:val="auto"/>
        </w:rPr>
      </w:pPr>
      <w:r>
        <w:rPr>
          <w:rFonts w:ascii="Arial" w:cs="Arial" w:eastAsia="Arial" w:hAnsi="Arial"/>
          <w:sz w:val="19"/>
          <w:szCs w:val="19"/>
          <w:color w:val="auto"/>
        </w:rPr>
        <w:t xml:space="preserve">document, no such agreement or document shall, as between the Parties, be deemed to alter the character of any liability or obligation as an Assumed Obligation or Excluded Liability hereunder or otherwise modify any of the rights or obligations of the Parties hereunder with respect thereto. To the extent that, notwithstanding its commercially reasonable efforts, Seller is unable to obtain any such required consent prior to the Closing, and as a result thereof Buyer shall be prevented by such third party from receiving the rights and benefits with respect to such Purchased Asset intended to be transferred hereunder, or if any attempted assignment would adversely affect the rights of Seller or Buyer thereunder so that Buyer would not in fact receive all such rights or Seller would forfeit or otherwise lose the benefit of rights that Seller is entitled to retain, Seller shall continue to use its commercially reasonable efforts to obtain such consent after the Closing and Seller and Buyer shall cooperate in any lawful and commercially reasonable arrangement as Seller and Buyer shall agree, under which Buyer would, to the extent practicable, obtain the economic claims, rights and benefits under such asset and assume the economic burdens and obligations with respect thereto in accordance with this Agreement, including by subcontracting, sublicensing or subleasing to Buyer. Without in any way limiting the conditions to the Closing set forth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Buyer agrees that other than liability arising from a failure to comply with this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Seller shall not have any liability to Buyer arising out of the failure to obtain any such consent that may be required in connection with the transactions contemplated by this Agreement or the Ancillary Agreements or because of any circumstances resulting therefrom. Nothing in this </w:t>
      </w:r>
      <w:r>
        <w:rPr>
          <w:rFonts w:ascii="Arial" w:cs="Arial" w:eastAsia="Arial" w:hAnsi="Arial"/>
          <w:sz w:val="19"/>
          <w:szCs w:val="19"/>
          <w:u w:val="single" w:color="auto"/>
          <w:color w:val="auto"/>
        </w:rPr>
        <w:t>Section 7.6(b)</w:t>
      </w:r>
      <w:r>
        <w:rPr>
          <w:rFonts w:ascii="Arial" w:cs="Arial" w:eastAsia="Arial" w:hAnsi="Arial"/>
          <w:sz w:val="19"/>
          <w:szCs w:val="19"/>
          <w:color w:val="auto"/>
        </w:rPr>
        <w:t xml:space="preserve"> shall be deemed a waiver by Buyer of its right to receive an effective assignment of all of the Purchased Assets at the Closing nor shall any Purchased Assets covered by this </w:t>
      </w:r>
      <w:r>
        <w:rPr>
          <w:rFonts w:ascii="Arial" w:cs="Arial" w:eastAsia="Arial" w:hAnsi="Arial"/>
          <w:sz w:val="19"/>
          <w:szCs w:val="19"/>
          <w:u w:val="single" w:color="auto"/>
          <w:color w:val="auto"/>
        </w:rPr>
        <w:t>Section 7.6(b)</w:t>
      </w:r>
      <w:r>
        <w:rPr>
          <w:rFonts w:ascii="Arial" w:cs="Arial" w:eastAsia="Arial" w:hAnsi="Arial"/>
          <w:sz w:val="19"/>
          <w:szCs w:val="19"/>
          <w:color w:val="auto"/>
        </w:rPr>
        <w:t xml:space="preserve"> be deemed to constitute Excluded Assets.</w:t>
      </w:r>
    </w:p>
    <w:p>
      <w:pPr>
        <w:spacing w:after="0" w:line="200" w:lineRule="exact"/>
        <w:rPr>
          <w:sz w:val="20"/>
          <w:szCs w:val="20"/>
          <w:color w:val="auto"/>
        </w:rPr>
      </w:pPr>
    </w:p>
    <w:p>
      <w:pPr>
        <w:spacing w:after="0" w:line="219" w:lineRule="exact"/>
        <w:rPr>
          <w:sz w:val="20"/>
          <w:szCs w:val="20"/>
          <w:color w:val="auto"/>
        </w:rPr>
      </w:pPr>
    </w:p>
    <w:p>
      <w:pPr>
        <w:jc w:val="both"/>
        <w:ind w:left="100" w:firstLine="651"/>
        <w:spacing w:after="0" w:line="258" w:lineRule="auto"/>
        <w:tabs>
          <w:tab w:leader="none" w:pos="1273" w:val="left"/>
        </w:tabs>
        <w:numPr>
          <w:ilvl w:val="0"/>
          <w:numId w:val="128"/>
        </w:numPr>
        <w:rPr>
          <w:rFonts w:ascii="Arial" w:cs="Arial" w:eastAsia="Arial" w:hAnsi="Arial"/>
          <w:sz w:val="21"/>
          <w:szCs w:val="21"/>
          <w:color w:val="auto"/>
        </w:rPr>
      </w:pPr>
      <w:r>
        <w:rPr>
          <w:rFonts w:ascii="Arial" w:cs="Arial" w:eastAsia="Arial" w:hAnsi="Arial"/>
          <w:sz w:val="21"/>
          <w:szCs w:val="21"/>
          <w:color w:val="auto"/>
        </w:rPr>
        <w:t>Seller agrees to cooperate with any efforts by Buyer to obtain, at Buyer’s sole cost and expense, (i) title insurance policies in respect of the Real Property, insuring title to the applicable Real Property as vested in Buyer, including by providing all title affidavits and indemnities, evidence of corporate authority, proofs of payment, lien waivers, releases and satisfactions of liens and such other documents, agreements, instruments and information reasonably required by Buyer’s title insurance company to issue such policies at Closing, duly executed (and acknowledged, if appropriate) by Seller, Seller’s shareholders, officers or directors, or such other party as may be required or appropriate; (ii) all surveys desired by Buyer in respect of the Real Property; and (iii) all estoppel certificates and non-disturbance agreements desired by Buyer in respect of any real property Leases included in the Purchased Assets. Seller agrees to cooperate with Buyer to more specifically identify and describe the Real Property in which Seller holds an interest and that will be transferred, conveyed or assigned to Buyer at the Closing.</w:t>
      </w:r>
    </w:p>
    <w:p>
      <w:pPr>
        <w:spacing w:after="0" w:line="181" w:lineRule="exact"/>
        <w:rPr>
          <w:rFonts w:ascii="Arial" w:cs="Arial" w:eastAsia="Arial" w:hAnsi="Arial"/>
          <w:sz w:val="21"/>
          <w:szCs w:val="21"/>
          <w:color w:val="auto"/>
        </w:rPr>
      </w:pPr>
    </w:p>
    <w:p>
      <w:pPr>
        <w:ind w:left="1220" w:hanging="469"/>
        <w:spacing w:after="0"/>
        <w:tabs>
          <w:tab w:leader="none" w:pos="12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within three years following the Closing Date Seller or Buyer determines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0120"/>
          </w:cols>
          <w:pgMar w:left="1440" w:top="1428" w:right="339" w:bottom="1440" w:gutter="0" w:footer="0" w:header="0"/>
        </w:sectPr>
      </w:pPr>
    </w:p>
    <w:bookmarkStart w:id="154" w:name="page155"/>
    <w:bookmarkEnd w:id="154"/>
    <w:p>
      <w:pPr>
        <w:jc w:val="both"/>
        <w:ind w:left="640" w:firstLine="652"/>
        <w:spacing w:after="0" w:line="290" w:lineRule="auto"/>
        <w:tabs>
          <w:tab w:leader="none" w:pos="1803"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any Excluded Asset or Excluded Liability is inadvertently transferred from Seller to Buyer, Buyer shall execute, deliver and record (where appropriate) any and all instruments or other documents of transfer, conveyance and assignment, or amend or correct any such existing instruments or documents, and take such other action as Seller may reasonably request, as may be necessary or advisable to effect or evidence the transfer of such Excluded Assets or Excluded Liabilities to Seller and its Affiliates (or to any Person as directed by Seller) in accordance with the terms of this Agreement, and agrees, at Seller’s option, to return or destroy any Confidential Information related to such Excluded Assets or Excluded Liabilities. Any such Confidential Information inadvertently transferred to Buyer shall remain subject to the confidentiality obligations of </w:t>
      </w:r>
      <w:r>
        <w:rPr>
          <w:rFonts w:ascii="Arial" w:cs="Arial" w:eastAsia="Arial" w:hAnsi="Arial"/>
          <w:sz w:val="19"/>
          <w:szCs w:val="19"/>
          <w:u w:val="single" w:color="auto"/>
          <w:color w:val="auto"/>
        </w:rPr>
        <w:t>Section 7.3</w:t>
      </w:r>
      <w:r>
        <w:rPr>
          <w:rFonts w:ascii="Arial" w:cs="Arial" w:eastAsia="Arial" w:hAnsi="Arial"/>
          <w:sz w:val="19"/>
          <w:szCs w:val="19"/>
          <w:color w:val="auto"/>
        </w:rPr>
        <w:t>; or</w:t>
      </w:r>
    </w:p>
    <w:p>
      <w:pPr>
        <w:spacing w:after="0" w:line="155" w:lineRule="exact"/>
        <w:rPr>
          <w:rFonts w:ascii="Arial" w:cs="Arial" w:eastAsia="Arial" w:hAnsi="Arial"/>
          <w:sz w:val="19"/>
          <w:szCs w:val="19"/>
          <w:color w:val="auto"/>
        </w:rPr>
      </w:pPr>
    </w:p>
    <w:p>
      <w:pPr>
        <w:jc w:val="both"/>
        <w:ind w:left="640" w:firstLine="652"/>
        <w:spacing w:after="0" w:line="289" w:lineRule="auto"/>
        <w:tabs>
          <w:tab w:leader="none" w:pos="1803"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Purchased Asset or Assumed Obligation is inadvertently retained by Seller, Seller shall execute, deliver and record (where appropriate) any and all instruments or other documents of transfer, conveyance and assignment, or amend or correct any such existing instruments or documents, and take such other action as Buyer may reasonably request, as may be necessary or advisable to effect or evidence the transfer of such Purchased Assets or Assumed Obligations to Buyer and its Affiliates (or to any Person as directed by Buyer) in accordance with the terms of this Agreement. Seller agrees to use commercially reasonable efforts to convey all of the Real Property to Buyer at the Closing; provided, however, that to the extent all of the Real Property is not conveyed to Buyer at the Closing, the Parties shall cooperate to convey any remaining Real Property to Buyer promptly following the identification of any such Real Property.</w:t>
      </w:r>
    </w:p>
    <w:p>
      <w:pPr>
        <w:spacing w:after="0" w:line="157" w:lineRule="exact"/>
        <w:rPr>
          <w:sz w:val="20"/>
          <w:szCs w:val="20"/>
          <w:color w:val="auto"/>
        </w:rPr>
      </w:pPr>
    </w:p>
    <w:p>
      <w:pPr>
        <w:jc w:val="both"/>
        <w:ind w:left="560" w:firstLine="651"/>
        <w:spacing w:after="0" w:line="250" w:lineRule="auto"/>
        <w:tabs>
          <w:tab w:leader="none" w:pos="17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Section 7.6</w:t>
      </w:r>
      <w:r>
        <w:rPr>
          <w:rFonts w:ascii="Arial" w:cs="Arial" w:eastAsia="Arial" w:hAnsi="Arial"/>
          <w:sz w:val="22"/>
          <w:szCs w:val="22"/>
          <w:color w:val="auto"/>
        </w:rPr>
        <w:t>, “commercially reasonable efforts” shall not include the payment of any consideration (monetary or otherwise), the reduction of amounts owed to such Party in connection with obtaining any consent required by this Agreement or the concession or provision of any right to, or the amendment or modification in any manner materially adverse to such Party.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Transition Plan</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92" w:lineRule="auto"/>
        <w:tabs>
          <w:tab w:leader="none" w:pos="174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During the period after the date of this Agreement and up to the Closing (the “</w:t>
      </w:r>
      <w:r>
        <w:rPr>
          <w:rFonts w:ascii="Arial" w:cs="Arial" w:eastAsia="Arial" w:hAnsi="Arial"/>
          <w:sz w:val="19"/>
          <w:szCs w:val="19"/>
          <w:u w:val="single" w:color="auto"/>
          <w:color w:val="auto"/>
        </w:rPr>
        <w:t>Interim Period</w:t>
      </w:r>
      <w:r>
        <w:rPr>
          <w:rFonts w:ascii="Arial" w:cs="Arial" w:eastAsia="Arial" w:hAnsi="Arial"/>
          <w:sz w:val="19"/>
          <w:szCs w:val="19"/>
          <w:color w:val="auto"/>
        </w:rPr>
        <w:t>”), in furtherance of the transactions contemplated by this Agreement, the Parties shall, and shall cause their Affiliates to, cooperate in good faith and use their commercially reasonable efforts to develop and plan for a mutually acceptable transition plan for the migration and integration of the Purchased Assets, Assumed Obligations and Business to and into Buyer, subject to compliance with applicable Laws (the “</w:t>
      </w:r>
      <w:r>
        <w:rPr>
          <w:rFonts w:ascii="Arial" w:cs="Arial" w:eastAsia="Arial" w:hAnsi="Arial"/>
          <w:sz w:val="19"/>
          <w:szCs w:val="19"/>
          <w:u w:val="single" w:color="auto"/>
          <w:color w:val="auto"/>
        </w:rPr>
        <w:t>Transition Plan</w:t>
      </w:r>
      <w:r>
        <w:rPr>
          <w:rFonts w:ascii="Arial" w:cs="Arial" w:eastAsia="Arial" w:hAnsi="Arial"/>
          <w:sz w:val="19"/>
          <w:szCs w:val="19"/>
          <w:color w:val="auto"/>
        </w:rPr>
        <w:t xml:space="preserve">”). The Transition Plan shall address matters agreed to by the Parties (which, for the avoidance of doubt, may include matters agreed by the Parties following the date hereof in accordance </w:t>
      </w:r>
      <w:r>
        <w:rPr>
          <w:rFonts w:ascii="Arial" w:cs="Arial" w:eastAsia="Arial" w:hAnsi="Arial"/>
          <w:sz w:val="19"/>
          <w:szCs w:val="19"/>
          <w:u w:val="single" w:color="auto"/>
          <w:color w:val="auto"/>
        </w:rPr>
        <w:t>Section 7.23</w:t>
      </w:r>
      <w:r>
        <w:rPr>
          <w:rFonts w:ascii="Arial" w:cs="Arial" w:eastAsia="Arial" w:hAnsi="Arial"/>
          <w:sz w:val="19"/>
          <w:szCs w:val="19"/>
          <w:color w:val="auto"/>
        </w:rPr>
        <w:t>). Such cooperation shall include Buyer and Seller taking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580"/>
          </w:cols>
          <w:pgMar w:left="980" w:top="1428" w:right="339" w:bottom="1440" w:gutter="0" w:footer="0" w:header="0"/>
        </w:sectPr>
      </w:pPr>
    </w:p>
    <w:bookmarkStart w:id="155" w:name="page156"/>
    <w:bookmarkEnd w:id="155"/>
    <w:p>
      <w:pPr>
        <w:jc w:val="both"/>
        <w:ind w:left="100"/>
        <w:spacing w:after="0" w:line="287" w:lineRule="auto"/>
        <w:rPr>
          <w:sz w:val="20"/>
          <w:szCs w:val="20"/>
          <w:color w:val="auto"/>
        </w:rPr>
      </w:pPr>
      <w:r>
        <w:rPr>
          <w:rFonts w:ascii="Arial" w:cs="Arial" w:eastAsia="Arial" w:hAnsi="Arial"/>
          <w:sz w:val="19"/>
          <w:szCs w:val="19"/>
          <w:color w:val="auto"/>
        </w:rPr>
        <w:t xml:space="preserve">following actions: (i) promptly after execution of this Agreement, appointing a transition manager whose primary responsibility will be to plan and execute the transition and manage such Party’s transition team; (ii) promptly after execution of this Agreement, reviewing the technology, business operations and administration capabilities to be transitioned or migrated, taking into account any issues of separation arising from the Transition Plan; (iii) reviewing the services to be provided to Buyer under the Shared Contracts and the extent to which such services can be provided on a transitional basis; (iv) establishing transition teams; (v) setting regular meetings of the teams during the Interim Period; (vi) making available appropriate knowledgeable business, operations, administration and technology personnel and any other personnel reasonably needed for such transition and migration planning, execution and knowledge transfer; (vii) coordinating as to transitional matters with respect to Governmental Entities; and (viii) developing detailed project plans for migration and transition; provided that all such activities subject to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shall be in compliance with applicable Law, including the HSR Act.</w:t>
      </w:r>
    </w:p>
    <w:p>
      <w:pPr>
        <w:spacing w:after="0" w:line="163" w:lineRule="exact"/>
        <w:rPr>
          <w:sz w:val="20"/>
          <w:szCs w:val="20"/>
          <w:color w:val="auto"/>
        </w:rPr>
      </w:pPr>
    </w:p>
    <w:p>
      <w:pPr>
        <w:jc w:val="both"/>
        <w:ind w:left="100" w:firstLine="651"/>
        <w:spacing w:after="0" w:line="257" w:lineRule="auto"/>
        <w:tabs>
          <w:tab w:leader="none" w:pos="136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In furtherance of the Transition Plan, during the Interim Period, Seller shall, and shall cause its Affiliates to, work together with Buyer in good faith and the Parties shall use their commercially reasonable efforts to prepare for the transition and migration of the software identified by Buyer to Seller as software Buyer intends to use in connection with the operation of the Business after the Closing (the “</w:t>
      </w:r>
      <w:r>
        <w:rPr>
          <w:rFonts w:ascii="Arial" w:cs="Arial" w:eastAsia="Arial" w:hAnsi="Arial"/>
          <w:sz w:val="21"/>
          <w:szCs w:val="21"/>
          <w:u w:val="single" w:color="auto"/>
          <w:color w:val="auto"/>
        </w:rPr>
        <w:t>Transitioning Software</w:t>
      </w:r>
      <w:r>
        <w:rPr>
          <w:rFonts w:ascii="Arial" w:cs="Arial" w:eastAsia="Arial" w:hAnsi="Arial"/>
          <w:sz w:val="21"/>
          <w:szCs w:val="21"/>
          <w:color w:val="auto"/>
        </w:rPr>
        <w:t xml:space="preserve">”). In connection therewith, Seller shall, and shall cause its Affiliates to, facilitate discussions with third party licensors of Transitioning Software with the intent of making the Transitioning Software available to Buyer for the operation of the Business as currently conducted, effective following the Closing, subject to Buyer’s negotiation and agreement with third party licensors as to the terms and conditions of any license required with respect thereto and the payment of any fee that may be required. If the Transitioning Software is not available for use by Buyer as of the Closing Date, then Seller or its Affiliates shall continue the efforts described in this </w:t>
      </w:r>
      <w:r>
        <w:rPr>
          <w:rFonts w:ascii="Arial" w:cs="Arial" w:eastAsia="Arial" w:hAnsi="Arial"/>
          <w:sz w:val="21"/>
          <w:szCs w:val="21"/>
          <w:u w:val="single" w:color="auto"/>
          <w:color w:val="auto"/>
        </w:rPr>
        <w:t>Section 7.7(b)</w:t>
      </w:r>
      <w:r>
        <w:rPr>
          <w:rFonts w:ascii="Arial" w:cs="Arial" w:eastAsia="Arial" w:hAnsi="Arial"/>
          <w:sz w:val="21"/>
          <w:szCs w:val="21"/>
          <w:color w:val="auto"/>
        </w:rPr>
        <w:t xml:space="preserve"> under the terms of the Transition Services Agreement, as and to the extent permissible under the terms of the Transitioning Software licenses. The Buyer will be responsible for all costs associated with securing its separate licenses from third party licensors.</w:t>
      </w:r>
    </w:p>
    <w:p>
      <w:pPr>
        <w:spacing w:after="0" w:line="188" w:lineRule="exact"/>
        <w:rPr>
          <w:rFonts w:ascii="Arial" w:cs="Arial" w:eastAsia="Arial" w:hAnsi="Arial"/>
          <w:sz w:val="21"/>
          <w:szCs w:val="21"/>
          <w:color w:val="auto"/>
        </w:rPr>
      </w:pPr>
    </w:p>
    <w:p>
      <w:pPr>
        <w:jc w:val="both"/>
        <w:ind w:left="100" w:firstLine="651"/>
        <w:spacing w:after="0" w:line="260" w:lineRule="auto"/>
        <w:tabs>
          <w:tab w:leader="none" w:pos="135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In furtherance of the Transition Plan, during the Interim Period, Seller shall, and shall cause its Affiliates to, work together with Buyer in good faith and the Parties shall use their commercially reasonable efforts to not more than twenty Business Days following the date of this Agreement, submit jointly with Buyer to FERC a petition for waiver, pursuant to which Seller and Buyer will seek waivers of applicable (i) capacity release regulations and (ii) any tariff provisions of the relevant interstate pipeline(s) for a permanent capacity release of Seller’s rights and obligations in and to the interstate pipeline service agreements to be transferred to Buyer. Seller shall use its commercially reasonable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120"/>
          </w:cols>
          <w:pgMar w:left="1440" w:top="1428" w:right="339" w:bottom="1440" w:gutter="0" w:footer="0" w:header="0"/>
        </w:sectPr>
      </w:pPr>
    </w:p>
    <w:bookmarkStart w:id="156" w:name="page157"/>
    <w:bookmarkEnd w:id="156"/>
    <w:p>
      <w:pPr>
        <w:jc w:val="both"/>
        <w:ind w:left="560"/>
        <w:spacing w:after="0" w:line="302" w:lineRule="auto"/>
        <w:rPr>
          <w:sz w:val="20"/>
          <w:szCs w:val="20"/>
          <w:color w:val="auto"/>
        </w:rPr>
      </w:pPr>
      <w:r>
        <w:rPr>
          <w:rFonts w:ascii="Arial" w:cs="Arial" w:eastAsia="Arial" w:hAnsi="Arial"/>
          <w:sz w:val="19"/>
          <w:szCs w:val="19"/>
          <w:color w:val="auto"/>
        </w:rPr>
        <w:t xml:space="preserve">obtain as soon as possible from the relevant interstate pipeline(s), any consent(s) or agreement(s) not to oppose the waiver(s) requested in the petition for waiver and the permanent release of the interstate capacity as provided therein. If such FERC waivers have not been granted as of the Closing Date, then Seller or its Affiliates shall continue the efforts described in this </w:t>
      </w:r>
      <w:r>
        <w:rPr>
          <w:rFonts w:ascii="Arial" w:cs="Arial" w:eastAsia="Arial" w:hAnsi="Arial"/>
          <w:sz w:val="19"/>
          <w:szCs w:val="19"/>
          <w:u w:val="single" w:color="auto"/>
          <w:color w:val="auto"/>
        </w:rPr>
        <w:t>Section 7.7(c)</w:t>
      </w:r>
      <w:r>
        <w:rPr>
          <w:rFonts w:ascii="Arial" w:cs="Arial" w:eastAsia="Arial" w:hAnsi="Arial"/>
          <w:sz w:val="19"/>
          <w:szCs w:val="19"/>
          <w:color w:val="auto"/>
        </w:rPr>
        <w:t xml:space="preserve"> under the terms of the Transition Services Agreement.</w:t>
      </w:r>
    </w:p>
    <w:p>
      <w:pPr>
        <w:spacing w:after="0" w:line="142" w:lineRule="exact"/>
        <w:rPr>
          <w:sz w:val="20"/>
          <w:szCs w:val="20"/>
          <w:color w:val="auto"/>
        </w:rPr>
      </w:pPr>
    </w:p>
    <w:p>
      <w:pPr>
        <w:jc w:val="both"/>
        <w:ind w:left="560" w:firstLine="651"/>
        <w:spacing w:after="0" w:line="288" w:lineRule="auto"/>
        <w:tabs>
          <w:tab w:leader="none" w:pos="174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In furtherance of the Transition Plan and subject to </w:t>
      </w:r>
      <w:r>
        <w:rPr>
          <w:rFonts w:ascii="Arial" w:cs="Arial" w:eastAsia="Arial" w:hAnsi="Arial"/>
          <w:sz w:val="19"/>
          <w:szCs w:val="19"/>
          <w:u w:val="single" w:color="auto"/>
          <w:color w:val="auto"/>
        </w:rPr>
        <w:t>Section 7.6(b)</w:t>
      </w:r>
      <w:r>
        <w:rPr>
          <w:rFonts w:ascii="Arial" w:cs="Arial" w:eastAsia="Arial" w:hAnsi="Arial"/>
          <w:sz w:val="19"/>
          <w:szCs w:val="19"/>
          <w:color w:val="auto"/>
        </w:rPr>
        <w:t>, during the Interim Period, Seller shall, and shall cause its Affiliates to, work together with Buyer in good faith and the Parties shall use their commercially reasonable efforts to obtain any required consent(s) from counterparties to Seller’s asset management agreements, interstate pipeline service agreements and natural gas purchase and sales contracts that are Business Agreements (“</w:t>
      </w:r>
      <w:r>
        <w:rPr>
          <w:rFonts w:ascii="Arial" w:cs="Arial" w:eastAsia="Arial" w:hAnsi="Arial"/>
          <w:sz w:val="19"/>
          <w:szCs w:val="19"/>
          <w:u w:val="single" w:color="auto"/>
          <w:color w:val="auto"/>
        </w:rPr>
        <w:t>Material Gas Contracts</w:t>
      </w:r>
      <w:r>
        <w:rPr>
          <w:rFonts w:ascii="Arial" w:cs="Arial" w:eastAsia="Arial" w:hAnsi="Arial"/>
          <w:sz w:val="19"/>
          <w:szCs w:val="19"/>
          <w:color w:val="auto"/>
        </w:rPr>
        <w:t xml:space="preserve">”) to assign or novate such Material Gas Contracts, as appropriate, to Buyer at Closing. If such third party consents to assign or novate such Material Gas Contracts have not been granted as of the Closing Date, then Seller or its Affiliates shall continue the efforts described in this </w:t>
      </w:r>
      <w:r>
        <w:rPr>
          <w:rFonts w:ascii="Arial" w:cs="Arial" w:eastAsia="Arial" w:hAnsi="Arial"/>
          <w:sz w:val="19"/>
          <w:szCs w:val="19"/>
          <w:u w:val="single" w:color="auto"/>
          <w:color w:val="auto"/>
        </w:rPr>
        <w:t>Section 7.7(d)</w:t>
      </w:r>
      <w:r>
        <w:rPr>
          <w:rFonts w:ascii="Arial" w:cs="Arial" w:eastAsia="Arial" w:hAnsi="Arial"/>
          <w:sz w:val="19"/>
          <w:szCs w:val="19"/>
          <w:color w:val="auto"/>
        </w:rPr>
        <w:t xml:space="preserve"> under the terms of the Transition Services Agreement and, to the extent requested by Buyer, use commercially reasonable efforts to ensure that the capacity to which Seller is currently entitled under Material Gas Contracts is preserved through the transaction for the benefit of Buyer or its Affiliates on substantially the same economic basis.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Governmental Approvals</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85" w:lineRule="auto"/>
        <w:tabs>
          <w:tab w:leader="none" w:pos="1808"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As soon as reasonably practicable following the date hereof, but in no event later than 60 days following the date hereof (or such later date as the parties shall mutually agree), Seller and Buyer will each file or cause to be filed (i) with each Applicable Commission, joint applications for the approval of the transactions contemplated hereby, which may include seeking expedited treatment; and (ii) with FERC, (A) an application for the modification and transfer of certain service area determinations under Section 7(f) of the Natural Gas Act and</w:t>
      </w:r>
    </w:p>
    <w:p>
      <w:pPr>
        <w:spacing w:after="0" w:line="3" w:lineRule="exact"/>
        <w:rPr>
          <w:rFonts w:ascii="Arial" w:cs="Arial" w:eastAsia="Arial" w:hAnsi="Arial"/>
          <w:sz w:val="19"/>
          <w:szCs w:val="19"/>
          <w:color w:val="auto"/>
        </w:rPr>
      </w:pPr>
    </w:p>
    <w:p>
      <w:pPr>
        <w:jc w:val="both"/>
        <w:ind w:left="560" w:firstLine="3"/>
        <w:spacing w:after="0" w:line="244" w:lineRule="auto"/>
        <w:tabs>
          <w:tab w:leader="none" w:pos="92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petition for waiver to permit the permanent assignment of interstate natural gas transportation and storage capacity to Buyer. In addition, within 90 days following the date hereof, or such other date mutually agreed between the Parties, Seller and Buyer will each file or cause to be filed, with the Federal Trade Commission and the United States Department of Justice, Antitrust Division, any notifications required to be filed under the HSR Act with respect to the transactions contemplated hereby, and shall therein request early termination of the waiting period under the HSR Act.</w:t>
      </w:r>
    </w:p>
    <w:p>
      <w:pPr>
        <w:spacing w:after="0" w:line="193" w:lineRule="exact"/>
        <w:rPr>
          <w:rFonts w:ascii="Arial" w:cs="Arial" w:eastAsia="Arial" w:hAnsi="Arial"/>
          <w:sz w:val="22"/>
          <w:szCs w:val="22"/>
          <w:color w:val="auto"/>
        </w:rPr>
      </w:pPr>
    </w:p>
    <w:p>
      <w:pPr>
        <w:jc w:val="both"/>
        <w:ind w:left="560" w:firstLine="651"/>
        <w:spacing w:after="0" w:line="271" w:lineRule="auto"/>
        <w:tabs>
          <w:tab w:leader="none" w:pos="1716" w:val="left"/>
        </w:tabs>
        <w:numPr>
          <w:ilvl w:val="1"/>
          <w:numId w:val="135"/>
        </w:numPr>
        <w:rPr>
          <w:rFonts w:ascii="Arial" w:cs="Arial" w:eastAsia="Arial" w:hAnsi="Arial"/>
          <w:sz w:val="21"/>
          <w:szCs w:val="21"/>
          <w:color w:val="auto"/>
        </w:rPr>
      </w:pPr>
      <w:r>
        <w:rPr>
          <w:rFonts w:ascii="Arial" w:cs="Arial" w:eastAsia="Arial" w:hAnsi="Arial"/>
          <w:sz w:val="21"/>
          <w:szCs w:val="21"/>
          <w:color w:val="auto"/>
        </w:rPr>
        <w:t>Seller and Buyer will, and will cause their respective Affiliates to, cooperate with each other and use reasonable best efforts to (i) promptly prepare and file all necessary applications, notices, petitions, and filings, and execute all agreements and documents, to the extent required by Law, Order 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580"/>
          </w:cols>
          <w:pgMar w:left="980" w:top="1428" w:right="339" w:bottom="1440" w:gutter="0" w:footer="0" w:header="0"/>
        </w:sectPr>
      </w:pPr>
    </w:p>
    <w:bookmarkStart w:id="157" w:name="page158"/>
    <w:bookmarkEnd w:id="157"/>
    <w:p>
      <w:pPr>
        <w:jc w:val="both"/>
        <w:ind w:left="100"/>
        <w:spacing w:after="0" w:line="285" w:lineRule="auto"/>
        <w:rPr>
          <w:sz w:val="20"/>
          <w:szCs w:val="20"/>
          <w:color w:val="auto"/>
        </w:rPr>
      </w:pPr>
      <w:r>
        <w:rPr>
          <w:rFonts w:ascii="Arial" w:cs="Arial" w:eastAsia="Arial" w:hAnsi="Arial"/>
          <w:sz w:val="19"/>
          <w:szCs w:val="19"/>
          <w:color w:val="auto"/>
        </w:rPr>
        <w:t xml:space="preserve">Agreement for consummation of the transactions contemplated by this Agreement (including the Required Regulatory Approvals) by the Termination Date, (ii) obtain the transfer to Buyer of all material Transferable Permits and the reissuance to Buyer of all material Permits that are not Transferable Permits, and (iii) obtain the consents, approvals, and authorizations of all Governmental Entities to the extent required by Law or Order for consummation of the transactions contemplated by this Agreement (including the Required Regulatory Approvals). Each Party will, and will cause its Affiliates to, consult and cooperate with the other Party as to the appropriate time of filing all such notifications, furnish to the other Party such necessary information and reasonable assistance in connection with the preparation of such filings, and respond promptly to any requests for additional information made in connection therewith by any Governmental Entity. Notwithstanding the foregoing, any Party may, as it deems advisable and necessary, reasonably designate any competitively sensitive material provided to the other Parties under this </w:t>
      </w:r>
      <w:r>
        <w:rPr>
          <w:rFonts w:ascii="Arial" w:cs="Arial" w:eastAsia="Arial" w:hAnsi="Arial"/>
          <w:sz w:val="19"/>
          <w:szCs w:val="19"/>
          <w:u w:val="single" w:color="auto"/>
          <w:color w:val="auto"/>
        </w:rPr>
        <w:t>Section 7.8(b)</w:t>
      </w:r>
      <w:r>
        <w:rPr>
          <w:rFonts w:ascii="Arial" w:cs="Arial" w:eastAsia="Arial" w:hAnsi="Arial"/>
          <w:sz w:val="19"/>
          <w:szCs w:val="19"/>
          <w:color w:val="auto"/>
        </w:rPr>
        <w:t xml:space="preserve"> as “outside counsel only.” Such materials and the information contained therein shall be given only to the outside counsel of the recipient Party, and the recipient Party shall cause such outside counsel not to disclose such materials or information to any employees, officers, directors or other Representatives of the recipient Party, unless express written permission is obtained in advance from the source of the materials. Seller and Buyer each will have the right to review in advance all characterizations of the information relating to it or to the transactions contemplated by this Agreement which appear in any filing made by the other Party or any of its Affiliates in connection with the transactions contemplated hereby.</w:t>
      </w:r>
    </w:p>
    <w:p>
      <w:pPr>
        <w:spacing w:after="0" w:line="166" w:lineRule="exact"/>
        <w:rPr>
          <w:sz w:val="20"/>
          <w:szCs w:val="20"/>
          <w:color w:val="auto"/>
        </w:rPr>
      </w:pPr>
    </w:p>
    <w:p>
      <w:pPr>
        <w:jc w:val="both"/>
        <w:ind w:left="100" w:firstLine="651"/>
        <w:spacing w:after="0" w:line="284" w:lineRule="auto"/>
        <w:tabs>
          <w:tab w:leader="none" w:pos="121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Notwithstanding anything herein to the contrary, Buyer agrees to use its reasonable best efforts, and to take any and all steps necessary, to eliminate each and every impediment and obtain all clearances, consents, approvals (including the Required Regulatory Approvals) and waivers under any antitrust, competition or trade regulation Law, the Arkansas Code Annotated Section 23-3-101 and 102, the Arkansas Public Service Commission Rules of Practice and Procedure, Rule 10.02, the Oklahoma Administrative Code 165:45-3-5, 15 United States Code Section 717f(f) and 18 Code of Federal Regulations Parts 157 and 385 or other applicable requirements of Law that is asserted by any Governmental Entity (including any Applicable Commission) or any other party so as to enable the Parties hereto to close the transactions contemplated hereby, prior to the Termination Date, including</w:t>
      </w:r>
    </w:p>
    <w:p>
      <w:pPr>
        <w:spacing w:after="0" w:line="1" w:lineRule="exact"/>
        <w:rPr>
          <w:rFonts w:ascii="Arial" w:cs="Arial" w:eastAsia="Arial" w:hAnsi="Arial"/>
          <w:sz w:val="19"/>
          <w:szCs w:val="19"/>
          <w:color w:val="auto"/>
        </w:rPr>
      </w:pPr>
    </w:p>
    <w:p>
      <w:pPr>
        <w:jc w:val="both"/>
        <w:ind w:left="100" w:firstLine="3"/>
        <w:spacing w:after="0" w:line="281" w:lineRule="auto"/>
        <w:tabs>
          <w:tab w:leader="none" w:pos="41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offering, settling, accepting, and agreeing, committing to agree or consenting to, any undertaking, term, condition, liability, obligation, commitment, sanction or other measure, (ii) negotiating, committing to and effecting by consent decree, hold separate orders, or otherwise, (A) the sale, divestiture or disposition of such of Buyer’s assets, properties or businesses or of Seller’s assets, properties or businesses to be acquired by it pursuant hereto,</w:t>
      </w:r>
    </w:p>
    <w:p>
      <w:pPr>
        <w:spacing w:after="0" w:line="2" w:lineRule="exact"/>
        <w:rPr>
          <w:rFonts w:ascii="Arial" w:cs="Arial" w:eastAsia="Arial" w:hAnsi="Arial"/>
          <w:sz w:val="19"/>
          <w:szCs w:val="19"/>
          <w:color w:val="auto"/>
        </w:rPr>
      </w:pPr>
    </w:p>
    <w:p>
      <w:pPr>
        <w:jc w:val="both"/>
        <w:ind w:left="100"/>
        <w:spacing w:after="0" w:line="245" w:lineRule="auto"/>
        <w:rPr>
          <w:rFonts w:ascii="Arial" w:cs="Arial" w:eastAsia="Arial" w:hAnsi="Arial"/>
          <w:sz w:val="19"/>
          <w:szCs w:val="19"/>
          <w:color w:val="auto"/>
        </w:rPr>
      </w:pPr>
      <w:r>
        <w:rPr>
          <w:rFonts w:ascii="Arial" w:cs="Arial" w:eastAsia="Arial" w:hAnsi="Arial"/>
          <w:sz w:val="22"/>
          <w:szCs w:val="22"/>
          <w:color w:val="auto"/>
        </w:rPr>
        <w:t>(B) terminating, relinquishing, modifying, or waiving existing relationships, ventures, contractual rights, obligations or other arrangements of Buyer or its subsidiaries, as necessary in order to effect the dissolution of any injunction, temporary restraining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0120"/>
          </w:cols>
          <w:pgMar w:left="1440" w:top="1428" w:right="339" w:bottom="1440" w:gutter="0" w:footer="0" w:header="0"/>
        </w:sectPr>
      </w:pPr>
    </w:p>
    <w:bookmarkStart w:id="158" w:name="page159"/>
    <w:bookmarkEnd w:id="158"/>
    <w:p>
      <w:pPr>
        <w:jc w:val="both"/>
        <w:ind w:left="100"/>
        <w:spacing w:after="0" w:line="285" w:lineRule="auto"/>
        <w:rPr>
          <w:sz w:val="20"/>
          <w:szCs w:val="20"/>
          <w:color w:val="auto"/>
        </w:rPr>
      </w:pPr>
      <w:r>
        <w:rPr>
          <w:rFonts w:ascii="Arial" w:cs="Arial" w:eastAsia="Arial" w:hAnsi="Arial"/>
          <w:sz w:val="19"/>
          <w:szCs w:val="19"/>
          <w:color w:val="auto"/>
        </w:rPr>
        <w:t>order or other Order in any suit or proceeding, which would otherwise have the effect of preventing the consummation of the transactions contemplated by this Agreement prior to the Termination Date, and (iii) entering into any relationships, ventures, contractual rights, obligations or other such arrangements, as necessary in order to effect the dissolution of any injunction, temporary restraining order or other order in any suit or proceeding, which would otherwise have the effect of preventing the consummation of the transactions contemplated by this Agreement prior to the Termination Date, and (iv) defending through litigation on the merits any claim asserted in court by any party in order to avoid entry of, or to have vacated or terminated, any decree, order or judgment (whether temporary, preliminary or permanent) that would prevent the Closing from occurring prior to the Termination Date; provided, however, that such litigation in no way limits the obligation of Buyer to use its reasonable best efforts, and to take any and all steps necessary, to eliminate each and every impediment and obtain all clearances, consents, approvals (including the Required Regulatory Approvals) and waivers under any antitrust, competition or trade regulation Law, the Arkansas Code Annotated Section 23-3-101 and 102, the Arkansas Public Service Commission Rules of Practice and Procedure, Rule 10.02, the Oklahoma Administrative Code 165:45-3-5, 15 United States Code Section 717f(f) and 18 Code of Federal Regulations Parts 157 and 385 or other applicable requirements of Law that is asserted by any Governmental Entity (including any Applicable Commission) or any other party so as to enable the Parties hereto to close the transactions contemplated hereby, prior to the Termination Date, and Seller shall use its reasonable best efforts to support Buyer in connection therewith.</w:t>
      </w:r>
    </w:p>
    <w:p>
      <w:pPr>
        <w:spacing w:after="0" w:line="166" w:lineRule="exact"/>
        <w:rPr>
          <w:sz w:val="20"/>
          <w:szCs w:val="20"/>
          <w:color w:val="auto"/>
        </w:rPr>
      </w:pPr>
    </w:p>
    <w:p>
      <w:pPr>
        <w:jc w:val="both"/>
        <w:ind w:left="100" w:firstLine="651"/>
        <w:spacing w:after="0" w:line="286" w:lineRule="auto"/>
        <w:tabs>
          <w:tab w:leader="none" w:pos="141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To the fullest extent possible and permitted by Law, in connection with any communications, meetings, or other contacts, oral or written, with any Governmental Entity (including any Applicable Commission) in connection with the transactions contemplated hereby (but excluding information requests by Buyer’s contractors as part of the standard scope of a Phase 1 environmental site assessment), each Party shall (and will cause its Affiliates to): (i) inform the other Party in advance of any such communication, meeting, or other contact which such Party or any of its Affiliates proposes or intends to make, including the subject matter, contents, intended agenda, and other aspects of any of the foregoing; (ii) consult and cooperate with the other Party, and to take into account the comments of such other Party in connection with any of the matters covered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7.8(b)</w:t>
      </w:r>
      <w:r>
        <w:rPr>
          <w:rFonts w:ascii="Arial" w:cs="Arial" w:eastAsia="Arial" w:hAnsi="Arial"/>
          <w:sz w:val="19"/>
          <w:szCs w:val="19"/>
          <w:color w:val="auto"/>
        </w:rPr>
        <w:t xml:space="preserve">, including in connection with any analyses, appearances, presentations, written correspondence, memoranda, briefs, arguments, opinions and proposals made or submitted by or on behalf of any Party relating to the HSR Act or any other antitrust or competition Law, or related investigations and inquiries, with respect to the transactions contemplated hereby; (iii) permit for Representatives of the other Party to participate to the maximum extent possible in any such communications, meetings, or other contacts,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Party shall independently participate in any meeting with any Governmental Entity (including any Applicable Commission) in respect of any HSR Act filing or any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0120"/>
          </w:cols>
          <w:pgMar w:left="1440" w:top="1428" w:right="339" w:bottom="1440" w:gutter="0" w:footer="0" w:header="0"/>
        </w:sectPr>
      </w:pPr>
    </w:p>
    <w:bookmarkStart w:id="159" w:name="page160"/>
    <w:bookmarkEnd w:id="159"/>
    <w:p>
      <w:pPr>
        <w:jc w:val="both"/>
        <w:ind w:left="560"/>
        <w:spacing w:after="0" w:line="261" w:lineRule="auto"/>
        <w:rPr>
          <w:sz w:val="20"/>
          <w:szCs w:val="20"/>
          <w:color w:val="auto"/>
        </w:rPr>
      </w:pPr>
      <w:r>
        <w:rPr>
          <w:rFonts w:ascii="Arial" w:cs="Arial" w:eastAsia="Arial" w:hAnsi="Arial"/>
          <w:sz w:val="21"/>
          <w:szCs w:val="21"/>
          <w:color w:val="auto"/>
        </w:rPr>
        <w:t>or other inquiry with respect to the transactions contemplated by this Agreement without giving the other Party reasonable prior advance notice of the meeting and, to the extent permitted by such Governmental Entity (including any Applicable Commission), the opportunity to attend and participate; (iv) notify the other Party of any oral communications with any Governmental Entity (including any Applicable Commission) relating to any of the foregoing; and (v) provide the other Party with copies of all written communications with any Governmental Entity (including any Applicable Commission) relating to any of the foregoing.</w:t>
      </w:r>
    </w:p>
    <w:p>
      <w:pPr>
        <w:spacing w:after="0" w:line="179" w:lineRule="exact"/>
        <w:rPr>
          <w:sz w:val="20"/>
          <w:szCs w:val="20"/>
          <w:color w:val="auto"/>
        </w:rPr>
      </w:pPr>
    </w:p>
    <w:p>
      <w:pPr>
        <w:jc w:val="both"/>
        <w:ind w:left="560" w:firstLine="651"/>
        <w:spacing w:after="0" w:line="248" w:lineRule="auto"/>
        <w:tabs>
          <w:tab w:leader="none" w:pos="170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Seller and Buyer will cooperate with each other and promptly prepare and file notifications with, and request Tax clearances from, federal, state and local taxing authorities in jurisdictions in which a portion of the Purchase Price may be required to be withheld or in which Buyer would otherwise be liable for any Tax liabilities of Seller pursuant to such federal, state and local Tax Law (other than any such liabilities which under the terms hereof are to be paid by Buyer).</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86" w:lineRule="auto"/>
        <w:tabs>
          <w:tab w:leader="none" w:pos="172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All transfer, documentary, recording, notarial, sales, use, registration, stamp and other similar taxes, fees and expenses (including all applicable real estate transfer Taxes, and including any penalties, interest and additions to any such tax) (“</w:t>
      </w:r>
      <w:r>
        <w:rPr>
          <w:rFonts w:ascii="Arial" w:cs="Arial" w:eastAsia="Arial" w:hAnsi="Arial"/>
          <w:sz w:val="19"/>
          <w:szCs w:val="19"/>
          <w:u w:val="single" w:color="auto"/>
          <w:color w:val="auto"/>
        </w:rPr>
        <w:t>Transaction Taxes</w:t>
      </w:r>
      <w:r>
        <w:rPr>
          <w:rFonts w:ascii="Arial" w:cs="Arial" w:eastAsia="Arial" w:hAnsi="Arial"/>
          <w:sz w:val="19"/>
          <w:szCs w:val="19"/>
          <w:color w:val="auto"/>
        </w:rPr>
        <w:t>”) incurred in connection with this Agreement and the transactions contemplated hereby shall be borne by Buyer, regardless of whether the Tax authority seeks to collect such Taxes from Seller or Buyer. Buyer and Seller shall cooperate in timely making and filing all Tax Returns as may be required to comply with the provisions of Laws relating to such Transaction Taxes. To the extent permitted by applicable Law, Buyer will file all necessary Tax Returns and other documentation with respect to all Transaction Taxes, and, if required by applicable Law, Seller will join in the execution of any such Tax Returns or other documentation. Seller shall give prompt written notice to Buyer of any proposed adjustment or assessment of any Transaction Taxes with respect to the transaction, or of any examination of said transaction in a sales, use, transfer, or similar Tax audit. In any proceedings, whether formal or informal, Seller shall permit Buyer to participate in and control the defense of such proceeding and shall take all actions and execute all documents required to allow such participation. Seller shall not negotiate a settlement or compromise of any Transaction Taxes without the prior written consent of Buyer, which consent shall not be unreasonably withheld or delayed.</w:t>
      </w:r>
    </w:p>
    <w:p>
      <w:pPr>
        <w:spacing w:after="0" w:line="161" w:lineRule="exact"/>
        <w:rPr>
          <w:rFonts w:ascii="Arial" w:cs="Arial" w:eastAsia="Arial" w:hAnsi="Arial"/>
          <w:sz w:val="19"/>
          <w:szCs w:val="19"/>
          <w:color w:val="auto"/>
        </w:rPr>
      </w:pPr>
    </w:p>
    <w:p>
      <w:pPr>
        <w:jc w:val="both"/>
        <w:ind w:left="560" w:firstLine="651"/>
        <w:spacing w:after="0" w:line="250" w:lineRule="auto"/>
        <w:tabs>
          <w:tab w:leader="none" w:pos="170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Tax Return with respect to the ownership of the Purchased Assets or the ownership or operation of the Business for any Tax period ending on or prior to the Closing Date that is due after the Closing Date will be prepared and timely filed or caused to be prepared and timely filed by Seller in accordance with the past practice of Seller, unless otherwise required by applicable Law. Any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580"/>
          </w:cols>
          <w:pgMar w:left="980" w:top="1428" w:right="339" w:bottom="1440" w:gutter="0" w:footer="0" w:header="0"/>
        </w:sectPr>
      </w:pPr>
    </w:p>
    <w:bookmarkStart w:id="160" w:name="page161"/>
    <w:bookmarkEnd w:id="160"/>
    <w:p>
      <w:pPr>
        <w:jc w:val="both"/>
        <w:ind w:left="100"/>
        <w:spacing w:after="0" w:line="283" w:lineRule="auto"/>
        <w:rPr>
          <w:sz w:val="20"/>
          <w:szCs w:val="20"/>
          <w:color w:val="auto"/>
        </w:rPr>
      </w:pPr>
      <w:r>
        <w:rPr>
          <w:rFonts w:ascii="Arial" w:cs="Arial" w:eastAsia="Arial" w:hAnsi="Arial"/>
          <w:sz w:val="19"/>
          <w:szCs w:val="19"/>
          <w:color w:val="auto"/>
        </w:rPr>
        <w:t xml:space="preserve">Return with respect to the ownership of the Purchased Assets or the ownership or operation of the Business for any Straddle Period will be prepared and timely filed or caused to be prepared and timely filed by Buyer in accordance with the past practice of Seller, unless otherwise required by applicable Law. Each such Tax Return subject to this </w:t>
      </w:r>
      <w:r>
        <w:rPr>
          <w:rFonts w:ascii="Arial" w:cs="Arial" w:eastAsia="Arial" w:hAnsi="Arial"/>
          <w:sz w:val="19"/>
          <w:szCs w:val="19"/>
          <w:u w:val="single" w:color="auto"/>
          <w:color w:val="auto"/>
        </w:rPr>
        <w:t>Section 7.9(b)</w:t>
      </w:r>
      <w:r>
        <w:rPr>
          <w:rFonts w:ascii="Arial" w:cs="Arial" w:eastAsia="Arial" w:hAnsi="Arial"/>
          <w:sz w:val="19"/>
          <w:szCs w:val="19"/>
          <w:color w:val="auto"/>
        </w:rPr>
        <w:t xml:space="preserve"> will be subject to the approval of the Party not preparing such return, which approval will not be unreasonably withheld, conditioned or delayed. Each Party will make any such Tax Return prepared by it available for the other Party’s review and approval no later than 10 Business Days prior to the due date for filing such Tax Return. Each Party shall pay the amount of Taxes shown as due upon the Tax Returns for which it controls the preparation and filing of pursuant to this </w:t>
      </w:r>
      <w:r>
        <w:rPr>
          <w:rFonts w:ascii="Arial" w:cs="Arial" w:eastAsia="Arial" w:hAnsi="Arial"/>
          <w:sz w:val="19"/>
          <w:szCs w:val="19"/>
          <w:u w:val="single" w:color="auto"/>
          <w:color w:val="auto"/>
        </w:rPr>
        <w:t>Section 7.9(b)</w:t>
      </w:r>
      <w:r>
        <w:rPr>
          <w:rFonts w:ascii="Arial" w:cs="Arial" w:eastAsia="Arial" w:hAnsi="Arial"/>
          <w:sz w:val="19"/>
          <w:szCs w:val="19"/>
          <w:color w:val="auto"/>
        </w:rPr>
        <w:t xml:space="preserve">. Within five Business Days after Seller’s receipt and approval of any Tax Return with respect to a Straddle Period reporting Taxes not subject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Seller will pay to Buyer the amount of Taxes shown as due on the applicable Tax Return with respect to the Pre-Closing Tax Period. Within five Business Days after Seller’s receipt and approval of any such Tax Return with respect to a Straddle Period reporting Taxes subject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as the case may be, (i) Seller will pay to Buyer the amount of Taxes shown as due on such Tax Return with respect to the Pre-Closing Tax Period in excess of the amount of Taxes taken into account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with respect to Seller and the Pre-Closing Tax Period, if any, and</w:t>
      </w:r>
    </w:p>
    <w:p>
      <w:pPr>
        <w:spacing w:after="0" w:line="2" w:lineRule="exact"/>
        <w:rPr>
          <w:sz w:val="20"/>
          <w:szCs w:val="20"/>
          <w:color w:val="auto"/>
        </w:rPr>
      </w:pPr>
    </w:p>
    <w:p>
      <w:pPr>
        <w:jc w:val="both"/>
        <w:ind w:left="100" w:firstLine="3"/>
        <w:spacing w:after="0" w:line="302" w:lineRule="auto"/>
        <w:tabs>
          <w:tab w:leader="none" w:pos="44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Buyer will pay to Seller the excess of the amount of Taxes taken into account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with respect to Seller and the Pre-Closing Tax Period over the amount of Taxes shown as due on such Tax Return with respect to the Pre-Closing Tax Period, if any. This </w:t>
      </w:r>
      <w:r>
        <w:rPr>
          <w:rFonts w:ascii="Arial" w:cs="Arial" w:eastAsia="Arial" w:hAnsi="Arial"/>
          <w:sz w:val="19"/>
          <w:szCs w:val="19"/>
          <w:u w:val="single" w:color="auto"/>
          <w:color w:val="auto"/>
        </w:rPr>
        <w:t>Section 7.9(b)</w:t>
      </w:r>
      <w:r>
        <w:rPr>
          <w:rFonts w:ascii="Arial" w:cs="Arial" w:eastAsia="Arial" w:hAnsi="Arial"/>
          <w:sz w:val="19"/>
          <w:szCs w:val="19"/>
          <w:color w:val="auto"/>
        </w:rPr>
        <w:t xml:space="preserve"> shall not apply to Transaction Taxes.</w:t>
      </w:r>
    </w:p>
    <w:p>
      <w:pPr>
        <w:spacing w:after="0" w:line="142" w:lineRule="exact"/>
        <w:rPr>
          <w:rFonts w:ascii="Arial" w:cs="Arial" w:eastAsia="Arial" w:hAnsi="Arial"/>
          <w:sz w:val="19"/>
          <w:szCs w:val="19"/>
          <w:color w:val="auto"/>
        </w:rPr>
      </w:pPr>
    </w:p>
    <w:p>
      <w:pPr>
        <w:jc w:val="both"/>
        <w:ind w:left="100" w:firstLine="651"/>
        <w:spacing w:after="0" w:line="259" w:lineRule="auto"/>
        <w:tabs>
          <w:tab w:leader="none" w:pos="1247" w:val="left"/>
        </w:tabs>
        <w:numPr>
          <w:ilvl w:val="1"/>
          <w:numId w:val="141"/>
        </w:numPr>
        <w:rPr>
          <w:rFonts w:ascii="Arial" w:cs="Arial" w:eastAsia="Arial" w:hAnsi="Arial"/>
          <w:sz w:val="21"/>
          <w:szCs w:val="21"/>
          <w:color w:val="auto"/>
        </w:rPr>
      </w:pPr>
      <w:r>
        <w:rPr>
          <w:rFonts w:ascii="Arial" w:cs="Arial" w:eastAsia="Arial" w:hAnsi="Arial"/>
          <w:sz w:val="21"/>
          <w:szCs w:val="21"/>
          <w:color w:val="auto"/>
        </w:rPr>
        <w:t xml:space="preserve">Buyer and Seller will provide each other with such assistance as may reasonably be requested by the other Party in connection with the preparation of any Tax Return, any audit or other examination by any taxing authority, or any judicial or administrative proceedings relating to liability for Taxes, and each Party will retain and provide the other with any records or information which may be relevant to such return, audit or examination or proceedings. Any information obtained pursuant to this </w:t>
      </w:r>
      <w:r>
        <w:rPr>
          <w:rFonts w:ascii="Arial" w:cs="Arial" w:eastAsia="Arial" w:hAnsi="Arial"/>
          <w:sz w:val="21"/>
          <w:szCs w:val="21"/>
          <w:u w:val="single" w:color="auto"/>
          <w:color w:val="auto"/>
        </w:rPr>
        <w:t>Section 7.9(c)</w:t>
      </w:r>
      <w:r>
        <w:rPr>
          <w:rFonts w:ascii="Arial" w:cs="Arial" w:eastAsia="Arial" w:hAnsi="Arial"/>
          <w:sz w:val="21"/>
          <w:szCs w:val="21"/>
          <w:color w:val="auto"/>
        </w:rPr>
        <w:t xml:space="preserve"> or pursuant to any other Section hereof providing for the sharing of information in connection with the preparation of, or the review of, any Tax Return or other schedule relating to Taxes will be kept confidential by the Parties, except to the extent that any disclosure thereof is required by applicable Law or Governmental Entity.</w:t>
      </w:r>
    </w:p>
    <w:p>
      <w:pPr>
        <w:spacing w:after="0" w:line="183" w:lineRule="exact"/>
        <w:rPr>
          <w:rFonts w:ascii="Arial" w:cs="Arial" w:eastAsia="Arial" w:hAnsi="Arial"/>
          <w:sz w:val="21"/>
          <w:szCs w:val="21"/>
          <w:color w:val="auto"/>
        </w:rPr>
      </w:pPr>
    </w:p>
    <w:p>
      <w:pPr>
        <w:jc w:val="both"/>
        <w:ind w:left="100" w:firstLine="651"/>
        <w:spacing w:after="0" w:line="294" w:lineRule="auto"/>
        <w:tabs>
          <w:tab w:leader="none" w:pos="1235" w:val="left"/>
        </w:tabs>
        <w:numPr>
          <w:ilvl w:val="1"/>
          <w:numId w:val="141"/>
        </w:numPr>
        <w:rPr>
          <w:rFonts w:ascii="Arial" w:cs="Arial" w:eastAsia="Arial" w:hAnsi="Arial"/>
          <w:sz w:val="19"/>
          <w:szCs w:val="19"/>
          <w:color w:val="auto"/>
        </w:rPr>
      </w:pPr>
      <w:r>
        <w:rPr>
          <w:rFonts w:ascii="Arial" w:cs="Arial" w:eastAsia="Arial" w:hAnsi="Arial"/>
          <w:sz w:val="19"/>
          <w:szCs w:val="19"/>
          <w:color w:val="auto"/>
        </w:rPr>
        <w:t>For all purposes of this Agreement, except with respect to the allocation of Transaction Taxes, for any Tax (or Tax refund) imposed with respect to the ownership of the Purchased Assets or the ownership or operation of the Business that relates to a Straddle Period, the Parties shall use the following conventions for determining the portion of such Tax (or Tax refund) that relates to a Pre-Closing Tax Period portion of such Straddle Period and the portion that relates to a Post-Closing Tax Period portion of such Straddle Period: (i) in the case of personal property and real property Taxes or other similar Taxes imposed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0120"/>
          </w:cols>
          <w:pgMar w:left="1440" w:top="1428" w:right="339" w:bottom="1440" w:gutter="0" w:footer="0" w:header="0"/>
        </w:sectPr>
      </w:pPr>
    </w:p>
    <w:bookmarkStart w:id="161" w:name="page162"/>
    <w:bookmarkEnd w:id="161"/>
    <w:p>
      <w:pPr>
        <w:jc w:val="both"/>
        <w:ind w:left="560"/>
        <w:spacing w:after="0" w:line="289" w:lineRule="auto"/>
        <w:rPr>
          <w:sz w:val="20"/>
          <w:szCs w:val="20"/>
          <w:color w:val="auto"/>
        </w:rPr>
      </w:pPr>
      <w:r>
        <w:rPr>
          <w:rFonts w:ascii="Arial" w:cs="Arial" w:eastAsia="Arial" w:hAnsi="Arial"/>
          <w:sz w:val="19"/>
          <w:szCs w:val="19"/>
          <w:color w:val="auto"/>
        </w:rPr>
        <w:t>periodic basis, the amount of Taxes (or Tax refunds) attributable to the Pre-Closing Tax Period shall be determined by multiplying the Taxes for the entire period by a fraction, the numerator of which is the number of calendar days in the portion of the period ending on the Closing Date and the denominator of which is the number of calendar days in the entire period, and the remaining amount of such Taxes (or Tax refunds) shall be attributable to the Post-Closing Tax Period; and (ii) in the case of all other Taxes (including income Taxes, employment Taxes and sales and use Taxes), the amount of Taxes (or Tax refunds) attributable to the Pre-Closing Tax Period shall be determined as if a separate return was filed for the period ending as of the end of the day on the Closing Date using a “closing of the books methodology”, and the remaining amount of the Taxes (or Tax refunds) for such period shall be attributable to the Post-Closing Tax Period.</w:t>
      </w:r>
    </w:p>
    <w:p>
      <w:pPr>
        <w:spacing w:after="0" w:line="157" w:lineRule="exact"/>
        <w:rPr>
          <w:sz w:val="20"/>
          <w:szCs w:val="20"/>
          <w:color w:val="auto"/>
        </w:rPr>
      </w:pPr>
    </w:p>
    <w:p>
      <w:pPr>
        <w:jc w:val="both"/>
        <w:ind w:left="560" w:firstLine="651"/>
        <w:spacing w:after="0" w:line="250" w:lineRule="auto"/>
        <w:tabs>
          <w:tab w:leader="none" w:pos="169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in this Agreement, Buyer shall reimburse Seller for any Tax that Seller pays under </w:t>
      </w:r>
      <w:r>
        <w:rPr>
          <w:rFonts w:ascii="Arial" w:cs="Arial" w:eastAsia="Arial" w:hAnsi="Arial"/>
          <w:sz w:val="22"/>
          <w:szCs w:val="22"/>
          <w:u w:val="single" w:color="auto"/>
          <w:color w:val="auto"/>
        </w:rPr>
        <w:t>Section 7.9(b)</w:t>
      </w:r>
      <w:r>
        <w:rPr>
          <w:rFonts w:ascii="Arial" w:cs="Arial" w:eastAsia="Arial" w:hAnsi="Arial"/>
          <w:sz w:val="22"/>
          <w:szCs w:val="22"/>
          <w:color w:val="auto"/>
        </w:rPr>
        <w:t xml:space="preserve"> but that Buyer collects from a third party; and Seller shall not be liable for any Tax that relates to a Pre-Closing Tax Period that Buyer pays under </w:t>
      </w:r>
      <w:r>
        <w:rPr>
          <w:rFonts w:ascii="Arial" w:cs="Arial" w:eastAsia="Arial" w:hAnsi="Arial"/>
          <w:sz w:val="22"/>
          <w:szCs w:val="22"/>
          <w:u w:val="single" w:color="auto"/>
          <w:color w:val="auto"/>
        </w:rPr>
        <w:t>Section 7.9(b)</w:t>
      </w:r>
      <w:r>
        <w:rPr>
          <w:rFonts w:ascii="Arial" w:cs="Arial" w:eastAsia="Arial" w:hAnsi="Arial"/>
          <w:sz w:val="22"/>
          <w:szCs w:val="22"/>
          <w:color w:val="auto"/>
        </w:rPr>
        <w:t xml:space="preserve"> and that Buyer collects from a third party.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Employees</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58" w:lineRule="auto"/>
        <w:tabs>
          <w:tab w:leader="none" w:pos="1758"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Schedule 7.10(a)</w:t>
      </w:r>
      <w:r>
        <w:rPr>
          <w:rFonts w:ascii="Arial" w:cs="Arial" w:eastAsia="Arial" w:hAnsi="Arial"/>
          <w:sz w:val="21"/>
          <w:szCs w:val="21"/>
          <w:color w:val="auto"/>
        </w:rPr>
        <w:t xml:space="preserve"> sets forth a list of the Business Employees as of the date hereof, which list shall indicate Business Employees on approved leave of absence or short-term disability leave. In the event that any Business Employee ceases to be employed by Seller and its Affiliates, Seller, by delivery of written notice thereof to Buyer, shall promptly update </w:t>
      </w:r>
      <w:r>
        <w:rPr>
          <w:rFonts w:ascii="Arial" w:cs="Arial" w:eastAsia="Arial" w:hAnsi="Arial"/>
          <w:sz w:val="21"/>
          <w:szCs w:val="21"/>
          <w:u w:val="single" w:color="auto"/>
          <w:color w:val="auto"/>
        </w:rPr>
        <w:t>Schedule 7.10(a)</w:t>
      </w:r>
      <w:r>
        <w:rPr>
          <w:rFonts w:ascii="Arial" w:cs="Arial" w:eastAsia="Arial" w:hAnsi="Arial"/>
          <w:sz w:val="21"/>
          <w:szCs w:val="21"/>
          <w:color w:val="auto"/>
        </w:rPr>
        <w:t xml:space="preserve"> to remove from such list the name of such person. Upon any replacement of the applicable Business Employee, </w:t>
      </w:r>
      <w:r>
        <w:rPr>
          <w:rFonts w:ascii="Arial" w:cs="Arial" w:eastAsia="Arial" w:hAnsi="Arial"/>
          <w:sz w:val="21"/>
          <w:szCs w:val="21"/>
          <w:u w:val="single" w:color="auto"/>
          <w:color w:val="auto"/>
        </w:rPr>
        <w:t>Schedule 7.10(a)</w:t>
      </w:r>
      <w:r>
        <w:rPr>
          <w:rFonts w:ascii="Arial" w:cs="Arial" w:eastAsia="Arial" w:hAnsi="Arial"/>
          <w:sz w:val="21"/>
          <w:szCs w:val="21"/>
          <w:color w:val="auto"/>
        </w:rPr>
        <w:t xml:space="preserve"> shall be updated to include the name of such person. In the event any Business Employee returns to active employment or commences an approved leave of absence or short-term disability leave prior to the Closing, Seller shall update such employee’s status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7.10(a)</w:t>
      </w:r>
      <w:r>
        <w:rPr>
          <w:rFonts w:ascii="Arial" w:cs="Arial" w:eastAsia="Arial" w:hAnsi="Arial"/>
          <w:sz w:val="21"/>
          <w:szCs w:val="21"/>
          <w:color w:val="auto"/>
        </w:rPr>
        <w:t xml:space="preserve"> by delivery of written notice thereof to Buyer. In the event of any other change to the Business Employees not prohibited under </w:t>
      </w:r>
      <w:r>
        <w:rPr>
          <w:rFonts w:ascii="Arial" w:cs="Arial" w:eastAsia="Arial" w:hAnsi="Arial"/>
          <w:sz w:val="21"/>
          <w:szCs w:val="21"/>
          <w:u w:val="single" w:color="auto"/>
          <w:color w:val="auto"/>
        </w:rPr>
        <w:t>Section 7.1(a)</w:t>
      </w:r>
      <w:r>
        <w:rPr>
          <w:rFonts w:ascii="Arial" w:cs="Arial" w:eastAsia="Arial" w:hAnsi="Arial"/>
          <w:sz w:val="21"/>
          <w:szCs w:val="21"/>
          <w:color w:val="auto"/>
        </w:rPr>
        <w:t xml:space="preserve">, Seller, by delivery of written notice thereof to Buyer, shall promptly update </w:t>
      </w:r>
      <w:r>
        <w:rPr>
          <w:rFonts w:ascii="Arial" w:cs="Arial" w:eastAsia="Arial" w:hAnsi="Arial"/>
          <w:sz w:val="21"/>
          <w:szCs w:val="21"/>
          <w:u w:val="single" w:color="auto"/>
          <w:color w:val="auto"/>
        </w:rPr>
        <w:t>Schedule 7.10(a)</w:t>
      </w:r>
      <w:r>
        <w:rPr>
          <w:rFonts w:ascii="Arial" w:cs="Arial" w:eastAsia="Arial" w:hAnsi="Arial"/>
          <w:sz w:val="21"/>
          <w:szCs w:val="21"/>
          <w:color w:val="auto"/>
        </w:rPr>
        <w:t xml:space="preserve"> to reflect such change. Seller shall not otherwise modify </w:t>
      </w:r>
      <w:r>
        <w:rPr>
          <w:rFonts w:ascii="Arial" w:cs="Arial" w:eastAsia="Arial" w:hAnsi="Arial"/>
          <w:sz w:val="21"/>
          <w:szCs w:val="21"/>
          <w:u w:val="single" w:color="auto"/>
          <w:color w:val="auto"/>
        </w:rPr>
        <w:t>Schedule 7.10(a)</w:t>
      </w:r>
      <w:r>
        <w:rPr>
          <w:rFonts w:ascii="Arial" w:cs="Arial" w:eastAsia="Arial" w:hAnsi="Arial"/>
          <w:sz w:val="21"/>
          <w:szCs w:val="21"/>
          <w:color w:val="auto"/>
        </w:rPr>
        <w:t xml:space="preserve"> without the prior written consent of Buyer.</w:t>
      </w:r>
    </w:p>
    <w:p>
      <w:pPr>
        <w:spacing w:after="0" w:line="181" w:lineRule="exact"/>
        <w:rPr>
          <w:rFonts w:ascii="Arial" w:cs="Arial" w:eastAsia="Arial" w:hAnsi="Arial"/>
          <w:sz w:val="21"/>
          <w:szCs w:val="21"/>
          <w:color w:val="auto"/>
        </w:rPr>
      </w:pPr>
    </w:p>
    <w:p>
      <w:pPr>
        <w:jc w:val="both"/>
        <w:ind w:left="560" w:firstLine="651"/>
        <w:spacing w:after="0" w:line="294" w:lineRule="auto"/>
        <w:tabs>
          <w:tab w:leader="none" w:pos="172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From and after the date hereof until the Closing Date, Buyer and Seller shall cooperate in good faith regarding any written communications to be distributed to any Business Employees related to the transaction contemplated by this Agreement or post-Closing terms of employment, and Buyer shall consult and obtain Seller’s consent (which shall not be unreasonably withheld) before distributing any communications to any Business Employees. Prior to the time Buyer gives Qualifying Offers of employment to each of the Business Employees pursuant to </w:t>
      </w:r>
      <w:r>
        <w:rPr>
          <w:rFonts w:ascii="Arial" w:cs="Arial" w:eastAsia="Arial" w:hAnsi="Arial"/>
          <w:sz w:val="19"/>
          <w:szCs w:val="19"/>
          <w:u w:val="single" w:color="auto"/>
          <w:color w:val="auto"/>
        </w:rPr>
        <w:t>Section 7.10(b)</w:t>
      </w:r>
      <w:r>
        <w:rPr>
          <w:rFonts w:ascii="Arial" w:cs="Arial" w:eastAsia="Arial" w:hAnsi="Arial"/>
          <w:sz w:val="19"/>
          <w:szCs w:val="19"/>
          <w:color w:val="auto"/>
        </w:rPr>
        <w:t>, Seller shall cooperate in good faith to provide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580"/>
          </w:cols>
          <w:pgMar w:left="980" w:top="1428" w:right="339" w:bottom="1440" w:gutter="0" w:footer="0" w:header="0"/>
        </w:sectPr>
      </w:pPr>
    </w:p>
    <w:bookmarkStart w:id="162" w:name="page163"/>
    <w:bookmarkEnd w:id="162"/>
    <w:p>
      <w:pPr>
        <w:jc w:val="both"/>
        <w:ind w:left="100"/>
        <w:spacing w:after="0" w:line="283" w:lineRule="auto"/>
        <w:rPr>
          <w:sz w:val="20"/>
          <w:szCs w:val="20"/>
          <w:color w:val="auto"/>
        </w:rPr>
      </w:pPr>
      <w:r>
        <w:rPr>
          <w:rFonts w:ascii="Arial" w:cs="Arial" w:eastAsia="Arial" w:hAnsi="Arial"/>
          <w:sz w:val="19"/>
          <w:szCs w:val="19"/>
          <w:color w:val="auto"/>
        </w:rPr>
        <w:t xml:space="preserve">with such information regarding the Business Employees as Buyer may reasonably request in order to comply with covenants in </w:t>
      </w:r>
      <w:r>
        <w:rPr>
          <w:rFonts w:ascii="Arial" w:cs="Arial" w:eastAsia="Arial" w:hAnsi="Arial"/>
          <w:sz w:val="19"/>
          <w:szCs w:val="19"/>
          <w:u w:val="single" w:color="auto"/>
          <w:color w:val="auto"/>
        </w:rPr>
        <w:t>Section 7.10(b)</w:t>
      </w:r>
      <w:r>
        <w:rPr>
          <w:rFonts w:ascii="Arial" w:cs="Arial" w:eastAsia="Arial" w:hAnsi="Arial"/>
          <w:sz w:val="19"/>
          <w:szCs w:val="19"/>
          <w:color w:val="auto"/>
        </w:rPr>
        <w:t>. No later than 20 Business Days prior to the anticipated Closing Date, Buyer will give Qualifying Offers of employment to each of the Business Employees. As used herein, a “Qualifying Offer” means an offer by Buyer to continue employment with the Business (i) in a role that has substantially similar duties and responsibilities and is of the same status (</w:t>
      </w:r>
      <w:r>
        <w:rPr>
          <w:rFonts w:ascii="Arial" w:cs="Arial" w:eastAsia="Arial" w:hAnsi="Arial"/>
          <w:sz w:val="19"/>
          <w:szCs w:val="19"/>
          <w:i w:val="1"/>
          <w:iCs w:val="1"/>
          <w:color w:val="auto"/>
        </w:rPr>
        <w:t>i.e.</w:t>
      </w:r>
      <w:r>
        <w:rPr>
          <w:rFonts w:ascii="Arial" w:cs="Arial" w:eastAsia="Arial" w:hAnsi="Arial"/>
          <w:sz w:val="19"/>
          <w:szCs w:val="19"/>
          <w:color w:val="auto"/>
        </w:rPr>
        <w:t xml:space="preserve">, full-time or part-time) as such Business Employee’s role immediately prior to the date on which such Qualifying Offer is made, (ii) with a primary work location within a 30 mile radius from such employee’s primary work location immediately prior to the Closing Date, and (iii) with compensation and benefits as provided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of this Agreement. All Qualifying Offers of employment made by Buyer pursuant to this </w:t>
      </w:r>
      <w:r>
        <w:rPr>
          <w:rFonts w:ascii="Arial" w:cs="Arial" w:eastAsia="Arial" w:hAnsi="Arial"/>
          <w:sz w:val="19"/>
          <w:szCs w:val="19"/>
          <w:u w:val="single" w:color="auto"/>
          <w:color w:val="auto"/>
        </w:rPr>
        <w:t>Section 7.10(b)</w:t>
      </w:r>
      <w:r>
        <w:rPr>
          <w:rFonts w:ascii="Arial" w:cs="Arial" w:eastAsia="Arial" w:hAnsi="Arial"/>
          <w:sz w:val="19"/>
          <w:szCs w:val="19"/>
          <w:color w:val="auto"/>
        </w:rPr>
        <w:t xml:space="preserve"> will be made in accordance with all applicable Laws, will be conditioned only on the occurrence of the Closing, and will include such additional information as shall be mutually agreed by Seller and Buyer. Business Employees actively employed at the time of Closing (“</w:t>
      </w:r>
      <w:r>
        <w:rPr>
          <w:rFonts w:ascii="Arial" w:cs="Arial" w:eastAsia="Arial" w:hAnsi="Arial"/>
          <w:sz w:val="19"/>
          <w:szCs w:val="19"/>
          <w:u w:val="single" w:color="auto"/>
          <w:color w:val="auto"/>
        </w:rPr>
        <w:t>Active Employees</w:t>
      </w:r>
      <w:r>
        <w:rPr>
          <w:rFonts w:ascii="Arial" w:cs="Arial" w:eastAsia="Arial" w:hAnsi="Arial"/>
          <w:sz w:val="19"/>
          <w:szCs w:val="19"/>
          <w:color w:val="auto"/>
        </w:rPr>
        <w:t>”) shall be deemed to be employees of Buyer as of the Closing Date; provided each such employee does not reject Buyer’s Qualifying Offer. Business Employees on approved leave of absence or short-term disability leave at the time of Closing (“</w:t>
      </w:r>
      <w:r>
        <w:rPr>
          <w:rFonts w:ascii="Arial" w:cs="Arial" w:eastAsia="Arial" w:hAnsi="Arial"/>
          <w:sz w:val="19"/>
          <w:szCs w:val="19"/>
          <w:u w:val="single" w:color="auto"/>
          <w:color w:val="auto"/>
        </w:rPr>
        <w:t>Inactive Employees</w:t>
      </w:r>
      <w:r>
        <w:rPr>
          <w:rFonts w:ascii="Arial" w:cs="Arial" w:eastAsia="Arial" w:hAnsi="Arial"/>
          <w:sz w:val="19"/>
          <w:szCs w:val="19"/>
          <w:color w:val="auto"/>
        </w:rPr>
        <w:t>”) shall be deemed to be employees of Buyer as of the date such Business Employee returns to active employment, provided such employee (i) returns to active employment within (A) the 12-month period following the Closing Date or, if later, (B) the Business Day immediately following the date of expiration of such Business Employee’s statutory return right under applicable requirements of Law (including statutory return rights following the expiration of military leave) (in either case, the “</w:t>
      </w:r>
      <w:r>
        <w:rPr>
          <w:rFonts w:ascii="Arial" w:cs="Arial" w:eastAsia="Arial" w:hAnsi="Arial"/>
          <w:sz w:val="19"/>
          <w:szCs w:val="19"/>
          <w:u w:val="single" w:color="auto"/>
          <w:color w:val="auto"/>
        </w:rPr>
        <w:t>Return Date</w:t>
      </w:r>
      <w:r>
        <w:rPr>
          <w:rFonts w:ascii="Arial" w:cs="Arial" w:eastAsia="Arial" w:hAnsi="Arial"/>
          <w:sz w:val="19"/>
          <w:szCs w:val="19"/>
          <w:color w:val="auto"/>
        </w:rPr>
        <w:t xml:space="preserve">”) and (ii) does not reject Buyer’s Qualifying Offer of employment in writing prior to the Return Date. Buyer shall keep Seller reasonably apprised as to the status of all offers. Seller will provide Buyer with access to the Transferred Employee Records for those (x) Business Employees that have accepted Buyer’s Qualifying Offer of employment prior to the Closing Date and (y) Inactive Employees that return to active employment on the applicable Return Date and have accepted Buyer’s Qualifying Offer of employment in writing prior to the applicable Return Date. Each such person who becomes employed by Buyer pursuant to this </w:t>
      </w:r>
      <w:r>
        <w:rPr>
          <w:rFonts w:ascii="Arial" w:cs="Arial" w:eastAsia="Arial" w:hAnsi="Arial"/>
          <w:sz w:val="19"/>
          <w:szCs w:val="19"/>
          <w:u w:val="single" w:color="auto"/>
          <w:color w:val="auto"/>
        </w:rPr>
        <w:t>Section 7.10(b)</w:t>
      </w:r>
      <w:r>
        <w:rPr>
          <w:rFonts w:ascii="Arial" w:cs="Arial" w:eastAsia="Arial" w:hAnsi="Arial"/>
          <w:sz w:val="19"/>
          <w:szCs w:val="19"/>
          <w:color w:val="auto"/>
        </w:rPr>
        <w:t xml:space="preserve"> is referred to herein as a “Transferred Employee.” Seller will reasonably cooperate with Buyer’s efforts to encourage the Business Employees to accept employment with Buyer. Each Business Employee’s employment with Seller will terminate on the effective date of their employment with Buyer as provided in </w:t>
      </w:r>
      <w:r>
        <w:rPr>
          <w:rFonts w:ascii="Arial" w:cs="Arial" w:eastAsia="Arial" w:hAnsi="Arial"/>
          <w:sz w:val="19"/>
          <w:szCs w:val="19"/>
          <w:u w:val="single" w:color="auto"/>
          <w:color w:val="auto"/>
        </w:rPr>
        <w:t>Section 7.10(b)</w:t>
      </w:r>
      <w:r>
        <w:rPr>
          <w:rFonts w:ascii="Arial" w:cs="Arial" w:eastAsia="Arial" w:hAnsi="Arial"/>
          <w:sz w:val="19"/>
          <w:szCs w:val="19"/>
          <w:color w:val="auto"/>
        </w:rPr>
        <w:t xml:space="preserve">. For a period of 12 months following the Closing, Seller will not, and will cause its Affiliates not to, solicit for employment any Transferred Employees who are still employed by Buyer or any other employees of Buyer or otherwise encourage any such person to terminate employment with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restrictions in this </w:t>
      </w:r>
      <w:r>
        <w:rPr>
          <w:rFonts w:ascii="Arial" w:cs="Arial" w:eastAsia="Arial" w:hAnsi="Arial"/>
          <w:sz w:val="19"/>
          <w:szCs w:val="19"/>
          <w:u w:val="single" w:color="auto"/>
          <w:color w:val="auto"/>
        </w:rPr>
        <w:t>Section 7.10(b)</w:t>
      </w:r>
      <w:r>
        <w:rPr>
          <w:rFonts w:ascii="Arial" w:cs="Arial" w:eastAsia="Arial" w:hAnsi="Arial"/>
          <w:sz w:val="19"/>
          <w:szCs w:val="19"/>
          <w:color w:val="auto"/>
        </w:rPr>
        <w:t xml:space="preserve"> shall not apply with respect to any general solicitations for employment or engagement (whether by newspaper, internet advertisement, headhunter solicitation or otherwise) not specifically targeted at any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0120"/>
          </w:cols>
          <w:pgMar w:left="1440" w:top="1428" w:right="3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Employee Benefits</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92" w:lineRule="auto"/>
        <w:tabs>
          <w:tab w:leader="none" w:pos="1723"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Seller or its Affiliates will pay or cause to be paid to all Transferred Employees all compensation to which such Transferred Employees are entitled upon or prior to the Effective Time. Except as otherwise provided in this </w:t>
      </w:r>
      <w:r>
        <w:rPr>
          <w:rFonts w:ascii="Arial" w:cs="Arial" w:eastAsia="Arial" w:hAnsi="Arial"/>
          <w:sz w:val="19"/>
          <w:szCs w:val="19"/>
          <w:u w:val="single" w:color="auto"/>
          <w:color w:val="auto"/>
        </w:rPr>
        <w:t>Section 7.11</w:t>
      </w:r>
      <w:r>
        <w:rPr>
          <w:rFonts w:ascii="Arial" w:cs="Arial" w:eastAsia="Arial" w:hAnsi="Arial"/>
          <w:sz w:val="19"/>
          <w:szCs w:val="19"/>
          <w:color w:val="auto"/>
        </w:rPr>
        <w:t>, Seller shall be responsible for all liabilities and obligations associated with or arising with respect to employee benefits provided by Seller to the Transferred Employees upon or prior to the Closing, regardless of whether such liabilities or obligations must be satisfied before or after the Effective Time. In no event shall Buyer be responsible for the payment of any severance benefits as a result of the termination of employment of Business Employees or any other Person by Seller or any of its Affiliates.</w:t>
      </w:r>
    </w:p>
    <w:p>
      <w:pPr>
        <w:spacing w:after="0" w:line="150" w:lineRule="exact"/>
        <w:rPr>
          <w:rFonts w:ascii="Arial" w:cs="Arial" w:eastAsia="Arial" w:hAnsi="Arial"/>
          <w:sz w:val="19"/>
          <w:szCs w:val="19"/>
          <w:color w:val="auto"/>
        </w:rPr>
      </w:pPr>
    </w:p>
    <w:p>
      <w:pPr>
        <w:jc w:val="both"/>
        <w:ind w:left="560" w:firstLine="651"/>
        <w:spacing w:after="0" w:line="283" w:lineRule="auto"/>
        <w:tabs>
          <w:tab w:leader="none" w:pos="174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As of the Effective Time and for a period expiring at the end of the 24-month period following the Closing (the “</w:t>
      </w:r>
      <w:r>
        <w:rPr>
          <w:rFonts w:ascii="Arial" w:cs="Arial" w:eastAsia="Arial" w:hAnsi="Arial"/>
          <w:sz w:val="19"/>
          <w:szCs w:val="19"/>
          <w:u w:val="single" w:color="auto"/>
          <w:color w:val="auto"/>
        </w:rPr>
        <w:t>Continuation Period</w:t>
      </w:r>
      <w:r>
        <w:rPr>
          <w:rFonts w:ascii="Arial" w:cs="Arial" w:eastAsia="Arial" w:hAnsi="Arial"/>
          <w:sz w:val="19"/>
          <w:szCs w:val="19"/>
          <w:color w:val="auto"/>
        </w:rPr>
        <w:t xml:space="preserve">”), Buyer will cause the Transferred Employees to be provided (i) with a role that has substantially similar duties and responsibilities and is of the same status (i.e., full-time or part-time) as such Business Employee’s role immediately prior to the Closing Date, (ii) with a primary work location within a 30-mile radius from such employee’s primary work location immediately prior to the Closing Date, (iii) with the same or better base salary or hourly wages, cash incentive compensation (including target annual cash bonus opportunity), and equity or equity-based incentive compensation (or, alternatively, other incentive compensation with a substantially equivalent value to existing equity or equity-based incentive compensation) as those in effect immediately prior to the Closing Date, (iv) with the same or better vacation benefits as those in effect immediately prior to the Closing Date, (v) with retirement eligibility for short term incentive compensation no less favorable than such eligibility under the CenterPoint Energy, Inc. Short Term Incentive Plan immediately prior to the Closing Date, (vi) with severance benefits no less favorable than the severance benefits set forth in </w:t>
      </w:r>
      <w:r>
        <w:rPr>
          <w:rFonts w:ascii="Arial" w:cs="Arial" w:eastAsia="Arial" w:hAnsi="Arial"/>
          <w:sz w:val="19"/>
          <w:szCs w:val="19"/>
          <w:u w:val="single" w:color="auto"/>
          <w:color w:val="auto"/>
        </w:rPr>
        <w:t>Section 7.11(h)</w:t>
      </w:r>
      <w:r>
        <w:rPr>
          <w:rFonts w:ascii="Arial" w:cs="Arial" w:eastAsia="Arial" w:hAnsi="Arial"/>
          <w:sz w:val="19"/>
          <w:szCs w:val="19"/>
          <w:color w:val="auto"/>
        </w:rPr>
        <w:t>, and</w:t>
      </w:r>
    </w:p>
    <w:p>
      <w:pPr>
        <w:spacing w:after="0" w:line="4" w:lineRule="exact"/>
        <w:rPr>
          <w:rFonts w:ascii="Arial" w:cs="Arial" w:eastAsia="Arial" w:hAnsi="Arial"/>
          <w:sz w:val="19"/>
          <w:szCs w:val="19"/>
          <w:color w:val="auto"/>
        </w:rPr>
      </w:pPr>
    </w:p>
    <w:p>
      <w:pPr>
        <w:jc w:val="both"/>
        <w:ind w:left="560" w:firstLine="3"/>
        <w:spacing w:after="0" w:line="244" w:lineRule="auto"/>
        <w:tabs>
          <w:tab w:leader="none" w:pos="991"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with other compensation and benefits that are in the aggregate substantially comparable to such compensation and benefits in effect immediately prior to the Closing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 defined benefit pension, post-employment welfare, retention, change-in-control or other special or non-recurring compensation or benefit provided prior to the Closing Date shall be taken into account for purposes of this covenant, except as explicitly provided in the provisions of this </w:t>
      </w:r>
      <w:r>
        <w:rPr>
          <w:rFonts w:ascii="Arial" w:cs="Arial" w:eastAsia="Arial" w:hAnsi="Arial"/>
          <w:sz w:val="22"/>
          <w:szCs w:val="22"/>
          <w:u w:val="single" w:color="auto"/>
          <w:color w:val="auto"/>
        </w:rPr>
        <w:t>Section 7.11</w:t>
      </w:r>
      <w:r>
        <w:rPr>
          <w:rFonts w:ascii="Arial" w:cs="Arial" w:eastAsia="Arial" w:hAnsi="Arial"/>
          <w:sz w:val="22"/>
          <w:szCs w:val="22"/>
          <w:color w:val="auto"/>
        </w:rPr>
        <w:t>.</w:t>
      </w:r>
    </w:p>
    <w:p>
      <w:pPr>
        <w:spacing w:after="0" w:line="194" w:lineRule="exact"/>
        <w:rPr>
          <w:rFonts w:ascii="Arial" w:cs="Arial" w:eastAsia="Arial" w:hAnsi="Arial"/>
          <w:sz w:val="22"/>
          <w:szCs w:val="22"/>
          <w:color w:val="auto"/>
        </w:rPr>
      </w:pPr>
    </w:p>
    <w:p>
      <w:pPr>
        <w:jc w:val="both"/>
        <w:ind w:left="560" w:firstLine="651"/>
        <w:spacing w:after="0" w:line="297" w:lineRule="auto"/>
        <w:tabs>
          <w:tab w:leader="none" w:pos="1694" w:val="left"/>
        </w:tabs>
        <w:numPr>
          <w:ilvl w:val="1"/>
          <w:numId w:val="145"/>
        </w:numPr>
        <w:rPr>
          <w:rFonts w:ascii="Arial" w:cs="Arial" w:eastAsia="Arial" w:hAnsi="Arial"/>
          <w:sz w:val="19"/>
          <w:szCs w:val="19"/>
          <w:color w:val="auto"/>
        </w:rPr>
      </w:pPr>
      <w:r>
        <w:rPr>
          <w:rFonts w:ascii="Arial" w:cs="Arial" w:eastAsia="Arial" w:hAnsi="Arial"/>
          <w:sz w:val="19"/>
          <w:szCs w:val="19"/>
          <w:color w:val="auto"/>
        </w:rPr>
        <w:t>Buyer agrees that upon the Closing Date, each Transferred Employee shall be immediately eligible to participate in a group health plan, as defined in Section 5000(b)(1) of the Code of Buyer or its Affiliates (“</w:t>
      </w:r>
      <w:r>
        <w:rPr>
          <w:rFonts w:ascii="Arial" w:cs="Arial" w:eastAsia="Arial" w:hAnsi="Arial"/>
          <w:sz w:val="19"/>
          <w:szCs w:val="19"/>
          <w:u w:val="single" w:color="auto"/>
          <w:color w:val="auto"/>
        </w:rPr>
        <w:t>Buyer</w:t>
      </w:r>
      <w:r>
        <w:rPr>
          <w:rFonts w:ascii="Arial" w:cs="Arial" w:eastAsia="Arial" w:hAnsi="Arial"/>
          <w:sz w:val="19"/>
          <w:szCs w:val="19"/>
          <w:color w:val="auto"/>
        </w:rPr>
        <w:t xml:space="preserve"> </w:t>
      </w:r>
      <w:r>
        <w:rPr>
          <w:rFonts w:ascii="Arial" w:cs="Arial" w:eastAsia="Arial" w:hAnsi="Arial"/>
          <w:sz w:val="19"/>
          <w:szCs w:val="19"/>
          <w:u w:val="single" w:color="auto"/>
          <w:color w:val="auto"/>
        </w:rPr>
        <w:t>Medical Plan</w:t>
      </w:r>
      <w:r>
        <w:rPr>
          <w:rFonts w:ascii="Arial" w:cs="Arial" w:eastAsia="Arial" w:hAnsi="Arial"/>
          <w:sz w:val="19"/>
          <w:szCs w:val="19"/>
          <w:color w:val="auto"/>
        </w:rPr>
        <w:t>”). Buyer will waive or cause the waiver of all limitations under its Buyer Medical Plan and life insurance welfare benefit plans as to pre-existing conditions and actively-at-work exclusions and waiting periods for the Transferred Employees. To the extent commercially reasonable to do so and disclosed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0580"/>
          </w:cols>
          <w:pgMar w:left="980" w:top="1428" w:right="339" w:bottom="1440" w:gutter="0" w:footer="0" w:header="0"/>
        </w:sectPr>
      </w:pPr>
    </w:p>
    <w:bookmarkStart w:id="164" w:name="page165"/>
    <w:bookmarkEnd w:id="164"/>
    <w:p>
      <w:pPr>
        <w:jc w:val="both"/>
        <w:ind w:left="100"/>
        <w:spacing w:after="0" w:line="246" w:lineRule="auto"/>
        <w:rPr>
          <w:sz w:val="20"/>
          <w:szCs w:val="20"/>
          <w:color w:val="auto"/>
        </w:rPr>
      </w:pPr>
      <w:r>
        <w:rPr>
          <w:rFonts w:ascii="Arial" w:cs="Arial" w:eastAsia="Arial" w:hAnsi="Arial"/>
          <w:sz w:val="22"/>
          <w:szCs w:val="22"/>
          <w:color w:val="auto"/>
        </w:rPr>
        <w:t xml:space="preserve">Buyer by Seller, all health care expenses incurred by Transferred Employees or any eligible dependent thereof, including any alternate recipient pursuant to qualified medical child support orders, in the portion of the calendar year preceding the Closing Date that were qualified to be taken into account for purposes of satisfying any deductible or out-of-pocket limit under any Seller health care plans will be taken into account for purposes of satisfying any deductible or out-of-pocket limit under the Buyer Medical Plan for such calendar year. Seller’s Benefit Plans that are welfare plans shall retain all liabilities for claims incurred prior to the Closing Date, except as set forth in </w:t>
      </w:r>
      <w:r>
        <w:rPr>
          <w:rFonts w:ascii="Arial" w:cs="Arial" w:eastAsia="Arial" w:hAnsi="Arial"/>
          <w:sz w:val="22"/>
          <w:szCs w:val="22"/>
          <w:u w:val="single" w:color="auto"/>
          <w:color w:val="auto"/>
        </w:rPr>
        <w:t>Section 7.11(f)</w:t>
      </w:r>
      <w:r>
        <w:rPr>
          <w:rFonts w:ascii="Arial" w:cs="Arial" w:eastAsia="Arial" w:hAnsi="Arial"/>
          <w:sz w:val="22"/>
          <w:szCs w:val="22"/>
          <w:color w:val="auto"/>
        </w:rPr>
        <w:t>.</w:t>
      </w:r>
    </w:p>
    <w:p>
      <w:pPr>
        <w:spacing w:after="0" w:line="196" w:lineRule="exact"/>
        <w:rPr>
          <w:sz w:val="20"/>
          <w:szCs w:val="20"/>
          <w:color w:val="auto"/>
        </w:rPr>
      </w:pPr>
    </w:p>
    <w:p>
      <w:pPr>
        <w:jc w:val="both"/>
        <w:ind w:left="100" w:firstLine="651"/>
        <w:spacing w:after="0" w:line="294" w:lineRule="auto"/>
        <w:tabs>
          <w:tab w:leader="none" w:pos="125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Buyer shall, or cause its Affiliates to, recognize the service of the Transferred Employees with Seller or any of its Affiliates that has been disclosed to Buyer for purposes of determining eligibility to participate, vesting and level of compensation or benefits for any employee benefit plan, policy, program, agreement or arrangement maintained by Buyer or its Affiliates in which any Transferred Employee will participate after the Closing (a “</w:t>
      </w:r>
      <w:r>
        <w:rPr>
          <w:rFonts w:ascii="Arial" w:cs="Arial" w:eastAsia="Arial" w:hAnsi="Arial"/>
          <w:sz w:val="19"/>
          <w:szCs w:val="19"/>
          <w:u w:val="single" w:color="auto"/>
          <w:color w:val="auto"/>
        </w:rPr>
        <w:t>Buyer Plan</w:t>
      </w:r>
      <w:r>
        <w:rPr>
          <w:rFonts w:ascii="Arial" w:cs="Arial" w:eastAsia="Arial" w:hAnsi="Arial"/>
          <w:sz w:val="19"/>
          <w:szCs w:val="19"/>
          <w:color w:val="auto"/>
        </w:rPr>
        <w:t>”), except (x) with respect to benefit accruals under qualified and nonqualified defined benefit pension plans or (y) to the extent such recognition would result in the duplication of benefits.</w:t>
      </w:r>
    </w:p>
    <w:p>
      <w:pPr>
        <w:spacing w:after="0" w:line="149" w:lineRule="exact"/>
        <w:rPr>
          <w:rFonts w:ascii="Arial" w:cs="Arial" w:eastAsia="Arial" w:hAnsi="Arial"/>
          <w:sz w:val="19"/>
          <w:szCs w:val="19"/>
          <w:color w:val="auto"/>
        </w:rPr>
      </w:pPr>
    </w:p>
    <w:p>
      <w:pPr>
        <w:jc w:val="both"/>
        <w:ind w:left="100" w:firstLine="651"/>
        <w:spacing w:after="0" w:line="285" w:lineRule="auto"/>
        <w:tabs>
          <w:tab w:leader="none" w:pos="132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Effective as of the Closing Date, Buyer shall maintain or designate, or cause to be maintained or designated, a defined contribution plan and related trust intended to be qualified under Sections 401(a), 401(k) and 501(a) of the Code (the “</w:t>
      </w:r>
      <w:r>
        <w:rPr>
          <w:rFonts w:ascii="Arial" w:cs="Arial" w:eastAsia="Arial" w:hAnsi="Arial"/>
          <w:sz w:val="19"/>
          <w:szCs w:val="19"/>
          <w:u w:val="single" w:color="auto"/>
          <w:color w:val="auto"/>
        </w:rPr>
        <w:t>Buyer’s 401(k) Plan</w:t>
      </w:r>
      <w:r>
        <w:rPr>
          <w:rFonts w:ascii="Arial" w:cs="Arial" w:eastAsia="Arial" w:hAnsi="Arial"/>
          <w:sz w:val="19"/>
          <w:szCs w:val="19"/>
          <w:color w:val="auto"/>
        </w:rPr>
        <w:t>”) for the benefit of Transferred Employees. Effective as of the Closing Date, Seller shall take whatever action is necessary so that the Transferred Employees shall cease participation in Seller’s Savings Plan (“</w:t>
      </w:r>
      <w:r>
        <w:rPr>
          <w:rFonts w:ascii="Arial" w:cs="Arial" w:eastAsia="Arial" w:hAnsi="Arial"/>
          <w:sz w:val="19"/>
          <w:szCs w:val="19"/>
          <w:u w:val="single" w:color="auto"/>
          <w:color w:val="auto"/>
        </w:rPr>
        <w:t>Seller’s 401(k) Plan</w:t>
      </w:r>
      <w:r>
        <w:rPr>
          <w:rFonts w:ascii="Arial" w:cs="Arial" w:eastAsia="Arial" w:hAnsi="Arial"/>
          <w:sz w:val="19"/>
          <w:szCs w:val="19"/>
          <w:color w:val="auto"/>
        </w:rPr>
        <w:t>”), and Buyer shall take whatever action is necessary so that the Transferred Employees shall commence participation in Buyer’s 401(k) Plan. Seller shall take such action as is necessary to provide that all Transferred Employees who are participants in Seller 401(k) Plan have a fully vested and nonforfeitable interest in their entire respective account balances under such plan as of the Closing Date (regardless of their years of vesting credit under the Seller 401(k) Plan). Buyer’s 401(k) Plan shall provide for the receipt from the Transferred Employees of “eligible rollover distributions” (as such term is defined under Section 402 of the Code), including, to the extent permitted by the applicable third-party service providers to Buyer’s 401(k) Plan, rollovers of outstanding plan loans under Seller’s 401(k) Plan (and all assets and liabilities associated therewith). As soon as practicable following the Closing Date, (a) Buyer shall provide Seller with such documents and other information as Seller shall reasonably request to assure itself that Buyer’s 401(k) Plan is tax-qualified and provides for the receipt of eligible rollover distributions, and (b) Seller shall provide Buyer with such documents and other information as Buyer shall reasonably request to assure itself that Seller’s 401(k) Plan is tax-qualified and provides for the distribution of eligible rollover distributions. Each Transferred Employee shall be given the opportunity to receive a distribution of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0120"/>
          </w:cols>
          <w:pgMar w:left="1440" w:top="1428" w:right="339" w:bottom="1440" w:gutter="0" w:footer="0" w:header="0"/>
        </w:sectPr>
      </w:pPr>
    </w:p>
    <w:bookmarkStart w:id="165" w:name="page166"/>
    <w:bookmarkEnd w:id="165"/>
    <w:p>
      <w:pPr>
        <w:jc w:val="both"/>
        <w:ind w:left="100"/>
        <w:spacing w:after="0" w:line="285" w:lineRule="auto"/>
        <w:rPr>
          <w:sz w:val="20"/>
          <w:szCs w:val="20"/>
          <w:color w:val="auto"/>
        </w:rPr>
      </w:pPr>
      <w:r>
        <w:rPr>
          <w:rFonts w:ascii="Arial" w:cs="Arial" w:eastAsia="Arial" w:hAnsi="Arial"/>
          <w:sz w:val="19"/>
          <w:szCs w:val="19"/>
          <w:color w:val="auto"/>
        </w:rPr>
        <w:t>account balance under Seller’s 401(k) Plan and shall be given the opportunity to elect a direct rollover of such account balance, including the rollover of any outstanding plan loans, to Buyer’s 401(k) Plan, subject to and in accordance with the provisions of such plan and applicable Law. Seller and Buyer shall cooperate in order to facilitate any such distribution or rollover and to effect an eligible rollover distribution for those Transferred Employees who elect to rollover their account balances directly to the Buyer’s 401(k) Plan. With respect to each Transferred Employee who elects to effect an eligible rollover distribution of his or her account balances to Buyer’s 401(k) Plan and has an outstanding plan loan under Seller’s 401(k) Plan as of the Closing Date, to the extent permitted by the applicable third-party service providers to the Buyer’s 401(k) Plan, Seller and Buyer shall cooperate to take such steps as may be necessary to (i) name the trustee of Buyer’s 401(k) Plan as the obligee of such loan, (ii) obtain an executed written acknowledgement from such Transferred Employee that Buyer’s 401(k) Plan will be the obligee of such loan, and (iii) permit any such Transferred Employee to make timely loan service payments to Buyer’s 401(k) Plan through payroll deductions by Buyer (or its applicable Affiliate) on or after completion of the eligible rollover distribution. On and after the Closing Date and prior to the completion by any Transferred Employee of an eligible rollover distribution which includes the rollover of an outstanding plan loan, Buyer and Seller shall cooperate to permit such Transferred Employee to make timely loan service payments to Seller’s 401(k) Plan through payroll deductions by Buyer (or its applicable Affiliate).</w:t>
      </w:r>
    </w:p>
    <w:p>
      <w:pPr>
        <w:spacing w:after="0" w:line="169" w:lineRule="exact"/>
        <w:rPr>
          <w:sz w:val="20"/>
          <w:szCs w:val="20"/>
          <w:color w:val="auto"/>
        </w:rPr>
      </w:pPr>
    </w:p>
    <w:p>
      <w:pPr>
        <w:jc w:val="both"/>
        <w:ind w:left="100" w:firstLine="651"/>
        <w:spacing w:after="0" w:line="286" w:lineRule="auto"/>
        <w:tabs>
          <w:tab w:leader="none" w:pos="121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Effective as of the Closing Date, Buyer shall have in effect, or cause to be in effect, flexible spending reimbursement accounts under a cafeteria plan qualified under Section 125 of the Code (“</w:t>
      </w:r>
      <w:r>
        <w:rPr>
          <w:rFonts w:ascii="Arial" w:cs="Arial" w:eastAsia="Arial" w:hAnsi="Arial"/>
          <w:sz w:val="19"/>
          <w:szCs w:val="19"/>
          <w:u w:val="single" w:color="auto"/>
          <w:color w:val="auto"/>
        </w:rPr>
        <w:t>Buyer’s Cafeteria Plan</w:t>
      </w:r>
      <w:r>
        <w:rPr>
          <w:rFonts w:ascii="Arial" w:cs="Arial" w:eastAsia="Arial" w:hAnsi="Arial"/>
          <w:sz w:val="19"/>
          <w:szCs w:val="19"/>
          <w:color w:val="auto"/>
        </w:rPr>
        <w:t>”). Each Transferred Employee who participated as of the Closing Date (collectively, the “</w:t>
      </w:r>
      <w:r>
        <w:rPr>
          <w:rFonts w:ascii="Arial" w:cs="Arial" w:eastAsia="Arial" w:hAnsi="Arial"/>
          <w:sz w:val="19"/>
          <w:szCs w:val="19"/>
          <w:u w:val="single" w:color="auto"/>
          <w:color w:val="auto"/>
        </w:rPr>
        <w:t>Cafeteria Plan Participants</w:t>
      </w:r>
      <w:r>
        <w:rPr>
          <w:rFonts w:ascii="Arial" w:cs="Arial" w:eastAsia="Arial" w:hAnsi="Arial"/>
          <w:sz w:val="19"/>
          <w:szCs w:val="19"/>
          <w:color w:val="auto"/>
        </w:rPr>
        <w:t>”) in a plan maintained by Seller or its Affiliate that is qualified under Section 125 of the Code (“</w:t>
      </w:r>
      <w:r>
        <w:rPr>
          <w:rFonts w:ascii="Arial" w:cs="Arial" w:eastAsia="Arial" w:hAnsi="Arial"/>
          <w:sz w:val="19"/>
          <w:szCs w:val="19"/>
          <w:u w:val="single" w:color="auto"/>
          <w:color w:val="auto"/>
        </w:rPr>
        <w:t>Seller’s Cafeteria</w:t>
      </w:r>
      <w:r>
        <w:rPr>
          <w:rFonts w:ascii="Arial" w:cs="Arial" w:eastAsia="Arial" w:hAnsi="Arial"/>
          <w:sz w:val="19"/>
          <w:szCs w:val="19"/>
          <w:color w:val="auto"/>
        </w:rPr>
        <w:t xml:space="preserve"> </w:t>
      </w:r>
      <w:r>
        <w:rPr>
          <w:rFonts w:ascii="Arial" w:cs="Arial" w:eastAsia="Arial" w:hAnsi="Arial"/>
          <w:sz w:val="19"/>
          <w:szCs w:val="19"/>
          <w:u w:val="single" w:color="auto"/>
          <w:color w:val="auto"/>
        </w:rPr>
        <w:t>Plan</w:t>
      </w:r>
      <w:r>
        <w:rPr>
          <w:rFonts w:ascii="Arial" w:cs="Arial" w:eastAsia="Arial" w:hAnsi="Arial"/>
          <w:sz w:val="19"/>
          <w:szCs w:val="19"/>
          <w:color w:val="auto"/>
        </w:rPr>
        <w:t>”) shall participate in Buyer’s Cafeteria Plan effective as of the Closing Date, and Buyer shall cause Buyer’s Cafeteria Plan to assume the account balances (whether positive or negative) associated with the Cafeteria Plan Participants’ flexible spending reimbursement accounts under Seller’s Cafeteria Plan (the “</w:t>
      </w:r>
      <w:r>
        <w:rPr>
          <w:rFonts w:ascii="Arial" w:cs="Arial" w:eastAsia="Arial" w:hAnsi="Arial"/>
          <w:sz w:val="19"/>
          <w:szCs w:val="19"/>
          <w:u w:val="single" w:color="auto"/>
          <w:color w:val="auto"/>
        </w:rPr>
        <w:t>Transferred Account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Balances</w:t>
      </w:r>
      <w:r>
        <w:rPr>
          <w:rFonts w:ascii="Arial" w:cs="Arial" w:eastAsia="Arial" w:hAnsi="Arial"/>
          <w:sz w:val="19"/>
          <w:szCs w:val="19"/>
          <w:color w:val="auto"/>
        </w:rPr>
        <w:t>”) to the extent information regarding such account balances are provided to Buyer by Seller. During the period from the Closing Date until the last day of the plan year of Seller’s Cafeteria Plan that commenced immediately prior to the Closing Date, Buyer shall continue, or shall cause to be continued, the salary reduction elections made by the Cafeteria Plan Participants as in effect as of the Closing Date to the extent such elections are provided to Buyer by Seller, and each Cafeteria Plan Participant shall be entitled to reimbursement from such participant’s flexible spending reimbursement accounts under Buyer’s Cafeteria Plan on the same terms and conditions as would have been applicable to such participant had such participant continued to be employed by Seller during such period to the extent such terms and conditions are provided to Buyer by Seller.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0120"/>
          </w:cols>
          <w:pgMar w:left="1440" w:top="1428" w:right="339" w:bottom="1440" w:gutter="0" w:footer="0" w:header="0"/>
        </w:sectPr>
      </w:pPr>
    </w:p>
    <w:bookmarkStart w:id="166" w:name="page167"/>
    <w:bookmarkEnd w:id="166"/>
    <w:p>
      <w:pPr>
        <w:jc w:val="both"/>
        <w:ind w:left="100"/>
        <w:spacing w:after="0" w:line="292" w:lineRule="auto"/>
        <w:rPr>
          <w:sz w:val="20"/>
          <w:szCs w:val="20"/>
          <w:color w:val="auto"/>
        </w:rPr>
      </w:pPr>
      <w:r>
        <w:rPr>
          <w:rFonts w:ascii="Arial" w:cs="Arial" w:eastAsia="Arial" w:hAnsi="Arial"/>
          <w:sz w:val="19"/>
          <w:szCs w:val="19"/>
          <w:color w:val="auto"/>
        </w:rPr>
        <w:t>soon as practicable following the Closing Date, upon Seller providing Buyer with disclosures regarding the amount of the Transferred Account Balances, Seller or its Affiliate shall pay Buyer the net aggregate amount of the Transferred Account Balances, if such amount is positive, and Buyer shall pay Seller or its Affiliate the net aggregate amount of the Transferred Account Balances, if such amount is negative. From and after the Closing, subject to the disclosures set forth above, Buyer shall assume, or cause to be assumed, and be solely responsible for all unreimbursed claims made by the Cafeteria Plan Participants under Seller’s Cafeteria Plan that were incurred for the plan year of Seller’s Cafeteria Plan that commenced prior to the Closing, or that are incurred anytime thereafter.</w:t>
      </w:r>
    </w:p>
    <w:p>
      <w:pPr>
        <w:spacing w:after="0" w:line="151" w:lineRule="exact"/>
        <w:rPr>
          <w:sz w:val="20"/>
          <w:szCs w:val="20"/>
          <w:color w:val="auto"/>
        </w:rPr>
      </w:pPr>
    </w:p>
    <w:p>
      <w:pPr>
        <w:jc w:val="both"/>
        <w:ind w:left="100" w:firstLine="651"/>
        <w:spacing w:after="0" w:line="247" w:lineRule="auto"/>
        <w:tabs>
          <w:tab w:leader="none" w:pos="1397"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If the Closing Date occurs prior to December 31, 2021, Buyer and its Affiliates shall pay the Transferred Employees prorated target awards to the extent such target awards have been disclosed to Buyer as of the date hereof under Buyer’s short-term incentive program based on the portion of such plan year completed on and after the Closing Date. In the event the Closing Date occurs on or after December 31, 2021, Transferred Employees will participate in Buyer’s short-term incentive program without proration (e.g. shall be eligible for the full 2022 calendar year bonus).</w:t>
      </w:r>
    </w:p>
    <w:p>
      <w:pPr>
        <w:spacing w:after="0" w:line="192" w:lineRule="exact"/>
        <w:rPr>
          <w:rFonts w:ascii="Arial" w:cs="Arial" w:eastAsia="Arial" w:hAnsi="Arial"/>
          <w:sz w:val="22"/>
          <w:szCs w:val="22"/>
          <w:color w:val="auto"/>
        </w:rPr>
      </w:pPr>
    </w:p>
    <w:p>
      <w:pPr>
        <w:jc w:val="both"/>
        <w:ind w:left="100" w:firstLine="651"/>
        <w:spacing w:after="0" w:line="248" w:lineRule="auto"/>
        <w:tabs>
          <w:tab w:leader="none" w:pos="125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If Buyer terminates the employment of any Transferred Employee within the Continuation Period for any reason other than for Cause, subject to the Transferred Employee’s execution and delivery and non-revocation of a release of claims in favor of Seller, Buyer, and their respective Affiliates, Buyer or the applicable Affiliate will provide such Transferred Employee with severance benefits that are no less favorable than the severance benefits set forth below:</w:t>
      </w:r>
    </w:p>
    <w:p>
      <w:pPr>
        <w:spacing w:after="0" w:line="191" w:lineRule="exact"/>
        <w:rPr>
          <w:rFonts w:ascii="Arial" w:cs="Arial" w:eastAsia="Arial" w:hAnsi="Arial"/>
          <w:sz w:val="22"/>
          <w:szCs w:val="22"/>
          <w:color w:val="auto"/>
        </w:rPr>
      </w:pPr>
    </w:p>
    <w:p>
      <w:pPr>
        <w:jc w:val="both"/>
        <w:ind w:left="180" w:firstLine="652"/>
        <w:spacing w:after="0" w:line="248" w:lineRule="auto"/>
        <w:tabs>
          <w:tab w:leader="none" w:pos="1266"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 lump-sum cash severance payment in an amount equal to (A) for a Transferred Employee who is an officer, 18 months of base salary or (B) for a Transferred Employee who is not an officer, three weeks of base salary or annualized base rate of pay (“</w:t>
      </w:r>
      <w:r>
        <w:rPr>
          <w:rFonts w:ascii="Arial" w:cs="Arial" w:eastAsia="Arial" w:hAnsi="Arial"/>
          <w:sz w:val="22"/>
          <w:szCs w:val="22"/>
          <w:u w:val="single" w:color="auto"/>
          <w:color w:val="auto"/>
        </w:rPr>
        <w:t>Severance Pay</w:t>
      </w:r>
      <w:r>
        <w:rPr>
          <w:rFonts w:ascii="Arial" w:cs="Arial" w:eastAsia="Arial" w:hAnsi="Arial"/>
          <w:sz w:val="22"/>
          <w:szCs w:val="22"/>
          <w:color w:val="auto"/>
        </w:rPr>
        <w:t>”) multiplied by the number of full years of service credited to the non-officer Transferred Employee, subject to a minimum of six months and a maximum of 18 months of Severance Pay;</w:t>
      </w:r>
    </w:p>
    <w:p>
      <w:pPr>
        <w:spacing w:after="0" w:line="191" w:lineRule="exact"/>
        <w:rPr>
          <w:rFonts w:ascii="Arial" w:cs="Arial" w:eastAsia="Arial" w:hAnsi="Arial"/>
          <w:sz w:val="22"/>
          <w:szCs w:val="22"/>
          <w:color w:val="auto"/>
        </w:rPr>
      </w:pPr>
    </w:p>
    <w:p>
      <w:pPr>
        <w:jc w:val="both"/>
        <w:ind w:left="180" w:firstLine="652"/>
        <w:spacing w:after="0" w:line="294" w:lineRule="auto"/>
        <w:tabs>
          <w:tab w:leader="none" w:pos="150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an additional lump-sum cash severance payment in an amount equal to (x) for a Transferred Employee who is an officer, the Transferred Employee’s target award under Buyer’s short term incentive program, based upon the Transferred Employee’s annual base salary, without proration, or (y) for a Transferred Employee who is not an officer, the Transferred Employee’s target award under Buyer’s short term incentive program, based upon the Transferred Employee’s actual eligible earnings for the period commenced on January 1st of the year during which his or her termination occurs and ending on the Transferred Employee’s termination date;</w:t>
      </w:r>
    </w:p>
    <w:p>
      <w:pPr>
        <w:spacing w:after="0" w:line="149" w:lineRule="exact"/>
        <w:rPr>
          <w:rFonts w:ascii="Arial" w:cs="Arial" w:eastAsia="Arial" w:hAnsi="Arial"/>
          <w:sz w:val="19"/>
          <w:szCs w:val="19"/>
          <w:color w:val="auto"/>
        </w:rPr>
      </w:pPr>
    </w:p>
    <w:p>
      <w:pPr>
        <w:ind w:left="180" w:firstLine="652"/>
        <w:spacing w:after="0" w:line="263" w:lineRule="auto"/>
        <w:tabs>
          <w:tab w:leader="none" w:pos="1441" w:val="left"/>
        </w:tabs>
        <w:numPr>
          <w:ilvl w:val="1"/>
          <w:numId w:val="148"/>
        </w:numPr>
        <w:rPr>
          <w:rFonts w:ascii="Arial" w:cs="Arial" w:eastAsia="Arial" w:hAnsi="Arial"/>
          <w:sz w:val="22"/>
          <w:szCs w:val="22"/>
          <w:color w:val="auto"/>
        </w:rPr>
      </w:pPr>
      <w:r>
        <w:rPr>
          <w:rFonts w:ascii="Arial" w:cs="Arial" w:eastAsia="Arial" w:hAnsi="Arial"/>
          <w:sz w:val="22"/>
          <w:szCs w:val="22"/>
          <w:color w:val="auto"/>
        </w:rPr>
        <w:t>for the applicable period required by COBRA Continuation Coverage for benefits provided to the Transferred Employee under a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0120"/>
          </w:cols>
          <w:pgMar w:left="1440" w:top="1428" w:right="339" w:bottom="1440" w:gutter="0" w:footer="0" w:header="0"/>
        </w:sectPr>
      </w:pPr>
    </w:p>
    <w:bookmarkStart w:id="167" w:name="page168"/>
    <w:bookmarkEnd w:id="167"/>
    <w:p>
      <w:pPr>
        <w:jc w:val="both"/>
        <w:ind w:left="180"/>
        <w:spacing w:after="0" w:line="253" w:lineRule="auto"/>
        <w:rPr>
          <w:sz w:val="20"/>
          <w:szCs w:val="20"/>
          <w:color w:val="auto"/>
        </w:rPr>
      </w:pPr>
      <w:r>
        <w:rPr>
          <w:rFonts w:ascii="Arial" w:cs="Arial" w:eastAsia="Arial" w:hAnsi="Arial"/>
          <w:sz w:val="22"/>
          <w:szCs w:val="22"/>
          <w:color w:val="auto"/>
        </w:rPr>
        <w:t>Medical Plan, the Transferred Employee shall pay the active employee rate with respect to coverage during the period of time commencing as of his or her termination date equal to the total number of weeks used to calculate his or her severance benefit in clause (A) above; and</w:t>
      </w:r>
    </w:p>
    <w:p>
      <w:pPr>
        <w:spacing w:after="0" w:line="185" w:lineRule="exact"/>
        <w:rPr>
          <w:sz w:val="20"/>
          <w:szCs w:val="20"/>
          <w:color w:val="auto"/>
        </w:rPr>
      </w:pPr>
    </w:p>
    <w:p>
      <w:pPr>
        <w:ind w:left="180" w:right="20" w:firstLine="652"/>
        <w:spacing w:after="0" w:line="263" w:lineRule="auto"/>
        <w:tabs>
          <w:tab w:leader="none" w:pos="160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 xml:space="preserve">the Transferred Employee shall be offered outplacement services appropriate to his or her employment position on his or her termination date as provided in </w:t>
      </w:r>
      <w:r>
        <w:rPr>
          <w:rFonts w:ascii="Arial" w:cs="Arial" w:eastAsia="Arial" w:hAnsi="Arial"/>
          <w:sz w:val="22"/>
          <w:szCs w:val="22"/>
          <w:u w:val="single" w:color="auto"/>
          <w:color w:val="auto"/>
        </w:rPr>
        <w:t>Schedule 7.11(h)(iv)</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00" w:firstLine="651"/>
        <w:spacing w:after="0" w:line="294" w:lineRule="auto"/>
        <w:tabs>
          <w:tab w:leader="none" w:pos="1307" w:val="left"/>
        </w:tabs>
        <w:numPr>
          <w:ilvl w:val="0"/>
          <w:numId w:val="150"/>
        </w:numPr>
        <w:rPr>
          <w:rFonts w:ascii="Arial" w:cs="Arial" w:eastAsia="Arial" w:hAnsi="Arial"/>
          <w:sz w:val="19"/>
          <w:szCs w:val="19"/>
          <w:color w:val="auto"/>
        </w:rPr>
      </w:pPr>
      <w:r>
        <w:rPr>
          <w:rFonts w:ascii="Arial" w:cs="Arial" w:eastAsia="Arial" w:hAnsi="Arial"/>
          <w:sz w:val="19"/>
          <w:szCs w:val="19"/>
          <w:color w:val="auto"/>
        </w:rPr>
        <w:t>Seller will be responsible, with respect to the Business, for performing and discharging all of its requirements under the WARN Act and under applicable Law for the notification of its employees of any “employment loss” within the meaning of the WARN Act which occurs on or prior to the Closing Date. Buyer will be responsible, with respect to the Business, for performing and discharging all of its requirements under the WARN Act and under applicable Law for the notification of Transferred Employees of “employment loss” within the meaning of the WARN Act, resulting from this transaction, whether prior to or after the Closing Date.</w:t>
      </w:r>
    </w:p>
    <w:p>
      <w:pPr>
        <w:spacing w:after="0" w:line="149" w:lineRule="exact"/>
        <w:rPr>
          <w:rFonts w:ascii="Arial" w:cs="Arial" w:eastAsia="Arial" w:hAnsi="Arial"/>
          <w:sz w:val="19"/>
          <w:szCs w:val="19"/>
          <w:color w:val="auto"/>
        </w:rPr>
      </w:pPr>
    </w:p>
    <w:p>
      <w:pPr>
        <w:jc w:val="both"/>
        <w:ind w:left="100" w:firstLine="651"/>
        <w:spacing w:after="0" w:line="247" w:lineRule="auto"/>
        <w:tabs>
          <w:tab w:leader="none" w:pos="127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Seller will be responsible for providing COBRA Continuation Coverage to any current and former employees of Seller, or to any qualified beneficiaries of such employees, who become entitled to COBRA Continuation Coverage before or on the Closing, including those for whom the Closing occurs during the COBRA election period. Buyer will be responsible for extending and continuing to extend COBRA Continuation Coverage to all Transferred Employees (and their qualified beneficiaries) who become entitled to such COBRA Continuation Coverage after the Closing Date.</w:t>
      </w:r>
    </w:p>
    <w:p>
      <w:pPr>
        <w:spacing w:after="0" w:line="192" w:lineRule="exact"/>
        <w:rPr>
          <w:rFonts w:ascii="Arial" w:cs="Arial" w:eastAsia="Arial" w:hAnsi="Arial"/>
          <w:sz w:val="22"/>
          <w:szCs w:val="22"/>
          <w:color w:val="auto"/>
        </w:rPr>
      </w:pPr>
    </w:p>
    <w:p>
      <w:pPr>
        <w:jc w:val="both"/>
        <w:ind w:left="100" w:firstLine="651"/>
        <w:spacing w:after="0" w:line="263" w:lineRule="auto"/>
        <w:tabs>
          <w:tab w:leader="none" w:pos="1245" w:val="left"/>
        </w:tabs>
        <w:numPr>
          <w:ilvl w:val="0"/>
          <w:numId w:val="150"/>
        </w:numPr>
        <w:rPr>
          <w:rFonts w:ascii="Arial" w:cs="Arial" w:eastAsia="Arial" w:hAnsi="Arial"/>
          <w:sz w:val="21"/>
          <w:szCs w:val="21"/>
          <w:color w:val="auto"/>
        </w:rPr>
      </w:pPr>
      <w:r>
        <w:rPr>
          <w:rFonts w:ascii="Arial" w:cs="Arial" w:eastAsia="Arial" w:hAnsi="Arial"/>
          <w:sz w:val="21"/>
          <w:szCs w:val="21"/>
          <w:color w:val="auto"/>
        </w:rPr>
        <w:t>With respect to each Transferred Employee, the Parties shall, or shall cause their respective Affiliates to, (i) treat Buyer or its applicable Affiliate as a “successor employer” and Seller or its applicable Affiliate as a “predecessor,” within the meaning of Sections 3121(a)(1) and 3306(b)(1) of the Code, and (ii) cooperate with each other to avoid the restart of FICA and FUTA upon or following the Closing with respect to each such Transferred Employee for the year during which the Closing occurs.</w:t>
      </w:r>
    </w:p>
    <w:p>
      <w:pPr>
        <w:spacing w:after="0" w:line="175" w:lineRule="exact"/>
        <w:rPr>
          <w:rFonts w:ascii="Arial" w:cs="Arial" w:eastAsia="Arial" w:hAnsi="Arial"/>
          <w:sz w:val="21"/>
          <w:szCs w:val="21"/>
          <w:color w:val="auto"/>
        </w:rPr>
      </w:pPr>
    </w:p>
    <w:p>
      <w:pPr>
        <w:jc w:val="both"/>
        <w:ind w:left="100" w:firstLine="651"/>
        <w:spacing w:after="0" w:line="260" w:lineRule="auto"/>
        <w:tabs>
          <w:tab w:leader="none" w:pos="1173" w:val="left"/>
        </w:tabs>
        <w:numPr>
          <w:ilvl w:val="0"/>
          <w:numId w:val="150"/>
        </w:numPr>
        <w:rPr>
          <w:rFonts w:ascii="Arial" w:cs="Arial" w:eastAsia="Arial" w:hAnsi="Arial"/>
          <w:sz w:val="21"/>
          <w:szCs w:val="21"/>
          <w:color w:val="auto"/>
        </w:rPr>
      </w:pPr>
      <w:r>
        <w:rPr>
          <w:rFonts w:ascii="Arial" w:cs="Arial" w:eastAsia="Arial" w:hAnsi="Arial"/>
          <w:sz w:val="21"/>
          <w:szCs w:val="21"/>
          <w:color w:val="auto"/>
        </w:rPr>
        <w:t>Nothing in this Agreement, whether express or implied, shall (i) confer upon any employee of Seller or its Affiliates, or any representative of any such employee, any rights or remedies, including any right to employment or continued employment for any period or terms of employment, of any nature whatsoever, (ii) be interpreted to prevent or restrict Buyer or its Affiliates from modifying or terminating the employment or terms of employment of any Transferred Employee, including the amendment or termination of any employee benefit or compensation plan, program or arrangement, after the Closing Date or (iii) be treated as an amendment or other modification of any employee benefit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120"/>
          </w:cols>
          <w:pgMar w:left="1440" w:top="1428" w:right="3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u w:val="single" w:color="auto"/>
          <w:color w:val="auto"/>
        </w:rPr>
        <w:t>Insurance Policies</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85" w:lineRule="auto"/>
        <w:tabs>
          <w:tab w:leader="none" w:pos="169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Seller shall use its commercially reasonable efforts to maintain or cause to be maintained in full force and effect until the Closing all material insurance policies in effect on the date hereof (or reasonably comparable replacement policies), and rights thereunder with respect to coverage of the Purchased Assets or the Business. All such insurance coverage shall be terminated as of the Closing. Buyer shall be solely responsible for providing insurance with respect to coverage of the Purchased Assets or the Business for any event or occurrence that occurs on or after the Closing. With respect to events, circumstances or claims relating to the Purchased Assets or the Business that occurred or existed prior to the Closing Date that result or are reasonably expected to result in Losses and which are covered by Seller’s or its Affiliates’ insurance policies that apply with respect to coverage of the Purchased Assets or the Business or the locations at which the Business is operated (collectively, the “</w:t>
      </w:r>
      <w:r>
        <w:rPr>
          <w:rFonts w:ascii="Arial" w:cs="Arial" w:eastAsia="Arial" w:hAnsi="Arial"/>
          <w:sz w:val="19"/>
          <w:szCs w:val="19"/>
          <w:u w:val="single" w:color="auto"/>
          <w:color w:val="auto"/>
        </w:rPr>
        <w:t>Pre-Closing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Insurance</w:t>
      </w:r>
      <w:r>
        <w:rPr>
          <w:rFonts w:ascii="Arial" w:cs="Arial" w:eastAsia="Arial" w:hAnsi="Arial"/>
          <w:sz w:val="19"/>
          <w:szCs w:val="19"/>
          <w:color w:val="auto"/>
        </w:rPr>
        <w:t>”), on or after the Closing, at Buyer’s reasonable written request, Seller shall continue to pursue any claims pending with Pre-Closing Insurance as of the Closing to the extent applicable to the Purchased Assets or the Business and Seller shall make claims and use commercially reasonable efforts to recover under the Pre-Closing Insurance to the extent such coverage and limits are available with respect to the Purchased Assets or the Business under the Pre-Closing Insurance as of the date of any such claim. By requesting that Seller continue to pursue or make any claims under the Pre-Closing Insurance, Buyer agrees to reimburse Seller or its Affiliates for any costs incurred by any of them on or after the Closing as a result of such claims and Buyer or its Affiliates shall exclusively bear the amount of any “deductibles” or net retentions associated with such claims under the Pre-Closing Insurance. Seller shall hold in trust for and pay to Buyer, promptly upon receipt thereof, all proceeds, recoveries and other monies received by Seller or any of its Affiliates in connection with its claim under any Pre-Closing Insurance.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560" w:firstLine="651"/>
        <w:spacing w:after="0" w:line="287" w:lineRule="auto"/>
        <w:tabs>
          <w:tab w:leader="none" w:pos="166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As soon as reasonably practicable following the date of this Agreement, Buyer will obtain and bind the Insurance Policy with respect to the representations and warranties of Seller in this Agreement and the other matters covered by such policy and which expressly provides that (i) the insurer under the Insurance Policy has no subrogation rights, and will not pursue any claim against Seller or any of its respective Affiliates, Subsidiaries or Representatives or any of their respective successors and assigns, except in the case of actual fraud, (ii) following the date of the Insurance Policy, Buyer may not modify the provision(s) of the Insurance Policy in respect of the no subrogation provisions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in any manner that would allow the insurer thereunder or any other Person to subrogate or otherwise make or bring any action against Seller or any of its Affiliates, Subsidiaries or Representatives or any of their respective successors and assigns, except in the case of actual fraud, in each case without Seller’s prior written consent (which consent may be withheld in Seller’s sole discretion), and (iii) Buyer is not required to pursue remedies against Seller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580"/>
          </w:cols>
          <w:pgMar w:left="980" w:top="1428" w:right="339" w:bottom="1440" w:gutter="0" w:footer="0" w:header="0"/>
        </w:sectPr>
      </w:pPr>
    </w:p>
    <w:bookmarkStart w:id="169" w:name="page170"/>
    <w:bookmarkEnd w:id="169"/>
    <w:p>
      <w:pPr>
        <w:jc w:val="both"/>
        <w:ind w:left="1220"/>
        <w:spacing w:after="0" w:line="297" w:lineRule="auto"/>
        <w:rPr>
          <w:sz w:val="20"/>
          <w:szCs w:val="20"/>
          <w:color w:val="auto"/>
        </w:rPr>
      </w:pPr>
      <w:r>
        <w:rPr>
          <w:rFonts w:ascii="Arial" w:cs="Arial" w:eastAsia="Arial" w:hAnsi="Arial"/>
          <w:sz w:val="19"/>
          <w:szCs w:val="19"/>
          <w:color w:val="auto"/>
        </w:rPr>
        <w:t>Subsidiaries or Representatives or any of their respective successors or assigns prior to or as a condition to making a claim under such Insurance Policy. In furtherance, and not in limitation of the foregoing, Buyer shall not permit the Insurance Policy to be amended or modified in a manner that adversely affects Seller or any of its Affiliates, Subsidiaries or Representatives or any of their respective successors and assigns in any material respect without Seller’s prior written consent, which consent may be withheld in Seller’s sole discretion.</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u w:val="single" w:color="auto"/>
          <w:color w:val="auto"/>
        </w:rPr>
        <w:t>Transitional Use of Signage</w:t>
      </w:r>
      <w:r>
        <w:rPr>
          <w:rFonts w:ascii="Arial" w:cs="Arial" w:eastAsia="Arial" w:hAnsi="Arial"/>
          <w:sz w:val="19"/>
          <w:szCs w:val="19"/>
          <w:color w:val="auto"/>
        </w:rPr>
        <w:t xml:space="preserve">. As soon as reasonably practicable following the Closing, and in any case no later than three Business Days following the Closing Date, Buyer shall cause the Business to cease to hold itself out as having any affiliation with Seller or any of its Affiliates. Following the Closing, Buyer shall, as soon as reasonably practicable, but in no event later than 90 days following the Closing Date, cease to make any use of any Seller Marks. In furtherance thereof, as soon as practicable but in no event later than 90 days following the Closing Date, Buyer shall remove, strike over, or otherwise obliterate all Seller Marks from the Purchased Assets and all other assets and materials owned or used by Buyer, including any vehicles, business cards, schedules, stationery, packaging materials, displays, signs, promotional materials, manuals, forms, websites, email, computer software, and other materials and systems;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Buyer shall not be required to remove, strike or otherwise obliterate Seller Marks from (a) any Documents to the extent such Documents are primarily archival or (b) any demarcations that are made for a functional utility purpose, including asset tags. Any use by Buyer of any of the Seller Marks as permitted in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is subject to Buyer’s compliance with the quality control requirements and guidelines in effect for the Seller Marks as of the Closing Date (as may be amended by Seller from time to time following the Closing). Buyer shall not use the Seller Marks in a manner that may reflect negatively on such Seller Marks or on Seller or its Affiliates.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Litigation Support</w:t>
      </w:r>
      <w:r>
        <w:rPr>
          <w:rFonts w:ascii="Arial" w:cs="Arial" w:eastAsia="Arial" w:hAnsi="Arial"/>
          <w:sz w:val="19"/>
          <w:szCs w:val="19"/>
          <w:color w:val="auto"/>
        </w:rPr>
        <w:t xml:space="preserve">. In the event and for so long as either Party is actively contesting or defending any third-party Claim in connection with any transaction contemplated under this Agreement, the other Party shall use its commercially reasonable efforts to cooperate with the contesting or defending Party and its counsel in the contest or defense, make available its personnel, and provide access to its books and records as is reasonably necessary in connection with the contest or defense; provided, that, no Party shall be required to take any action which would constitute or result in a waiver of the attorney-client privilege, work product doctrine or other legal privilege unless the party to whom the privilege belongs waives such privilege. If a Party incurs expenses in complying with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at the other Party’s request, then the other Party shall reimburse the first Party for such reasonable out-of-pocket expenses, including attorneys’ fees, but excluding personnel’s time, salary or wages.</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7.15 </w:t>
      </w:r>
      <w:r>
        <w:rPr>
          <w:rFonts w:ascii="Arial" w:cs="Arial" w:eastAsia="Arial" w:hAnsi="Arial"/>
          <w:sz w:val="22"/>
          <w:szCs w:val="22"/>
          <w:u w:val="single" w:color="auto"/>
          <w:color w:val="auto"/>
        </w:rPr>
        <w:t>Notification of Customers</w:t>
      </w:r>
      <w:r>
        <w:rPr>
          <w:rFonts w:ascii="Arial" w:cs="Arial" w:eastAsia="Arial" w:hAnsi="Arial"/>
          <w:sz w:val="22"/>
          <w:szCs w:val="22"/>
          <w:color w:val="auto"/>
        </w:rPr>
        <w:t>. As soon as practicable following the Closing, Seller and Buyer will cause to be sent to customers of the Business written notice that such customers have been transferred from Seller to Buyer. Such notice will contain such information as is required by Law and approved by Buyer and Seller, which approval will not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8" w:right="339" w:bottom="1440" w:gutter="0" w:footer="0" w:header="0"/>
        </w:sectPr>
      </w:pPr>
    </w:p>
    <w:bookmarkStart w:id="170" w:name="page171"/>
    <w:bookmarkEnd w:id="170"/>
    <w:p>
      <w:pPr>
        <w:jc w:val="both"/>
        <w:ind w:firstLine="648"/>
        <w:spacing w:after="0" w:line="285"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u w:val="single" w:color="auto"/>
          <w:color w:val="auto"/>
        </w:rPr>
        <w:t>Public Statements</w:t>
      </w:r>
      <w:r>
        <w:rPr>
          <w:rFonts w:ascii="Arial" w:cs="Arial" w:eastAsia="Arial" w:hAnsi="Arial"/>
          <w:sz w:val="19"/>
          <w:szCs w:val="19"/>
          <w:color w:val="auto"/>
        </w:rPr>
        <w:t xml:space="preserve">. The initial press release with respect to the execution of this Agreement shall be a joint press release to be reasonably agreed upon by the Parties. Following such initial press release, each Party will, and will cause its Affiliates to, consult with the other Party prior to issuing, and will consider in good faith any comments by the other Party to or in respect of, any public announcement, statement, or other disclosure with respect to this Agreement or the transactions contemplated hereby, except (a) as in the reasonable judgment of any Party, may be legally required by Law or by any applicable Governmental Entity or needed to obtain the benefits or protection of any applicable Governmental Entity (including any filings of financial statements by a Party or its Affiliates with the SEC), (b) in connection with a Party’s or its Affiliates’ obligations as a publicly-held, exchange-listed company (including disclosures required to be made in the financial statements of any Party or of any of its Affiliates) or (c) as otherwise agreed to in writing by the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 agrees that prior to issuing (i) any written press release or written communication that relates solely to the transactions contemplated by this Agreement, Seller shall provide Buyer a copy of such written press release or written communication prior to such issuance, or (ii) any Current Report on Form 8-K announcing the entry into this Agreement or the transactions contemplated hereby, Seller shall provide Buyer a copy of such Current Report on Form 8-K prior to such issuance. Notwithstanding the foregoing, Seller and its Affiliates may make any public statements in response to questions by the press, analysts, investors or those attending industry conferences or analyst or investor conference calls that are consistent in all material respects with any prior public disclosures regarding the transactions contemplated herein (to the extent the information to be utilized from such prior public disclosures remains accurate in all material respects). Nothing will prohibit any Party or its Affiliates from disclosing information consistent with any information in any press release or other public announcement that was previously agreed to and disseminated in compliance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7.16</w:t>
      </w:r>
      <w:r>
        <w:rPr>
          <w:rFonts w:ascii="Arial" w:cs="Arial" w:eastAsia="Arial" w:hAnsi="Arial"/>
          <w:sz w:val="19"/>
          <w:szCs w:val="19"/>
          <w:color w:val="auto"/>
        </w:rPr>
        <w:t xml:space="preserve">, and nothing in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shall require a Party to consult with the other in connection with such disclosure.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7.17 </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88" w:lineRule="auto"/>
        <w:tabs>
          <w:tab w:leader="none" w:pos="2365" w:val="left"/>
        </w:tabs>
        <w:numPr>
          <w:ilvl w:val="0"/>
          <w:numId w:val="152"/>
        </w:numPr>
        <w:rPr>
          <w:rFonts w:ascii="Arial" w:cs="Arial" w:eastAsia="Arial" w:hAnsi="Arial"/>
          <w:sz w:val="19"/>
          <w:szCs w:val="19"/>
          <w:color w:val="auto"/>
        </w:rPr>
      </w:pPr>
      <w:r>
        <w:rPr>
          <w:rFonts w:ascii="Arial" w:cs="Arial" w:eastAsia="Arial" w:hAnsi="Arial"/>
          <w:sz w:val="19"/>
          <w:szCs w:val="19"/>
          <w:color w:val="auto"/>
        </w:rPr>
        <w:t>Seller shall indemnify, reimburse, defend and hold Buyer, its Affiliates, and their respective directors and officers, each in their capacity as such (the “</w:t>
      </w:r>
      <w:r>
        <w:rPr>
          <w:rFonts w:ascii="Arial" w:cs="Arial" w:eastAsia="Arial" w:hAnsi="Arial"/>
          <w:sz w:val="19"/>
          <w:szCs w:val="19"/>
          <w:u w:val="single" w:color="auto"/>
          <w:color w:val="auto"/>
        </w:rPr>
        <w:t>Buyer Indemnified Parties</w:t>
      </w:r>
      <w:r>
        <w:rPr>
          <w:rFonts w:ascii="Arial" w:cs="Arial" w:eastAsia="Arial" w:hAnsi="Arial"/>
          <w:sz w:val="19"/>
          <w:szCs w:val="19"/>
          <w:color w:val="auto"/>
        </w:rPr>
        <w:t xml:space="preserve">”) harmless against all Losses to the extent arising out of or relating to any Excluded Liabilities. Seller’s obligations to indemnify the Buyer Indemnified Parties for such Losses shall be net of available insurance proceeds actually received by the applicable Buyer Indemnified Parties for such Losses,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for the avoidance of doubt, (i) Seller shall be responsible for paying all defense, indemnification and settlement costs for such Losses until insurance proceeds are actually received by the applicable Buyer Indemnified Parties for such Losses, (ii) Buyer Indemnified Parties shall not be required to advance payment for any such defense, indemnification or settlement costs for such Losses and (iii) any insurance proceeds paid to the applicable Buyer Indemnified Parties for any such defense, indemnification or settlement costs for such Losses shall promptly be remitted to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8" w:right="339" w:bottom="1440" w:gutter="0" w:footer="0" w:header="0"/>
        </w:sectPr>
      </w:pPr>
    </w:p>
    <w:bookmarkStart w:id="171" w:name="page172"/>
    <w:bookmarkEnd w:id="171"/>
    <w:p>
      <w:pPr>
        <w:jc w:val="both"/>
        <w:ind w:left="1220" w:firstLine="651"/>
        <w:spacing w:after="0" w:line="288" w:lineRule="auto"/>
        <w:tabs>
          <w:tab w:leader="none" w:pos="2377" w:val="left"/>
        </w:tabs>
        <w:numPr>
          <w:ilvl w:val="0"/>
          <w:numId w:val="153"/>
        </w:numPr>
        <w:rPr>
          <w:rFonts w:ascii="Arial" w:cs="Arial" w:eastAsia="Arial" w:hAnsi="Arial"/>
          <w:sz w:val="19"/>
          <w:szCs w:val="19"/>
          <w:color w:val="auto"/>
        </w:rPr>
      </w:pPr>
      <w:r>
        <w:rPr>
          <w:rFonts w:ascii="Arial" w:cs="Arial" w:eastAsia="Arial" w:hAnsi="Arial"/>
          <w:sz w:val="19"/>
          <w:szCs w:val="19"/>
          <w:color w:val="auto"/>
        </w:rPr>
        <w:t>Buyer shall indemnify, reimburse, defend and hold Seller, its Affiliates, and their respective directors and officers, each in their capacity as such (the “</w:t>
      </w:r>
      <w:r>
        <w:rPr>
          <w:rFonts w:ascii="Arial" w:cs="Arial" w:eastAsia="Arial" w:hAnsi="Arial"/>
          <w:sz w:val="19"/>
          <w:szCs w:val="19"/>
          <w:u w:val="single" w:color="auto"/>
          <w:color w:val="auto"/>
        </w:rPr>
        <w:t>Seller Indemnified Parties</w:t>
      </w:r>
      <w:r>
        <w:rPr>
          <w:rFonts w:ascii="Arial" w:cs="Arial" w:eastAsia="Arial" w:hAnsi="Arial"/>
          <w:sz w:val="19"/>
          <w:szCs w:val="19"/>
          <w:color w:val="auto"/>
        </w:rPr>
        <w:t>” and together with the Buyer Indemnified Parties,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xml:space="preserve">”) harmless against all Losses to the extent arising out of or relating to any Assumed Obligations. Buyer’s obligations to indemnify the Seller Indemnified Parties for such Losses shall be net of available insurance proceeds actually received by the applicable Seller Indemnified Parties for such Losses,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for the avoidance of doubt, (i) Buyer shall be responsible for paying all defense, indemnification and settlement costs for such Losses until insurance proceeds are actually received by the applicable Seller Indemnified Parties for such Losses, (ii) Seller Indemnified Parties shall not be required to advance payment for any such defense, indemnification or settlement costs for such Losses, and (iii) any insurance proceeds paid to the applicable Seller Indemnified Parties for any such defense, indemnification or settlement costs for such Losses shall promptly be remitted to Buyer.</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1220" w:firstLine="651"/>
        <w:spacing w:after="0" w:line="248" w:lineRule="auto"/>
        <w:tabs>
          <w:tab w:leader="none" w:pos="261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Each Indemnified Party shall use its commercially reasonable efforts to mitigate any Loss indemnifiable pursuant to this </w:t>
      </w:r>
      <w:r>
        <w:rPr>
          <w:rFonts w:ascii="Arial" w:cs="Arial" w:eastAsia="Arial" w:hAnsi="Arial"/>
          <w:sz w:val="22"/>
          <w:szCs w:val="22"/>
          <w:u w:val="single" w:color="auto"/>
          <w:color w:val="auto"/>
        </w:rPr>
        <w:t>Section 7.17</w:t>
      </w:r>
      <w:r>
        <w:rPr>
          <w:rFonts w:ascii="Arial" w:cs="Arial" w:eastAsia="Arial" w:hAnsi="Arial"/>
          <w:sz w:val="22"/>
          <w:szCs w:val="22"/>
          <w:color w:val="auto"/>
        </w:rPr>
        <w:t xml:space="preserve">. Each of the Parties shall have the right, but not the obligation, and shall be afforded the opportunity to the extent reasonably possible, to take all available steps to minimize Losses for which such Party is obligated to provide indemnification to an Indemnified Party pursuant to this </w:t>
      </w:r>
      <w:r>
        <w:rPr>
          <w:rFonts w:ascii="Arial" w:cs="Arial" w:eastAsia="Arial" w:hAnsi="Arial"/>
          <w:sz w:val="22"/>
          <w:szCs w:val="22"/>
          <w:u w:val="single" w:color="auto"/>
          <w:color w:val="auto"/>
        </w:rPr>
        <w:t>Section 7.17</w:t>
      </w:r>
      <w:r>
        <w:rPr>
          <w:rFonts w:ascii="Arial" w:cs="Arial" w:eastAsia="Arial" w:hAnsi="Arial"/>
          <w:sz w:val="22"/>
          <w:szCs w:val="22"/>
          <w:color w:val="auto"/>
        </w:rPr>
        <w:t xml:space="preserve"> before such Losses are actually incurred by the Indemnified Party.</w:t>
      </w:r>
    </w:p>
    <w:p>
      <w:pPr>
        <w:spacing w:after="0" w:line="191" w:lineRule="exact"/>
        <w:rPr>
          <w:rFonts w:ascii="Arial" w:cs="Arial" w:eastAsia="Arial" w:hAnsi="Arial"/>
          <w:sz w:val="22"/>
          <w:szCs w:val="22"/>
          <w:color w:val="auto"/>
        </w:rPr>
      </w:pPr>
    </w:p>
    <w:p>
      <w:pPr>
        <w:jc w:val="both"/>
        <w:ind w:left="1220" w:firstLine="651"/>
        <w:spacing w:after="0" w:line="294" w:lineRule="auto"/>
        <w:tabs>
          <w:tab w:leader="none" w:pos="235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From and after the Closing, except with respect to claims for injunctive, specific performance or other similar equitable remedies pursuant to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or in the case of actual fraud or willful and material breach, indemnification pursuant to this </w:t>
      </w:r>
      <w:r>
        <w:rPr>
          <w:rFonts w:ascii="Arial" w:cs="Arial" w:eastAsia="Arial" w:hAnsi="Arial"/>
          <w:sz w:val="19"/>
          <w:szCs w:val="19"/>
          <w:u w:val="single" w:color="auto"/>
          <w:color w:val="auto"/>
        </w:rPr>
        <w:t>Section 7.17</w:t>
      </w:r>
      <w:r>
        <w:rPr>
          <w:rFonts w:ascii="Arial" w:cs="Arial" w:eastAsia="Arial" w:hAnsi="Arial"/>
          <w:sz w:val="19"/>
          <w:szCs w:val="19"/>
          <w:color w:val="auto"/>
        </w:rPr>
        <w:t xml:space="preserve"> will be the sole and exclusive remedy of the Parties and any Person claiming by or through any party (including the Indemnified Parties) related to or arising from the Excluded Liabilities and the Assumed Obligations, and neither Buyer nor Seller will have any other rights or remedies in connection therewith, whether based on contract, tort, strict liability, other Laws or otherwise.</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7.18 </w:t>
      </w:r>
      <w:r>
        <w:rPr>
          <w:rFonts w:ascii="Arial" w:cs="Arial" w:eastAsia="Arial" w:hAnsi="Arial"/>
          <w:sz w:val="19"/>
          <w:szCs w:val="19"/>
          <w:u w:val="single" w:color="auto"/>
          <w:color w:val="auto"/>
        </w:rPr>
        <w:t>Shared Contracts</w:t>
      </w:r>
      <w:r>
        <w:rPr>
          <w:rFonts w:ascii="Arial" w:cs="Arial" w:eastAsia="Arial" w:hAnsi="Arial"/>
          <w:sz w:val="19"/>
          <w:szCs w:val="19"/>
          <w:color w:val="auto"/>
        </w:rPr>
        <w:t>. Notwithstanding anything to the contrary in this Agreement, the Purchased Assets shall include Shared Contract Rights, and the Assumed Obligations shall include Shared Contract Obligations. Except as provided in the foregoing sentence, all provisions of, and rights and obligations which arise under, Shared Contracts shall be Excluded Assets and Excluded Liabilities. Prior to Closing, Seller and Buyer shall cooperate to identify Shared Contracts that the Parties agree contain Shared Contract Rights and Shared Contract Obligations that, in each case, are required to be provided or performed after the Closing Date (such Shared Contracts, the “</w:t>
      </w:r>
      <w:r>
        <w:rPr>
          <w:rFonts w:ascii="Arial" w:cs="Arial" w:eastAsia="Arial" w:hAnsi="Arial"/>
          <w:sz w:val="19"/>
          <w:szCs w:val="19"/>
          <w:u w:val="single" w:color="auto"/>
          <w:color w:val="auto"/>
        </w:rPr>
        <w:t>Ongoing Shared Contracts</w:t>
      </w:r>
      <w:r>
        <w:rPr>
          <w:rFonts w:ascii="Arial" w:cs="Arial" w:eastAsia="Arial" w:hAnsi="Arial"/>
          <w:sz w:val="19"/>
          <w:szCs w:val="19"/>
          <w:color w:val="auto"/>
        </w:rPr>
        <w:t>”). Each of Seller and Buyer will, in cooperation with the other, use its commercially reasonable efforts prior to the Closing to effect the assignment of the Shared Contract Rights and the Shared Contract Obligations to Buyer under the Ongoing Shared Contracts by, among other things, amending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8" w:right="339" w:bottom="1440" w:gutter="0" w:footer="0" w:header="0"/>
        </w:sectPr>
      </w:pPr>
    </w:p>
    <w:bookmarkStart w:id="172" w:name="page173"/>
    <w:bookmarkEnd w:id="172"/>
    <w:p>
      <w:pPr>
        <w:jc w:val="both"/>
        <w:spacing w:after="0" w:line="292" w:lineRule="auto"/>
        <w:rPr>
          <w:sz w:val="20"/>
          <w:szCs w:val="20"/>
          <w:color w:val="auto"/>
        </w:rPr>
      </w:pPr>
      <w:r>
        <w:rPr>
          <w:rFonts w:ascii="Arial" w:cs="Arial" w:eastAsia="Arial" w:hAnsi="Arial"/>
          <w:sz w:val="19"/>
          <w:szCs w:val="19"/>
          <w:color w:val="auto"/>
        </w:rPr>
        <w:t xml:space="preserve">Ongoing Shared Contracts to separately assign the Shared Contract Rights and the Shared Contract Obligations to Buyer and, if necessary or deemed desirable by Seller and Buyer, to execute new contracts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commercially reasonable efforts shall not require the payment of any consideration (monetary or otherwise) to, or the concession or provision of any material right to, or the amendment or modification in any manner materially adverse to Buyer or Seller of any Ongoing Shared Contract with, any third party;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no event shall Seller or any of its Affiliates have any obligation to any third party or to Buyer with respect to any Shared Contract Rights or Shared Contract Obligations following the assignment thereof to Buyer for any obligation that is an Assumed Obligation.</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7.19 </w:t>
      </w:r>
      <w:r>
        <w:rPr>
          <w:rFonts w:ascii="Arial" w:cs="Arial" w:eastAsia="Arial" w:hAnsi="Arial"/>
          <w:sz w:val="21"/>
          <w:szCs w:val="21"/>
          <w:u w:val="single" w:color="auto"/>
          <w:color w:val="auto"/>
        </w:rPr>
        <w:t>Contact with Employees, Customers and Suppliers</w:t>
      </w:r>
      <w:r>
        <w:rPr>
          <w:rFonts w:ascii="Arial" w:cs="Arial" w:eastAsia="Arial" w:hAnsi="Arial"/>
          <w:sz w:val="21"/>
          <w:szCs w:val="21"/>
          <w:color w:val="auto"/>
        </w:rPr>
        <w:t>. Except as otherwise provided in this Agreement, from the date hereof until the earlier of the termination of this Agreement in accordance with its terms and the Closing, Buyer shall not, and shall cause its Representatives not to, contact or communicate with the employees, customers, potential customers, suppliers or licensors of Seller or its Affiliates, or any other Persons reasonably known by Buyer to have a business relationship with Seller or its Affiliates, concerning the transactions contemplated hereby without the prior written consent of Seller not to be unreasonably withheld, conditioned or delayed.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7.20 </w:t>
      </w:r>
      <w:r>
        <w:rPr>
          <w:rFonts w:ascii="Arial" w:cs="Arial" w:eastAsia="Arial" w:hAnsi="Arial"/>
          <w:sz w:val="22"/>
          <w:szCs w:val="22"/>
          <w:u w:val="single" w:color="auto"/>
          <w:color w:val="auto"/>
        </w:rPr>
        <w:t>Litigation Defense</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85" w:lineRule="auto"/>
        <w:tabs>
          <w:tab w:leader="none" w:pos="2337"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Third Party Claims</w:t>
      </w:r>
      <w:r>
        <w:rPr>
          <w:rFonts w:ascii="Arial" w:cs="Arial" w:eastAsia="Arial" w:hAnsi="Arial"/>
          <w:sz w:val="19"/>
          <w:szCs w:val="19"/>
          <w:color w:val="auto"/>
        </w:rPr>
        <w:t>. From and after the Closing, if Seller or any of its Affiliates is party to, or receives notice of, any Claim by any Person who is neither a Party to this Agreement nor an Affiliate of a Party to this Agreement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which relates to an Assumed Obligation or a Purchased Asset, Seller will promptly give written notice (a “</w:t>
      </w:r>
      <w:r>
        <w:rPr>
          <w:rFonts w:ascii="Arial" w:cs="Arial" w:eastAsia="Arial" w:hAnsi="Arial"/>
          <w:sz w:val="19"/>
          <w:szCs w:val="19"/>
          <w:u w:val="single" w:color="auto"/>
          <w:color w:val="auto"/>
        </w:rPr>
        <w:t>Third Party Claim Notice</w:t>
      </w:r>
      <w:r>
        <w:rPr>
          <w:rFonts w:ascii="Arial" w:cs="Arial" w:eastAsia="Arial" w:hAnsi="Arial"/>
          <w:sz w:val="19"/>
          <w:szCs w:val="19"/>
          <w:color w:val="auto"/>
        </w:rPr>
        <w:t xml:space="preserve">”) of such Third Party Claim to Buyer. Any such Third Party Claim Notice shall describe the nature, facts and circumstances of the Third Party Claim in reasonable detail. Seller shall provide Buyer with such other information known to it or in its possession with respect to the Third Party Claim as Buyer may reasonably request. Buyer, at its sole cost and expense, will have the right, upon written notice to Seller within thirty (30) days (or such earlier time as may be required by the nature of the Third Party Claim) of receiving a Third Party Claim Notice, to assume the defense of the Third Party Claim through counsel of its choice,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 shall be entitled to retain its own counsel, at the Buyer’s expense, if (i) upon the advice of Buyer’s counsel, a conflict of interest exists (or would reasonably be expected to arise) that would make it inappropriate for the same counsel to represent both the Buyer and Seller or its respective Affiliates in connection with a Third Party Claim or (ii) such Third Party Claim (A) seeks non-monetary relief, or (B) involves criminal allegations. If Buyer assumes the defense of the Third Party Claim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such assumption will conclusively establish for purposes of this Agreement that the claims made in such Third Party Claim are within the scope of and subject to indemnification by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8" w:right="339" w:bottom="1440" w:gutter="0" w:footer="0" w:header="0"/>
        </w:sectPr>
      </w:pPr>
    </w:p>
    <w:bookmarkStart w:id="173" w:name="page174"/>
    <w:bookmarkEnd w:id="173"/>
    <w:p>
      <w:pPr>
        <w:jc w:val="both"/>
        <w:ind w:left="560" w:firstLine="651"/>
        <w:spacing w:after="0" w:line="258" w:lineRule="auto"/>
        <w:tabs>
          <w:tab w:leader="none" w:pos="1784"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Defense of Third Party Claims</w:t>
      </w:r>
      <w:r>
        <w:rPr>
          <w:rFonts w:ascii="Arial" w:cs="Arial" w:eastAsia="Arial" w:hAnsi="Arial"/>
          <w:sz w:val="21"/>
          <w:szCs w:val="21"/>
          <w:color w:val="auto"/>
        </w:rPr>
        <w:t xml:space="preserve">. If Buyer assumes the defense of a Third Party Claim pursuant to </w:t>
      </w:r>
      <w:r>
        <w:rPr>
          <w:rFonts w:ascii="Arial" w:cs="Arial" w:eastAsia="Arial" w:hAnsi="Arial"/>
          <w:sz w:val="21"/>
          <w:szCs w:val="21"/>
          <w:u w:val="single" w:color="auto"/>
          <w:color w:val="auto"/>
        </w:rPr>
        <w:t>Section 7.20(a)</w:t>
      </w:r>
      <w:r>
        <w:rPr>
          <w:rFonts w:ascii="Arial" w:cs="Arial" w:eastAsia="Arial" w:hAnsi="Arial"/>
          <w:sz w:val="21"/>
          <w:szCs w:val="21"/>
          <w:color w:val="auto"/>
        </w:rPr>
        <w:t xml:space="preserve">, Buyer will keep Seller reasonably informed with respect to such defense. Seller shall, and shall cause its Affiliates to, cooperate with Buyer and its counsel, including making available to Buyer all witnesses, pertinent records, materials and information in Seller’s possession or under Seller’s control relating thereto as is reasonably required by Buyer. Seller will have the right to participate in such defense, including appointing separate counsel;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set forth in </w:t>
      </w:r>
      <w:r>
        <w:rPr>
          <w:rFonts w:ascii="Arial" w:cs="Arial" w:eastAsia="Arial" w:hAnsi="Arial"/>
          <w:sz w:val="21"/>
          <w:szCs w:val="21"/>
          <w:u w:val="single" w:color="auto"/>
          <w:color w:val="auto"/>
        </w:rPr>
        <w:t>Section 7.20(a)</w:t>
      </w:r>
      <w:r>
        <w:rPr>
          <w:rFonts w:ascii="Arial" w:cs="Arial" w:eastAsia="Arial" w:hAnsi="Arial"/>
          <w:sz w:val="21"/>
          <w:szCs w:val="21"/>
          <w:color w:val="auto"/>
        </w:rPr>
        <w:t xml:space="preserve">, the costs of such participation shall be borne solely by Seller. Buyer will, in consultation with Seller, make all decisions and determine all actions to be taken with respect to the defense and settlement of the Third Party Claim;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Buyer may not enter into a settlement or compromise with respect to a Third Party Claim without the consent of Seller unless (i) the sole relief provided is monetary damages that will be paid in full by Buyer and (ii) there is no finding or admission of any violation of Law or of the rights of any Person.</w:t>
      </w:r>
    </w:p>
    <w:p>
      <w:pPr>
        <w:spacing w:after="0" w:line="181" w:lineRule="exact"/>
        <w:rPr>
          <w:rFonts w:ascii="Arial" w:cs="Arial" w:eastAsia="Arial" w:hAnsi="Arial"/>
          <w:sz w:val="21"/>
          <w:szCs w:val="21"/>
          <w:color w:val="auto"/>
        </w:rPr>
      </w:pPr>
    </w:p>
    <w:p>
      <w:pPr>
        <w:jc w:val="both"/>
        <w:ind w:left="560" w:firstLine="651"/>
        <w:spacing w:after="0" w:line="247" w:lineRule="auto"/>
        <w:tabs>
          <w:tab w:leader="none" w:pos="1691"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Failure to Assume Defense</w:t>
      </w:r>
      <w:r>
        <w:rPr>
          <w:rFonts w:ascii="Arial" w:cs="Arial" w:eastAsia="Arial" w:hAnsi="Arial"/>
          <w:sz w:val="22"/>
          <w:szCs w:val="22"/>
          <w:color w:val="auto"/>
        </w:rPr>
        <w:t xml:space="preserve">. If Buyer elects not to defend such Third Party Claim or fails to promptly notify Seller in writing of its election to defend, Seller may defend such Third Party Claim and seek indemnification for any and all Losses that would otherwise be Assumed Obligations pursuant to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Seller shall not pay, compromise, settle, or otherwise dispose of such Third Party Claim without the prior written consent of Buyer (which consent shall not be unreasonably withheld, conditioned or delayed).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7.21 </w:t>
      </w:r>
      <w:r>
        <w:rPr>
          <w:rFonts w:ascii="Arial" w:cs="Arial" w:eastAsia="Arial" w:hAnsi="Arial"/>
          <w:sz w:val="22"/>
          <w:szCs w:val="22"/>
          <w:u w:val="single" w:color="auto"/>
          <w:color w:val="auto"/>
        </w:rPr>
        <w:t>Financing</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86" w:lineRule="auto"/>
        <w:tabs>
          <w:tab w:leader="none" w:pos="183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Buyer shall use its best efforts to arrange the Debt Financing on terms and conditions not less favorable to Buyer than those described in the Debt Financing Commitment Letter (including any “market flex” provisions applicable thereto), including using best efforts to (i) negotiate definitive agreements (such definitive agreements being referred to as the “</w:t>
      </w:r>
      <w:r>
        <w:rPr>
          <w:rFonts w:ascii="Arial" w:cs="Arial" w:eastAsia="Arial" w:hAnsi="Arial"/>
          <w:sz w:val="19"/>
          <w:szCs w:val="19"/>
          <w:u w:val="single" w:color="auto"/>
          <w:color w:val="auto"/>
        </w:rPr>
        <w:t>Debt Financing Agreements</w:t>
      </w:r>
      <w:r>
        <w:rPr>
          <w:rFonts w:ascii="Arial" w:cs="Arial" w:eastAsia="Arial" w:hAnsi="Arial"/>
          <w:sz w:val="19"/>
          <w:szCs w:val="19"/>
          <w:color w:val="auto"/>
        </w:rPr>
        <w:t xml:space="preserve">”) with respect thereto on the terms and conditions contained in the Debt Financing Commitment Letter, (including any “market flex” provisions applicable thereto) or, if available, on other terms that are acceptable to Buyer and would not materially and adversely affect the ability of Buyer to consummate the transactions contemplated herein, (ii) satisfy on a timely basis or obtain the waiver of all conditions applicable to Buyer in the Debt Financing Commitment Letter that are within their control, (iii) maintain in full force and effect the Debt Financing Commitment Letter in accordance with the terms thereof (subject to Buyer’s right to replace, restate, supplement, modify, assign, substitute, waive or amend the Debt Financing Commitment Letter in accordance with this </w:t>
      </w:r>
      <w:r>
        <w:rPr>
          <w:rFonts w:ascii="Arial" w:cs="Arial" w:eastAsia="Arial" w:hAnsi="Arial"/>
          <w:sz w:val="19"/>
          <w:szCs w:val="19"/>
          <w:u w:val="single" w:color="auto"/>
          <w:color w:val="auto"/>
        </w:rPr>
        <w:t>Section 7.21</w:t>
      </w:r>
      <w:r>
        <w:rPr>
          <w:rFonts w:ascii="Arial" w:cs="Arial" w:eastAsia="Arial" w:hAnsi="Arial"/>
          <w:sz w:val="19"/>
          <w:szCs w:val="19"/>
          <w:color w:val="auto"/>
        </w:rPr>
        <w:t>), (iv) in the event that all conditions in the Debt Financing Commitment Letter have been satisfied, draw down upon and consummate the Debt Financing contemplated by the Debt Financing Commitment Letter at the Closing, and (v) take such actions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0580"/>
          </w:cols>
          <w:pgMar w:left="980" w:top="1428" w:right="339" w:bottom="1440" w:gutter="0" w:footer="0" w:header="0"/>
        </w:sectPr>
      </w:pPr>
    </w:p>
    <w:bookmarkStart w:id="174" w:name="page175"/>
    <w:bookmarkEnd w:id="174"/>
    <w:p>
      <w:pPr>
        <w:ind w:left="100"/>
        <w:spacing w:after="0" w:line="263" w:lineRule="auto"/>
        <w:rPr>
          <w:sz w:val="20"/>
          <w:szCs w:val="20"/>
          <w:color w:val="auto"/>
        </w:rPr>
      </w:pPr>
      <w:r>
        <w:rPr>
          <w:rFonts w:ascii="Arial" w:cs="Arial" w:eastAsia="Arial" w:hAnsi="Arial"/>
          <w:sz w:val="22"/>
          <w:szCs w:val="22"/>
          <w:color w:val="auto"/>
        </w:rPr>
        <w:t>are reasonably necessary to enforce its rights under the Debt Financing Commitment Letter in the event of a breach by the Financing Sources .</w:t>
      </w:r>
    </w:p>
    <w:p>
      <w:pPr>
        <w:spacing w:after="0" w:line="175" w:lineRule="exact"/>
        <w:rPr>
          <w:sz w:val="20"/>
          <w:szCs w:val="20"/>
          <w:color w:val="auto"/>
        </w:rPr>
      </w:pPr>
    </w:p>
    <w:p>
      <w:pPr>
        <w:jc w:val="both"/>
        <w:ind w:left="100" w:firstLine="651"/>
        <w:spacing w:after="0" w:line="287" w:lineRule="auto"/>
        <w:tabs>
          <w:tab w:leader="none" w:pos="130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Buyer shall keep Seller reasonably and promptly informed with respect to all material activity and developments concerning the Debt Financing. Without limiting the foregoing, Buyer agrees to notify Seller promptly, and in any event within two Business Days after it becomes aware thereof, (i) the entry into any material and definitive agreements related to the Debt Financing, (ii) the Debt Financing Commitment Letter shall expire or be terminated for any reason, (iii) any Financing Source that is a party to any Debt Financing Commitment Letter notifies Buyer in writing that such Financing Source no longer intends to provide financing to Buyer on the terms set forth therein, (iv) Buyer receives any notice, or other communication with respect to, any actual or threatened breach, default, termination or repudiation by any party to any Debt Financing Commitment Letter or (v) Buyer has concluded in good faith that it will not be able to obtain on the Closing Date all or any portion of the Debt Financing contemplated by the Debt Financing Commitment Letter. In addition, Buyer will promptly provide the Company with copies of all executed definitive agreements with respect to the Debt Financing.</w:t>
      </w:r>
    </w:p>
    <w:p>
      <w:pPr>
        <w:spacing w:after="0" w:line="163" w:lineRule="exact"/>
        <w:rPr>
          <w:rFonts w:ascii="Arial" w:cs="Arial" w:eastAsia="Arial" w:hAnsi="Arial"/>
          <w:sz w:val="19"/>
          <w:szCs w:val="19"/>
          <w:color w:val="auto"/>
        </w:rPr>
      </w:pPr>
    </w:p>
    <w:p>
      <w:pPr>
        <w:jc w:val="both"/>
        <w:ind w:left="100" w:firstLine="651"/>
        <w:spacing w:after="0" w:line="285" w:lineRule="auto"/>
        <w:tabs>
          <w:tab w:leader="none" w:pos="1271"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Buyer shall have the right from time to time to amend, replace, supplement or otherwise modify, or waive any of its rights under, any Debt Financing Commitment Letter;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amendment, replacement, supplement or other modification to or waiver of any provision of the Debt Financing Commitment Letter shall not (i) reduce the aggregate amount of the Debt Financing or length of the commitment period set forth in the Debt Financing Commitment Letter as in effect on the date hereof, (ii) add, expand or otherwise modify the conditions precedent or contingencies to the funding on the Closing Date, (iii) otherwise expand, amend, modify or waive any provision of any Debt Financing Commitment Letter in a manner that in any such case would reasonably be expected to (x) delay or make less likely the funding of the Debt Financing (or satisfaction of the conditions precedent to the funding of the Debt Financing) on the Closing Date or otherwise prevent, delay or impair the transactions contemplated by this Agreement in any material respect or (y) adversely affect the ability of Buyer to timely consummate the transactions contemplated hereby or (iv) adversely affect the ability of Buyer to enforce its rights against the other parties to the Debt Financing Commitment Letter as so amended, replaced, supplemented or otherwise modified or waived, relative to the ability of Buyer to enforce its rights against such parties to the Debt Financing Commitment Letter as in effect on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may replace or amend any Debt Financing Commitment Letter to add lenders, arrangers, agents, bookrunners, managers and other Financing Sources who had not executed such Debt Financing Commitment Letter as of the date hereof if (x) the addition of such additional parties, individually or in the aggregate, would not prevent, delay or impair the availability of the Debt Financing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0120"/>
          </w:cols>
          <w:pgMar w:left="1440" w:top="1428" w:right="339" w:bottom="1440" w:gutter="0" w:footer="0" w:header="0"/>
        </w:sectPr>
      </w:pPr>
    </w:p>
    <w:bookmarkStart w:id="175" w:name="page176"/>
    <w:bookmarkEnd w:id="175"/>
    <w:p>
      <w:pPr>
        <w:jc w:val="both"/>
        <w:ind w:left="100"/>
        <w:spacing w:after="0" w:line="258" w:lineRule="auto"/>
        <w:rPr>
          <w:sz w:val="20"/>
          <w:szCs w:val="20"/>
          <w:color w:val="auto"/>
        </w:rPr>
      </w:pPr>
      <w:r>
        <w:rPr>
          <w:rFonts w:ascii="Arial" w:cs="Arial" w:eastAsia="Arial" w:hAnsi="Arial"/>
          <w:sz w:val="21"/>
          <w:szCs w:val="21"/>
          <w:color w:val="auto"/>
        </w:rPr>
        <w:t xml:space="preserve">consummation of the transactions contemplated by this Agreement and (y) the aggregate commitments under the Debt Financing Commitment Letter as in effect on the date hereof after the additional of such lenders, arrangers, agents, bookrunners, managers and other Financing Sources to the Debt Financing Commitment Letter is not reduced. Buyer shall promptly deliver, and in any event within two Business Days after execution, to Seller true and complete copies of any amendment, replacement, supplement or other modification or waiver of the Debt Financing Commitment Letter. Upon any such replacement, amendment, supplement or other modification of, or waiver under, the Debt Financing Commitment Letter in accordance with this </w:t>
      </w:r>
      <w:r>
        <w:rPr>
          <w:rFonts w:ascii="Arial" w:cs="Arial" w:eastAsia="Arial" w:hAnsi="Arial"/>
          <w:sz w:val="21"/>
          <w:szCs w:val="21"/>
          <w:u w:val="single" w:color="auto"/>
          <w:color w:val="auto"/>
        </w:rPr>
        <w:t>Section 7.21</w:t>
      </w:r>
      <w:r>
        <w:rPr>
          <w:rFonts w:ascii="Arial" w:cs="Arial" w:eastAsia="Arial" w:hAnsi="Arial"/>
          <w:sz w:val="21"/>
          <w:szCs w:val="21"/>
          <w:color w:val="auto"/>
        </w:rPr>
        <w:t>, the term “Debt Financing Commitment Letter” (and consequently the terms “Debt Financing,” and “Financing” shall mean the Debt Financing contemplated by such Debt Financing Commitment Letter as so replaced, amended, supplemented, modified or waived), shall mean such Debt Financing Commitment Letter as so replaced, amended, supplemented, modified or waived</w:t>
      </w:r>
    </w:p>
    <w:p>
      <w:pPr>
        <w:spacing w:after="0" w:line="182" w:lineRule="exact"/>
        <w:rPr>
          <w:sz w:val="20"/>
          <w:szCs w:val="20"/>
          <w:color w:val="auto"/>
        </w:rPr>
      </w:pPr>
    </w:p>
    <w:p>
      <w:pPr>
        <w:jc w:val="both"/>
        <w:ind w:left="100" w:firstLine="651"/>
        <w:spacing w:after="0" w:line="286" w:lineRule="auto"/>
        <w:tabs>
          <w:tab w:leader="none" w:pos="125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If all or any portion of the Debt Financing becomes unavailable, or the Debt Financing Commitment Letter shall be withdrawn, repudiated, terminated or rescinded for any reason, then Buyer shall use its best efforts to arrange and obtain, as promptly as practicable, from the same and/or alternative Financing Sources, alternative financing and on terms and in an amount sufficient to enable Buyer to consummate the transactions contemplated by this Agreement and to consummate the transactions contemplated hereby and to pay all fees and expense reasonable expected to be incurred in connection herewith and with the Financing Commitments (“</w:t>
      </w:r>
      <w:r>
        <w:rPr>
          <w:rFonts w:ascii="Arial" w:cs="Arial" w:eastAsia="Arial" w:hAnsi="Arial"/>
          <w:sz w:val="19"/>
          <w:szCs w:val="19"/>
          <w:u w:val="single" w:color="auto"/>
          <w:color w:val="auto"/>
        </w:rPr>
        <w:t>Alternative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Financing</w:t>
      </w:r>
      <w:r>
        <w:rPr>
          <w:rFonts w:ascii="Arial" w:cs="Arial" w:eastAsia="Arial" w:hAnsi="Arial"/>
          <w:sz w:val="19"/>
          <w:szCs w:val="19"/>
          <w:color w:val="auto"/>
        </w:rPr>
        <w:t>”); provided that any such Alternative Financing shall not expand upon the conditions precedent to the Debt Financing as set forth in the Debt Financing Commitment Letter on the date hereof. In such event, the term “Debt Financing” as used in this Agreement shall be deemed to include any Alternative Financing (and consequently the term “Financing” shall include the Equity Financing and the Alternative Financing), and the term “Debt Financing Commitment Letter” as used in this Agreement shall be deemed to include the commitment letter with respect to such Alternative Financing. Buyer shall promptly provide Seller with a correct and complete copy of any commitment letter and any related fee letter (or similar agreements) relating to such Alternative Financing.</w:t>
      </w:r>
    </w:p>
    <w:p>
      <w:pPr>
        <w:spacing w:after="0" w:line="165" w:lineRule="exact"/>
        <w:rPr>
          <w:rFonts w:ascii="Arial" w:cs="Arial" w:eastAsia="Arial" w:hAnsi="Arial"/>
          <w:sz w:val="19"/>
          <w:szCs w:val="19"/>
          <w:color w:val="auto"/>
        </w:rPr>
      </w:pPr>
    </w:p>
    <w:p>
      <w:pPr>
        <w:jc w:val="both"/>
        <w:ind w:left="100" w:firstLine="651"/>
        <w:spacing w:after="0" w:line="271" w:lineRule="auto"/>
        <w:tabs>
          <w:tab w:leader="none" w:pos="1321" w:val="left"/>
        </w:tabs>
        <w:numPr>
          <w:ilvl w:val="0"/>
          <w:numId w:val="158"/>
        </w:numPr>
        <w:rPr>
          <w:rFonts w:ascii="Arial" w:cs="Arial" w:eastAsia="Arial" w:hAnsi="Arial"/>
          <w:sz w:val="21"/>
          <w:szCs w:val="21"/>
          <w:color w:val="auto"/>
        </w:rPr>
      </w:pPr>
      <w:r>
        <w:rPr>
          <w:rFonts w:ascii="Arial" w:cs="Arial" w:eastAsia="Arial" w:hAnsi="Arial"/>
          <w:sz w:val="21"/>
          <w:szCs w:val="21"/>
          <w:color w:val="auto"/>
        </w:rPr>
        <w:t>Buyer shall not enter into any merger, acquisition, joint venture, disposition, lease, debt or equity financing or similar transaction that would reasonably be expected to materially impair, delay or prevent the consummation of the Debt Financing contemplated by the Debt Financing Commitment Letter.</w:t>
      </w:r>
    </w:p>
    <w:p>
      <w:pPr>
        <w:spacing w:after="0" w:line="167" w:lineRule="exact"/>
        <w:rPr>
          <w:rFonts w:ascii="Arial" w:cs="Arial" w:eastAsia="Arial" w:hAnsi="Arial"/>
          <w:sz w:val="21"/>
          <w:szCs w:val="21"/>
          <w:color w:val="auto"/>
        </w:rPr>
      </w:pPr>
    </w:p>
    <w:p>
      <w:pPr>
        <w:jc w:val="both"/>
        <w:ind w:left="100" w:firstLine="651"/>
        <w:spacing w:after="0" w:line="253" w:lineRule="auto"/>
        <w:tabs>
          <w:tab w:leader="none" w:pos="130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Buyer acknowledges and agrees that receipt of the Debt Financing is not a condition to its obligation to consummate the transaction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0120"/>
          </w:cols>
          <w:pgMar w:left="1440" w:top="1428" w:right="3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Section 7.22 </w:t>
      </w:r>
      <w:r>
        <w:rPr>
          <w:rFonts w:ascii="Arial" w:cs="Arial" w:eastAsia="Arial" w:hAnsi="Arial"/>
          <w:sz w:val="22"/>
          <w:szCs w:val="22"/>
          <w:u w:val="single" w:color="auto"/>
          <w:color w:val="auto"/>
        </w:rPr>
        <w:t>Financing Cooperation</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83" w:lineRule="auto"/>
        <w:tabs>
          <w:tab w:leader="none" w:pos="172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In connection with any contemplated obtainment of Debt Financing, prior to the Closing, at Buyer’s expense to the extent subject to the expense reimbursement provisions in </w:t>
      </w:r>
      <w:r>
        <w:rPr>
          <w:rFonts w:ascii="Arial" w:cs="Arial" w:eastAsia="Arial" w:hAnsi="Arial"/>
          <w:sz w:val="19"/>
          <w:szCs w:val="19"/>
          <w:u w:val="single" w:color="auto"/>
          <w:color w:val="auto"/>
        </w:rPr>
        <w:t>Section 7.22(b)</w:t>
      </w:r>
      <w:r>
        <w:rPr>
          <w:rFonts w:ascii="Arial" w:cs="Arial" w:eastAsia="Arial" w:hAnsi="Arial"/>
          <w:sz w:val="19"/>
          <w:szCs w:val="19"/>
          <w:color w:val="auto"/>
        </w:rPr>
        <w:t>, Seller shall use commercially reasonable efforts to provide (and shall use commercially reasonable efforts to cause its Representatives to provide) to Buyer (at Buyer’s sole expense) such cooperation as may be reasonably requested by Buyer to assist them in arranging the Debt Financing. provided, that such requested cooperation does not require the Seller or any of its Affiliates to (A) engage in any action that would adversely interfere with the business or operations of the Seller or such Affiliate or (B) pay any fee or incur any other liability in connection with the Debt Financing. Such cooperation shall include, but not be limited to: (a) furnishing on a confidential basis to Buyer and its Representatives and the Financing Sources, within a reasonable time period consistent with the Seller’s past practice, such historical financial information and other pertinent historical information regarding the Business, the Purchased Assets and the Assumed Obligations as may be reasonably requested by Buyer in connection with the Debt Financing; provided that such assistance shall be limited solely with respect to information and data derived from the Seller’s historical books and records; (b) [reserved] (c) participation in a reasonable number (with reasonable advance notice) of meetings, presentations, road shows, due diligence sessions and drafting sessions with prospective lenders and with rating agencies, including direct contact between senior management of Seller, on the one hand, and the actual and potential Financing Sources, on the other hand, and other customary syndication activities, (d) facilitating the granting of a security interest (and perfection thereof) in collateral, and the preparation of guarantees, mortgages, other definitive financing documents or other certificates or documents as may reasonably be requested by Buyer, including obtaining releases of existing liens; provided that any granting of security interests (and perfection thereof) in collateral, obligations related to any guarantees, mortgages, other definitive financing documents or other certificates or documents and releases of liens contained in all such agreements and documents shall be, in each case, subject to the occurrence of the Closing, (e) cooperating in satisfying the conditions precedent set forth in the Debt Financing Commitment Letter to the extent satisfaction of any such condition is within the control of Seller, (f) providing information regarding the Business, the Purchased Assets and the Assumed Obligations as may be reasonably requested by the Buyer to assist Buyer in preparing materials for rating agency presentations, offering documents, private placement memoranda, bank information memoranda, prospectuses (registered or otherwise) and similar documents reasonably and customarily used to complete the Debt Financing, (g) using commercially reasonable efforts to assist Buyer in the preparation of customary pro forma financial statements; provided, that neither the Seller or its Representatives shall be required to provide any such assistance with respect to financial information or statements relating to (A) the determination of the proposed aggregate amount of the Debt Financing, the interest rates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0580"/>
          </w:cols>
          <w:pgMar w:left="980" w:top="1428" w:right="339" w:bottom="1440" w:gutter="0" w:footer="0" w:header="0"/>
        </w:sectPr>
      </w:pPr>
    </w:p>
    <w:bookmarkStart w:id="177" w:name="page178"/>
    <w:bookmarkEnd w:id="177"/>
    <w:p>
      <w:pPr>
        <w:jc w:val="both"/>
        <w:ind w:left="100"/>
        <w:spacing w:after="0" w:line="290" w:lineRule="auto"/>
        <w:rPr>
          <w:sz w:val="20"/>
          <w:szCs w:val="20"/>
          <w:color w:val="auto"/>
        </w:rPr>
      </w:pPr>
      <w:r>
        <w:rPr>
          <w:rFonts w:ascii="Arial" w:cs="Arial" w:eastAsia="Arial" w:hAnsi="Arial"/>
          <w:sz w:val="19"/>
          <w:szCs w:val="19"/>
          <w:color w:val="auto"/>
        </w:rPr>
        <w:t>or the fees and expenses relating thereto; (B) the determination of any post-Closing or pro forma cost savings, synergies, capitalization, ownership or other pro forma adjustments desired to be incorporated into any information used in connection with the Debt Financing; or (C) any adjustments that are not directly related to the acquisition of the Purchased Assets; provided further that (x) such assistance shall be limited solely with respect to information and data derived from the Seller’s historical books and records and (y) neither Seller nor its Representatives shall be required to certify or attest to any such pro forma financial statements or other forecasted information; and (h) to the extent required by the Financing Sources, providing customary authorization letters authorizing the distribution of information to prospective Financing Sources regarding the Business, subject to customary terms and conditions.</w:t>
      </w:r>
    </w:p>
    <w:p>
      <w:pPr>
        <w:spacing w:after="0" w:line="156" w:lineRule="exact"/>
        <w:rPr>
          <w:sz w:val="20"/>
          <w:szCs w:val="20"/>
          <w:color w:val="auto"/>
        </w:rPr>
      </w:pPr>
    </w:p>
    <w:p>
      <w:pPr>
        <w:jc w:val="both"/>
        <w:ind w:left="100" w:firstLine="651"/>
        <w:spacing w:after="0" w:line="285" w:lineRule="auto"/>
        <w:tabs>
          <w:tab w:leader="none" w:pos="1231"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will require the Seller to (i) waive or amend any terms of this Agreement or agree to pay any fees or reimburse any expenses for which it has not received prior reimbursement or is not otherwise indemnified by or on behalf of Buyer; (ii) enter into any definitive agreement; (iii) give any indemnities in connection with the Debt Financing; (iv) take any action that, in the good faith determination of the Seller, would unreasonably interfere with the conduct of the business of the Seller and its Affiliates or create an unreasonable risk of damage or destruction to any property or assets of the Seller or any of its Affiliates; (v) adopt resolutions (whether by the board of directors of the Seller or otherwise) approving the agreements, documents and instruments pursuant to which the Debt Financing is obtained; or (vi) provide any assistance or cooperation that (A) would cause any representation or warranty in this Agreement made by Seller to be breached, or (B) cause any conditions to Closing set forth in Article VIII to fail to be satisfied by the Termination Date or otherwise result in a breach of this Agreement by Seller that would provide Buyer the right to terminate this Agreement (unless waived by Buyer). In addition, any bank information memoranda and high-yield offering prospectuses or memoranda required in relation to the Debt Financing will contain disclosure reflecting the Buyer or one or more Affiliates of Buyer as the obligor. Nothing in this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will require any Representative of the Seller or any of its Affiliates to deliver any document, or take any action that could reasonably be expected to result in personal liability to such Representative. Buyer shall promptly, upon request by the Seller (and in any event within 10 Business Days of such request), reimburse the Seller for all out-of-pocket costs and expenses incurred by the Seller or any of its Affiliates (including reasonable and documented attorneys’ fees and accountants’ fees) in connection with its cooperation contemplated by this </w:t>
      </w:r>
      <w:r>
        <w:rPr>
          <w:rFonts w:ascii="Arial" w:cs="Arial" w:eastAsia="Arial" w:hAnsi="Arial"/>
          <w:sz w:val="19"/>
          <w:szCs w:val="19"/>
          <w:u w:val="single" w:color="auto"/>
          <w:color w:val="auto"/>
        </w:rPr>
        <w:t>Section 7.22</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100" w:firstLine="651"/>
        <w:spacing w:after="0" w:line="250" w:lineRule="auto"/>
        <w:tabs>
          <w:tab w:leader="none" w:pos="128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Buyer shall indemnify and hold harmless the Seller and its Affiliates and their respective directors, officers and employees from and against any and all Losses suffered or incurred by them in connection with the arrangement and completion of any Debt Financing, capital markets transactions or related transactions by Buyer in connection with financing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0120"/>
          </w:cols>
          <w:pgMar w:left="1440" w:top="1428" w:right="339" w:bottom="1440" w:gutter="0" w:footer="0" w:header="0"/>
        </w:sectPr>
      </w:pPr>
    </w:p>
    <w:bookmarkStart w:id="178" w:name="page179"/>
    <w:bookmarkEnd w:id="178"/>
    <w:p>
      <w:pPr>
        <w:jc w:val="both"/>
        <w:ind w:left="1220"/>
        <w:spacing w:after="0" w:line="302" w:lineRule="auto"/>
        <w:rPr>
          <w:sz w:val="20"/>
          <w:szCs w:val="20"/>
          <w:color w:val="auto"/>
        </w:rPr>
      </w:pPr>
      <w:r>
        <w:rPr>
          <w:rFonts w:ascii="Arial" w:cs="Arial" w:eastAsia="Arial" w:hAnsi="Arial"/>
          <w:sz w:val="19"/>
          <w:szCs w:val="19"/>
          <w:color w:val="auto"/>
        </w:rPr>
        <w:t xml:space="preserve">contemplated hereby and any information utilized in connection therewith. This </w:t>
      </w:r>
      <w:r>
        <w:rPr>
          <w:rFonts w:ascii="Arial" w:cs="Arial" w:eastAsia="Arial" w:hAnsi="Arial"/>
          <w:sz w:val="19"/>
          <w:szCs w:val="19"/>
          <w:u w:val="single" w:color="auto"/>
          <w:color w:val="auto"/>
        </w:rPr>
        <w:t>Section 7.22(c)</w:t>
      </w:r>
      <w:r>
        <w:rPr>
          <w:rFonts w:ascii="Arial" w:cs="Arial" w:eastAsia="Arial" w:hAnsi="Arial"/>
          <w:sz w:val="19"/>
          <w:szCs w:val="19"/>
          <w:color w:val="auto"/>
        </w:rPr>
        <w:t xml:space="preserve"> shall survive the consummation of the Closing and any termination of this Agreement, and is intended to benefit, and may be enforced by, the officers and directors of the Seller and its Affiliates and their respective heirs, executors, estates and personal representatives who are each third party beneficiaries of this </w:t>
      </w:r>
      <w:r>
        <w:rPr>
          <w:rFonts w:ascii="Arial" w:cs="Arial" w:eastAsia="Arial" w:hAnsi="Arial"/>
          <w:sz w:val="19"/>
          <w:szCs w:val="19"/>
          <w:u w:val="single" w:color="auto"/>
          <w:color w:val="auto"/>
        </w:rPr>
        <w:t>Section 7.22(c)</w:t>
      </w:r>
      <w:r>
        <w:rPr>
          <w:rFonts w:ascii="Arial" w:cs="Arial" w:eastAsia="Arial" w:hAnsi="Arial"/>
          <w:sz w:val="19"/>
          <w:szCs w:val="19"/>
          <w:color w:val="auto"/>
        </w:rPr>
        <w:t>.</w:t>
      </w:r>
    </w:p>
    <w:p>
      <w:pPr>
        <w:spacing w:after="0" w:line="142" w:lineRule="exact"/>
        <w:rPr>
          <w:sz w:val="20"/>
          <w:szCs w:val="20"/>
          <w:color w:val="auto"/>
        </w:rPr>
      </w:pPr>
    </w:p>
    <w:p>
      <w:pPr>
        <w:jc w:val="both"/>
        <w:ind w:left="1220" w:firstLine="651"/>
        <w:spacing w:after="0" w:line="259" w:lineRule="auto"/>
        <w:tabs>
          <w:tab w:leader="none" w:pos="2441" w:val="left"/>
        </w:tabs>
        <w:numPr>
          <w:ilvl w:val="0"/>
          <w:numId w:val="161"/>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no Seller Related Party shall have any rights or claims against any Debt Financing Source in connection with this Agreement, the Debt Financing Commitment Letter or the transactions contemplated hereby or thereby, and no Debt Financing Source shall have any rights or claims against any Seller Related Party in connection with this Agreement, the Debt Financing Commitment Letter or the transactions contemplated hereby or thereby, whether at law or equity, in contract, in tort or otherwise; provided that, following consummation of the Closing, the foregoing will not limit the rights of the parties to the Debt Financing Commitment Letter. In addition, in no event will any Debt Financing Source be liable for consequential, special, exemplary, punitive or indirect damages (including any loss of profits, business or anticipated savings) or damages of a tortuous nature.</w:t>
      </w:r>
    </w:p>
    <w:p>
      <w:pPr>
        <w:spacing w:after="0" w:line="179" w:lineRule="exact"/>
        <w:rPr>
          <w:rFonts w:ascii="Arial" w:cs="Arial" w:eastAsia="Arial" w:hAnsi="Arial"/>
          <w:sz w:val="21"/>
          <w:szCs w:val="21"/>
          <w:color w:val="auto"/>
        </w:rPr>
      </w:pPr>
    </w:p>
    <w:p>
      <w:pPr>
        <w:jc w:val="both"/>
        <w:ind w:left="1220" w:firstLine="651"/>
        <w:spacing w:after="0" w:line="253" w:lineRule="auto"/>
        <w:tabs>
          <w:tab w:leader="none" w:pos="2442" w:val="left"/>
        </w:tabs>
        <w:numPr>
          <w:ilvl w:val="0"/>
          <w:numId w:val="161"/>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Buyer acknowledges and agrees that receipt of the Debt Financing is not a condition to its obligation to consummate the transaction contemplated by this Agreement.</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7.23 </w:t>
      </w:r>
      <w:r>
        <w:rPr>
          <w:rFonts w:ascii="Arial" w:cs="Arial" w:eastAsia="Arial" w:hAnsi="Arial"/>
          <w:sz w:val="19"/>
          <w:szCs w:val="19"/>
          <w:u w:val="single" w:color="auto"/>
          <w:color w:val="auto"/>
        </w:rPr>
        <w:t>Disclosure Schedule Updates</w:t>
      </w:r>
      <w:r>
        <w:rPr>
          <w:rFonts w:ascii="Arial" w:cs="Arial" w:eastAsia="Arial" w:hAnsi="Arial"/>
          <w:sz w:val="19"/>
          <w:szCs w:val="19"/>
          <w:b w:val="1"/>
          <w:bCs w:val="1"/>
          <w:color w:val="auto"/>
        </w:rPr>
        <w:t>.</w:t>
      </w:r>
      <w:r>
        <w:rPr>
          <w:rFonts w:ascii="Arial" w:cs="Arial" w:eastAsia="Arial" w:hAnsi="Arial"/>
          <w:sz w:val="19"/>
          <w:szCs w:val="19"/>
          <w:color w:val="auto"/>
        </w:rPr>
        <w:t xml:space="preserve"> No later than 10 days after the date hereof, Seller shall use its reasonable best efforts to supplement or amend the Seller Disclosure Schedules (the “</w:t>
      </w:r>
      <w:r>
        <w:rPr>
          <w:rFonts w:ascii="Arial" w:cs="Arial" w:eastAsia="Arial" w:hAnsi="Arial"/>
          <w:sz w:val="19"/>
          <w:szCs w:val="19"/>
          <w:u w:val="single" w:color="auto"/>
          <w:color w:val="auto"/>
        </w:rPr>
        <w:t>Disclosure Schedule Update</w:t>
      </w:r>
      <w:r>
        <w:rPr>
          <w:rFonts w:ascii="Arial" w:cs="Arial" w:eastAsia="Arial" w:hAnsi="Arial"/>
          <w:sz w:val="19"/>
          <w:szCs w:val="19"/>
          <w:color w:val="auto"/>
        </w:rPr>
        <w:t xml:space="preserve">”) with respect to any matter if necessary to remedy any inaccuracy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this Agreement as of the date hereof by delivering notice of such Disclosure Schedule Update to Buyer. In the event that any additional or changed item (to the extent not disclosed on the Seller Disclosure Schedules as of the date hereof) would have a material and adverse effect on the Business or the Purchased Assets as a whole, then Buyer shall have the right to designate such item as an Excluded Liability by delivering a written notice to Seller within 10 days after delivery of such Disclosure Schedule Update.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CLOSING</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Conditions to Each Party’s Closing Obligations</w:t>
      </w:r>
      <w:r>
        <w:rPr>
          <w:rFonts w:ascii="Arial" w:cs="Arial" w:eastAsia="Arial" w:hAnsi="Arial"/>
          <w:sz w:val="22"/>
          <w:szCs w:val="22"/>
          <w:color w:val="auto"/>
        </w:rPr>
        <w:t>. The respective obligations of each Party to effect the transactions contemplated hereby are subject to the fulfillment or joint waiver by the Parties on or prior to the Closing Date of the following conditions:</w:t>
      </w:r>
    </w:p>
    <w:p>
      <w:pPr>
        <w:spacing w:after="0" w:line="185" w:lineRule="exact"/>
        <w:rPr>
          <w:sz w:val="20"/>
          <w:szCs w:val="20"/>
          <w:color w:val="auto"/>
        </w:rPr>
      </w:pPr>
    </w:p>
    <w:p>
      <w:pPr>
        <w:ind w:left="1220" w:firstLine="651"/>
        <w:spacing w:after="0" w:line="263" w:lineRule="auto"/>
        <w:tabs>
          <w:tab w:leader="none" w:pos="261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waiting period under the HSR Act, including any extension thereof, applicable to the consummation of the transactions contemplated hereby shall have expired or been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28" w:right="339" w:bottom="1440" w:gutter="0" w:footer="0" w:header="0"/>
        </w:sectPr>
      </w:pPr>
    </w:p>
    <w:bookmarkStart w:id="179" w:name="page180"/>
    <w:bookmarkEnd w:id="179"/>
    <w:p>
      <w:pPr>
        <w:jc w:val="both"/>
        <w:ind w:left="1220" w:firstLine="651"/>
        <w:spacing w:after="0" w:line="250" w:lineRule="auto"/>
        <w:tabs>
          <w:tab w:leader="none" w:pos="24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no Order (whether temporary, preliminary or permanent) which prevents the consummation of the transactions contemplated hereby shall have been issued and remain in effect (without limiting each Party’s obligations in this Agreement, each Party agrees to use its commercially reasonable efforts to have any such Order lifted); and</w:t>
      </w:r>
    </w:p>
    <w:p>
      <w:pPr>
        <w:spacing w:after="0" w:line="187" w:lineRule="exact"/>
        <w:rPr>
          <w:rFonts w:ascii="Arial" w:cs="Arial" w:eastAsia="Arial" w:hAnsi="Arial"/>
          <w:sz w:val="22"/>
          <w:szCs w:val="22"/>
          <w:color w:val="auto"/>
        </w:rPr>
      </w:pPr>
    </w:p>
    <w:p>
      <w:pPr>
        <w:ind w:left="1220" w:firstLine="651"/>
        <w:spacing w:after="0" w:line="263" w:lineRule="auto"/>
        <w:tabs>
          <w:tab w:leader="none" w:pos="248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no Law shall have been enacted which directly or indirectly prohibits the consummation of the transactions contemplated hereby.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Conditions to Buyer’s Closing Obligations</w:t>
      </w:r>
    </w:p>
    <w:p>
      <w:pPr>
        <w:spacing w:after="0" w:line="220" w:lineRule="exact"/>
        <w:rPr>
          <w:sz w:val="20"/>
          <w:szCs w:val="20"/>
          <w:color w:val="auto"/>
        </w:rPr>
      </w:pPr>
    </w:p>
    <w:p>
      <w:pPr>
        <w:ind w:right="20" w:firstLine="8"/>
        <w:spacing w:after="0" w:line="263" w:lineRule="auto"/>
        <w:tabs>
          <w:tab w:leader="none" w:pos="12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obligation of Buyer to effect the transactions contemplated hereby is subject to the fulfillment or waiver by Buyer on or prior to the Closing Date of the following additional conditions:</w:t>
      </w:r>
    </w:p>
    <w:p>
      <w:pPr>
        <w:spacing w:after="0" w:line="174" w:lineRule="exact"/>
        <w:rPr>
          <w:rFonts w:ascii="Arial" w:cs="Arial" w:eastAsia="Arial" w:hAnsi="Arial"/>
          <w:sz w:val="22"/>
          <w:szCs w:val="22"/>
          <w:color w:val="auto"/>
        </w:rPr>
      </w:pPr>
    </w:p>
    <w:p>
      <w:pPr>
        <w:ind w:left="1220" w:firstLine="651"/>
        <w:spacing w:after="0" w:line="263" w:lineRule="auto"/>
        <w:tabs>
          <w:tab w:leader="none" w:pos="2355" w:val="left"/>
        </w:tabs>
        <w:numPr>
          <w:ilvl w:val="1"/>
          <w:numId w:val="164"/>
        </w:numPr>
        <w:rPr>
          <w:rFonts w:ascii="Arial" w:cs="Arial" w:eastAsia="Arial" w:hAnsi="Arial"/>
          <w:sz w:val="22"/>
          <w:szCs w:val="22"/>
          <w:color w:val="auto"/>
        </w:rPr>
      </w:pPr>
      <w:r>
        <w:rPr>
          <w:rFonts w:ascii="Arial" w:cs="Arial" w:eastAsia="Arial" w:hAnsi="Arial"/>
          <w:sz w:val="22"/>
          <w:szCs w:val="22"/>
          <w:color w:val="auto"/>
        </w:rPr>
        <w:t>no change or event shall have occurred since the date hereof that individually or in the aggregate, has had or would have a Material Adverse Effect;</w:t>
      </w:r>
    </w:p>
    <w:p>
      <w:pPr>
        <w:spacing w:after="0" w:line="174" w:lineRule="exact"/>
        <w:rPr>
          <w:rFonts w:ascii="Arial" w:cs="Arial" w:eastAsia="Arial" w:hAnsi="Arial"/>
          <w:sz w:val="22"/>
          <w:szCs w:val="22"/>
          <w:color w:val="auto"/>
        </w:rPr>
      </w:pPr>
    </w:p>
    <w:p>
      <w:pPr>
        <w:jc w:val="both"/>
        <w:ind w:left="1220" w:firstLine="651"/>
        <w:spacing w:after="0" w:line="253" w:lineRule="auto"/>
        <w:tabs>
          <w:tab w:leader="none" w:pos="2444" w:val="left"/>
        </w:tabs>
        <w:numPr>
          <w:ilvl w:val="1"/>
          <w:numId w:val="164"/>
        </w:numPr>
        <w:rPr>
          <w:rFonts w:ascii="Arial" w:cs="Arial" w:eastAsia="Arial" w:hAnsi="Arial"/>
          <w:sz w:val="22"/>
          <w:szCs w:val="22"/>
          <w:color w:val="auto"/>
        </w:rPr>
      </w:pPr>
      <w:r>
        <w:rPr>
          <w:rFonts w:ascii="Arial" w:cs="Arial" w:eastAsia="Arial" w:hAnsi="Arial"/>
          <w:sz w:val="22"/>
          <w:szCs w:val="22"/>
          <w:color w:val="auto"/>
        </w:rPr>
        <w:t>Seller shall have performed and complied in all material respects with the material covenants and agreements contained in this Agreement which are required to be performed and complied with by Seller on or prior to the Closing Date;</w:t>
      </w:r>
    </w:p>
    <w:p>
      <w:pPr>
        <w:spacing w:after="0" w:line="185" w:lineRule="exact"/>
        <w:rPr>
          <w:rFonts w:ascii="Arial" w:cs="Arial" w:eastAsia="Arial" w:hAnsi="Arial"/>
          <w:sz w:val="22"/>
          <w:szCs w:val="22"/>
          <w:color w:val="auto"/>
        </w:rPr>
      </w:pPr>
    </w:p>
    <w:p>
      <w:pPr>
        <w:jc w:val="both"/>
        <w:ind w:left="1220" w:firstLine="651"/>
        <w:spacing w:after="0" w:line="258" w:lineRule="auto"/>
        <w:tabs>
          <w:tab w:leader="none" w:pos="2367" w:val="left"/>
        </w:tabs>
        <w:numPr>
          <w:ilvl w:val="1"/>
          <w:numId w:val="164"/>
        </w:numPr>
        <w:rPr>
          <w:rFonts w:ascii="Arial" w:cs="Arial" w:eastAsia="Arial" w:hAnsi="Arial"/>
          <w:sz w:val="21"/>
          <w:szCs w:val="21"/>
          <w:color w:val="auto"/>
        </w:rPr>
      </w:pPr>
      <w:r>
        <w:rPr>
          <w:rFonts w:ascii="Arial" w:cs="Arial" w:eastAsia="Arial" w:hAnsi="Arial"/>
          <w:sz w:val="21"/>
          <w:szCs w:val="21"/>
          <w:color w:val="auto"/>
        </w:rPr>
        <w:t xml:space="preserve">(i) The Seller Fundamental Representations shall be true and correct in all material respects as of the date of this Agreement and as of the Effective Time (except to the extent that any such representation or warranty speaks as of a particular date, in which case such representation and warranty will be true and correct only as of such date) and (ii) all other representations and warranties of Seller set forth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this Agreement shall be true and correct (disregarding any materiality or Material Adverse Effect qualifications therein), as of the date of this Agreement and as of the Effective Time as though made at and as of the Effective Time (except to the extent that any such representation or warranty speaks as of a particular date, in which case such representation and warranty will be true and correct only as of such date), except for any failure or failures of such representations or warranties to be true and correct that would not, individually or in the aggregate, result in a Material Adverse Effect;</w:t>
      </w:r>
    </w:p>
    <w:p>
      <w:pPr>
        <w:spacing w:after="0" w:line="185" w:lineRule="exact"/>
        <w:rPr>
          <w:rFonts w:ascii="Arial" w:cs="Arial" w:eastAsia="Arial" w:hAnsi="Arial"/>
          <w:sz w:val="21"/>
          <w:szCs w:val="21"/>
          <w:color w:val="auto"/>
        </w:rPr>
      </w:pPr>
    </w:p>
    <w:p>
      <w:pPr>
        <w:jc w:val="both"/>
        <w:ind w:left="1220" w:firstLine="651"/>
        <w:spacing w:after="0" w:line="253" w:lineRule="auto"/>
        <w:tabs>
          <w:tab w:leader="none" w:pos="2341" w:val="left"/>
        </w:tabs>
        <w:numPr>
          <w:ilvl w:val="1"/>
          <w:numId w:val="164"/>
        </w:numPr>
        <w:rPr>
          <w:rFonts w:ascii="Arial" w:cs="Arial" w:eastAsia="Arial" w:hAnsi="Arial"/>
          <w:sz w:val="22"/>
          <w:szCs w:val="22"/>
          <w:color w:val="auto"/>
        </w:rPr>
      </w:pPr>
      <w:r>
        <w:rPr>
          <w:rFonts w:ascii="Arial" w:cs="Arial" w:eastAsia="Arial" w:hAnsi="Arial"/>
          <w:sz w:val="22"/>
          <w:szCs w:val="22"/>
          <w:color w:val="auto"/>
        </w:rPr>
        <w:t xml:space="preserve">Buyer shall have received a certificate from Seller, signed on its behalf by a senior executive officer of Seller and dated the Closing Date, to the effect that the conditions set forth in </w:t>
      </w:r>
      <w:r>
        <w:rPr>
          <w:rFonts w:ascii="Arial" w:cs="Arial" w:eastAsia="Arial" w:hAnsi="Arial"/>
          <w:sz w:val="22"/>
          <w:szCs w:val="22"/>
          <w:u w:val="single" w:color="auto"/>
          <w:color w:val="auto"/>
        </w:rPr>
        <w:t>Section 8.2(b)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8.2(c)</w:t>
      </w:r>
      <w:r>
        <w:rPr>
          <w:rFonts w:ascii="Arial" w:cs="Arial" w:eastAsia="Arial" w:hAnsi="Arial"/>
          <w:sz w:val="22"/>
          <w:szCs w:val="22"/>
          <w:color w:val="auto"/>
        </w:rPr>
        <w:t xml:space="preserve"> have been satisfied;</w:t>
      </w:r>
    </w:p>
    <w:p>
      <w:pPr>
        <w:spacing w:after="0" w:line="185" w:lineRule="exact"/>
        <w:rPr>
          <w:rFonts w:ascii="Arial" w:cs="Arial" w:eastAsia="Arial" w:hAnsi="Arial"/>
          <w:sz w:val="22"/>
          <w:szCs w:val="22"/>
          <w:color w:val="auto"/>
        </w:rPr>
      </w:pPr>
    </w:p>
    <w:p>
      <w:pPr>
        <w:jc w:val="both"/>
        <w:ind w:left="1220" w:firstLine="651"/>
        <w:spacing w:after="0" w:line="253" w:lineRule="auto"/>
        <w:tabs>
          <w:tab w:leader="none" w:pos="2345" w:val="left"/>
        </w:tabs>
        <w:numPr>
          <w:ilvl w:val="1"/>
          <w:numId w:val="164"/>
        </w:numPr>
        <w:rPr>
          <w:rFonts w:ascii="Arial" w:cs="Arial" w:eastAsia="Arial" w:hAnsi="Arial"/>
          <w:sz w:val="22"/>
          <w:szCs w:val="22"/>
          <w:color w:val="auto"/>
        </w:rPr>
      </w:pPr>
      <w:r>
        <w:rPr>
          <w:rFonts w:ascii="Arial" w:cs="Arial" w:eastAsia="Arial" w:hAnsi="Arial"/>
          <w:sz w:val="22"/>
          <w:szCs w:val="22"/>
          <w:color w:val="auto"/>
        </w:rPr>
        <w:t xml:space="preserve">with the exception of the FERC capacity release waiver order which instead will be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8.2(i)</w:t>
      </w:r>
      <w:r>
        <w:rPr>
          <w:rFonts w:ascii="Arial" w:cs="Arial" w:eastAsia="Arial" w:hAnsi="Arial"/>
          <w:sz w:val="22"/>
          <w:szCs w:val="22"/>
          <w:color w:val="auto"/>
        </w:rPr>
        <w:t xml:space="preserve"> below, the Required Regulatory Approvals shall have been obtained and shall have become Final Regulatory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8" w:right="339" w:bottom="1440" w:gutter="0" w:footer="0" w:header="0"/>
        </w:sectPr>
      </w:pPr>
    </w:p>
    <w:bookmarkStart w:id="180" w:name="page181"/>
    <w:bookmarkEnd w:id="180"/>
    <w:p>
      <w:pPr>
        <w:jc w:val="both"/>
        <w:ind w:left="1220" w:firstLine="651"/>
        <w:spacing w:after="0" w:line="248" w:lineRule="auto"/>
        <w:tabs>
          <w:tab w:leader="none" w:pos="232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except as would not, individually or in the aggregate, result in a Material Adverse Effect or a material adverse effect on Buyer and its Affiliates (taken as a whole and deemed to be a consolidated group of entities of the size and scale of a hypothetical company that is the same size of the Business), all consents and approvals of third parties (other than the Required Regulatory Approvals) required in connection with the consummation of the transactions contemplated hereby shall have been obtained;</w:t>
      </w:r>
    </w:p>
    <w:p>
      <w:pPr>
        <w:spacing w:after="0" w:line="191" w:lineRule="exact"/>
        <w:rPr>
          <w:rFonts w:ascii="Arial" w:cs="Arial" w:eastAsia="Arial" w:hAnsi="Arial"/>
          <w:sz w:val="22"/>
          <w:szCs w:val="22"/>
          <w:color w:val="auto"/>
        </w:rPr>
      </w:pPr>
    </w:p>
    <w:p>
      <w:pPr>
        <w:ind w:left="2340" w:hanging="469"/>
        <w:spacing w:after="0"/>
        <w:tabs>
          <w:tab w:leader="none" w:pos="234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Seller shall have obtained consents and approvals of third parties listed on </w:t>
      </w:r>
      <w:r>
        <w:rPr>
          <w:rFonts w:ascii="Arial" w:cs="Arial" w:eastAsia="Arial" w:hAnsi="Arial"/>
          <w:sz w:val="21"/>
          <w:szCs w:val="21"/>
          <w:u w:val="single" w:color="auto"/>
          <w:color w:val="auto"/>
        </w:rPr>
        <w:t>Schedule 8.2(g)</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left="2340" w:hanging="469"/>
        <w:spacing w:after="0"/>
        <w:tabs>
          <w:tab w:leader="none" w:pos="234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Buyer shall have received the other items to be delivered pursuant to </w:t>
      </w:r>
      <w:r>
        <w:rPr>
          <w:rFonts w:ascii="Arial" w:cs="Arial" w:eastAsia="Arial" w:hAnsi="Arial"/>
          <w:sz w:val="22"/>
          <w:szCs w:val="22"/>
          <w:u w:val="single" w:color="auto"/>
          <w:color w:val="auto"/>
        </w:rPr>
        <w:t>Section 4.3</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jc w:val="both"/>
        <w:ind w:left="1220" w:firstLine="651"/>
        <w:spacing w:after="0" w:line="297" w:lineRule="auto"/>
        <w:tabs>
          <w:tab w:leader="none" w:pos="229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 FERC order granting waivers permitting the permanent release or assignment of interstate natural gas transportation and storage capacity service agreements to Buyer shall have been obtained prior to the Closing and shall have become a Final Regulatory Order, or, if such order granting a waiver is not obtained prior to the Closing, the Parties shall have on substantially the same economic basis otherwise ensured that the capacity to which Seller is currently entitled is preserved through the transaction for the benefit of Buyer or its Affiliates.</w:t>
      </w:r>
    </w:p>
    <w:p>
      <w:pPr>
        <w:spacing w:after="0" w:line="147"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Conditions to Seller’s Closing Obligations</w:t>
      </w:r>
      <w:r>
        <w:rPr>
          <w:rFonts w:ascii="Arial" w:cs="Arial" w:eastAsia="Arial" w:hAnsi="Arial"/>
          <w:sz w:val="19"/>
          <w:szCs w:val="19"/>
          <w:color w:val="auto"/>
        </w:rPr>
        <w:t>. The obligation of Seller to effect the transactions contemplated hereby is subject to the fulfillment or waiver by Seller on or prior to the Closing Date of the following additional conditions:</w:t>
      </w:r>
    </w:p>
    <w:p>
      <w:pPr>
        <w:spacing w:after="0" w:line="104" w:lineRule="exact"/>
        <w:rPr>
          <w:sz w:val="20"/>
          <w:szCs w:val="20"/>
          <w:color w:val="auto"/>
        </w:rPr>
      </w:pPr>
    </w:p>
    <w:p>
      <w:pPr>
        <w:jc w:val="both"/>
        <w:ind w:left="1220" w:firstLine="651"/>
        <w:spacing w:after="0" w:line="253" w:lineRule="auto"/>
        <w:tabs>
          <w:tab w:leader="none" w:pos="242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Buyer shall have performed and complied in all material respects with the material covenants and agreements contained in this Agreement which are required to be performed and complied with by Buyer on or prior to the Closing Date;</w:t>
      </w:r>
    </w:p>
    <w:p>
      <w:pPr>
        <w:spacing w:after="0" w:line="185" w:lineRule="exact"/>
        <w:rPr>
          <w:rFonts w:ascii="Arial" w:cs="Arial" w:eastAsia="Arial" w:hAnsi="Arial"/>
          <w:sz w:val="22"/>
          <w:szCs w:val="22"/>
          <w:color w:val="auto"/>
        </w:rPr>
      </w:pPr>
    </w:p>
    <w:p>
      <w:pPr>
        <w:jc w:val="both"/>
        <w:ind w:left="1220" w:firstLine="651"/>
        <w:spacing w:after="0" w:line="259" w:lineRule="auto"/>
        <w:tabs>
          <w:tab w:leader="none" w:pos="2394"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Buyer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shall be true and correct (without giving effect to any limitation as to materiality or Material Adverse Effect set forth therein) as of the date of this Agreement and as of the Effective Time as though made at and as of the Effective Time (except to the extent that any such representation or warranty speaks as of a particular date, in which case such representation and warranty will be true and correct only as of such date), except for any failure or failures of such representations and warranties to be true and correct that do not, individually or in the aggregate, cause such representations and warranties of Buyer to be materially inaccurate taken as a whole or have a material adverse effect on the ability of Buyer to perform its obligations under this Agreement or consummate the transactions contemplated hereby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8" w:right="339" w:bottom="1440" w:gutter="0" w:footer="0" w:header="0"/>
        </w:sectPr>
      </w:pPr>
    </w:p>
    <w:bookmarkStart w:id="181" w:name="page182"/>
    <w:bookmarkEnd w:id="181"/>
    <w:p>
      <w:pPr>
        <w:jc w:val="both"/>
        <w:ind w:left="560" w:firstLine="651"/>
        <w:spacing w:after="0" w:line="253" w:lineRule="auto"/>
        <w:tabs>
          <w:tab w:leader="none" w:pos="167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Seller shall have received a certificate from Buyer, signed on its behalf by a senior executive officer of Buyer and dated the Closing Date, to the effect that the conditions set forth in </w:t>
      </w:r>
      <w:r>
        <w:rPr>
          <w:rFonts w:ascii="Arial" w:cs="Arial" w:eastAsia="Arial" w:hAnsi="Arial"/>
          <w:sz w:val="22"/>
          <w:szCs w:val="22"/>
          <w:u w:val="single" w:color="auto"/>
          <w:color w:val="auto"/>
        </w:rPr>
        <w:t>Section 8.3(a)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8.3(b)</w:t>
      </w:r>
      <w:r>
        <w:rPr>
          <w:rFonts w:ascii="Arial" w:cs="Arial" w:eastAsia="Arial" w:hAnsi="Arial"/>
          <w:sz w:val="22"/>
          <w:szCs w:val="22"/>
          <w:color w:val="auto"/>
        </w:rPr>
        <w:t xml:space="preserve"> have been satisfied;</w:t>
      </w:r>
    </w:p>
    <w:p>
      <w:pPr>
        <w:spacing w:after="0" w:line="185" w:lineRule="exact"/>
        <w:rPr>
          <w:rFonts w:ascii="Arial" w:cs="Arial" w:eastAsia="Arial" w:hAnsi="Arial"/>
          <w:sz w:val="22"/>
          <w:szCs w:val="22"/>
          <w:color w:val="auto"/>
        </w:rPr>
      </w:pPr>
    </w:p>
    <w:p>
      <w:pPr>
        <w:jc w:val="both"/>
        <w:ind w:left="560" w:firstLine="651"/>
        <w:spacing w:after="0" w:line="312" w:lineRule="auto"/>
        <w:tabs>
          <w:tab w:leader="none" w:pos="169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with the exception of the FERC capacity release waiver order which instead will be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8.3(g)</w:t>
      </w:r>
      <w:r>
        <w:rPr>
          <w:rFonts w:ascii="Arial" w:cs="Arial" w:eastAsia="Arial" w:hAnsi="Arial"/>
          <w:sz w:val="19"/>
          <w:szCs w:val="19"/>
          <w:color w:val="auto"/>
        </w:rPr>
        <w:t xml:space="preserve"> below, the Required Regulatory Approvals shall have been obtained and shall have become Final Regulatory Orders, and shall not or would not result in a material adverse effect on Seller and its Affiliates, taken as a whole;</w:t>
      </w:r>
    </w:p>
    <w:p>
      <w:pPr>
        <w:spacing w:after="0" w:line="133" w:lineRule="exact"/>
        <w:rPr>
          <w:rFonts w:ascii="Arial" w:cs="Arial" w:eastAsia="Arial" w:hAnsi="Arial"/>
          <w:sz w:val="19"/>
          <w:szCs w:val="19"/>
          <w:color w:val="auto"/>
        </w:rPr>
      </w:pPr>
    </w:p>
    <w:p>
      <w:pPr>
        <w:jc w:val="both"/>
        <w:ind w:left="560" w:firstLine="651"/>
        <w:spacing w:after="0" w:line="250" w:lineRule="auto"/>
        <w:tabs>
          <w:tab w:leader="none" w:pos="169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except as would not be reasonably expected to, in the aggregate, result in a material adverse effect on Seller and its Affiliates, taken as a whole, all consents and approvals of third parties (other than the Required Regulatory Approvals) required in connection with the consummation of the transactions contemplated hereby shall have been obtained;</w:t>
      </w:r>
    </w:p>
    <w:p>
      <w:pPr>
        <w:spacing w:after="0" w:line="187" w:lineRule="exact"/>
        <w:rPr>
          <w:rFonts w:ascii="Arial" w:cs="Arial" w:eastAsia="Arial" w:hAnsi="Arial"/>
          <w:sz w:val="22"/>
          <w:szCs w:val="22"/>
          <w:color w:val="auto"/>
        </w:rPr>
      </w:pPr>
    </w:p>
    <w:p>
      <w:pPr>
        <w:ind w:left="1640" w:hanging="429"/>
        <w:spacing w:after="0"/>
        <w:tabs>
          <w:tab w:leader="none" w:pos="16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Seller shall have received the other items to be delivered pursuant to </w:t>
      </w:r>
      <w:r>
        <w:rPr>
          <w:rFonts w:ascii="Arial" w:cs="Arial" w:eastAsia="Arial" w:hAnsi="Arial"/>
          <w:sz w:val="22"/>
          <w:szCs w:val="22"/>
          <w:u w:val="single" w:color="auto"/>
          <w:color w:val="auto"/>
        </w:rPr>
        <w:t>Section 4.4</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jc w:val="both"/>
        <w:ind w:left="560" w:firstLine="651"/>
        <w:spacing w:after="0" w:line="297" w:lineRule="auto"/>
        <w:tabs>
          <w:tab w:leader="none" w:pos="1749"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 FERC order granting waivers permitting the permanent release or assignment of interstate natural gas transportation and storage capacity service agreements to Buyer shall have been obtained prior to the Closing and shall have become a Final Regulatory Order, or, if such order granting a waiver is not obtained prior to the Closing, the Parties shall have on substantially the same economic basis otherwise ensured that the capacity to which Seller is currently entitled is preserved through the transaction for the benefit of Buyer or its Affiliates.</w:t>
      </w:r>
    </w:p>
    <w:p>
      <w:pPr>
        <w:spacing w:after="0" w:line="141"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SURVIVAL, TERMINATION AND OTHER REMEDIES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Survival</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53" w:lineRule="auto"/>
        <w:tabs>
          <w:tab w:leader="none" w:pos="169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of Seller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of this Agreement will terminate and expire as of the earlier of the Closing or the time of termination of this Agreement. The Parties intend to shorten the statute of limitations by specifying the survival periods in this Agreement.</w:t>
      </w:r>
    </w:p>
    <w:p>
      <w:pPr>
        <w:spacing w:after="0" w:line="185" w:lineRule="exact"/>
        <w:rPr>
          <w:rFonts w:ascii="Arial" w:cs="Arial" w:eastAsia="Arial" w:hAnsi="Arial"/>
          <w:sz w:val="22"/>
          <w:szCs w:val="22"/>
          <w:color w:val="auto"/>
        </w:rPr>
      </w:pPr>
    </w:p>
    <w:p>
      <w:pPr>
        <w:jc w:val="both"/>
        <w:ind w:left="560" w:firstLine="651"/>
        <w:spacing w:after="0" w:line="297" w:lineRule="auto"/>
        <w:tabs>
          <w:tab w:leader="none" w:pos="172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The covenants and agreements of the Parties in this Agreement to be performed prior to the Closing will terminate and expire as of the Closing Date.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will not limit any covenant or agreement in this Agreement which contemplates performance after the Closing;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covenants and agreements in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will survive the Closing until 60 days after the applicable statute of limitations and the other covenants and agreements will survive the Closing until the earlier of discharge or satisfaction of the covenant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0580"/>
          </w:cols>
          <w:pgMar w:left="980" w:top="1428" w:right="339" w:bottom="1440" w:gutter="0" w:footer="0" w:header="0"/>
        </w:sectPr>
      </w:pPr>
    </w:p>
    <w:bookmarkStart w:id="182" w:name="page183"/>
    <w:bookmarkEnd w:id="182"/>
    <w:p>
      <w:pPr>
        <w:jc w:val="both"/>
        <w:ind w:left="560"/>
        <w:spacing w:after="0" w:line="297" w:lineRule="auto"/>
        <w:rPr>
          <w:sz w:val="20"/>
          <w:szCs w:val="20"/>
          <w:color w:val="auto"/>
        </w:rPr>
      </w:pPr>
      <w:r>
        <w:rPr>
          <w:rFonts w:ascii="Arial" w:cs="Arial" w:eastAsia="Arial" w:hAnsi="Arial"/>
          <w:sz w:val="19"/>
          <w:szCs w:val="19"/>
          <w:color w:val="auto"/>
        </w:rPr>
        <w:t xml:space="preserve">agreement. In no event shall Seller’s aggregate liability arising out of or relating to any covenant or agreement in this Agreement exceed an amount equal to ten (10) percent of the Purchase Price, and in no event shall Buyer’s aggregate liability arising out of or relating to any covenant or agreement in this Agreement exceed the amount of the Purchase Price. Notwithstanding anything contained herein to the contrary,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shall not limit or otherwise affect the Parties’ rights pursuant to </w:t>
      </w:r>
      <w:r>
        <w:rPr>
          <w:rFonts w:ascii="Arial" w:cs="Arial" w:eastAsia="Arial" w:hAnsi="Arial"/>
          <w:sz w:val="19"/>
          <w:szCs w:val="19"/>
          <w:u w:val="single" w:color="auto"/>
          <w:color w:val="auto"/>
        </w:rPr>
        <w:t>Section 7.17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9.3(b)</w:t>
      </w:r>
      <w:r>
        <w:rPr>
          <w:rFonts w:ascii="Arial" w:cs="Arial" w:eastAsia="Arial" w:hAnsi="Arial"/>
          <w:sz w:val="19"/>
          <w:szCs w:val="19"/>
          <w:color w:val="auto"/>
        </w:rPr>
        <w:t>.</w:t>
      </w:r>
    </w:p>
    <w:p>
      <w:pPr>
        <w:spacing w:after="0" w:line="147" w:lineRule="exact"/>
        <w:rPr>
          <w:sz w:val="20"/>
          <w:szCs w:val="20"/>
          <w:color w:val="auto"/>
        </w:rPr>
      </w:pPr>
    </w:p>
    <w:p>
      <w:pPr>
        <w:jc w:val="both"/>
        <w:ind w:left="560" w:firstLine="651"/>
        <w:spacing w:after="0" w:line="289" w:lineRule="auto"/>
        <w:tabs>
          <w:tab w:leader="none" w:pos="170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Except to the extent arising from or related to actual fraud and subject to </w:t>
      </w:r>
      <w:r>
        <w:rPr>
          <w:rFonts w:ascii="Arial" w:cs="Arial" w:eastAsia="Arial" w:hAnsi="Arial"/>
          <w:sz w:val="19"/>
          <w:szCs w:val="19"/>
          <w:u w:val="single" w:color="auto"/>
          <w:color w:val="auto"/>
        </w:rPr>
        <w:t>Section 7.17</w:t>
      </w:r>
      <w:r>
        <w:rPr>
          <w:rFonts w:ascii="Arial" w:cs="Arial" w:eastAsia="Arial" w:hAnsi="Arial"/>
          <w:sz w:val="19"/>
          <w:szCs w:val="19"/>
          <w:color w:val="auto"/>
        </w:rPr>
        <w:t xml:space="preserve"> and claims for injunctive, specific performance or other similar equitable remedies pursuant to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the rights provided under the Insurance Policy will be Buyer’s sole recourse (even in the event the Insurance Policy is never issued by an insurer, the Insurance Policy is revoked, cancelled or modified in any manner after issuance for any reason, a claim is denied in whole or in part by any insurer under the Insurance Policy or coverage is unavailable under the Insurance Policy for any reason, including due to exclusions from coverage thereunder), and Seller will have no liability, for any breach of any representation or warranty contained in this Agreement. Nothing in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will in any way be deemed to limit or modify any rights of Buyer or its Affiliates under the Insurance Policy or inhibit Buyer from obtaining any remedies it may have against any insurer under the Insurance Policy.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20" w:lineRule="exact"/>
        <w:rPr>
          <w:sz w:val="20"/>
          <w:szCs w:val="20"/>
          <w:color w:val="auto"/>
        </w:rPr>
      </w:pPr>
    </w:p>
    <w:p>
      <w:pPr>
        <w:ind w:left="560" w:right="20" w:firstLine="651"/>
        <w:spacing w:after="0" w:line="263" w:lineRule="auto"/>
        <w:tabs>
          <w:tab w:leader="none" w:pos="1678"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This Agreement may be terminated at any time prior to the Closing Date by mutual written consent of Seller and Buyer.</w:t>
      </w:r>
    </w:p>
    <w:p>
      <w:pPr>
        <w:spacing w:after="0" w:line="174" w:lineRule="exact"/>
        <w:rPr>
          <w:rFonts w:ascii="Arial" w:cs="Arial" w:eastAsia="Arial" w:hAnsi="Arial"/>
          <w:sz w:val="22"/>
          <w:szCs w:val="22"/>
          <w:color w:val="auto"/>
        </w:rPr>
      </w:pPr>
    </w:p>
    <w:p>
      <w:pPr>
        <w:jc w:val="both"/>
        <w:ind w:left="560" w:firstLine="651"/>
        <w:spacing w:after="0" w:line="259" w:lineRule="auto"/>
        <w:tabs>
          <w:tab w:leader="none" w:pos="1692" w:val="left"/>
        </w:tabs>
        <w:numPr>
          <w:ilvl w:val="1"/>
          <w:numId w:val="170"/>
        </w:numPr>
        <w:rPr>
          <w:rFonts w:ascii="Arial" w:cs="Arial" w:eastAsia="Arial" w:hAnsi="Arial"/>
          <w:sz w:val="21"/>
          <w:szCs w:val="21"/>
          <w:color w:val="auto"/>
        </w:rPr>
      </w:pPr>
      <w:r>
        <w:rPr>
          <w:rFonts w:ascii="Arial" w:cs="Arial" w:eastAsia="Arial" w:hAnsi="Arial"/>
          <w:sz w:val="21"/>
          <w:szCs w:val="21"/>
          <w:color w:val="auto"/>
        </w:rPr>
        <w:t>This Agreement may be terminated by Seller or Buyer if the Closing has not occurred on or before 12 months following the date of this Agreement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right to terminate this Agreement under this </w:t>
      </w:r>
      <w:r>
        <w:rPr>
          <w:rFonts w:ascii="Arial" w:cs="Arial" w:eastAsia="Arial" w:hAnsi="Arial"/>
          <w:sz w:val="21"/>
          <w:szCs w:val="21"/>
          <w:u w:val="single" w:color="auto"/>
          <w:color w:val="auto"/>
        </w:rPr>
        <w:t>Section 9.2(b)</w:t>
      </w:r>
      <w:r>
        <w:rPr>
          <w:rFonts w:ascii="Arial" w:cs="Arial" w:eastAsia="Arial" w:hAnsi="Arial"/>
          <w:sz w:val="21"/>
          <w:szCs w:val="21"/>
          <w:color w:val="auto"/>
        </w:rPr>
        <w:t xml:space="preserve"> will not be available to a Party whose failure to fulfill any obligation under this Agreement has been the cause of, or resulted in, the failure of the Closing to occur on or before the Termination Date. Notwithstanding the foregoing, (i) if 12 months following the date of this Agreement the conditions to the Closing set forth in </w:t>
      </w:r>
      <w:r>
        <w:rPr>
          <w:rFonts w:ascii="Arial" w:cs="Arial" w:eastAsia="Arial" w:hAnsi="Arial"/>
          <w:sz w:val="21"/>
          <w:szCs w:val="21"/>
          <w:u w:val="single" w:color="auto"/>
          <w:color w:val="auto"/>
        </w:rPr>
        <w:t>Section 8.2(e)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8.3(d)</w:t>
      </w:r>
      <w:r>
        <w:rPr>
          <w:rFonts w:ascii="Arial" w:cs="Arial" w:eastAsia="Arial" w:hAnsi="Arial"/>
          <w:sz w:val="21"/>
          <w:szCs w:val="21"/>
          <w:color w:val="auto"/>
        </w:rPr>
        <w:t xml:space="preserve"> have not been fulfilled, but all other conditions to the Closing have been fulfilled or are capable of being fulfilled at the Closing, then the Termination Date will be the day which is 15 months following the date of this Agreement.</w:t>
      </w:r>
    </w:p>
    <w:p>
      <w:pPr>
        <w:spacing w:after="0" w:line="183" w:lineRule="exact"/>
        <w:rPr>
          <w:rFonts w:ascii="Arial" w:cs="Arial" w:eastAsia="Arial" w:hAnsi="Arial"/>
          <w:sz w:val="21"/>
          <w:szCs w:val="21"/>
          <w:color w:val="auto"/>
        </w:rPr>
      </w:pPr>
    </w:p>
    <w:p>
      <w:pPr>
        <w:jc w:val="both"/>
        <w:ind w:left="560" w:firstLine="651"/>
        <w:spacing w:after="0" w:line="291" w:lineRule="auto"/>
        <w:tabs>
          <w:tab w:leader="none" w:pos="1685"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This Agreement may be terminated by either Seller or Buyer if (i) any Required Regulatory Approval has been denied by the applicable Governmental Entity and such denial has become final and non-appealable, or</w:t>
      </w:r>
    </w:p>
    <w:p>
      <w:pPr>
        <w:spacing w:after="0" w:line="1" w:lineRule="exact"/>
        <w:rPr>
          <w:rFonts w:ascii="Arial" w:cs="Arial" w:eastAsia="Arial" w:hAnsi="Arial"/>
          <w:sz w:val="19"/>
          <w:szCs w:val="19"/>
          <w:color w:val="auto"/>
        </w:rPr>
      </w:pPr>
    </w:p>
    <w:p>
      <w:pPr>
        <w:jc w:val="both"/>
        <w:ind w:left="560" w:firstLine="3"/>
        <w:spacing w:after="0" w:line="302" w:lineRule="auto"/>
        <w:tabs>
          <w:tab w:leader="none" w:pos="88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one or more courts of competent jurisdiction in the United States or any State has issued an Order permanently restraining, enjoining, or otherwise prohibiting the Closing, and such Order has become final and non-appealable;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right to terminate this Agreement under this </w:t>
      </w:r>
      <w:r>
        <w:rPr>
          <w:rFonts w:ascii="Arial" w:cs="Arial" w:eastAsia="Arial" w:hAnsi="Arial"/>
          <w:sz w:val="19"/>
          <w:szCs w:val="19"/>
          <w:u w:val="single" w:color="auto"/>
          <w:color w:val="auto"/>
        </w:rPr>
        <w:t>Section 9.2(c)</w:t>
      </w:r>
      <w:r>
        <w:rPr>
          <w:rFonts w:ascii="Arial" w:cs="Arial" w:eastAsia="Arial" w:hAnsi="Arial"/>
          <w:sz w:val="19"/>
          <w:szCs w:val="19"/>
          <w:color w:val="auto"/>
        </w:rPr>
        <w:t xml:space="preserve">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0580"/>
          </w:cols>
          <w:pgMar w:left="980" w:top="1428" w:right="339" w:bottom="1440" w:gutter="0" w:footer="0" w:header="0"/>
        </w:sectPr>
      </w:pPr>
    </w:p>
    <w:bookmarkStart w:id="183" w:name="page184"/>
    <w:bookmarkEnd w:id="183"/>
    <w:p>
      <w:pPr>
        <w:ind w:left="560"/>
        <w:spacing w:after="0" w:line="263" w:lineRule="auto"/>
        <w:rPr>
          <w:sz w:val="20"/>
          <w:szCs w:val="20"/>
          <w:color w:val="auto"/>
        </w:rPr>
      </w:pPr>
      <w:r>
        <w:rPr>
          <w:rFonts w:ascii="Arial" w:cs="Arial" w:eastAsia="Arial" w:hAnsi="Arial"/>
          <w:sz w:val="22"/>
          <w:szCs w:val="22"/>
          <w:color w:val="auto"/>
        </w:rPr>
        <w:t xml:space="preserve">available to any Party if the denial, restraining, enjoining or other action described in (i) or (ii) hereof is the result of a failure of such Party to comply with its obligations pursuant to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175" w:lineRule="exact"/>
        <w:rPr>
          <w:sz w:val="20"/>
          <w:szCs w:val="20"/>
          <w:color w:val="auto"/>
        </w:rPr>
      </w:pPr>
    </w:p>
    <w:p>
      <w:pPr>
        <w:jc w:val="both"/>
        <w:ind w:left="560" w:firstLine="651"/>
        <w:spacing w:after="0" w:line="248" w:lineRule="auto"/>
        <w:tabs>
          <w:tab w:leader="none" w:pos="193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This Agreement may be terminated by Buyer if there has been a breach by Seller of any representation, warranty, or covenant made by it in this Agreement which has prevented the satisfaction of any condition to the obligations of Buyer to effect the Closing and such breach has not been cured by Seller or waived by Buyer within 20 Business Days after all other conditions to the Closing have been satisfied or are capable of being satisfied.</w:t>
      </w:r>
    </w:p>
    <w:p>
      <w:pPr>
        <w:spacing w:after="0" w:line="191" w:lineRule="exact"/>
        <w:rPr>
          <w:rFonts w:ascii="Arial" w:cs="Arial" w:eastAsia="Arial" w:hAnsi="Arial"/>
          <w:sz w:val="22"/>
          <w:szCs w:val="22"/>
          <w:color w:val="auto"/>
        </w:rPr>
      </w:pPr>
    </w:p>
    <w:p>
      <w:pPr>
        <w:jc w:val="both"/>
        <w:ind w:left="560" w:firstLine="651"/>
        <w:spacing w:after="0" w:line="248" w:lineRule="auto"/>
        <w:tabs>
          <w:tab w:leader="none" w:pos="192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This Agreement may be terminated by Seller if there has been a breach by Buyer of any representation, warranty, or covenant made by it in this Agreement which has prevented the satisfaction of any condition to the obligations of Seller to effect the Closing and such breach has not been cured by Buyer or waived by Seller within 20 Business Days after all other conditions to Closing have been satisfied or are capable of being satisfied.</w:t>
      </w:r>
    </w:p>
    <w:p>
      <w:pPr>
        <w:spacing w:after="0" w:line="191" w:lineRule="exact"/>
        <w:rPr>
          <w:rFonts w:ascii="Arial" w:cs="Arial" w:eastAsia="Arial" w:hAnsi="Arial"/>
          <w:sz w:val="22"/>
          <w:szCs w:val="22"/>
          <w:color w:val="auto"/>
        </w:rPr>
      </w:pPr>
    </w:p>
    <w:p>
      <w:pPr>
        <w:jc w:val="both"/>
        <w:ind w:left="560" w:firstLine="651"/>
        <w:spacing w:after="0" w:line="259" w:lineRule="auto"/>
        <w:tabs>
          <w:tab w:leader="none" w:pos="1662" w:val="left"/>
        </w:tabs>
        <w:numPr>
          <w:ilvl w:val="0"/>
          <w:numId w:val="172"/>
        </w:numPr>
        <w:rPr>
          <w:rFonts w:ascii="Arial" w:cs="Arial" w:eastAsia="Arial" w:hAnsi="Arial"/>
          <w:sz w:val="21"/>
          <w:szCs w:val="21"/>
          <w:color w:val="auto"/>
        </w:rPr>
      </w:pPr>
      <w:r>
        <w:rPr>
          <w:rFonts w:ascii="Arial" w:cs="Arial" w:eastAsia="Arial" w:hAnsi="Arial"/>
          <w:sz w:val="21"/>
          <w:szCs w:val="21"/>
          <w:color w:val="auto"/>
        </w:rPr>
        <w:t xml:space="preserve">This Agreement may be terminated by Seller, if (i) all applicable conditions to the Closing set forth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have been satisfied or waived (except for those conditions that by their nature are to be satisfied at the Closing, which conditions would be capable of being satisfied if the Closing Date were the date of such termination), (ii) Seller delivers to Buyer an irrevocable written notice on or after the date that the Closing is required to occur pursuant to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and Seller is ready, willing and able to proceed with the Closing in accordance with this Agreement and (iii) within three Business Days after Seller’s delivery of such notice to Buyer (or, if sooner, the Termination Date), Buyer fails to consummate the Closing (including delivering the Closing Payment Amount in accordance with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Procedure; Effect of Termination</w:t>
      </w:r>
      <w:r>
        <w:rPr>
          <w:rFonts w:ascii="Arial" w:cs="Arial" w:eastAsia="Arial" w:hAnsi="Arial"/>
          <w:sz w:val="22"/>
          <w:szCs w:val="22"/>
          <w:color w:val="auto"/>
        </w:rPr>
        <w:t>.</w:t>
      </w:r>
    </w:p>
    <w:p>
      <w:pPr>
        <w:spacing w:after="0" w:line="220" w:lineRule="exact"/>
        <w:rPr>
          <w:sz w:val="20"/>
          <w:szCs w:val="20"/>
          <w:color w:val="auto"/>
        </w:rPr>
      </w:pPr>
    </w:p>
    <w:p>
      <w:pPr>
        <w:jc w:val="both"/>
        <w:ind w:left="560" w:firstLine="651"/>
        <w:spacing w:after="0" w:line="248" w:lineRule="auto"/>
        <w:tabs>
          <w:tab w:leader="none" w:pos="183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In the event that a Party having the right to terminate this Agreement desires to terminate this Agreement, such Party shall give the other Party written notice of such termination, specifying the basis for such termination, and this Agreement will terminate and the transactions contemplated hereby will be abandoned, without further action by either Party, whereupon the liabilities of the Parties hereunder will terminate, except as otherwise expressly provided in this </w:t>
      </w:r>
      <w:r>
        <w:rPr>
          <w:rFonts w:ascii="Arial" w:cs="Arial" w:eastAsia="Arial" w:hAnsi="Arial"/>
          <w:sz w:val="22"/>
          <w:szCs w:val="22"/>
          <w:u w:val="single" w:color="auto"/>
          <w:color w:val="auto"/>
        </w:rPr>
        <w:t>Section 9.3</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left="560" w:firstLine="651"/>
        <w:spacing w:after="0" w:line="248" w:lineRule="auto"/>
        <w:tabs>
          <w:tab w:leader="none" w:pos="175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The obligations of the Parties under Sections </w:t>
      </w:r>
      <w:r>
        <w:rPr>
          <w:rFonts w:ascii="Arial" w:cs="Arial" w:eastAsia="Arial" w:hAnsi="Arial"/>
          <w:sz w:val="22"/>
          <w:szCs w:val="22"/>
          <w:u w:val="single" w:color="auto"/>
          <w:color w:val="auto"/>
        </w:rPr>
        <w:t>5.23</w:t>
      </w:r>
      <w:r>
        <w:rPr>
          <w:rFonts w:ascii="Arial" w:cs="Arial" w:eastAsia="Arial" w:hAnsi="Arial"/>
          <w:sz w:val="22"/>
          <w:szCs w:val="22"/>
          <w:color w:val="auto"/>
        </w:rPr>
        <w:t xml:space="preserve">, </w:t>
      </w:r>
      <w:r>
        <w:rPr>
          <w:rFonts w:ascii="Arial" w:cs="Arial" w:eastAsia="Arial" w:hAnsi="Arial"/>
          <w:sz w:val="22"/>
          <w:szCs w:val="22"/>
          <w:u w:val="single" w:color="auto"/>
          <w:color w:val="auto"/>
        </w:rPr>
        <w:t>6.5</w:t>
      </w:r>
      <w:r>
        <w:rPr>
          <w:rFonts w:ascii="Arial" w:cs="Arial" w:eastAsia="Arial" w:hAnsi="Arial"/>
          <w:sz w:val="22"/>
          <w:szCs w:val="22"/>
          <w:color w:val="auto"/>
        </w:rPr>
        <w:t xml:space="preserve">, </w:t>
      </w:r>
      <w:r>
        <w:rPr>
          <w:rFonts w:ascii="Arial" w:cs="Arial" w:eastAsia="Arial" w:hAnsi="Arial"/>
          <w:sz w:val="22"/>
          <w:szCs w:val="22"/>
          <w:u w:val="single" w:color="auto"/>
          <w:color w:val="auto"/>
        </w:rPr>
        <w:t>7.3</w:t>
      </w:r>
      <w:r>
        <w:rPr>
          <w:rFonts w:ascii="Arial" w:cs="Arial" w:eastAsia="Arial" w:hAnsi="Arial"/>
          <w:sz w:val="22"/>
          <w:szCs w:val="22"/>
          <w:color w:val="auto"/>
        </w:rPr>
        <w:t xml:space="preserve">, </w:t>
      </w:r>
      <w:r>
        <w:rPr>
          <w:rFonts w:ascii="Arial" w:cs="Arial" w:eastAsia="Arial" w:hAnsi="Arial"/>
          <w:sz w:val="22"/>
          <w:szCs w:val="22"/>
          <w:u w:val="single" w:color="auto"/>
          <w:color w:val="auto"/>
        </w:rPr>
        <w:t>7.5</w:t>
      </w:r>
      <w:r>
        <w:rPr>
          <w:rFonts w:ascii="Arial" w:cs="Arial" w:eastAsia="Arial" w:hAnsi="Arial"/>
          <w:sz w:val="22"/>
          <w:szCs w:val="22"/>
          <w:color w:val="auto"/>
        </w:rPr>
        <w:t xml:space="preserve">, </w:t>
      </w:r>
      <w:r>
        <w:rPr>
          <w:rFonts w:ascii="Arial" w:cs="Arial" w:eastAsia="Arial" w:hAnsi="Arial"/>
          <w:sz w:val="22"/>
          <w:szCs w:val="22"/>
          <w:u w:val="single" w:color="auto"/>
          <w:color w:val="auto"/>
        </w:rPr>
        <w:t>7.17</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(and any definitions in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referenced in any of the foregoing) will survive the termination of this Agreement. Subject to proviso (x) below, except in connection with a termination under </w:t>
      </w:r>
      <w:r>
        <w:rPr>
          <w:rFonts w:ascii="Arial" w:cs="Arial" w:eastAsia="Arial" w:hAnsi="Arial"/>
          <w:sz w:val="22"/>
          <w:szCs w:val="22"/>
          <w:u w:val="single" w:color="auto"/>
          <w:color w:val="auto"/>
        </w:rPr>
        <w:t>Section 9.2(f)</w:t>
      </w:r>
      <w:r>
        <w:rPr>
          <w:rFonts w:ascii="Arial" w:cs="Arial" w:eastAsia="Arial" w:hAnsi="Arial"/>
          <w:sz w:val="22"/>
          <w:szCs w:val="22"/>
          <w:color w:val="auto"/>
        </w:rPr>
        <w:t>, any such termination shall be the sole remedy of the Parties hereto with respect to breaches of any covenant, agreement, representation or warranty contained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0580"/>
          </w:cols>
          <w:pgMar w:left="980" w:top="1428" w:right="339" w:bottom="1440" w:gutter="0" w:footer="0" w:header="0"/>
        </w:sectPr>
      </w:pPr>
    </w:p>
    <w:bookmarkStart w:id="184" w:name="page185"/>
    <w:bookmarkEnd w:id="184"/>
    <w:p>
      <w:pPr>
        <w:jc w:val="both"/>
        <w:ind w:left="1220"/>
        <w:spacing w:after="0" w:line="260" w:lineRule="auto"/>
        <w:rPr>
          <w:sz w:val="20"/>
          <w:szCs w:val="20"/>
          <w:color w:val="auto"/>
        </w:rPr>
      </w:pPr>
      <w:r>
        <w:rPr>
          <w:rFonts w:ascii="Arial" w:cs="Arial" w:eastAsia="Arial" w:hAnsi="Arial"/>
          <w:sz w:val="21"/>
          <w:szCs w:val="21"/>
          <w:color w:val="auto"/>
        </w:rPr>
        <w:t xml:space="preserve">Agreement and neither Party hereto nor any of its Affiliates or Representatives shall have any liability or further obligation to the other Party or any of its Affiliates or Representatives pursuant to this Agreement, except with respect to the obligations specified in the preceding sentence; (x)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herein shall relieve any Party from liability for any willful and material breach of any covenant or agreement of such Party contained in this Agreement; and (y) provided further that nothing in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shall in any way be deemed to limit or modify any rights of Buyer or its Affiliates under the Insurance Policy or inhibit Buyer from obtaining any remedies Buyer may have against any insurer under the Insurance Policy.</w:t>
      </w:r>
    </w:p>
    <w:p>
      <w:pPr>
        <w:spacing w:after="0" w:line="180" w:lineRule="exact"/>
        <w:rPr>
          <w:sz w:val="20"/>
          <w:szCs w:val="20"/>
          <w:color w:val="auto"/>
        </w:rPr>
      </w:pPr>
    </w:p>
    <w:p>
      <w:pPr>
        <w:jc w:val="both"/>
        <w:ind w:left="1220" w:firstLine="651"/>
        <w:spacing w:after="0" w:line="271" w:lineRule="auto"/>
        <w:tabs>
          <w:tab w:leader="none" w:pos="233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Upon any termination of this Agreement, all filings, applications and other submissions made pursuant to this Agreement, to the extent practicable, will within a commercially reasonable time thereafter be withdrawn by the filing Party from the Governmental Entity or other Person to which they were made.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7.10(a)</w:t>
      </w:r>
      <w:r>
        <w:rPr>
          <w:rFonts w:ascii="Arial" w:cs="Arial" w:eastAsia="Arial" w:hAnsi="Arial"/>
          <w:sz w:val="19"/>
          <w:szCs w:val="19"/>
          <w:color w:val="auto"/>
        </w:rPr>
        <w:t xml:space="preserve">, this Agreement may be amended, modified, or supplemented only by written agreement of Seller and Buyer. Notwithstanding anything to the contrary contained herein, </w:t>
      </w:r>
      <w:r>
        <w:rPr>
          <w:rFonts w:ascii="Arial" w:cs="Arial" w:eastAsia="Arial" w:hAnsi="Arial"/>
          <w:sz w:val="19"/>
          <w:szCs w:val="19"/>
          <w:u w:val="single" w:color="auto"/>
          <w:color w:val="auto"/>
        </w:rPr>
        <w:t>Section 7.21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(and any other provision of this Agreement to the extent an amendment, supplement, waiver or other modification of such provision would modify the substance of such Sections) and the definition of “Material Adverse Effect” may not be amended, supplemented, waived or otherwise modified without the prior written consent of the Financing Sources.</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Waivers and Consents</w:t>
      </w:r>
      <w:r>
        <w:rPr>
          <w:rFonts w:ascii="Arial" w:cs="Arial" w:eastAsia="Arial" w:hAnsi="Arial"/>
          <w:sz w:val="22"/>
          <w:szCs w:val="22"/>
          <w:color w:val="auto"/>
        </w:rPr>
        <w:t>. Except as otherwise provided in this Agreement, any failure of either Party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will not operate as a waiver of, or estoppel with respect to, any subsequent or other failure.</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instructions, claims, demands and other communications required or permitted to be given hereunder will be in writing and will be given by e-mail and either delivered by hand or sent by overnight courier (providing proof of delivery). Any notice sent by courier or delivery service shall be deemed to have been given and received at the time of confirmed delivery if such time is during normal local business hours (in the recipient’s location) or, otherwise, on the next Business Day after such confirmed delivery. Any notice sent by e-mail (including e-mail of a PDF attachment) shall be deemed to have been given and received at the time of confirmation of transmission. Any notice sent by e-mail shall be followed reasonably promptly with a copy by mail. All such notices, requests, claims, demands or other communications will be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28" w:right="339" w:bottom="1440" w:gutter="0" w:footer="0" w:header="0"/>
        </w:sectPr>
      </w:pPr>
    </w:p>
    <w:bookmarkStart w:id="185" w:name="page186"/>
    <w:bookmarkEnd w:id="185"/>
    <w:p>
      <w:pPr>
        <w:ind w:left="760"/>
        <w:spacing w:after="0"/>
        <w:tabs>
          <w:tab w:leader="none" w:pos="11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If to Seller, to:</w:t>
      </w:r>
    </w:p>
    <w:p>
      <w:pPr>
        <w:spacing w:after="0" w:line="22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CenterPoint Energy, Inc.</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Attn: Monica Karuturi, Senior Vice President and General Counsel</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1111 Louisiana St., 47th Floor</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Houston, Texas 77002</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monica.karuturi@centerpointenergy.com</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Baker Botts L.L.P.</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Attn: Timothy S. Taylor</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Clinton W. Rancher</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910 Louisiana Street</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Houston, Texas 77002</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Email: timothy.taylor@BakerBotts.com; clint.rancher@bakerbotts.com;</w:t>
      </w:r>
    </w:p>
    <w:p>
      <w:pPr>
        <w:spacing w:after="0" w:line="236" w:lineRule="exact"/>
        <w:rPr>
          <w:sz w:val="20"/>
          <w:szCs w:val="20"/>
          <w:color w:val="auto"/>
        </w:rPr>
      </w:pPr>
    </w:p>
    <w:p>
      <w:pPr>
        <w:ind w:left="1220" w:hanging="469"/>
        <w:spacing w:after="0"/>
        <w:tabs>
          <w:tab w:leader="none" w:pos="12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if to Buyer, to:</w:t>
      </w:r>
    </w:p>
    <w:p>
      <w:pPr>
        <w:spacing w:after="0" w:line="200" w:lineRule="exact"/>
        <w:rPr>
          <w:sz w:val="20"/>
          <w:szCs w:val="20"/>
          <w:color w:val="auto"/>
        </w:rPr>
      </w:pPr>
    </w:p>
    <w:p>
      <w:pPr>
        <w:spacing w:after="0" w:line="26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Southern Col Midco, LLC</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c/o Summit Utilities, Inc.</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Attn: Hallie Flint Gilman, Chief Legal Officer</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10825 E. Geddes Ave., Suite 410</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Centennial, CO 80112</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HGilman@summitutilities.com</w:t>
      </w:r>
    </w:p>
    <w:p>
      <w:pPr>
        <w:spacing w:after="0" w:line="200" w:lineRule="exact"/>
        <w:rPr>
          <w:sz w:val="20"/>
          <w:szCs w:val="20"/>
          <w:color w:val="auto"/>
        </w:rPr>
      </w:pPr>
    </w:p>
    <w:p>
      <w:pPr>
        <w:spacing w:after="0" w:line="21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Morgan, Lewis &amp; Bockius LLP</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Attn: John G. Klauberg</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Michael E. Espinoza</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101 Park Ave.</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New York, NY 10178-0060</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Email: john. klauberg@morganlewis.com</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u w:val="single" w:color="auto"/>
          <w:color w:val="auto"/>
        </w:rPr>
        <w:t>michael.espinoza@morganlewis.com</w:t>
      </w:r>
    </w:p>
    <w:p>
      <w:pPr>
        <w:spacing w:after="0" w:line="20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Morgan, Lewis &amp; Bockius LLP</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Attn: Kathryn Ostman</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One Federal Street</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Boston, MA 02110-1726</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kathryn.ostman@morganlewis.com</w:t>
      </w:r>
    </w:p>
    <w:p>
      <w:pPr>
        <w:sectPr>
          <w:pgSz w:w="11900" w:h="16838" w:orient="portrait"/>
          <w:cols w:equalWidth="0" w:num="1">
            <w:col w:w="9019"/>
          </w:cols>
          <w:pgMar w:left="1440" w:top="14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ectPr>
          <w:pgSz w:w="11900" w:h="16838" w:orient="portrait"/>
          <w:cols w:equalWidth="0" w:num="1">
            <w:col w:w="9019"/>
          </w:cols>
          <w:pgMar w:left="1440" w:top="1428" w:right="1440" w:bottom="1440" w:gutter="0" w:footer="0" w:header="0"/>
          <w:type w:val="continuous"/>
        </w:sectPr>
      </w:pPr>
    </w:p>
    <w:bookmarkStart w:id="186" w:name="page187"/>
    <w:bookmarkEnd w:id="186"/>
    <w:p>
      <w:pPr>
        <w:jc w:val="both"/>
        <w:ind w:firstLine="648"/>
        <w:spacing w:after="0" w:line="286"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and all of the provisions hereof will be binding upon and inure to the benefit of the Parties and their respective successors and permitted assigns, but neither this Agreement nor any of the rights, interests, or obligations hereunder may be assigned by either Party without the prior written consent of the other Party. Notwithstanding the foregoing, Buyer shall be permitted to assign its rights and obligations under this Agreement and any other Ancillary Agreement (including the rights to receive and assume particular Purchased Assets or Assumed Obligations to the extent consistent with the Final Regulatory Orders granting the Required Regulatory Approvals), individually or collectively, (a) prior to the Closing, to one or more Affiliates or solely for collateral security purposes to any Financing Source with prior written notice to Seller and (b) after the Closing, to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assignment shall relieve Buyer of, or constitute a discharge of, any of Buyer’s liabilities and obligations under this Agreement. If Buyer elects to assign its rights and obligations under this Agreement and any other Ancillary Agreement pursuant to this </w:t>
      </w:r>
      <w:r>
        <w:rPr>
          <w:rFonts w:ascii="Arial" w:cs="Arial" w:eastAsia="Arial" w:hAnsi="Arial"/>
          <w:sz w:val="19"/>
          <w:szCs w:val="19"/>
          <w:u w:val="single" w:color="auto"/>
          <w:color w:val="auto"/>
        </w:rPr>
        <w:t>Section 10.4</w:t>
      </w:r>
      <w:r>
        <w:rPr>
          <w:rFonts w:ascii="Arial" w:cs="Arial" w:eastAsia="Arial" w:hAnsi="Arial"/>
          <w:sz w:val="19"/>
          <w:szCs w:val="19"/>
          <w:color w:val="auto"/>
        </w:rPr>
        <w:t>, Seller shall use commercially reasonable efforts and cooperate with Buyer as reasonably necessary to permit Buyer to identify and separately assign the rights to receive and assume Purchased Assets and Assumed Obligations at the Closing relating to each of the Arkansas Business and the Oklahoma Business to the applicable designee of Buyer, so long as such designee is not an existing utility.</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u w:val="single" w:color="auto"/>
          <w:color w:val="auto"/>
        </w:rPr>
        <w:t>No Third Party Beneficiaries</w:t>
      </w:r>
      <w:r>
        <w:rPr>
          <w:rFonts w:ascii="Arial" w:cs="Arial" w:eastAsia="Arial" w:hAnsi="Arial"/>
          <w:sz w:val="21"/>
          <w:szCs w:val="21"/>
          <w:color w:val="auto"/>
        </w:rPr>
        <w:t xml:space="preserve">. No provision of this Agreement is intended to or shall be deemed to confer any rights or remedies upon any Person other than the Parties, except (a) for the rights of the Indemnified Parties under </w:t>
      </w:r>
      <w:r>
        <w:rPr>
          <w:rFonts w:ascii="Arial" w:cs="Arial" w:eastAsia="Arial" w:hAnsi="Arial"/>
          <w:sz w:val="21"/>
          <w:szCs w:val="21"/>
          <w:u w:val="single" w:color="auto"/>
          <w:color w:val="auto"/>
        </w:rPr>
        <w:t>Section 7.17</w:t>
      </w:r>
      <w:r>
        <w:rPr>
          <w:rFonts w:ascii="Arial" w:cs="Arial" w:eastAsia="Arial" w:hAnsi="Arial"/>
          <w:sz w:val="21"/>
          <w:szCs w:val="21"/>
          <w:color w:val="auto"/>
        </w:rPr>
        <w:t xml:space="preserve"> and (b) that the Financing Sources shall be express third party beneficiaries of </w:t>
      </w:r>
      <w:r>
        <w:rPr>
          <w:rFonts w:ascii="Arial" w:cs="Arial" w:eastAsia="Arial" w:hAnsi="Arial"/>
          <w:sz w:val="21"/>
          <w:szCs w:val="21"/>
          <w:u w:val="single" w:color="auto"/>
          <w:color w:val="auto"/>
        </w:rPr>
        <w:t>Section 7.21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7.22, Section 10.1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10.11</w:t>
      </w:r>
      <w:r>
        <w:rPr>
          <w:rFonts w:ascii="Arial" w:cs="Arial" w:eastAsia="Arial" w:hAnsi="Arial"/>
          <w:sz w:val="21"/>
          <w:szCs w:val="21"/>
          <w:color w:val="auto"/>
        </w:rPr>
        <w:t>, each of such Sections shall expressly inure to the benefit of the Financing Sources and the Financing Sources shall be entitled to rely on and enforce the provisions of such Section. Without limiting the foregoing, no provision of this Agreement creates any rights in any employee or former employee of Seller (including any beneficiary or dependent thereof) in respect of continued employment or resumed employment, and no provision of this Agreement creates any rights in any such Persons in respect of any benefits that may be provided, directly or indirectly, under any employee benefit plan or arrangement.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50" w:lineRule="auto"/>
        <w:tabs>
          <w:tab w:leader="none" w:pos="232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This Agreement (as well as any claim or controversy arising out of or relating to this Agreement or the transactions contemplated hereby) shall be governed by and construed in accordance with the Laws of the State of Delaware, without regard to the conflicts of laws rules thereof that would otherwise require the Laws of another jurisdiction to apply.</w:t>
      </w:r>
    </w:p>
    <w:p>
      <w:pPr>
        <w:spacing w:after="0" w:line="187" w:lineRule="exact"/>
        <w:rPr>
          <w:rFonts w:ascii="Arial" w:cs="Arial" w:eastAsia="Arial" w:hAnsi="Arial"/>
          <w:sz w:val="22"/>
          <w:szCs w:val="22"/>
          <w:color w:val="auto"/>
        </w:rPr>
      </w:pPr>
    </w:p>
    <w:p>
      <w:pPr>
        <w:jc w:val="both"/>
        <w:ind w:left="1220" w:firstLine="651"/>
        <w:spacing w:after="0" w:line="250" w:lineRule="auto"/>
        <w:tabs>
          <w:tab w:leader="none" w:pos="239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Parties and the Seller Related Parties agree that any claim, controversy or dispute any kind or nature (whether based upon Contract, tort or otherwise) involving a Financing Source that is in any way related to this Agreement or any of the transactions contemplated by this Agreement, including any dispute arising out of or relating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28" w:right="339" w:bottom="1440" w:gutter="0" w:footer="0" w:header="0"/>
        </w:sectPr>
      </w:pPr>
    </w:p>
    <w:bookmarkStart w:id="187" w:name="page188"/>
    <w:bookmarkEnd w:id="187"/>
    <w:p>
      <w:pPr>
        <w:jc w:val="both"/>
        <w:ind w:left="1220"/>
        <w:spacing w:after="0" w:line="265" w:lineRule="auto"/>
        <w:rPr>
          <w:sz w:val="20"/>
          <w:szCs w:val="20"/>
          <w:color w:val="auto"/>
        </w:rPr>
      </w:pPr>
      <w:r>
        <w:rPr>
          <w:rFonts w:ascii="Arial" w:cs="Arial" w:eastAsia="Arial" w:hAnsi="Arial"/>
          <w:sz w:val="21"/>
          <w:szCs w:val="21"/>
          <w:color w:val="auto"/>
        </w:rPr>
        <w:t>any way to the Debt Financing shall be governed by, and construed in accordance with, the Laws of the State of New York (except to the extent any provision in the Debt Financing Commitment or in any definitive documentation related to the Debt Financing expressly specifies that the interpretation of such provisions shall be governed by and construed in accordance with the law of the State of the Delaware)).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Severability</w:t>
      </w:r>
      <w:r>
        <w:rPr>
          <w:rFonts w:ascii="Arial" w:cs="Arial" w:eastAsia="Arial" w:hAnsi="Arial"/>
          <w:sz w:val="22"/>
          <w:szCs w:val="22"/>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will be a valid and binding agreement of the Parties only if and when it is fully executed and delivered by the Parties, and until such execution and delivery no legal obligation will be created by virtue hereof. This Agreement, the Confidentiality Agreement and the Ancillary Agreements, together with the Appendices, Schedules and Exhibits hereto and thereto and the certificates and instruments delivered hereunder or in accordance herewith, embodies the entire agreement and understanding of the Parties hereto in respect of the transactions contemplated by this Agreement. This Agreement, the Confidentiality Agreement and the Ancillary Agreements supersede all prior agreements and understandings between the Parties with respect to such transactions contemplated hereby. Neither this Agreement, the Confidentiality Agreement nor any Ancillary Agreement shall be deemed to contain or imply any restriction, covenant, representation, warranty, agreement or undertaking of either Party with respect to the transactions contemplated hereby or thereby other than those expressly set forth herein or therein or in any document required to be delivered hereunder or thereunder.</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Delivery</w:t>
      </w:r>
      <w:r>
        <w:rPr>
          <w:rFonts w:ascii="Arial" w:cs="Arial" w:eastAsia="Arial" w:hAnsi="Arial"/>
          <w:sz w:val="22"/>
          <w:szCs w:val="22"/>
          <w:color w:val="auto"/>
        </w:rPr>
        <w:t>. This Agreement, and any certificates and instruments delivered hereunder or in accordance herewith, may be executed in multiple counterparts (each of which will be deemed an original, but all of which together will constitute one and the same instrument), and may be delivered by facsimile or electronic transmission, with such facsimile or electronic signature constituting an original for all purposes.</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PARTIES HEREBY IRREVOCABLY WAIVES, TO THE FULLEST EXTENT PERMITTED BY LAW, ANY AND ALL RIGHT TO TRIAL BY JURY IN ANY LEGAL PROCEEDING ARISING OUT OF OR RELATED TO THIS AGREEMENT OR THE ANCILLARY AGREEMENTS OR ANY OF THE TRANSACTIONS CONTEMPLATED HEREBY OR THEREBY OR ARISING OUT OF OR RELATING TO THE DEBT FINANCING OR ANY OF THE TRANSACTIONS CONTEMPLATED THEREBY, INCLUDING IN ANY ACTION, PROCEEDING OR COUNTERCLAIM AGAINST ANY FINANCING SOURCE.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Submission to Jurisdiction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8" w:right="339" w:bottom="1440" w:gutter="0" w:footer="0" w:header="0"/>
        </w:sectPr>
      </w:pPr>
    </w:p>
    <w:bookmarkStart w:id="188" w:name="page189"/>
    <w:bookmarkEnd w:id="188"/>
    <w:p>
      <w:pPr>
        <w:jc w:val="both"/>
        <w:ind w:left="100" w:firstLine="651"/>
        <w:spacing w:after="0" w:line="285" w:lineRule="auto"/>
        <w:tabs>
          <w:tab w:leader="none" w:pos="1245"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Each of the Parties irrevocably agrees that any legal action or proceeding arising out of or relating to this Agreement brought by the other Party or its successors or assigns shall be brought and determined in any Delaware state or federal court sitting in the City of Wilmington (or, if such court lacks subject matter jurisdiction, in any appropriate Delaware state or federal court) and the appropriate appellate courts therefrom,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59" w:lineRule="exact"/>
        <w:rPr>
          <w:rFonts w:ascii="Arial" w:cs="Arial" w:eastAsia="Arial" w:hAnsi="Arial"/>
          <w:sz w:val="19"/>
          <w:szCs w:val="19"/>
          <w:color w:val="auto"/>
        </w:rPr>
      </w:pPr>
    </w:p>
    <w:p>
      <w:pPr>
        <w:jc w:val="both"/>
        <w:ind w:left="100" w:firstLine="651"/>
        <w:spacing w:after="0" w:line="257" w:lineRule="auto"/>
        <w:tabs>
          <w:tab w:leader="none" w:pos="1351" w:val="left"/>
        </w:tabs>
        <w:numPr>
          <w:ilvl w:val="0"/>
          <w:numId w:val="177"/>
        </w:numPr>
        <w:rPr>
          <w:rFonts w:ascii="Arial" w:cs="Arial" w:eastAsia="Arial" w:hAnsi="Arial"/>
          <w:sz w:val="21"/>
          <w:szCs w:val="21"/>
          <w:color w:val="auto"/>
        </w:rPr>
      </w:pPr>
      <w:r>
        <w:rPr>
          <w:rFonts w:ascii="Arial" w:cs="Arial" w:eastAsia="Arial" w:hAnsi="Arial"/>
          <w:sz w:val="21"/>
          <w:szCs w:val="21"/>
          <w:color w:val="auto"/>
        </w:rPr>
        <w:t xml:space="preserve">Notwithstanding anything herein to the contrary, each Seller Related Party and each of the other Parties (i) agrees that it will not bring or support any action, cause of action, claim, cross-claim or third-party claim of any kind or description, whether in Law or in equity, whether in contract or in tort or otherwise, against the Financing Sources in any way relating to this Agreement, the Closing or any of the transactions contemplated by this Agreement, including any dispute arising out of or relating in any way to the Debt Financing or the performance thereof or the transactions contemplated thereby, in any forum other than exclusively in the Supreme Court of the State of New York, County of New York, or, if under applicable Law exclusive jurisdiction is vested in the federal courts, the United States District Court for the Southern District of New York (and appellate courts thereof), (ii) submits for itself and its property with respect to any such action to the exclusive jurisdiction of such courts, (iii) agrees that service of process, summons, notice or document by registered mail addressed to it at its address provided in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shall be effective service of process against it for any such action brought in any such court, (iv) waives and hereby irrevocably waives, to the fullest extent permitted by law, any objection which it may now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0120"/>
          </w:cols>
          <w:pgMar w:left="1440" w:top="1428" w:right="339" w:bottom="1440" w:gutter="0" w:footer="0" w:header="0"/>
        </w:sectPr>
      </w:pPr>
    </w:p>
    <w:bookmarkStart w:id="189" w:name="page190"/>
    <w:bookmarkEnd w:id="189"/>
    <w:p>
      <w:pPr>
        <w:jc w:val="both"/>
        <w:ind w:left="1220"/>
        <w:spacing w:after="0" w:line="312" w:lineRule="auto"/>
        <w:rPr>
          <w:sz w:val="20"/>
          <w:szCs w:val="20"/>
          <w:color w:val="auto"/>
        </w:rPr>
      </w:pPr>
      <w:r>
        <w:rPr>
          <w:rFonts w:ascii="Arial" w:cs="Arial" w:eastAsia="Arial" w:hAnsi="Arial"/>
          <w:sz w:val="19"/>
          <w:szCs w:val="19"/>
          <w:color w:val="auto"/>
        </w:rPr>
        <w:t>hereafter have to the laying of venue of, and the defense of an inconvenient forum to the maintenance of, any such action in any such court and (v) agrees that a final judgment in any such action shall be conclusive and may be enforced in other jurisdictions by suit on the judgment or in any other manner provided by Law.</w:t>
      </w:r>
    </w:p>
    <w:p>
      <w:pPr>
        <w:spacing w:after="0" w:line="1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10.12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agree that irreparable damage would occur in the event that any of the provisions of this Agreement were not performed in accordance with their specific terms or were otherwise breached. Accordingly, each of the Parties shall be entitled to seek specific performance of the terms hereof, including an injunction or injunctions to prevent breaches of this Agreement and to enforce specifically the terms and provisions of this Agreement, in addition to any other remedy to which it is entitled at law or in equity. Each of the Parties hereby further waives (a) any defense in any action for specific performance that a remedy at law would be adequate and (b) any requirement under any Law to post security as a prerequisite to obtaining equitable relief. To the extent any Party brings an action, suit or proceeding to enforce specifically the performance of the terms and provisions of this Agreement (other than an action to enforce specifically any provision that expressly survives termination of this Agreement), the Termination Date shall automatically be extended to (i) the 20th Business Day following the resolution of such action, suit or proceeding or (ii) such other time period established by the court presiding over such action, suit or proceeding.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10.13 </w:t>
      </w:r>
      <w:r>
        <w:rPr>
          <w:rFonts w:ascii="Arial" w:cs="Arial" w:eastAsia="Arial" w:hAnsi="Arial"/>
          <w:sz w:val="22"/>
          <w:szCs w:val="22"/>
          <w:u w:val="single" w:color="auto"/>
          <w:color w:val="auto"/>
        </w:rPr>
        <w:t>No Special Damages; Sole and Exclusive Remedy</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302" w:lineRule="auto"/>
        <w:tabs>
          <w:tab w:leader="none" w:pos="2344"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In no event shall either Party be liable for (i) special, punitive, exemplary, incidental, consequential or indirect damages, (ii) lost profits or lost business, loss of enterprise value, diminution in value, damage to reputation or loss of goodwill or (iii) damages calculated based on a multiple of profits, revenue or any other financial metric hereunder, in each case, except to the extent payable by the Indemnified Party to a third Person.</w:t>
      </w:r>
    </w:p>
    <w:p>
      <w:pPr>
        <w:spacing w:after="0" w:line="142" w:lineRule="exact"/>
        <w:rPr>
          <w:rFonts w:ascii="Arial" w:cs="Arial" w:eastAsia="Arial" w:hAnsi="Arial"/>
          <w:sz w:val="19"/>
          <w:szCs w:val="19"/>
          <w:color w:val="auto"/>
        </w:rPr>
      </w:pPr>
    </w:p>
    <w:p>
      <w:pPr>
        <w:ind w:left="1760" w:hanging="456"/>
        <w:spacing w:after="0"/>
        <w:tabs>
          <w:tab w:leader="none" w:pos="1760" w:val="left"/>
        </w:tabs>
        <w:numPr>
          <w:ilvl w:val="0"/>
          <w:numId w:val="179"/>
        </w:numPr>
        <w:rPr>
          <w:rFonts w:ascii="Arial" w:cs="Arial" w:eastAsia="Arial" w:hAnsi="Arial"/>
          <w:sz w:val="22"/>
          <w:szCs w:val="22"/>
          <w:color w:val="010000"/>
        </w:rPr>
      </w:pPr>
      <w:r>
        <w:rPr>
          <w:rFonts w:ascii="Arial" w:cs="Arial" w:eastAsia="Arial" w:hAnsi="Arial"/>
          <w:sz w:val="22"/>
          <w:szCs w:val="22"/>
          <w:color w:val="auto"/>
        </w:rPr>
        <w:t>Furthermore, Buyer and Seller acknowledge and agree that:</w:t>
      </w:r>
    </w:p>
    <w:p>
      <w:pPr>
        <w:spacing w:after="0" w:line="219" w:lineRule="exact"/>
        <w:rPr>
          <w:rFonts w:ascii="Arial" w:cs="Arial" w:eastAsia="Arial" w:hAnsi="Arial"/>
          <w:sz w:val="22"/>
          <w:szCs w:val="22"/>
          <w:color w:val="010000"/>
        </w:rPr>
      </w:pPr>
    </w:p>
    <w:p>
      <w:pPr>
        <w:jc w:val="both"/>
        <w:ind w:left="1300" w:firstLine="652"/>
        <w:spacing w:after="0" w:line="250" w:lineRule="auto"/>
        <w:tabs>
          <w:tab w:leader="none" w:pos="2476" w:val="left"/>
        </w:tabs>
        <w:numPr>
          <w:ilvl w:val="2"/>
          <w:numId w:val="179"/>
        </w:numPr>
        <w:rPr>
          <w:rFonts w:ascii="Arial" w:cs="Arial" w:eastAsia="Arial" w:hAnsi="Arial"/>
          <w:sz w:val="22"/>
          <w:szCs w:val="22"/>
          <w:color w:val="010000"/>
        </w:rPr>
      </w:pPr>
      <w:r>
        <w:rPr>
          <w:rFonts w:ascii="Arial" w:cs="Arial" w:eastAsia="Arial" w:hAnsi="Arial"/>
          <w:sz w:val="22"/>
          <w:szCs w:val="22"/>
          <w:color w:val="auto"/>
        </w:rPr>
        <w:t>the Parties have voluntarily agreed to define their rights, liabilities and obligations respecting the transactions contemplated hereby exclusively in contract pursuant to the express terms and provisions of this Agreement and hereby waive any statutory and common law remedies, with respect to matters relating to the transactions contemplated by this Agreement;</w:t>
      </w:r>
    </w:p>
    <w:p>
      <w:pPr>
        <w:spacing w:after="0" w:line="187" w:lineRule="exact"/>
        <w:rPr>
          <w:rFonts w:ascii="Arial" w:cs="Arial" w:eastAsia="Arial" w:hAnsi="Arial"/>
          <w:sz w:val="22"/>
          <w:szCs w:val="22"/>
          <w:color w:val="010000"/>
        </w:rPr>
      </w:pPr>
    </w:p>
    <w:p>
      <w:pPr>
        <w:jc w:val="both"/>
        <w:ind w:left="1300" w:firstLine="652"/>
        <w:spacing w:after="0" w:line="302" w:lineRule="auto"/>
        <w:tabs>
          <w:tab w:leader="none" w:pos="2455" w:val="left"/>
        </w:tabs>
        <w:numPr>
          <w:ilvl w:val="2"/>
          <w:numId w:val="179"/>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9.1(c)</w:t>
      </w:r>
      <w:r>
        <w:rPr>
          <w:rFonts w:ascii="Arial" w:cs="Arial" w:eastAsia="Arial" w:hAnsi="Arial"/>
          <w:sz w:val="19"/>
          <w:szCs w:val="19"/>
          <w:color w:val="auto"/>
        </w:rPr>
        <w:t>, the sole and exclusive remedies for any breach of the terms and provisions of this Agreement or any action otherwise arising out of or related to the transactions contemplated by this Agreement shall be those remedies available at law or in equity for breach of contract only (as such contractual remedies have been further limited or excluded pursuant to the express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28" w:right="339" w:bottom="1440" w:gutter="0" w:footer="0" w:header="0"/>
        </w:sectPr>
      </w:pPr>
    </w:p>
    <w:bookmarkStart w:id="190" w:name="page191"/>
    <w:bookmarkEnd w:id="190"/>
    <w:p>
      <w:pPr>
        <w:ind w:left="1300" w:firstLine="652"/>
        <w:spacing w:after="0" w:line="343" w:lineRule="auto"/>
        <w:tabs>
          <w:tab w:leader="none" w:pos="2488" w:val="left"/>
        </w:tabs>
        <w:numPr>
          <w:ilvl w:val="0"/>
          <w:numId w:val="180"/>
        </w:numPr>
        <w:rPr>
          <w:rFonts w:ascii="Arial" w:cs="Arial" w:eastAsia="Arial" w:hAnsi="Arial"/>
          <w:sz w:val="19"/>
          <w:szCs w:val="19"/>
          <w:color w:val="010000"/>
        </w:rPr>
      </w:pPr>
      <w:r>
        <w:rPr>
          <w:rFonts w:ascii="Arial" w:cs="Arial" w:eastAsia="Arial" w:hAnsi="Arial"/>
          <w:sz w:val="19"/>
          <w:szCs w:val="19"/>
          <w:color w:val="auto"/>
        </w:rPr>
        <w:t xml:space="preserve">the provisions of and the limited remedies provided in this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were specifically bargained for between the Parties and were taken into account by the Parties in arriving at the Purchase Price;</w:t>
      </w:r>
    </w:p>
    <w:p>
      <w:pPr>
        <w:spacing w:after="0" w:line="104" w:lineRule="exact"/>
        <w:rPr>
          <w:rFonts w:ascii="Arial" w:cs="Arial" w:eastAsia="Arial" w:hAnsi="Arial"/>
          <w:sz w:val="19"/>
          <w:szCs w:val="19"/>
          <w:color w:val="010000"/>
        </w:rPr>
      </w:pPr>
    </w:p>
    <w:p>
      <w:pPr>
        <w:ind w:left="1300" w:right="20" w:firstLine="652"/>
        <w:spacing w:after="0" w:line="263" w:lineRule="auto"/>
        <w:tabs>
          <w:tab w:leader="none" w:pos="2503"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after the Closing, no Party or its Affiliates may seek the rescission of the transactions contemplated by this Agreement; and</w:t>
      </w:r>
    </w:p>
    <w:p>
      <w:pPr>
        <w:spacing w:after="0" w:line="174" w:lineRule="exact"/>
        <w:rPr>
          <w:rFonts w:ascii="Arial" w:cs="Arial" w:eastAsia="Arial" w:hAnsi="Arial"/>
          <w:sz w:val="22"/>
          <w:szCs w:val="22"/>
          <w:color w:val="010000"/>
        </w:rPr>
      </w:pPr>
    </w:p>
    <w:p>
      <w:pPr>
        <w:jc w:val="both"/>
        <w:ind w:left="1300" w:firstLine="652"/>
        <w:spacing w:after="0" w:line="265" w:lineRule="auto"/>
        <w:tabs>
          <w:tab w:leader="none" w:pos="2510" w:val="left"/>
        </w:tabs>
        <w:numPr>
          <w:ilvl w:val="0"/>
          <w:numId w:val="180"/>
        </w:numPr>
        <w:rPr>
          <w:rFonts w:ascii="Arial" w:cs="Arial" w:eastAsia="Arial" w:hAnsi="Arial"/>
          <w:sz w:val="21"/>
          <w:szCs w:val="21"/>
          <w:color w:val="010000"/>
        </w:rPr>
      </w:pPr>
      <w:r>
        <w:rPr>
          <w:rFonts w:ascii="Arial" w:cs="Arial" w:eastAsia="Arial" w:hAnsi="Arial"/>
          <w:sz w:val="21"/>
          <w:szCs w:val="21"/>
          <w:color w:val="auto"/>
        </w:rPr>
        <w:t>the Parties each hereby acknowledge that this Agreement embodies the justifiable expectations of sophisticated parties derived from arm’s-length negotiations, and the Parties specifically acknowledge that no Party has any special relationship with another Party that would justify any expectation beyond that of an ordinary buyer and an ordinary seller in an arm’s-length transaction.</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u w:val="single" w:color="auto"/>
          <w:color w:val="auto"/>
        </w:rPr>
        <w:t>Disclosure Generally</w:t>
      </w:r>
      <w:r>
        <w:rPr>
          <w:rFonts w:ascii="Arial" w:cs="Arial" w:eastAsia="Arial" w:hAnsi="Arial"/>
          <w:sz w:val="19"/>
          <w:szCs w:val="19"/>
          <w:color w:val="auto"/>
        </w:rPr>
        <w:t>. Notwithstanding anything to the contrary contained in the Seller Disclosure Schedules or in this Agreement, the information and disclosures contained in any Seller Disclosure Schedule shall be deemed to be disclosed and incorporated by reference with respect to any other representation or warranty of Seller for which applicability of such information and disclosure is reasonably apparent on its face. The fact that any item of information is disclosed in any Seller Disclosure Schedule shall not be construed to mean that such information is required to be disclosed by this Agreement, and anything that is not required to be included in the Disclosure Schedules is solely for the convenience of Buyer. Such information and the dollar thresholds set forth herein shall not be used as a basis for interpreting the terms “material” or “Material Adverse Effect” or other similar terms in this Agreement. The Disclosure Schedules and the information and statements contained therein are not intended to broaden or constitute, and shall not be construed as broadening or constituting, representations, warranties or covenants of Seller except as and to the extent provided in this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10.15 </w:t>
      </w:r>
      <w:r>
        <w:rPr>
          <w:rFonts w:ascii="Arial" w:cs="Arial" w:eastAsia="Arial" w:hAnsi="Arial"/>
          <w:sz w:val="22"/>
          <w:szCs w:val="22"/>
          <w:u w:val="single" w:color="auto"/>
          <w:color w:val="auto"/>
        </w:rPr>
        <w:t>Transaction Privilege</w:t>
      </w:r>
      <w:r>
        <w:rPr>
          <w:rFonts w:ascii="Arial" w:cs="Arial" w:eastAsia="Arial" w:hAnsi="Arial"/>
          <w:sz w:val="22"/>
          <w:szCs w:val="22"/>
          <w:color w:val="auto"/>
        </w:rPr>
        <w:t>.</w:t>
      </w:r>
    </w:p>
    <w:p>
      <w:pPr>
        <w:spacing w:after="0" w:line="220" w:lineRule="exact"/>
        <w:rPr>
          <w:sz w:val="20"/>
          <w:szCs w:val="20"/>
          <w:color w:val="auto"/>
        </w:rPr>
      </w:pPr>
    </w:p>
    <w:p>
      <w:pPr>
        <w:jc w:val="both"/>
        <w:ind w:left="1220" w:firstLine="651"/>
        <w:spacing w:after="0" w:line="245" w:lineRule="auto"/>
        <w:tabs>
          <w:tab w:leader="none" w:pos="244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Seller and certain of its Affiliates have engaged Baker Botts L.L.P. (“</w:t>
      </w:r>
      <w:r>
        <w:rPr>
          <w:rFonts w:ascii="Arial" w:cs="Arial" w:eastAsia="Arial" w:hAnsi="Arial"/>
          <w:sz w:val="22"/>
          <w:szCs w:val="22"/>
          <w:u w:val="single" w:color="auto"/>
          <w:color w:val="auto"/>
        </w:rPr>
        <w:t>Baker Botts</w:t>
      </w:r>
      <w:r>
        <w:rPr>
          <w:rFonts w:ascii="Arial" w:cs="Arial" w:eastAsia="Arial" w:hAnsi="Arial"/>
          <w:sz w:val="22"/>
          <w:szCs w:val="22"/>
          <w:color w:val="auto"/>
        </w:rPr>
        <w:t>”) as their legal counsel in connection with the transactions contemplated by this Agreement. By entering into this Agreement, Buyer and its Affiliates (i) consent to the continued representation of Seller and certain of its Affiliates by Baker Botts in connection with the transactions contemplated by this Agreement and (ii) waive any actual or alleged conflict of Baker Botts that may arise from Baker Botts’ representation of Seller and certain of its Affiliates in connection with the transactions contemplated by this Agreement. This consent and waiver extends to Baker Botts representing the Seller and certain of its Affiliates against Buyer and its Affiliates in litigation, arbitration or mediation in connection with this Agreement or the transactions contemplated by this Agreement. Nothing contained herein shall be deemed to constitute a waiver of any privilege or consent to the disclosure of any confidential information.</w:t>
      </w:r>
    </w:p>
    <w:p>
      <w:pPr>
        <w:spacing w:after="0" w:line="198" w:lineRule="exact"/>
        <w:rPr>
          <w:rFonts w:ascii="Arial" w:cs="Arial" w:eastAsia="Arial" w:hAnsi="Arial"/>
          <w:sz w:val="22"/>
          <w:szCs w:val="22"/>
          <w:color w:val="auto"/>
        </w:rPr>
      </w:pPr>
    </w:p>
    <w:p>
      <w:pPr>
        <w:ind w:left="1220" w:firstLine="651"/>
        <w:spacing w:after="0" w:line="263" w:lineRule="auto"/>
        <w:tabs>
          <w:tab w:leader="none" w:pos="234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Buyer hereby agrees that it will cause any Person that is, or after the Closing will be, a Buyer Affiliate to execute any document or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28" w:right="339" w:bottom="1440" w:gutter="0" w:footer="0" w:header="0"/>
        </w:sectPr>
      </w:pPr>
    </w:p>
    <w:bookmarkStart w:id="191" w:name="page192"/>
    <w:bookmarkEnd w:id="191"/>
    <w:p>
      <w:pPr>
        <w:ind w:left="100"/>
        <w:spacing w:after="0" w:line="263" w:lineRule="auto"/>
        <w:rPr>
          <w:sz w:val="20"/>
          <w:szCs w:val="20"/>
          <w:color w:val="auto"/>
        </w:rPr>
      </w:pPr>
      <w:r>
        <w:rPr>
          <w:rFonts w:ascii="Arial" w:cs="Arial" w:eastAsia="Arial" w:hAnsi="Arial"/>
          <w:sz w:val="22"/>
          <w:szCs w:val="22"/>
          <w:color w:val="auto"/>
        </w:rPr>
        <w:t xml:space="preserve">reasonably requested from time to time by Seller in order to evidence or effectuate the intentions of the Parties reflected in this </w:t>
      </w:r>
      <w:r>
        <w:rPr>
          <w:rFonts w:ascii="Arial" w:cs="Arial" w:eastAsia="Arial" w:hAnsi="Arial"/>
          <w:sz w:val="22"/>
          <w:szCs w:val="22"/>
          <w:u w:val="single" w:color="auto"/>
          <w:color w:val="auto"/>
        </w:rPr>
        <w:t>Section 10.15</w:t>
      </w:r>
      <w:r>
        <w:rPr>
          <w:rFonts w:ascii="Arial" w:cs="Arial" w:eastAsia="Arial" w:hAnsi="Arial"/>
          <w:sz w:val="22"/>
          <w:szCs w:val="22"/>
          <w:color w:val="auto"/>
        </w:rPr>
        <w:t>.</w:t>
      </w:r>
    </w:p>
    <w:p>
      <w:pPr>
        <w:spacing w:after="0" w:line="169"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0100"/>
          </w:cols>
          <w:pgMar w:left="1440" w:top="1428" w:right="359" w:bottom="1440" w:gutter="0" w:footer="0" w:header="0"/>
        </w:sectPr>
      </w:pPr>
    </w:p>
    <w:bookmarkStart w:id="192" w:name="page193"/>
    <w:bookmarkEnd w:id="192"/>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Agreement to be signed by their respective duly authorized officers as of the date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CENTERPOINT ENERGY RESOURCES CORP.</w:t>
      </w:r>
    </w:p>
    <w:p>
      <w:pPr>
        <w:spacing w:after="0" w:line="197"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14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color w:val="auto"/>
                <w:w w:val="83"/>
              </w:rPr>
              <w:t>/s/ Jason P. Wells</w:t>
            </w:r>
          </w:p>
        </w:tc>
        <w:tc>
          <w:tcPr>
            <w:tcW w:w="20" w:type="dxa"/>
            <w:vAlign w:val="bottom"/>
          </w:tcPr>
          <w:p>
            <w:pPr>
              <w:spacing w:after="0"/>
              <w:rPr>
                <w:sz w:val="21"/>
                <w:szCs w:val="21"/>
                <w:color w:val="auto"/>
              </w:rPr>
            </w:pPr>
          </w:p>
        </w:tc>
      </w:tr>
      <w:tr>
        <w:trPr>
          <w:trHeight w:val="269"/>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2160" w:type="dxa"/>
            <w:vAlign w:val="bottom"/>
            <w:gridSpan w:val="2"/>
          </w:tcPr>
          <w:p>
            <w:pPr>
              <w:jc w:val="right"/>
              <w:ind w:right="680"/>
              <w:spacing w:after="0"/>
              <w:rPr>
                <w:sz w:val="20"/>
                <w:szCs w:val="20"/>
                <w:color w:val="auto"/>
              </w:rPr>
            </w:pPr>
            <w:r>
              <w:rPr>
                <w:rFonts w:ascii="Arial" w:cs="Arial" w:eastAsia="Arial" w:hAnsi="Arial"/>
                <w:sz w:val="22"/>
                <w:szCs w:val="22"/>
                <w:color w:val="auto"/>
              </w:rPr>
              <w:t>Jason P. Wells</w:t>
            </w: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160" w:type="dxa"/>
            <w:vAlign w:val="bottom"/>
            <w:gridSpan w:val="2"/>
          </w:tcPr>
          <w:p>
            <w:pPr>
              <w:ind w:left="140"/>
              <w:spacing w:after="0"/>
              <w:rPr>
                <w:sz w:val="20"/>
                <w:szCs w:val="20"/>
                <w:color w:val="auto"/>
              </w:rPr>
            </w:pPr>
            <w:r>
              <w:rPr>
                <w:rFonts w:ascii="Arial" w:cs="Arial" w:eastAsia="Arial" w:hAnsi="Arial"/>
                <w:sz w:val="22"/>
                <w:szCs w:val="22"/>
                <w:color w:val="auto"/>
                <w:w w:val="92"/>
              </w:rPr>
              <w:t>Chief Financial Officer</w:t>
            </w:r>
          </w:p>
        </w:tc>
      </w:tr>
    </w:tbl>
    <w:p>
      <w:pPr>
        <w:spacing w:after="0" w:line="200" w:lineRule="exact"/>
        <w:rPr>
          <w:sz w:val="20"/>
          <w:szCs w:val="20"/>
          <w:color w:val="auto"/>
        </w:rPr>
      </w:pPr>
    </w:p>
    <w:p>
      <w:pPr>
        <w:spacing w:after="0" w:line="208"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SOUTHERN COL MIDCO, LLC,</w:t>
      </w:r>
    </w:p>
    <w:p>
      <w:pPr>
        <w:spacing w:after="0" w:line="197"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96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w w:val="90"/>
              </w:rPr>
              <w:t>/s/ Kurt Adams</w:t>
            </w:r>
          </w:p>
        </w:tc>
      </w:tr>
      <w:tr>
        <w:trPr>
          <w:trHeight w:val="269"/>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1960" w:type="dxa"/>
            <w:vAlign w:val="bottom"/>
          </w:tcPr>
          <w:p>
            <w:pPr>
              <w:jc w:val="right"/>
              <w:ind w:right="532"/>
              <w:spacing w:after="0"/>
              <w:rPr>
                <w:sz w:val="20"/>
                <w:szCs w:val="20"/>
                <w:color w:val="auto"/>
              </w:rPr>
            </w:pPr>
            <w:r>
              <w:rPr>
                <w:rFonts w:ascii="Arial" w:cs="Arial" w:eastAsia="Arial" w:hAnsi="Arial"/>
                <w:sz w:val="22"/>
                <w:szCs w:val="22"/>
                <w:color w:val="auto"/>
              </w:rPr>
              <w:t>Kurt Adams</w:t>
            </w: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28"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0"/>
          <w:szCs w:val="20"/>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CENTERPOINT ENERGY RESOURCES CORP.</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(formerly known as NorAm Energy Corp.)</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BANK OF NEW YORK MELLON TRUST COMPANY, N.A.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JPMorgan Chase Bank, National Association (formerly Chase Bank of Texas, National Association))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 NO. 19</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March 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$1,000,000,000 Floating Rate Senior Notes due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60415277</w:t>
      </w:r>
    </w:p>
    <w:p>
      <w:pPr>
        <w:sectPr>
          <w:pgSz w:w="11900" w:h="16838" w:orient="portrait"/>
          <w:cols w:equalWidth="0" w:num="1">
            <w:col w:w="11240"/>
          </w:cols>
          <w:pgMar w:left="320" w:top="846"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22"/>
          <w:szCs w:val="22"/>
          <w:color w:val="auto"/>
        </w:rPr>
        <w:t>CENTERPOINT ENERGY RESOURCES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SUPPLEMENTAL INDENTURE NO. 19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Floating Rate Senior Notes due 2023</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SUPPLEMENTAL INDENTURE No. 19, dated as of March 2, 2021, between CENTERPOINT ENERGY RESOURCES CORP., a Delaware corporation formerly known as NorAm Energy Corp.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BANK OF NEW YORK MELLON TRUST COMPANY, N.A. (successor to JPMorgan Chase Bank, National Association (formerly Chase Bank of Texas, National Association)),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has heretofore executed and delivered to the Trustee an Indenture, dated as of February 1, 1998 (the “</w:t>
      </w:r>
      <w:r>
        <w:rPr>
          <w:rFonts w:ascii="Arial" w:cs="Arial" w:eastAsia="Arial" w:hAnsi="Arial"/>
          <w:sz w:val="22"/>
          <w:szCs w:val="22"/>
          <w:u w:val="single" w:color="auto"/>
          <w:color w:val="auto"/>
        </w:rPr>
        <w:t>Original Indenture</w:t>
      </w:r>
      <w:r>
        <w:rPr>
          <w:rFonts w:ascii="Arial" w:cs="Arial" w:eastAsia="Arial" w:hAnsi="Arial"/>
          <w:sz w:val="22"/>
          <w:szCs w:val="22"/>
          <w:color w:val="auto"/>
        </w:rPr>
        <w:t>” and, as previously and hereby supplemented and amended, the “</w:t>
      </w:r>
      <w:r>
        <w:rPr>
          <w:rFonts w:ascii="Arial" w:cs="Arial" w:eastAsia="Arial" w:hAnsi="Arial"/>
          <w:sz w:val="22"/>
          <w:szCs w:val="22"/>
          <w:u w:val="single" w:color="auto"/>
          <w:color w:val="auto"/>
        </w:rPr>
        <w:t>Indenture</w:t>
      </w:r>
      <w:r>
        <w:rPr>
          <w:rFonts w:ascii="Arial" w:cs="Arial" w:eastAsia="Arial" w:hAnsi="Arial"/>
          <w:sz w:val="22"/>
          <w:szCs w:val="22"/>
          <w:color w:val="auto"/>
        </w:rPr>
        <w:t>”), providing for the issuance from time to time of one or more series of the Company’s Securities.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has changed its name from “NorAm Energy Corp.” to “CenterPoint Energy Resources Corp.” and all references in the Indenture to the “Company” or “NorAm Energy Corp.” shall be deemed to refer to CenterPoint Energy Resources Corp.</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Pursuant to the terms of the Indenture, the Company desires to provide for the establishment of a new series of Securities to be designated as the “Floating Rate Senior Notes due 2023” (the “</w:t>
      </w:r>
      <w:r>
        <w:rPr>
          <w:rFonts w:ascii="Arial" w:cs="Arial" w:eastAsia="Arial" w:hAnsi="Arial"/>
          <w:sz w:val="19"/>
          <w:szCs w:val="19"/>
          <w:u w:val="single" w:color="auto"/>
          <w:color w:val="auto"/>
        </w:rPr>
        <w:t>Notes</w:t>
      </w:r>
      <w:r>
        <w:rPr>
          <w:rFonts w:ascii="Arial" w:cs="Arial" w:eastAsia="Arial" w:hAnsi="Arial"/>
          <w:sz w:val="19"/>
          <w:szCs w:val="19"/>
          <w:color w:val="auto"/>
        </w:rPr>
        <w:t>”), the form and substance of such Notes and the terms, provisions and conditions thereof to be set forth as provided in the Original Indenture and this Supplemental Indenture No. 19.</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301 of the Original Indenture provides that various matters with respect to any series of Securities issued under the Indenture may be established in an indenture supplemental to the Indenture.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8"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color w:val="auto"/>
        </w:rPr>
        <w:t>ARTICLE ONE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Relation to Indenture; Additional Definitions</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Relation to Indenture</w:t>
      </w:r>
      <w:r>
        <w:rPr>
          <w:rFonts w:ascii="Arial" w:cs="Arial" w:eastAsia="Arial" w:hAnsi="Arial"/>
          <w:sz w:val="22"/>
          <w:szCs w:val="22"/>
          <w:color w:val="auto"/>
        </w:rPr>
        <w:t>. This Supplemental Indenture No. 19 constitutes an integral part of the Original Indenture.</w:t>
      </w:r>
    </w:p>
    <w:p>
      <w:pPr>
        <w:spacing w:after="0" w:line="202" w:lineRule="exact"/>
        <w:rPr>
          <w:sz w:val="20"/>
          <w:szCs w:val="20"/>
          <w:color w:val="auto"/>
        </w:rPr>
      </w:pPr>
    </w:p>
    <w:p>
      <w:pPr>
        <w:ind w:left="660"/>
        <w:spacing w:after="0"/>
        <w:tabs>
          <w:tab w:leader="none" w:pos="1880" w:val="left"/>
          <w:tab w:leader="none" w:pos="40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22"/>
          <w:szCs w:val="22"/>
          <w:i w:val="1"/>
          <w:iCs w:val="1"/>
          <w:color w:val="auto"/>
        </w:rPr>
        <w:t>Additional Definitions.</w:t>
      </w:r>
      <w:r>
        <w:rPr>
          <w:sz w:val="20"/>
          <w:szCs w:val="20"/>
          <w:color w:val="auto"/>
        </w:rPr>
        <w:tab/>
      </w:r>
      <w:r>
        <w:rPr>
          <w:rFonts w:ascii="Arial" w:cs="Arial" w:eastAsia="Arial" w:hAnsi="Arial"/>
          <w:sz w:val="19"/>
          <w:szCs w:val="19"/>
          <w:color w:val="auto"/>
        </w:rPr>
        <w:t>For all purposes of this Supplemental Indenture No. 19:</w:t>
      </w:r>
    </w:p>
    <w:p>
      <w:pPr>
        <w:spacing w:after="0" w:line="247"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Capitalized terms used but not defined in this Supplement Indenture No. 19 have the meaning given such terms in the Original Indenture. Capitalized terms defined in both this Supplemental Indenture No. 19 and in the Original Indenture have the meaning given such terms in this Supplemental Indenture No. 19.</w:t>
      </w:r>
    </w:p>
    <w:p>
      <w:pPr>
        <w:spacing w:after="0" w:line="212"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means, initially, the Three-Month LIBOR Rate; provided that if a Benchmark Transition Event and its related Benchmark Replacement Date have occurred with respect to the Three-Month LIBOR Rate or the then-current Benchmark, then “Benchmark” means the applicable Benchmark Replacement.</w:t>
      </w:r>
    </w:p>
    <w:p>
      <w:pPr>
        <w:spacing w:after="0" w:line="212"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means the Interpolated Benchmark with respect to the then-current Benchmark, plus the Benchmark Replacement Adjustment for such Benchmark; provided that if the Company (or the Designee) cannot determine the Interpolated Benchmark as of the Benchmark Replacement Date, then “Benchmark Replacement” means the first alternative set forth in the order below that can be determined by the Company (or the Designee) as of the Benchmark Replacement Date:</w:t>
      </w:r>
    </w:p>
    <w:p>
      <w:pPr>
        <w:spacing w:after="0" w:line="219" w:lineRule="exact"/>
        <w:rPr>
          <w:sz w:val="20"/>
          <w:szCs w:val="20"/>
          <w:color w:val="auto"/>
        </w:rPr>
      </w:pPr>
    </w:p>
    <w:p>
      <w:pPr>
        <w:ind w:left="1940" w:hanging="636"/>
        <w:spacing w:after="0"/>
        <w:tabs>
          <w:tab w:leader="none" w:pos="19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sum of: (a) Term SOFR and (b) the Benchmark Replacement Adjustment;</w:t>
      </w:r>
    </w:p>
    <w:p>
      <w:pPr>
        <w:spacing w:after="0" w:line="246" w:lineRule="exact"/>
        <w:rPr>
          <w:rFonts w:ascii="Arial" w:cs="Arial" w:eastAsia="Arial" w:hAnsi="Arial"/>
          <w:sz w:val="22"/>
          <w:szCs w:val="22"/>
          <w:color w:val="auto"/>
        </w:rPr>
      </w:pPr>
    </w:p>
    <w:p>
      <w:pPr>
        <w:ind w:left="1940" w:hanging="636"/>
        <w:spacing w:after="0"/>
        <w:tabs>
          <w:tab w:leader="none" w:pos="19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sum of: (a) Compounded SOFR and (b) the Benchmark Replacement Adjustment;</w:t>
      </w:r>
    </w:p>
    <w:p>
      <w:pPr>
        <w:spacing w:after="0" w:line="246"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sum of: (a) the alternate rate of interest that has been selected or recommended by the Relevant Governmental Body as the replacement for the then-current Benchmark for the applicable Corresponding Tenor and (b) the Benchmark Replacement Adjustment;</w:t>
      </w:r>
    </w:p>
    <w:p>
      <w:pPr>
        <w:spacing w:after="0" w:line="212" w:lineRule="exact"/>
        <w:rPr>
          <w:rFonts w:ascii="Arial" w:cs="Arial" w:eastAsia="Arial" w:hAnsi="Arial"/>
          <w:sz w:val="22"/>
          <w:szCs w:val="22"/>
          <w:color w:val="auto"/>
        </w:rPr>
      </w:pPr>
    </w:p>
    <w:p>
      <w:pPr>
        <w:ind w:left="1940" w:hanging="636"/>
        <w:spacing w:after="0"/>
        <w:tabs>
          <w:tab w:leader="none" w:pos="19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sum of: (a) the ISDA Fallback Rate and (b) the Benchmark Replacement Adjustment; and</w:t>
      </w:r>
    </w:p>
    <w:p>
      <w:pPr>
        <w:spacing w:after="0" w:line="246" w:lineRule="exact"/>
        <w:rPr>
          <w:rFonts w:ascii="Arial" w:cs="Arial" w:eastAsia="Arial" w:hAnsi="Arial"/>
          <w:sz w:val="22"/>
          <w:szCs w:val="22"/>
          <w:color w:val="auto"/>
        </w:rPr>
      </w:pPr>
    </w:p>
    <w:p>
      <w:pPr>
        <w:jc w:val="both"/>
        <w:ind w:left="660" w:firstLine="644"/>
        <w:spacing w:after="0" w:line="265" w:lineRule="auto"/>
        <w:tabs>
          <w:tab w:leader="none" w:pos="1634"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sum of: (a) the alternate rate of interest that has been selected by the Company (or the Designee) as the replacement for the then-current Benchmark for the applicable Corresponding Tenor giving due consideration to any industry-accepted rate of interest as a replacement for the then-current Benchmark for U.S. dollar denominated floating rate notes at such time and (b) the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96" w:name="page197"/>
    <w:bookmarkEnd w:id="196"/>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the first alternative set forth in the order below that can be determined by the Company (or the Designee) as of the Benchmark Replacement Date:</w:t>
      </w:r>
    </w:p>
    <w:p>
      <w:pPr>
        <w:spacing w:after="0" w:line="202" w:lineRule="exact"/>
        <w:rPr>
          <w:sz w:val="20"/>
          <w:szCs w:val="20"/>
          <w:color w:val="auto"/>
        </w:rPr>
      </w:pPr>
    </w:p>
    <w:p>
      <w:pPr>
        <w:jc w:val="both"/>
        <w:ind w:firstLine="644"/>
        <w:spacing w:after="0" w:line="253" w:lineRule="auto"/>
        <w:tabs>
          <w:tab w:leader="none" w:pos="98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212" w:lineRule="exact"/>
        <w:rPr>
          <w:rFonts w:ascii="Arial" w:cs="Arial" w:eastAsia="Arial" w:hAnsi="Arial"/>
          <w:sz w:val="22"/>
          <w:szCs w:val="22"/>
          <w:color w:val="auto"/>
        </w:rPr>
      </w:pPr>
    </w:p>
    <w:p>
      <w:pPr>
        <w:ind w:firstLine="644"/>
        <w:spacing w:after="0" w:line="263" w:lineRule="auto"/>
        <w:tabs>
          <w:tab w:leader="none" w:pos="96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if the applicable Unadjusted Benchmark Replacement is equivalent to the ISDA Fallback Rate, then the ISDA Fallback Adjustment; and</w:t>
      </w:r>
    </w:p>
    <w:p>
      <w:pPr>
        <w:spacing w:after="0" w:line="201" w:lineRule="exact"/>
        <w:rPr>
          <w:rFonts w:ascii="Arial" w:cs="Arial" w:eastAsia="Arial" w:hAnsi="Arial"/>
          <w:sz w:val="22"/>
          <w:szCs w:val="22"/>
          <w:color w:val="auto"/>
        </w:rPr>
      </w:pPr>
    </w:p>
    <w:p>
      <w:pPr>
        <w:jc w:val="both"/>
        <w:ind w:firstLine="644"/>
        <w:spacing w:after="0" w:line="265" w:lineRule="auto"/>
        <w:tabs>
          <w:tab w:leader="none" w:pos="992"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spread adjustment (which may be a positive or negative value or zero) that has been selected by the Company (or the Designee) giving due consideration to any industry-accepted spread adjustment, or method for calculating or determining such spread adjustment, for the replacement of the then-current Benchmark with the applicable Unadjusted Benchmark Replacement for U.S. dollar denominated floating rate notes at such time.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Benchmark Replacement Adjustment shall not include the Margin and such Margin shall be applied to the Benchmark Replacement to determine the interest payable on the Notes.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“interest period,” timing and frequency of determining rates and making payments of interest, rounding of amounts or tenor, and other administrative matters) that the Company (or the Designee) decides may be appropriate to reflect the adoption of such Benchmark Replacement in a manner substantially consistent with market practice (or, if the Company (or the Designee) decides that adoption of any portion of such market practice is not administratively feasible or if the Company (or the Designee) determine that no market practice for use of the Benchmark Replacement exists, in such other manner as the Company (or the Designee) determines is reasonably necessary).</w:t>
      </w: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the earliest to occur of the following events with respect to the then current Benchmark:</w:t>
      </w:r>
    </w:p>
    <w:p>
      <w:pPr>
        <w:spacing w:after="0" w:line="202" w:lineRule="exact"/>
        <w:rPr>
          <w:sz w:val="20"/>
          <w:szCs w:val="20"/>
          <w:color w:val="auto"/>
        </w:rPr>
      </w:pPr>
    </w:p>
    <w:p>
      <w:pPr>
        <w:jc w:val="both"/>
        <w:ind w:right="20" w:firstLine="644"/>
        <w:spacing w:after="0" w:line="253" w:lineRule="auto"/>
        <w:tabs>
          <w:tab w:leader="none" w:pos="95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0"/>
          </w:cols>
          <w:pgMar w:left="980" w:top="1440" w:right="339" w:bottom="1440" w:gutter="0" w:footer="0" w:header="0"/>
        </w:sectPr>
      </w:pPr>
    </w:p>
    <w:bookmarkStart w:id="197" w:name="page198"/>
    <w:bookmarkEnd w:id="197"/>
    <w:p>
      <w:pPr>
        <w:ind w:firstLine="644"/>
        <w:spacing w:after="0" w:line="263" w:lineRule="auto"/>
        <w:tabs>
          <w:tab w:leader="none" w:pos="96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202" w:lineRule="exact"/>
        <w:rPr>
          <w:sz w:val="20"/>
          <w:szCs w:val="20"/>
          <w:color w:val="auto"/>
        </w:rPr>
      </w:pPr>
    </w:p>
    <w:p>
      <w:pPr>
        <w:jc w:val="both"/>
        <w:ind w:firstLine="644"/>
        <w:spacing w:after="0" w:line="250" w:lineRule="auto"/>
        <w:tabs>
          <w:tab w:leader="none" w:pos="998"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214" w:lineRule="exact"/>
        <w:rPr>
          <w:rFonts w:ascii="Arial" w:cs="Arial" w:eastAsia="Arial" w:hAnsi="Arial"/>
          <w:sz w:val="22"/>
          <w:szCs w:val="22"/>
          <w:color w:val="auto"/>
        </w:rPr>
      </w:pPr>
    </w:p>
    <w:p>
      <w:pPr>
        <w:jc w:val="both"/>
        <w:ind w:firstLine="644"/>
        <w:spacing w:after="0" w:line="246" w:lineRule="auto"/>
        <w:tabs>
          <w:tab w:leader="none" w:pos="99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223" w:lineRule="exact"/>
        <w:rPr>
          <w:rFonts w:ascii="Arial" w:cs="Arial" w:eastAsia="Arial" w:hAnsi="Arial"/>
          <w:sz w:val="22"/>
          <w:szCs w:val="22"/>
          <w:color w:val="auto"/>
        </w:rPr>
      </w:pPr>
    </w:p>
    <w:p>
      <w:pPr>
        <w:ind w:firstLine="644"/>
        <w:spacing w:after="0" w:line="263" w:lineRule="auto"/>
        <w:tabs>
          <w:tab w:leader="none" w:pos="99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the Benchmark announcing that the Benchmark is no longer representative.</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with respect to any Note, any day other than a Saturday, a Sunday or a day on which banking institutions or trust companies in The City of New York are generally authorized or required by law or executive order to remain closed. If any Interest Payment Date, Stated Maturity or Redemption Date of a Note falls on a day that is not a Business Day, the required payment will be made on the next succeeding Business Day with the same force and effect as if made on the relevant date that the payment was due and no interest will accrue on such payment for the period from and after the Interest Payment Date, Stated Maturity or Redemption Date, as the case may be, to the date of that payment on the next succeeding Business Day.</w:t>
      </w:r>
    </w:p>
    <w:p>
      <w:pPr>
        <w:spacing w:after="0" w:line="2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Calculation Agent</w:t>
      </w:r>
      <w:r>
        <w:rPr>
          <w:rFonts w:ascii="Arial" w:cs="Arial" w:eastAsia="Arial" w:hAnsi="Arial"/>
          <w:sz w:val="22"/>
          <w:szCs w:val="22"/>
          <w:color w:val="auto"/>
        </w:rPr>
        <w:t>” means a banking institution or trust company appointed by the Company to act as calculation agent, initially The Bank of New York Mellon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28" w:right="339" w:bottom="1440" w:gutter="0" w:footer="0" w:header="0"/>
        </w:sectPr>
      </w:pPr>
    </w:p>
    <w:bookmarkStart w:id="198" w:name="page199"/>
    <w:bookmarkEnd w:id="198"/>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Compounded SOFR</w:t>
      </w:r>
      <w:r>
        <w:rPr>
          <w:rFonts w:ascii="Arial" w:cs="Arial" w:eastAsia="Arial" w:hAnsi="Arial"/>
          <w:sz w:val="22"/>
          <w:szCs w:val="22"/>
          <w:color w:val="auto"/>
        </w:rPr>
        <w:t>” means the compounded average of SOFRs for the applicable Corresponding Tenor, with the rate, or methodology for this rate, and conventions for this rate being established by the Company (or the Designee) in accordance with:</w:t>
      </w:r>
    </w:p>
    <w:p>
      <w:pPr>
        <w:spacing w:after="0" w:line="212" w:lineRule="exact"/>
        <w:rPr>
          <w:sz w:val="20"/>
          <w:szCs w:val="20"/>
          <w:color w:val="auto"/>
        </w:rPr>
      </w:pPr>
    </w:p>
    <w:p>
      <w:pPr>
        <w:ind w:left="4" w:firstLine="644"/>
        <w:spacing w:after="0" w:line="263" w:lineRule="auto"/>
        <w:tabs>
          <w:tab w:leader="none" w:pos="97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rate, or methodology for this rate, and conventions for this rate selected or recommended by the Relevant Governmental Body for determining Compounded SOFR; provided that:</w:t>
      </w:r>
    </w:p>
    <w:p>
      <w:pPr>
        <w:spacing w:after="0" w:line="201" w:lineRule="exact"/>
        <w:rPr>
          <w:rFonts w:ascii="Arial" w:cs="Arial" w:eastAsia="Arial" w:hAnsi="Arial"/>
          <w:sz w:val="22"/>
          <w:szCs w:val="22"/>
          <w:color w:val="auto"/>
        </w:rPr>
      </w:pPr>
    </w:p>
    <w:p>
      <w:pPr>
        <w:jc w:val="both"/>
        <w:ind w:left="4" w:firstLine="644"/>
        <w:spacing w:after="0" w:line="265" w:lineRule="auto"/>
        <w:tabs>
          <w:tab w:leader="none" w:pos="1002" w:val="left"/>
        </w:tabs>
        <w:numPr>
          <w:ilvl w:val="0"/>
          <w:numId w:val="187"/>
        </w:numPr>
        <w:rPr>
          <w:rFonts w:ascii="Arial" w:cs="Arial" w:eastAsia="Arial" w:hAnsi="Arial"/>
          <w:sz w:val="21"/>
          <w:szCs w:val="21"/>
          <w:color w:val="auto"/>
        </w:rPr>
      </w:pPr>
      <w:r>
        <w:rPr>
          <w:rFonts w:ascii="Arial" w:cs="Arial" w:eastAsia="Arial" w:hAnsi="Arial"/>
          <w:sz w:val="21"/>
          <w:szCs w:val="21"/>
          <w:color w:val="auto"/>
        </w:rPr>
        <w:t>if, and to the extent that, the Company (or the Designee) determine that Compounded SOFR cannot be determined in accordance with clause (1) above, then the rate, or methodology for this rate, and conventions for this rate that have been selected by the Company (or the Designee) giving due consideration to any industry-accepted market practice for U.S. dollar denominated floating rate notes at such time.</w:t>
      </w:r>
    </w:p>
    <w:p>
      <w:pPr>
        <w:spacing w:after="0" w:line="202"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22"/>
          <w:szCs w:val="22"/>
          <w:color w:val="auto"/>
        </w:rPr>
        <w:t>For the avoidance of doubt, the calculation of Compounded SOFR shall exclude the Benchmark Replacement Adjustment and the Margin.</w:t>
      </w:r>
    </w:p>
    <w:p>
      <w:pPr>
        <w:spacing w:after="0" w:line="202"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 Benchmark Replacement means a tenor (including overnight) having approximately the same length (disregarding business day adjustment) as the applicable tenor for the then-current Benchmark.</w:t>
      </w:r>
    </w:p>
    <w:p>
      <w:pPr>
        <w:spacing w:after="0" w:line="212"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Tangible Assets</w:t>
      </w:r>
      <w:r>
        <w:rPr>
          <w:rFonts w:ascii="Arial" w:cs="Arial" w:eastAsia="Arial" w:hAnsi="Arial"/>
          <w:sz w:val="19"/>
          <w:szCs w:val="19"/>
          <w:color w:val="auto"/>
        </w:rPr>
        <w:t>” means the total amount of assets of the Company, including the assets of its Subsidiaries, less, without duplication: (a) total current liabilities (excluding indebtedness due within 12 months); (b) all reserves for depreciation and other asset valuation reserves, but excluding reserves for deferred federal income taxes;</w:t>
      </w:r>
    </w:p>
    <w:p>
      <w:pPr>
        <w:spacing w:after="0" w:line="1" w:lineRule="exact"/>
        <w:rPr>
          <w:sz w:val="20"/>
          <w:szCs w:val="20"/>
          <w:color w:val="auto"/>
        </w:rPr>
      </w:pPr>
    </w:p>
    <w:p>
      <w:pPr>
        <w:jc w:val="both"/>
        <w:ind w:left="4" w:hanging="4"/>
        <w:spacing w:after="0" w:line="244" w:lineRule="auto"/>
        <w:tabs>
          <w:tab w:leader="none" w:pos="318"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all intangible assets such as goodwill, trademarks, trade names, patents and unamortized debt discount and expense carried as an asset; and (d) all appropriate adjustments on account of minority interests of other Persons holding common stock of any Subsidiary, all as reflected in the Company’s most recent audited consolidated balance sheet preceding the date of such determination.</w:t>
      </w:r>
    </w:p>
    <w:p>
      <w:pPr>
        <w:spacing w:after="0" w:line="236"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“controlled by” and “under common control with”) means the possession, direct or indirect, of the power to direct or cause the direction of the management and policies of a Person, whether through the ownership of voting shares, by contract, or otherwise.</w:t>
      </w:r>
    </w:p>
    <w:p>
      <w:pPr>
        <w:spacing w:after="0" w:line="212" w:lineRule="exact"/>
        <w:rPr>
          <w:sz w:val="20"/>
          <w:szCs w:val="20"/>
          <w:color w:val="auto"/>
        </w:rPr>
      </w:pPr>
    </w:p>
    <w:p>
      <w:pPr>
        <w:jc w:val="both"/>
        <w:ind w:left="4"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Trust Office</w:t>
      </w:r>
      <w:r>
        <w:rPr>
          <w:rFonts w:ascii="Arial" w:cs="Arial" w:eastAsia="Arial" w:hAnsi="Arial"/>
          <w:sz w:val="19"/>
          <w:szCs w:val="19"/>
          <w:color w:val="auto"/>
        </w:rPr>
        <w:t>” means the principal office of the Trustee at which at any particular time its corporate trust business shall be administered, which office as of the date hereof is located at: 601 Travis Street, 16th Floor, Houston, Texas 77002, Attention: Global Corporate Trust; telephone: (713) 483-6817; telecopy: (713) 483-7038.</w:t>
      </w:r>
    </w:p>
    <w:p>
      <w:pPr>
        <w:spacing w:after="0" w:line="160"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Designee</w:t>
      </w:r>
      <w:r>
        <w:rPr>
          <w:rFonts w:ascii="Arial" w:cs="Arial" w:eastAsia="Arial" w:hAnsi="Arial"/>
          <w:sz w:val="22"/>
          <w:szCs w:val="22"/>
          <w:color w:val="auto"/>
        </w:rPr>
        <w:t>” means an independent financial advisor or such other designee of the Company. For the avoidance of doubt, in no event shall the Calculation Agent or the Trustee be the Designee.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4"/>
          </w:cols>
          <w:pgMar w:left="976" w:top="1428" w:right="339" w:bottom="1440" w:gutter="0" w:footer="0" w:header="0"/>
        </w:sectPr>
      </w:pPr>
    </w:p>
    <w:bookmarkStart w:id="199" w:name="page200"/>
    <w:bookmarkEnd w:id="199"/>
    <w:p>
      <w:pPr>
        <w:spacing w:after="0" w:line="231"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any capital stock, partnership, joint venture, member or limited liability or unlimited liability company interest, beneficial interest in a trust or similar entity or other equity interest or investment of whatever nature.</w:t>
      </w:r>
    </w:p>
    <w:p>
      <w:pPr>
        <w:spacing w:after="0" w:line="226"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Bank of New York’s Website</w:t>
      </w:r>
      <w:r>
        <w:rPr>
          <w:rFonts w:ascii="Arial" w:cs="Arial" w:eastAsia="Arial" w:hAnsi="Arial"/>
          <w:sz w:val="22"/>
          <w:szCs w:val="22"/>
          <w:color w:val="auto"/>
        </w:rPr>
        <w:t>” means the website of the Federal Reserve Bank of New York at http://www.newyorkfed.org, or any successor source.</w:t>
      </w:r>
    </w:p>
    <w:p>
      <w:pPr>
        <w:spacing w:after="0" w:line="202"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Finance Lease</w:t>
      </w:r>
      <w:r>
        <w:rPr>
          <w:rFonts w:ascii="Arial" w:cs="Arial" w:eastAsia="Arial" w:hAnsi="Arial"/>
          <w:sz w:val="22"/>
          <w:szCs w:val="22"/>
          <w:color w:val="auto"/>
        </w:rPr>
        <w:t>” means a lease that, in accordance with accounting principles generally accepted in the United States of America, would be recorded as a finance lease on the balance sheet of the lessee, but excluding, for the avoidance of doubt, any operating leases or any other non-finance leases.</w:t>
      </w:r>
    </w:p>
    <w:p>
      <w:pPr>
        <w:spacing w:after="0" w:line="212"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as applied to the Company or any Subsidiary, means bonds, debentures, notes and other instruments or arrangements representing obligations created or assumed by the Company or any such Subsidiary, including any and all: (i) obligations for money borrowed (other than unamortized debt discount or premium);</w:t>
      </w:r>
    </w:p>
    <w:p>
      <w:pPr>
        <w:spacing w:after="0" w:line="1" w:lineRule="exact"/>
        <w:rPr>
          <w:sz w:val="20"/>
          <w:szCs w:val="20"/>
          <w:color w:val="auto"/>
        </w:rPr>
      </w:pPr>
    </w:p>
    <w:p>
      <w:pPr>
        <w:jc w:val="both"/>
        <w:ind w:left="4" w:hanging="4"/>
        <w:spacing w:after="0" w:line="285" w:lineRule="auto"/>
        <w:tabs>
          <w:tab w:leader="none" w:pos="363" w:val="left"/>
        </w:tabs>
        <w:numPr>
          <w:ilvl w:val="0"/>
          <w:numId w:val="189"/>
        </w:numPr>
        <w:rPr>
          <w:rFonts w:ascii="Arial" w:cs="Arial" w:eastAsia="Arial" w:hAnsi="Arial"/>
          <w:sz w:val="19"/>
          <w:szCs w:val="19"/>
          <w:color w:val="auto"/>
        </w:rPr>
      </w:pPr>
      <w:r>
        <w:rPr>
          <w:rFonts w:ascii="Arial" w:cs="Arial" w:eastAsia="Arial" w:hAnsi="Arial"/>
          <w:sz w:val="19"/>
          <w:szCs w:val="19"/>
          <w:color w:val="auto"/>
        </w:rPr>
        <w:t>obligations evidenced by a note or similar instrument given in connection with the acquisition of any business, properties or assets of any kind; (iii) obligations as lessee under a Finance Lease; and (iv) amendments, renewals, extensions, modifications and refundings of any such indebtedness or obligation listed in clause (i), (ii) or (iii) above. All indebtedness secured by a lien upon property owned by the Company or any Subsidiary and upon which indebtedness the Company or any such Subsidiary customarily pays interest, although the Company or any such Subsidiary has not assumed or become liable for the payment of such indebtedness, shall for all purposes hereof be deemed to be indebtedness of the Company or any such Subsidiary. All indebtedness for borrowed money incurred by other Persons which is directly guaranteed as to payment of principal by the Company or any Subsidiary shall for all purposes hereof be deemed to be indebtedness of the Company or any such Subsidiary, as applicable, but no other contingent obligation of the Company or any such Subsidiary in respect of indebtedness incurred by other Persons shall for any purpose be deemed to be indebtedness of the Company or any such Subsidiary.</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has the meaning set forth in Section 204(b) hereof.</w:t>
      </w:r>
    </w:p>
    <w:p>
      <w:pPr>
        <w:spacing w:after="0" w:line="260"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Interpolated Benchmark</w:t>
      </w:r>
      <w:r>
        <w:rPr>
          <w:rFonts w:ascii="Arial" w:cs="Arial" w:eastAsia="Arial" w:hAnsi="Arial"/>
          <w:sz w:val="22"/>
          <w:szCs w:val="22"/>
          <w:color w:val="auto"/>
        </w:rPr>
        <w:t>”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w:t>
      </w:r>
    </w:p>
    <w:p>
      <w:pPr>
        <w:spacing w:after="0" w:line="215"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440" w:right="339" w:bottom="1440" w:gutter="0" w:footer="0" w:header="0"/>
        </w:sectPr>
      </w:pPr>
    </w:p>
    <w:bookmarkStart w:id="200" w:name="page201"/>
    <w:bookmarkEnd w:id="200"/>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Fallback Adjustment</w:t>
      </w:r>
      <w:r>
        <w:rPr>
          <w:rFonts w:ascii="Arial" w:cs="Arial" w:eastAsia="Arial" w:hAnsi="Arial"/>
          <w:sz w:val="22"/>
          <w:szCs w:val="22"/>
          <w:color w:val="auto"/>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Fallback Rate</w:t>
      </w:r>
      <w:r>
        <w:rPr>
          <w:rFonts w:ascii="Arial" w:cs="Arial" w:eastAsia="Arial" w:hAnsi="Arial"/>
          <w:sz w:val="22"/>
          <w:szCs w:val="22"/>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has the meaning set forth in Section 204(a) hereof.</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Business Day</w:t>
      </w:r>
      <w:r>
        <w:rPr>
          <w:rFonts w:ascii="Arial" w:cs="Arial" w:eastAsia="Arial" w:hAnsi="Arial"/>
          <w:sz w:val="22"/>
          <w:szCs w:val="22"/>
          <w:color w:val="auto"/>
        </w:rPr>
        <w:t>” means any day on which dealings in deposits in U.S. Dollars are transacted in the London Inter-Bank Market.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Interest Determination Date</w:t>
      </w:r>
      <w:r>
        <w:rPr>
          <w:rFonts w:ascii="Arial" w:cs="Arial" w:eastAsia="Arial" w:hAnsi="Arial"/>
          <w:sz w:val="22"/>
          <w:szCs w:val="22"/>
          <w:color w:val="auto"/>
        </w:rPr>
        <w:t>” means (i) the second LIBOR Business Day preceding each LIBOR Rate Reset Date or (ii) March 1, 2021 in the case of the initial interest period.</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Rate Reset Date</w:t>
      </w:r>
      <w:r>
        <w:rPr>
          <w:rFonts w:ascii="Arial" w:cs="Arial" w:eastAsia="Arial" w:hAnsi="Arial"/>
          <w:sz w:val="22"/>
          <w:szCs w:val="22"/>
          <w:color w:val="auto"/>
        </w:rPr>
        <w:t>” has the meaning set forth in Section 204(b) hereof.</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deed of trust, pledge, hypothecation, assignment, deposit arrangement, charge, security interest, encumbrance or lien of any kind whatsoever (including any Finance Lease).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w:t>
      </w:r>
      <w:r>
        <w:rPr>
          <w:rFonts w:ascii="Arial" w:cs="Arial" w:eastAsia="Arial" w:hAnsi="Arial"/>
          <w:sz w:val="22"/>
          <w:szCs w:val="22"/>
          <w:color w:val="auto"/>
        </w:rPr>
        <w:t>” has the meaning set forth in Section 204(a)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has the meaning set forth in Section 203 hereof.</w:t>
      </w:r>
    </w:p>
    <w:p>
      <w:pPr>
        <w:spacing w:after="0" w:line="2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Non-Recourse Debt</w:t>
      </w:r>
      <w:r>
        <w:rPr>
          <w:rFonts w:ascii="Arial" w:cs="Arial" w:eastAsia="Arial" w:hAnsi="Arial"/>
          <w:sz w:val="19"/>
          <w:szCs w:val="19"/>
          <w:color w:val="auto"/>
        </w:rPr>
        <w:t>” means (i) any indebtedness for borrowed money incurred by any Project Finance Subsidiary to finance the acquisition, improvement, installation, design, engineering, construction, development, completion, maintenance or operation of, or otherwise to pay costs and expenses relating to or providing financing for, any project, which indebtedness for borrowed money does not provide for recourse against the Company or any Subsidiary of the Company (other than a Project Finance Subsidiary and such recourse as exists under a Performance Guaranty) or any property or asset of the Company or any Subsidiary of the Company (other than Equity Interests in, or the property or assets of, a Project Finance Subsidiary and such recourse as exists under a Performance Guaranty) and (ii) any refinancing of such indebtedness for borrowed money that does not increase the outstanding principal amount thereof (other than to pay costs incurred in connection therewith and the capitalization of any interest or fees) at the time of the refinancing or increase the property subject to any lien securing such indebtedness for borrowed money or otherwise add additional security or support for such indebtedness for borrowed money.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40" w:right="339" w:bottom="1440" w:gutter="0" w:footer="0" w:header="0"/>
        </w:sectPr>
      </w:pPr>
    </w:p>
    <w:bookmarkStart w:id="201" w:name="page202"/>
    <w:bookmarkEnd w:id="201"/>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has the meaning set forth in the third paragraph of the Recitals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Indenture</w:t>
      </w:r>
      <w:r>
        <w:rPr>
          <w:rFonts w:ascii="Arial" w:cs="Arial" w:eastAsia="Arial" w:hAnsi="Arial"/>
          <w:sz w:val="22"/>
          <w:szCs w:val="22"/>
          <w:color w:val="auto"/>
        </w:rPr>
        <w:t>” has the meaning set forth in the first paragraph of the Recitals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 Call Date</w:t>
      </w:r>
      <w:r>
        <w:rPr>
          <w:rFonts w:ascii="Arial" w:cs="Arial" w:eastAsia="Arial" w:hAnsi="Arial"/>
          <w:sz w:val="22"/>
          <w:szCs w:val="22"/>
          <w:color w:val="auto"/>
        </w:rPr>
        <w:t>” has the meaning set forth in Section 401 hereof.</w:t>
      </w:r>
    </w:p>
    <w:p>
      <w:pPr>
        <w:spacing w:after="0" w:line="2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Guaranty</w:t>
      </w:r>
      <w:r>
        <w:rPr>
          <w:rFonts w:ascii="Arial" w:cs="Arial" w:eastAsia="Arial" w:hAnsi="Arial"/>
          <w:sz w:val="19"/>
          <w:szCs w:val="19"/>
          <w:color w:val="auto"/>
        </w:rPr>
        <w:t>” means any guaranty issued in connection with any Non-Recourse Debt that (i) if secured, is secured only by assets of or Equity Interests in a Project Finance Subsidiary, and (ii) guarantees to the provider of such Non-Recourse Debt or any other person (a) performance of the improvement, installation,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Finance Subsidiary, or (c) performance by a Project Finance Subsidiary of obligations to persons other than the provider of such Non-Recourse Debt.</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Project Finance Subsidiary</w:t>
      </w:r>
      <w:r>
        <w:rPr>
          <w:rFonts w:ascii="Arial" w:cs="Arial" w:eastAsia="Arial" w:hAnsi="Arial"/>
          <w:sz w:val="21"/>
          <w:szCs w:val="21"/>
          <w:color w:val="auto"/>
        </w:rPr>
        <w:t>” means any Subsidiary designated by the Company whose principal purpose is to incur Non-Recourse Debt and/or construct, lease, own or operate the assets financed thereby, or to become a direct or indirect partner, member or other equity participant or owner in a Person created for such purpose, and substantially all the assets of which Subsidiary or Person are limited to (x) those assets being financed (or to be financed), or the operation of which is being financed (or to be financed), in whole or in part by Non-Recourse Debt, or (y) Equity Interests in, or indebtedness or other obligations of, one or more other such Subsidiaries or Persons, or (z) indebtedness or other obligations of the Company or any Subsidiary or other Persons. At the time of designation of any Project Finance Subsidiary, the sum of the net book value of the assets of such Subsidiary and the net book value of the assets of all other Project Finance Subsidiaries then existing shall not in the aggregate exceed 10 percent of the Consolidated Net Tangible Assets.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Time</w:t>
      </w:r>
      <w:r>
        <w:rPr>
          <w:rFonts w:ascii="Arial" w:cs="Arial" w:eastAsia="Arial" w:hAnsi="Arial"/>
          <w:sz w:val="22"/>
          <w:szCs w:val="22"/>
          <w:color w:val="auto"/>
        </w:rPr>
        <w:t>” with respect to any determination of the Benchmark means (1) if the Benchmark is the Three-Month LIBOR Rate, 11:00 a.m., London time, on the LIBOR Interest Determination Date, and (2) if the Benchmark is not the Three-Month LIBOR Rate, the time determined by the Company (or the Designee) in accordance with the Benchmark Replacement Conforming Changes.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Regular Record Date</w:t>
      </w:r>
      <w:r>
        <w:rPr>
          <w:rFonts w:ascii="Arial" w:cs="Arial" w:eastAsia="Arial" w:hAnsi="Arial"/>
          <w:sz w:val="22"/>
          <w:szCs w:val="22"/>
          <w:color w:val="auto"/>
        </w:rPr>
        <w:t>” has the meaning set forth in Section 204(b) hereof.</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40" w:right="339" w:bottom="1440" w:gutter="0" w:footer="0" w:header="0"/>
        </w:sectPr>
      </w:pPr>
    </w:p>
    <w:bookmarkStart w:id="202" w:name="page203"/>
    <w:bookmarkEnd w:id="202"/>
    <w:p>
      <w:pPr>
        <w:spacing w:after="0" w:line="231"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212"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any entity means any corporation, partnership, joint venture, limited liability company, trust or estate of which (or in which) more than 50% of (i)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w:t>
      </w:r>
    </w:p>
    <w:p>
      <w:pPr>
        <w:spacing w:after="0" w:line="3" w:lineRule="exact"/>
        <w:rPr>
          <w:sz w:val="20"/>
          <w:szCs w:val="20"/>
          <w:color w:val="auto"/>
        </w:rPr>
      </w:pPr>
    </w:p>
    <w:p>
      <w:pPr>
        <w:ind w:left="1000" w:hanging="344"/>
        <w:spacing w:after="0"/>
        <w:tabs>
          <w:tab w:leader="none" w:pos="100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the interest in the capital or profits of such limited liability company, partnership, joint venture or other entity or</w:t>
      </w:r>
    </w:p>
    <w:p>
      <w:pPr>
        <w:spacing w:after="0" w:line="15" w:lineRule="exact"/>
        <w:rPr>
          <w:rFonts w:ascii="Arial" w:cs="Arial" w:eastAsia="Arial" w:hAnsi="Arial"/>
          <w:sz w:val="21"/>
          <w:szCs w:val="21"/>
          <w:color w:val="auto"/>
        </w:rPr>
      </w:pPr>
    </w:p>
    <w:p>
      <w:pPr>
        <w:ind w:left="660" w:hanging="4"/>
        <w:spacing w:after="0" w:line="323" w:lineRule="auto"/>
        <w:tabs>
          <w:tab w:leader="none" w:pos="104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beneficial interest in such trust or estate is at the time directly or indirectly owned or controlled by such entity, by such entity and one or more of its other subsidiaries or by one or more of such entity’s other subsidiaries.</w:t>
      </w:r>
    </w:p>
    <w:p>
      <w:pPr>
        <w:spacing w:after="0" w:line="15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 the forward-looking term rate for the applicable Corresponding Tenor based on SOFR that has been selected or recommended by the Relevant Governmental Body.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Three-Month LIBOR Rate</w:t>
      </w:r>
      <w:r>
        <w:rPr>
          <w:rFonts w:ascii="Arial" w:cs="Arial" w:eastAsia="Arial" w:hAnsi="Arial"/>
          <w:sz w:val="22"/>
          <w:szCs w:val="22"/>
          <w:color w:val="auto"/>
        </w:rPr>
        <w:t>” has the meaning set forth in Section 205(a) hereof.</w:t>
      </w:r>
    </w:p>
    <w:p>
      <w:pPr>
        <w:spacing w:after="0" w:line="26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Benchmark Replacement excluding the Benchmark Replacement Adjustment.</w:t>
      </w:r>
    </w:p>
    <w:p>
      <w:pPr>
        <w:spacing w:after="0" w:line="202"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All references herein to Articles and Sections, unless otherwise specified, refer to the corresponding Articles and Sections of this Supplemental Indenture No. 19; and</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terms “herein,” “hereof,” “hereunder” and other words of similar import refer to this Supplemental Indenture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19.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TWO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Series of Securities</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 xml:space="preserve">Title of the Securities. </w:t>
      </w:r>
      <w:r>
        <w:rPr>
          <w:rFonts w:ascii="Arial" w:cs="Arial" w:eastAsia="Arial" w:hAnsi="Arial"/>
          <w:sz w:val="19"/>
          <w:szCs w:val="19"/>
          <w:color w:val="auto"/>
        </w:rPr>
        <w:t>The Notes shall be designated as the “Floating Rate Senior Notes due 2023.”</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Limitation on Aggregate Principal Amount</w:t>
      </w:r>
      <w:r>
        <w:rPr>
          <w:rFonts w:ascii="Arial" w:cs="Arial" w:eastAsia="Arial" w:hAnsi="Arial"/>
          <w:sz w:val="22"/>
          <w:szCs w:val="22"/>
          <w:color w:val="auto"/>
        </w:rPr>
        <w:t>. The Trustee shall authenticate and deliver the Notes for original issue on the Issue Date in the aggregate principal amount of $1,000,000,000 upon a Company Order for the authentication and delivery thereof and satisfaction of Sections 301 and 303 of the Original Indenture. Such order shall specify the amount of the Notes to be authenticated, the date on which the original issue of Notes is to be authenticated and the name or names of the initial Holder or Holders. The aggregate principal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343" w:lineRule="auto"/>
        <w:rPr>
          <w:sz w:val="20"/>
          <w:szCs w:val="20"/>
          <w:color w:val="auto"/>
        </w:rPr>
      </w:pPr>
      <w:r>
        <w:rPr>
          <w:rFonts w:ascii="Arial" w:cs="Arial" w:eastAsia="Arial" w:hAnsi="Arial"/>
          <w:sz w:val="19"/>
          <w:szCs w:val="19"/>
          <w:color w:val="auto"/>
        </w:rPr>
        <w:t xml:space="preserve">amount of Notes that may initially be outstanding shall not exceed $1,000,000,000;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authorized aggregate principal amount of the Notes may be increased above such amount by a Board Resolution to such effect.</w:t>
      </w:r>
    </w:p>
    <w:p>
      <w:pPr>
        <w:spacing w:after="0" w:line="14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Stated Maturity</w:t>
      </w:r>
      <w:r>
        <w:rPr>
          <w:rFonts w:ascii="Arial" w:cs="Arial" w:eastAsia="Arial" w:hAnsi="Arial"/>
          <w:sz w:val="19"/>
          <w:szCs w:val="19"/>
          <w:color w:val="auto"/>
        </w:rPr>
        <w:t>. The Stated Maturity of the Notes shall be March 2, 2023 (the “</w:t>
      </w:r>
      <w:r>
        <w:rPr>
          <w:rFonts w:ascii="Arial" w:cs="Arial" w:eastAsia="Arial" w:hAnsi="Arial"/>
          <w:sz w:val="19"/>
          <w:szCs w:val="19"/>
          <w:u w:val="single" w:color="auto"/>
          <w:color w:val="auto"/>
        </w:rPr>
        <w:t>Maturity Date</w:t>
      </w:r>
      <w:r>
        <w:rPr>
          <w:rFonts w:ascii="Arial" w:cs="Arial" w:eastAsia="Arial" w:hAnsi="Arial"/>
          <w:sz w:val="19"/>
          <w:szCs w:val="19"/>
          <w:color w:val="auto"/>
        </w:rPr>
        <w:t>”).</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Interest and Interest Rates.</w:t>
      </w:r>
    </w:p>
    <w:p>
      <w:pPr>
        <w:spacing w:after="0" w:line="260" w:lineRule="exact"/>
        <w:rPr>
          <w:sz w:val="20"/>
          <w:szCs w:val="20"/>
          <w:color w:val="auto"/>
        </w:rPr>
      </w:pPr>
    </w:p>
    <w:p>
      <w:pPr>
        <w:jc w:val="both"/>
        <w:ind w:firstLine="656"/>
        <w:spacing w:after="0" w:line="246" w:lineRule="auto"/>
        <w:tabs>
          <w:tab w:leader="none" w:pos="1119"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Notes shall bear interest at the Three-Month LIBOR Rate plus 50 basis points (0.50%) per year (the “</w:t>
      </w:r>
      <w:r>
        <w:rPr>
          <w:rFonts w:ascii="Arial" w:cs="Arial" w:eastAsia="Arial" w:hAnsi="Arial"/>
          <w:sz w:val="22"/>
          <w:szCs w:val="22"/>
          <w:u w:val="single" w:color="auto"/>
          <w:color w:val="auto"/>
        </w:rPr>
        <w:t>Margin</w:t>
      </w:r>
      <w:r>
        <w:rPr>
          <w:rFonts w:ascii="Arial" w:cs="Arial" w:eastAsia="Arial" w:hAnsi="Arial"/>
          <w:sz w:val="22"/>
          <w:szCs w:val="22"/>
          <w:color w:val="auto"/>
        </w:rPr>
        <w:t>”), reset quarterly, from and including March 2, 2021 (the “</w:t>
      </w:r>
      <w:r>
        <w:rPr>
          <w:rFonts w:ascii="Arial" w:cs="Arial" w:eastAsia="Arial" w:hAnsi="Arial"/>
          <w:sz w:val="22"/>
          <w:szCs w:val="22"/>
          <w:u w:val="single" w:color="auto"/>
          <w:color w:val="auto"/>
        </w:rPr>
        <w:t>Issue Date</w:t>
      </w:r>
      <w:r>
        <w:rPr>
          <w:rFonts w:ascii="Arial" w:cs="Arial" w:eastAsia="Arial" w:hAnsi="Arial"/>
          <w:sz w:val="22"/>
          <w:szCs w:val="22"/>
          <w:color w:val="auto"/>
        </w:rPr>
        <w:t>”) to, but excluding, the Maturity Date. The per annum interest rate for the period from the Issue Date to the first LIBOR Rate Reset Date shall be equal to the Three-Month LIBOR Rate as determined on March 1, 2021 plus the Margin. Starting on the first Interest Payment Date, interest on each Note will accrue from and including the last Interest Payment Date to which the Company has paid, or duly provided for the payment of, interest on that Note to but excluding the next succeeding Interest Payment Date. No interest will accrue on the Notes for the day which the Notes mature.</w:t>
      </w:r>
    </w:p>
    <w:p>
      <w:pPr>
        <w:spacing w:after="0" w:line="223" w:lineRule="exact"/>
        <w:rPr>
          <w:rFonts w:ascii="Arial" w:cs="Arial" w:eastAsia="Arial" w:hAnsi="Arial"/>
          <w:sz w:val="22"/>
          <w:szCs w:val="22"/>
          <w:color w:val="auto"/>
        </w:rPr>
      </w:pPr>
    </w:p>
    <w:p>
      <w:pPr>
        <w:jc w:val="both"/>
        <w:ind w:firstLine="656"/>
        <w:spacing w:after="0" w:line="285" w:lineRule="auto"/>
        <w:tabs>
          <w:tab w:leader="none" w:pos="1355" w:val="left"/>
        </w:tabs>
        <w:numPr>
          <w:ilvl w:val="1"/>
          <w:numId w:val="191"/>
        </w:numPr>
        <w:rPr>
          <w:rFonts w:ascii="Arial" w:cs="Arial" w:eastAsia="Arial" w:hAnsi="Arial"/>
          <w:sz w:val="19"/>
          <w:szCs w:val="19"/>
          <w:color w:val="auto"/>
        </w:rPr>
      </w:pPr>
      <w:r>
        <w:rPr>
          <w:rFonts w:ascii="Arial" w:cs="Arial" w:eastAsia="Arial" w:hAnsi="Arial"/>
          <w:sz w:val="19"/>
          <w:szCs w:val="19"/>
          <w:color w:val="auto"/>
        </w:rPr>
        <w:t>Interest on the Notes shall be payable on March 2, June 2, September 2 and December 2 of each year (each an “</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and also a “</w:t>
      </w:r>
      <w:r>
        <w:rPr>
          <w:rFonts w:ascii="Arial" w:cs="Arial" w:eastAsia="Arial" w:hAnsi="Arial"/>
          <w:sz w:val="19"/>
          <w:szCs w:val="19"/>
          <w:u w:val="single" w:color="auto"/>
          <w:color w:val="auto"/>
        </w:rPr>
        <w:t>LIBOR Rate Rest Date</w:t>
      </w:r>
      <w:r>
        <w:rPr>
          <w:rFonts w:ascii="Arial" w:cs="Arial" w:eastAsia="Arial" w:hAnsi="Arial"/>
          <w:sz w:val="19"/>
          <w:szCs w:val="19"/>
          <w:color w:val="auto"/>
        </w:rPr>
        <w:t>”), beginning June 2, 2021 to the persons in whose names the Notes (or one or more Predecessor Securities) are registered on (1) the Business Day immediately preceding such Interest Payment Date so long as all of the Notes are Global Securities, or (2) the 15th calendar day immediately preceding such Interest Payment Date (whether or not a Business Day) if any of the Notes are not Global Securities (such date in clause (1) and clause</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 a “</w:t>
      </w:r>
      <w:r>
        <w:rPr>
          <w:rFonts w:ascii="Arial" w:cs="Arial" w:eastAsia="Arial" w:hAnsi="Arial"/>
          <w:sz w:val="22"/>
          <w:szCs w:val="22"/>
          <w:u w:val="single" w:color="auto"/>
          <w:color w:val="auto"/>
        </w:rPr>
        <w:t>Regular Record Date</w:t>
      </w:r>
      <w:r>
        <w:rPr>
          <w:rFonts w:ascii="Arial" w:cs="Arial" w:eastAsia="Arial" w:hAnsi="Arial"/>
          <w:sz w:val="22"/>
          <w:szCs w:val="22"/>
          <w:color w:val="auto"/>
        </w:rPr>
        <w:t>”).</w:t>
      </w:r>
    </w:p>
    <w:p>
      <w:pPr>
        <w:spacing w:after="0" w:line="228" w:lineRule="exact"/>
        <w:rPr>
          <w:rFonts w:ascii="Arial" w:cs="Arial" w:eastAsia="Arial" w:hAnsi="Arial"/>
          <w:sz w:val="19"/>
          <w:szCs w:val="19"/>
          <w:color w:val="auto"/>
        </w:rPr>
      </w:pPr>
    </w:p>
    <w:p>
      <w:pPr>
        <w:jc w:val="both"/>
        <w:ind w:firstLine="656"/>
        <w:spacing w:after="0" w:line="286" w:lineRule="auto"/>
        <w:tabs>
          <w:tab w:leader="none" w:pos="1148" w:val="left"/>
        </w:tabs>
        <w:numPr>
          <w:ilvl w:val="1"/>
          <w:numId w:val="191"/>
        </w:numPr>
        <w:rPr>
          <w:rFonts w:ascii="Arial" w:cs="Arial" w:eastAsia="Arial" w:hAnsi="Arial"/>
          <w:sz w:val="19"/>
          <w:szCs w:val="19"/>
          <w:color w:val="auto"/>
        </w:rPr>
      </w:pPr>
      <w:r>
        <w:rPr>
          <w:rFonts w:ascii="Arial" w:cs="Arial" w:eastAsia="Arial" w:hAnsi="Arial"/>
          <w:sz w:val="19"/>
          <w:szCs w:val="19"/>
          <w:color w:val="auto"/>
        </w:rPr>
        <w:t>Any such interest not so punctually paid or duly provided for shall forthwith cease to be payable to the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the Notes not less than 10 days prior to such Special Record Date, or</w:t>
      </w:r>
    </w:p>
    <w:p>
      <w:pPr>
        <w:spacing w:after="0" w:line="2" w:lineRule="exact"/>
        <w:rPr>
          <w:rFonts w:ascii="Arial" w:cs="Arial" w:eastAsia="Arial" w:hAnsi="Arial"/>
          <w:sz w:val="19"/>
          <w:szCs w:val="19"/>
          <w:color w:val="auto"/>
        </w:rPr>
      </w:pPr>
    </w:p>
    <w:p>
      <w:pPr>
        <w:jc w:val="both"/>
        <w:ind w:firstLine="8"/>
        <w:spacing w:after="0" w:line="245" w:lineRule="auto"/>
        <w:tabs>
          <w:tab w:leader="none" w:pos="365" w:val="left"/>
        </w:tabs>
        <w:numPr>
          <w:ilvl w:val="0"/>
          <w:numId w:val="192"/>
        </w:numPr>
        <w:rPr>
          <w:rFonts w:ascii="Arial" w:cs="Arial" w:eastAsia="Arial" w:hAnsi="Arial"/>
          <w:sz w:val="22"/>
          <w:szCs w:val="22"/>
          <w:color w:val="auto"/>
        </w:rPr>
      </w:pPr>
      <w:r>
        <w:rPr>
          <w:rFonts w:ascii="Arial" w:cs="Arial" w:eastAsia="Arial" w:hAnsi="Arial"/>
          <w:sz w:val="22"/>
          <w:szCs w:val="22"/>
          <w:color w:val="auto"/>
        </w:rPr>
        <w:t>be paid at any time in any other lawful manner not inconsistent with the requirements of any securities exchange or automated quotation system on which the Notes may be listed or traded, and upon such notice as may be required by such exchange or automated quotation system, all as more fully provided in the Indenture.</w:t>
      </w:r>
    </w:p>
    <w:p>
      <w:pPr>
        <w:spacing w:after="0" w:line="233" w:lineRule="exact"/>
        <w:rPr>
          <w:rFonts w:ascii="Arial" w:cs="Arial" w:eastAsia="Arial" w:hAnsi="Arial"/>
          <w:sz w:val="22"/>
          <w:szCs w:val="22"/>
          <w:color w:val="auto"/>
        </w:rPr>
      </w:pPr>
    </w:p>
    <w:p>
      <w:pPr>
        <w:jc w:val="both"/>
        <w:ind w:firstLine="656"/>
        <w:spacing w:after="0" w:line="294" w:lineRule="auto"/>
        <w:tabs>
          <w:tab w:leader="none" w:pos="1164" w:val="left"/>
        </w:tabs>
        <w:numPr>
          <w:ilvl w:val="1"/>
          <w:numId w:val="192"/>
        </w:numPr>
        <w:rPr>
          <w:rFonts w:ascii="Arial" w:cs="Arial" w:eastAsia="Arial" w:hAnsi="Arial"/>
          <w:sz w:val="19"/>
          <w:szCs w:val="19"/>
          <w:color w:val="auto"/>
        </w:rPr>
      </w:pPr>
      <w:r>
        <w:rPr>
          <w:rFonts w:ascii="Arial" w:cs="Arial" w:eastAsia="Arial" w:hAnsi="Arial"/>
          <w:sz w:val="19"/>
          <w:szCs w:val="19"/>
          <w:color w:val="auto"/>
        </w:rPr>
        <w:t>The Notes will bear interest for each interest period at a rate determined by the Calculation Agent. Promptly upon determination, the Calculation Agent will inform the Trustee and the Company, or, in certain circumstances, the Company or the Designee will inform the Trustee, of the interest rate for the next interest period. The interest rate in effect on any LIBOR Rate Reset Date will be the applicable interest rate as reset on that date and the interest rate applicable to any other day will be the interest rate as reset on the immediately preceding LIBOR Rate Reset Date (or, in the case of any day preceding the first LIBOR Rate Reset Date, the interest rate determined on March 1, 2021). The amount of interest payable for any interest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04" w:name="page205"/>
    <w:bookmarkEnd w:id="204"/>
    <w:p>
      <w:pPr>
        <w:jc w:val="both"/>
        <w:spacing w:after="0" w:line="297" w:lineRule="auto"/>
        <w:rPr>
          <w:sz w:val="20"/>
          <w:szCs w:val="20"/>
          <w:color w:val="auto"/>
        </w:rPr>
      </w:pPr>
      <w:r>
        <w:rPr>
          <w:rFonts w:ascii="Arial" w:cs="Arial" w:eastAsia="Arial" w:hAnsi="Arial"/>
          <w:sz w:val="19"/>
          <w:szCs w:val="19"/>
          <w:color w:val="auto"/>
        </w:rPr>
        <w:t>period on the Notes will be determined by the Company and will be computed by multiplying the floating rate for that interest period by a fraction, the numerator of which will be the actual number of days elapsed during that interest period (determined by including the first day of the interest period and excluding the last day), and the denominator of which will be 360, and by multiplying the result by the aggregate principal amount of the floating rate notes. The interest rate for any interest period will at no time be higher than the Maximum Interest Rate. Additionally, the interest rate will in no event be lower than zero.</w:t>
      </w:r>
    </w:p>
    <w:p>
      <w:pPr>
        <w:spacing w:after="0" w:line="174" w:lineRule="exact"/>
        <w:rPr>
          <w:sz w:val="20"/>
          <w:szCs w:val="20"/>
          <w:color w:val="auto"/>
        </w:rPr>
      </w:pPr>
    </w:p>
    <w:p>
      <w:pPr>
        <w:jc w:val="both"/>
        <w:ind w:firstLine="656"/>
        <w:spacing w:after="0" w:line="290" w:lineRule="auto"/>
        <w:tabs>
          <w:tab w:leader="none" w:pos="1145" w:val="left"/>
        </w:tabs>
        <w:numPr>
          <w:ilvl w:val="0"/>
          <w:numId w:val="193"/>
        </w:numPr>
        <w:rPr>
          <w:rFonts w:ascii="Arial" w:cs="Arial" w:eastAsia="Arial" w:hAnsi="Arial"/>
          <w:sz w:val="19"/>
          <w:szCs w:val="19"/>
          <w:color w:val="auto"/>
        </w:rPr>
      </w:pPr>
      <w:r>
        <w:rPr>
          <w:rFonts w:ascii="Arial" w:cs="Arial" w:eastAsia="Arial" w:hAnsi="Arial"/>
          <w:sz w:val="19"/>
          <w:szCs w:val="19"/>
          <w:color w:val="auto"/>
        </w:rPr>
        <w:t>If an Interest Payment Date, other than a Redemption Date or the Maturity Date of the Notes, falls on a day that is not a Business Day, the Interest Payment Date will be postponed to the next day that is a Business Day, except that if that Business Day is in the next succeeding calendar month, the Interest Payment Date will be the immediately preceding Business Day. Also, if a Redemption Date or the Maturity Date of the Notes falls on a day that is not a Business Day, then payment of the interest or principal payable on that date will be made on the next succeeding day which is a Business Day, and no interest will be paid or other payment made in respect of such delay. If any LIBOR Rate Reset Date falls on a day that is not a Business Day, the LIBOR Rate Reset Date will be postponed to the next day that is a Business Day, except that if that Business Day is in the next succeeding calendar month, the LIBOR Rate Reset Date will be the immediately preceding Business Day.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Calculations of Three-Month LIBOR Rate</w:t>
      </w:r>
    </w:p>
    <w:p>
      <w:pPr>
        <w:spacing w:after="0" w:line="247" w:lineRule="exact"/>
        <w:rPr>
          <w:sz w:val="20"/>
          <w:szCs w:val="20"/>
          <w:color w:val="auto"/>
        </w:rPr>
      </w:pPr>
    </w:p>
    <w:p>
      <w:pPr>
        <w:ind w:firstLine="656"/>
        <w:spacing w:after="0" w:line="287" w:lineRule="auto"/>
        <w:tabs>
          <w:tab w:leader="none" w:pos="1111"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Three-Month LIBOR Rate</w:t>
      </w:r>
      <w:r>
        <w:rPr>
          <w:rFonts w:ascii="Arial" w:cs="Arial" w:eastAsia="Arial" w:hAnsi="Arial"/>
          <w:sz w:val="21"/>
          <w:szCs w:val="21"/>
          <w:color w:val="auto"/>
        </w:rPr>
        <w:t>” for each interest period beginning on a LIBOR Rate Reset Date, or March 2, 2021 in the case of the initial interest period, means the rate determined in accordance with the following provisions:</w:t>
      </w:r>
    </w:p>
    <w:p>
      <w:pPr>
        <w:spacing w:after="0" w:line="178" w:lineRule="exact"/>
        <w:rPr>
          <w:sz w:val="20"/>
          <w:szCs w:val="20"/>
          <w:color w:val="auto"/>
        </w:rPr>
      </w:pPr>
    </w:p>
    <w:p>
      <w:pPr>
        <w:jc w:val="both"/>
        <w:ind w:firstLine="656"/>
        <w:spacing w:after="0" w:line="246" w:lineRule="auto"/>
        <w:tabs>
          <w:tab w:leader="none" w:pos="97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On the related LIBOR Interest Determination Date, the Calculation Agent will determine the Three-Month LIBOR Rate, which will be the rate for deposits in U.S. Dollars having an index maturity of three months which appears on the Bloomberg L.P. page “BBAM” (or on such other page as may replace the Bloomberg L.P. page “BBAM” on that service), or, if on such interest determination date, the three-month LIBOR does not appear or is not available on the designated Bloomberg L.P. page “BBAM” (or on such other page as may replace the Bloomberg L.P. page “BBAM” on that service), the Reuters Page LIBOR01 (or such other page as may replace the Reuters Page LIBOR01 on that service), as of 11:00 a.m., London time, on the LIBOR Interest Determination Date.</w:t>
      </w:r>
    </w:p>
    <w:p>
      <w:pPr>
        <w:spacing w:after="0" w:line="223" w:lineRule="exact"/>
        <w:rPr>
          <w:rFonts w:ascii="Arial" w:cs="Arial" w:eastAsia="Arial" w:hAnsi="Arial"/>
          <w:sz w:val="22"/>
          <w:szCs w:val="22"/>
          <w:color w:val="auto"/>
        </w:rPr>
      </w:pPr>
    </w:p>
    <w:p>
      <w:pPr>
        <w:jc w:val="both"/>
        <w:ind w:firstLine="656"/>
        <w:spacing w:after="0" w:line="260" w:lineRule="auto"/>
        <w:tabs>
          <w:tab w:leader="none" w:pos="956" w:val="left"/>
        </w:tabs>
        <w:numPr>
          <w:ilvl w:val="0"/>
          <w:numId w:val="195"/>
        </w:numPr>
        <w:rPr>
          <w:rFonts w:ascii="Arial" w:cs="Arial" w:eastAsia="Arial" w:hAnsi="Arial"/>
          <w:sz w:val="21"/>
          <w:szCs w:val="21"/>
          <w:color w:val="auto"/>
        </w:rPr>
      </w:pPr>
      <w:r>
        <w:rPr>
          <w:rFonts w:ascii="Arial" w:cs="Arial" w:eastAsia="Arial" w:hAnsi="Arial"/>
          <w:sz w:val="21"/>
          <w:szCs w:val="21"/>
          <w:color w:val="auto"/>
        </w:rPr>
        <w:t>If the Three-Month LIBOR Rate cannot be determined as described above on the LIBOR Interest Determination Date, the Calculation Agent will request the principal London offices of four major reference banks in the London Inter-Bank Market selected by the Company to provide it with their offered quotations for deposits in U.S. Dollars for the period of three months, beginning on the applicable LIBOR Rate Reset Date, to prime banks in the London Inter-Bank Market at approximately 11:00 a.m., London time, on that LIBOR Interest Determination Date and in a principal amount of not less than $1,000,000. If at least two quotations are provided, then the Three-Month LIBOR Rate will be the average (rounded, if necessary, to the nearest one hundredth (0.01) of a percent) of those quotations. If fewer than two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05" w:name="page206"/>
    <w:bookmarkEnd w:id="205"/>
    <w:p>
      <w:pPr>
        <w:jc w:val="both"/>
        <w:spacing w:after="0" w:line="294" w:lineRule="auto"/>
        <w:rPr>
          <w:sz w:val="20"/>
          <w:szCs w:val="20"/>
          <w:color w:val="auto"/>
        </w:rPr>
      </w:pPr>
      <w:r>
        <w:rPr>
          <w:rFonts w:ascii="Arial" w:cs="Arial" w:eastAsia="Arial" w:hAnsi="Arial"/>
          <w:sz w:val="19"/>
          <w:szCs w:val="19"/>
          <w:color w:val="auto"/>
        </w:rPr>
        <w:t>quotations are provided, then the Three-Month LIBOR Rate will be the average (rounded, if necessary, to the nearest one hundredth (0.01) of a percent) of the rates quoted at approximately 11:00 a.m., New York City time, on the LIBOR Interest Determination Date by three major banks in New York City selected by the Company for loans in U.S. Dollars to leading European banks, having a three-month maturity and in a principal amount of not less than $1,000,000. If the banks selected by the Company are not providing quotations in the manner described by this paragraph, the rate for the interest period following the LIBOR Interest Determination Date will be the rate already in effect on that LIBOR Interest Determination Date.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Notwithstanding clause (1) and clause (2) in this Section 205(a), if the Company (or the Designee) determines on or prior to the relevant LIBOR Interest Determination Date that a Benchmark Transition Event and its related Benchmark Replacement Date have occurred with respect to Three-Month LIBOR (or the then-current Benchmark, as applicable), then the amount of interest that will be payable for each interest period will be an annual rate equal to the sum of the Benchmark Replacement and the Margin as set forth in Section 206. However, if the Company (or the Designee) determine that a Benchmark Transition Event and its related Benchmark Replacement Date have occurred with respect to the then-current Benchmark, but for any reason the Benchmark Replacement has not been determined as of the relevant LIBOR Interest Determination Date, the interest rate for the applicable interest period will be equal to the interest rate for the immediately preceding interest period, as determined by the Company (or the Designee).</w:t>
      </w:r>
    </w:p>
    <w:p>
      <w:pPr>
        <w:spacing w:after="0" w:line="206" w:lineRule="exact"/>
        <w:rPr>
          <w:sz w:val="20"/>
          <w:szCs w:val="20"/>
          <w:color w:val="auto"/>
        </w:rPr>
      </w:pPr>
    </w:p>
    <w:p>
      <w:pPr>
        <w:jc w:val="both"/>
        <w:ind w:firstLine="656"/>
        <w:spacing w:after="0" w:line="297" w:lineRule="auto"/>
        <w:tabs>
          <w:tab w:leader="none" w:pos="969"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All percentages resulting from any calculation of any interest rate for the Notes will be rounded, if necessary, to the nearest one hundred-thousandth of a percentage point, with five one-millionths of a percentage point rounded upwards (e.g., 3.456789% (or .03456789) being rounded to 3.45679% (or .0345679)) and all dollar amounts used in or resulting from such calculations will be rounded to the nearest cent (with one-half cent being rounded upwards). Any percentage resulting from any calculation of any interest rate for the Notes less than 0.00% will be deemed to be 0.00% (or .0000).</w:t>
      </w:r>
    </w:p>
    <w:p>
      <w:pPr>
        <w:spacing w:after="0" w:line="173" w:lineRule="exact"/>
        <w:rPr>
          <w:rFonts w:ascii="Arial" w:cs="Arial" w:eastAsia="Arial" w:hAnsi="Arial"/>
          <w:sz w:val="19"/>
          <w:szCs w:val="19"/>
          <w:color w:val="auto"/>
        </w:rPr>
      </w:pPr>
    </w:p>
    <w:p>
      <w:pPr>
        <w:jc w:val="both"/>
        <w:ind w:firstLine="656"/>
        <w:spacing w:after="0" w:line="248" w:lineRule="auto"/>
        <w:tabs>
          <w:tab w:leader="none" w:pos="95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Absent willful misconduct, bad faith or manifest error, the calculation of the applicable interest rate for each interest period by the Calculation Agent, or in certain circumstances, by the Company or the Designee will be final and binding on us, the Trustee, and the Holders of the Notes. The Holders of the Notes may obtain the interest rate for the current and preceding interest periods by writing the Trustee at The Bank of New York Mellon Trust Company, N.A., 601 Travis Street, Houston, Texas 77002, Attn: Corporate Trust Admin-CERC.</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Effect of Benchmark Transition Event</w:t>
      </w:r>
    </w:p>
    <w:p>
      <w:pPr>
        <w:spacing w:after="0" w:line="247" w:lineRule="exact"/>
        <w:rPr>
          <w:sz w:val="20"/>
          <w:szCs w:val="20"/>
          <w:color w:val="auto"/>
        </w:rPr>
      </w:pPr>
    </w:p>
    <w:p>
      <w:pPr>
        <w:jc w:val="both"/>
        <w:ind w:left="80" w:firstLine="657"/>
        <w:spacing w:after="0" w:line="250" w:lineRule="auto"/>
        <w:tabs>
          <w:tab w:leader="none" w:pos="129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If the Company (or the Designee) determine that a Benchmark Transition Event and its related Benchmark Replacement Date have occurred prior to the Reference Time in respect of any determination of the Benchmark on any date, the Benchmark Replacement will replace the then-current Benchmark for all purposes relating to the Notes in respect of such determination on such date and all determinations on all subsequent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06" w:name="page207"/>
    <w:bookmarkEnd w:id="206"/>
    <w:p>
      <w:pPr>
        <w:ind w:left="80" w:right="20" w:firstLine="657"/>
        <w:spacing w:after="0" w:line="263" w:lineRule="auto"/>
        <w:tabs>
          <w:tab w:leader="none" w:pos="129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In connection with the implementation of a Benchmark Replacement, the Company (or the Designee) will have the right to make Benchmark Replacement Conforming Changes from time to time.</w:t>
      </w:r>
    </w:p>
    <w:p>
      <w:pPr>
        <w:spacing w:after="0" w:line="201" w:lineRule="exact"/>
        <w:rPr>
          <w:rFonts w:ascii="Arial" w:cs="Arial" w:eastAsia="Arial" w:hAnsi="Arial"/>
          <w:sz w:val="22"/>
          <w:szCs w:val="22"/>
          <w:color w:val="auto"/>
        </w:rPr>
      </w:pPr>
    </w:p>
    <w:p>
      <w:pPr>
        <w:jc w:val="both"/>
        <w:ind w:firstLine="656"/>
        <w:spacing w:after="0" w:line="297" w:lineRule="auto"/>
        <w:tabs>
          <w:tab w:leader="none" w:pos="129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Any determination, decision or election that may be made by the Company (or the Designee) pursuant to this Section 206,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the Company’s (or the Designee’s) sole discretion, and, notwithstanding anything to the contrary, shall become effective without consent from the Holders of the Notes or any other party.</w:t>
      </w:r>
    </w:p>
    <w:p>
      <w:pPr>
        <w:spacing w:after="0" w:line="173" w:lineRule="exact"/>
        <w:rPr>
          <w:rFonts w:ascii="Arial" w:cs="Arial" w:eastAsia="Arial" w:hAnsi="Arial"/>
          <w:sz w:val="19"/>
          <w:szCs w:val="19"/>
          <w:color w:val="auto"/>
        </w:rPr>
      </w:pPr>
    </w:p>
    <w:p>
      <w:pPr>
        <w:jc w:val="both"/>
        <w:ind w:firstLine="656"/>
        <w:spacing w:after="0" w:line="287" w:lineRule="auto"/>
        <w:tabs>
          <w:tab w:leader="none" w:pos="96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 no event shall the Calculation Agent be responsible for determining any substitute for Three-Month LIBOR, or for making any adjustments to any alternative benchmark or spread thereon, the Business Day convention, interest determination dates or any other relevant methodology for calculating any such substitute or successor benchmark. The Calculation Agent will be entitled to conclusively rely on any determinations made by the Company or the Designee and will have no liability for such actions taken at the Company’s direction. Any determination, decision or election that may be made by the Company or the Designee in connection with a Benchmark Transition Event or a Benchmark Replacement, including any determination with respect to a rate or adjustment or of the occurrence or non-occurrence of an event, circumstance or date and any decision to take or refrain from taking any action or any selection, will be conclusive and binding absent manifest error, may be made in the Company’s or the Designee’s sole discretion, and, notwithstanding anything to the contrary, will become effective without consent from any other party. Neither the Trustee nor the Calculation Agent will have any liability for any determination made by or on behalf of the Company or the Designee in connection with a Benchmark Transition Event or a Benchmark Replacement.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Paying Agent; Place of Payment</w:t>
      </w:r>
      <w:r>
        <w:rPr>
          <w:rFonts w:ascii="Arial" w:cs="Arial" w:eastAsia="Arial" w:hAnsi="Arial"/>
          <w:sz w:val="22"/>
          <w:szCs w:val="22"/>
          <w:color w:val="auto"/>
        </w:rPr>
        <w:t>. The Trustee shall initially serve as the Paying Agent for the Notes. The Company may appoint and change any Paying Agent or approve a change in the office through which any Paying Agent acts without notice, other than notice to the Trustee. The Company or any of its Subsidiaries or any of their Affiliates may act as Paying Agent. The Place of Payment where the Notes may be presented or surrendered for payment shall be the Corporate Trust Office of the Trustee.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2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i w:val="1"/>
          <w:iCs w:val="1"/>
          <w:color w:val="auto"/>
        </w:rPr>
        <w:t>Place of Registration or Exchange; Notices and Demands With Respect to the Notes</w:t>
      </w:r>
      <w:r>
        <w:rPr>
          <w:rFonts w:ascii="Arial" w:cs="Arial" w:eastAsia="Arial" w:hAnsi="Arial"/>
          <w:sz w:val="21"/>
          <w:szCs w:val="21"/>
          <w:color w:val="auto"/>
        </w:rPr>
        <w:t>. The place where the Holders of the Notes may present the Notes for registration of transfer or exchange and may make notices and demands to or upon the Company in respect of the Notes shall be the Corporate Trust Office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07" w:name="page208"/>
    <w:bookmarkEnd w:id="207"/>
    <w:p>
      <w:pPr>
        <w:jc w:val="both"/>
        <w:ind w:firstLine="648"/>
        <w:spacing w:after="0" w:line="263"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Percentage of Principal Amount</w:t>
      </w:r>
      <w:r>
        <w:rPr>
          <w:rFonts w:ascii="Arial" w:cs="Arial" w:eastAsia="Arial" w:hAnsi="Arial"/>
          <w:sz w:val="22"/>
          <w:szCs w:val="22"/>
          <w:color w:val="auto"/>
        </w:rPr>
        <w:t>. The Notes shall be initially issued at 100% of their principal amount, plus accrued interest, if any, from the Issue Date.</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Global Securities</w:t>
      </w:r>
      <w:r>
        <w:rPr>
          <w:rFonts w:ascii="Arial" w:cs="Arial" w:eastAsia="Arial" w:hAnsi="Arial"/>
          <w:sz w:val="22"/>
          <w:szCs w:val="22"/>
          <w:color w:val="auto"/>
        </w:rPr>
        <w:t xml:space="preserve">. The Notes shall be issuable in whole or in part in the form of one or more Global Securities. Such Global Securities shall be deposited with, or on behalf of, The Depository Trust Company, New York, New York, which shall act as Depositary with respect to the Notes. Such Global Securities shall bear the legends set forth in the form of Security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2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Form of Securities</w:t>
      </w:r>
      <w:r>
        <w:rPr>
          <w:rFonts w:ascii="Arial" w:cs="Arial" w:eastAsia="Arial" w:hAnsi="Arial"/>
          <w:sz w:val="19"/>
          <w:szCs w:val="19"/>
          <w:color w:val="auto"/>
        </w:rPr>
        <w:t>. The Notes shall be substantially in the form attached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i w:val="1"/>
          <w:iCs w:val="1"/>
          <w:color w:val="auto"/>
        </w:rPr>
        <w:t>Securities Registrar</w:t>
      </w:r>
      <w:r>
        <w:rPr>
          <w:rFonts w:ascii="Arial" w:cs="Arial" w:eastAsia="Arial" w:hAnsi="Arial"/>
          <w:sz w:val="19"/>
          <w:szCs w:val="19"/>
          <w:color w:val="auto"/>
        </w:rPr>
        <w:t>. The Trustee shall initially serve as the Security Registrar for the Notes.</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i w:val="1"/>
          <w:iCs w:val="1"/>
          <w:color w:val="auto"/>
        </w:rPr>
        <w:t>Defeasance and Discharge; Covenant Defeasance.</w:t>
      </w:r>
    </w:p>
    <w:p>
      <w:pPr>
        <w:spacing w:after="0" w:line="260" w:lineRule="exact"/>
        <w:rPr>
          <w:sz w:val="20"/>
          <w:szCs w:val="20"/>
          <w:color w:val="auto"/>
        </w:rPr>
      </w:pPr>
    </w:p>
    <w:p>
      <w:pPr>
        <w:ind w:firstLine="656"/>
        <w:spacing w:after="0" w:line="263" w:lineRule="auto"/>
        <w:tabs>
          <w:tab w:leader="none" w:pos="11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Article Fourteen of the Original Indenture, including without limitation Sections 1402 and 1403 thereof (as modified by Section 211(b) hereof), shall apply to the Notes.</w:t>
      </w:r>
    </w:p>
    <w:p>
      <w:pPr>
        <w:spacing w:after="0" w:line="215" w:lineRule="exact"/>
        <w:rPr>
          <w:rFonts w:ascii="Arial" w:cs="Arial" w:eastAsia="Arial" w:hAnsi="Arial"/>
          <w:sz w:val="22"/>
          <w:szCs w:val="22"/>
          <w:color w:val="auto"/>
        </w:rPr>
      </w:pPr>
    </w:p>
    <w:p>
      <w:pPr>
        <w:ind w:firstLine="656"/>
        <w:spacing w:after="0" w:line="263" w:lineRule="auto"/>
        <w:tabs>
          <w:tab w:leader="none" w:pos="1132" w:val="left"/>
        </w:tabs>
        <w:numPr>
          <w:ilvl w:val="0"/>
          <w:numId w:val="200"/>
        </w:numPr>
        <w:rPr>
          <w:rFonts w:ascii="Arial" w:cs="Arial" w:eastAsia="Arial" w:hAnsi="Arial"/>
          <w:sz w:val="22"/>
          <w:szCs w:val="22"/>
          <w:color w:val="auto"/>
        </w:rPr>
      </w:pPr>
      <w:r>
        <w:rPr>
          <w:rFonts w:ascii="Arial" w:cs="Arial" w:eastAsia="Arial" w:hAnsi="Arial"/>
          <w:sz w:val="22"/>
          <w:szCs w:val="22"/>
          <w:color w:val="auto"/>
        </w:rPr>
        <w:t>Solely with respect to the Notes issued hereby, the first sentence of Section 1403 of the Original Indenture is hereby deleted in its entirety, and the following is substituted in lieu thereof:</w:t>
      </w:r>
    </w:p>
    <w:p>
      <w:pPr>
        <w:spacing w:after="0" w:line="202" w:lineRule="exact"/>
        <w:rPr>
          <w:sz w:val="20"/>
          <w:szCs w:val="20"/>
          <w:color w:val="auto"/>
        </w:rPr>
      </w:pPr>
    </w:p>
    <w:p>
      <w:pPr>
        <w:jc w:val="both"/>
        <w:ind w:left="980"/>
        <w:spacing w:after="0" w:line="290" w:lineRule="auto"/>
        <w:rPr>
          <w:sz w:val="20"/>
          <w:szCs w:val="20"/>
          <w:color w:val="auto"/>
        </w:rPr>
      </w:pPr>
      <w:r>
        <w:rPr>
          <w:rFonts w:ascii="Arial" w:cs="Arial" w:eastAsia="Arial" w:hAnsi="Arial"/>
          <w:sz w:val="19"/>
          <w:szCs w:val="19"/>
          <w:color w:val="auto"/>
        </w:rPr>
        <w:t>“Upon the Company’s exercise of its option (if any) to have this Section 1403 applied to any Securities or any series of Securities, as the case may be, (1) the Company shall be released from its obligations under Article Eight and under any covenants provided pursuant to Section 301(20), 901(2) or 901(7) for the benefit of the Holders of such Securities, including without limitation, the covenants provided for in Article Three of Supplemental Indenture No. 19 to the Indenture, and (2) the occurrence of any event specified in Sections 501(4) (with respect to Article Eight and to any such covenants provided pursuant to Section 301(20), 901(2) or 901(7)) and 501(7) shall be deemed not to be or result in an Event of Default, in each case with respect to such Securities as provided in this Section 1403 on and after the date the conditions set forth in Section 1404 are satisfied (hereinafter called “Covenant Defeasance”).”</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Sinking Fund Obligations</w:t>
      </w:r>
      <w:r>
        <w:rPr>
          <w:rFonts w:ascii="Arial" w:cs="Arial" w:eastAsia="Arial" w:hAnsi="Arial"/>
          <w:sz w:val="22"/>
          <w:szCs w:val="22"/>
          <w:color w:val="auto"/>
        </w:rPr>
        <w:t>. The Company shall have no obligation to redeem or purchase any Notes pursuant to any sinking fund or analogous requirement or upon the happening of a specified event or at the option of a Holder thereof.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THREE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08" w:name="page209"/>
    <w:bookmarkEnd w:id="208"/>
    <w:p>
      <w:pPr>
        <w:jc w:val="both"/>
        <w:ind w:firstLine="648"/>
        <w:spacing w:after="0" w:line="292"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i w:val="1"/>
          <w:iCs w:val="1"/>
          <w:color w:val="auto"/>
        </w:rPr>
        <w:t>Maintenance of Properties.</w:t>
      </w:r>
      <w:r>
        <w:rPr>
          <w:rFonts w:ascii="Arial" w:cs="Arial" w:eastAsia="Arial" w:hAnsi="Arial"/>
          <w:sz w:val="19"/>
          <w:szCs w:val="19"/>
          <w:color w:val="auto"/>
        </w:rPr>
        <w:t xml:space="preserve"> The Company shall cause all properties used or useful in the conduct of its business or the business of any Subsidiary to be maintained and kept in good condition, repair and working order and supplied with all necessary equipment and shall cause to be made all necessary repairs, renewals, replacements, betterments and improvements thereof, all as in the judgment of the Company may be necessary so that the business carried on in connection therewith may be properly conducted at all times;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301 shall prevent the Company from discontinuing the operation or maintenance of any of such properties if such discontinuance is, in the judgment of the Company, desirable in the conduct of its business or the business of any Subsidiary.</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Payment of Taxes and Other Claims.</w:t>
      </w:r>
      <w:r>
        <w:rPr>
          <w:rFonts w:ascii="Arial" w:cs="Arial" w:eastAsia="Arial" w:hAnsi="Arial"/>
          <w:sz w:val="22"/>
          <w:szCs w:val="22"/>
          <w:color w:val="auto"/>
        </w:rPr>
        <w:t xml:space="preserve"> The Company shall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FOUR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Optional Redemption of the Notes</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Redemption Price</w:t>
      </w:r>
      <w:r>
        <w:rPr>
          <w:rFonts w:ascii="Arial" w:cs="Arial" w:eastAsia="Arial" w:hAnsi="Arial"/>
          <w:sz w:val="19"/>
          <w:szCs w:val="19"/>
          <w:color w:val="auto"/>
        </w:rPr>
        <w:t>. The Notes shall be redeemable, at the option of the Company, at any time and from time to time, in whole or in part, on or after September 2, 2021 (the “</w:t>
      </w:r>
      <w:r>
        <w:rPr>
          <w:rFonts w:ascii="Arial" w:cs="Arial" w:eastAsia="Arial" w:hAnsi="Arial"/>
          <w:sz w:val="19"/>
          <w:szCs w:val="19"/>
          <w:u w:val="single" w:color="auto"/>
          <w:color w:val="auto"/>
        </w:rPr>
        <w:t>Par Call Date</w:t>
      </w:r>
      <w:r>
        <w:rPr>
          <w:rFonts w:ascii="Arial" w:cs="Arial" w:eastAsia="Arial" w:hAnsi="Arial"/>
          <w:sz w:val="19"/>
          <w:szCs w:val="19"/>
          <w:color w:val="auto"/>
        </w:rPr>
        <w:t>”), at a price equal to 100% of the principal amount of the Notes to be redeemed plus accrued and unpaid interest on the principal amount being redeemed, if any, to, but excluding, the Redemption Date. The Trustee shall have no responsibility for the calculation of such amount.</w:t>
      </w:r>
    </w:p>
    <w:p>
      <w:pPr>
        <w:spacing w:after="0" w:line="18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[Reserved].</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i w:val="1"/>
          <w:iCs w:val="1"/>
          <w:color w:val="auto"/>
        </w:rPr>
        <w:t>Partial Redemption</w:t>
      </w:r>
      <w:r>
        <w:rPr>
          <w:rFonts w:ascii="Arial" w:cs="Arial" w:eastAsia="Arial" w:hAnsi="Arial"/>
          <w:sz w:val="21"/>
          <w:szCs w:val="21"/>
          <w:color w:val="auto"/>
        </w:rPr>
        <w:t>. If fewer than all of the Notes are to be redeemed by the Company pursuant to this Article Four, not more than 60 days prior to the Redemption Date, the particular Notes or portions thereof called for redemption will be selected from the outstanding Notes not previously called by such method as the Trustee deems fair and appropriate. The Trustee may select for redemption Notes and portions of Notes in amounts of $2,000 or whole multiples of $1,000. A new Note in principal amount equal to the unredeemed portion of the original Note shall be issued upon the cancellation of the original Note. In the case of a partial redemption of Notes registered in the name of Cede &amp; Co., the Notes to be redeemed will be determined in accordance with the procedures of The Depository Trust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i w:val="1"/>
          <w:iCs w:val="1"/>
          <w:color w:val="auto"/>
        </w:rPr>
        <w:t>Notice of Optional Redemption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09" w:name="page210"/>
    <w:bookmarkEnd w:id="209"/>
    <w:p>
      <w:pPr>
        <w:jc w:val="both"/>
        <w:ind w:firstLine="656"/>
        <w:spacing w:after="0" w:line="261" w:lineRule="auto"/>
        <w:tabs>
          <w:tab w:leader="none" w:pos="959" w:val="left"/>
        </w:tabs>
        <w:numPr>
          <w:ilvl w:val="0"/>
          <w:numId w:val="201"/>
        </w:numPr>
        <w:rPr>
          <w:rFonts w:ascii="Arial" w:cs="Arial" w:eastAsia="Arial" w:hAnsi="Arial"/>
          <w:sz w:val="21"/>
          <w:szCs w:val="21"/>
          <w:color w:val="auto"/>
        </w:rPr>
      </w:pPr>
      <w:r>
        <w:rPr>
          <w:rFonts w:ascii="Arial" w:cs="Arial" w:eastAsia="Arial" w:hAnsi="Arial"/>
          <w:sz w:val="21"/>
          <w:szCs w:val="21"/>
          <w:color w:val="auto"/>
        </w:rPr>
        <w:t>The Trustee, at the written direction of the Company, will send a notice of redemption prepared by the Company to each holder of Notes to be redeemed by first-class mail (or in accordance with the procedures of The Depository Trust Company with respect to Notes registered in the name of Cede &amp; Co.) at least 15 and not more than 60 days prior to the date fixed for redemption. Unless the Company defaults on payment of the redemption price, interest will cease to accrue on the Notes or portions thereof called for redemption on the Redemption Date. If any Note is to be redeemed in part only, the notice of redemption shall state the portion of the principal amount to be redeemed.</w:t>
      </w:r>
    </w:p>
    <w:p>
      <w:pPr>
        <w:spacing w:after="0" w:line="206" w:lineRule="exact"/>
        <w:rPr>
          <w:rFonts w:ascii="Arial" w:cs="Arial" w:eastAsia="Arial" w:hAnsi="Arial"/>
          <w:sz w:val="21"/>
          <w:szCs w:val="21"/>
          <w:color w:val="auto"/>
        </w:rPr>
      </w:pPr>
    </w:p>
    <w:p>
      <w:pPr>
        <w:jc w:val="both"/>
        <w:ind w:firstLine="656"/>
        <w:spacing w:after="0" w:line="290" w:lineRule="auto"/>
        <w:tabs>
          <w:tab w:leader="none" w:pos="982" w:val="left"/>
        </w:tabs>
        <w:numPr>
          <w:ilvl w:val="0"/>
          <w:numId w:val="201"/>
        </w:numPr>
        <w:rPr>
          <w:rFonts w:ascii="Arial" w:cs="Arial" w:eastAsia="Arial" w:hAnsi="Arial"/>
          <w:sz w:val="19"/>
          <w:szCs w:val="19"/>
          <w:color w:val="auto"/>
        </w:rPr>
      </w:pPr>
      <w:r>
        <w:rPr>
          <w:rFonts w:ascii="Arial" w:cs="Arial" w:eastAsia="Arial" w:hAnsi="Arial"/>
          <w:sz w:val="19"/>
          <w:szCs w:val="19"/>
          <w:color w:val="auto"/>
        </w:rPr>
        <w:t>Notice of any redemption of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Company or another Person).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 The Company shall notify holders of Notes of any such rescission as soon as practicable after it determines that such conditions precedent will not be able to be satisfied or the Company is not able or willing to waive such conditions precedent.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FIVE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Remedies</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Additional Event of Default; Acceleration of Maturity.</w:t>
      </w:r>
    </w:p>
    <w:p>
      <w:pPr>
        <w:spacing w:after="0" w:line="247" w:lineRule="exact"/>
        <w:rPr>
          <w:sz w:val="20"/>
          <w:szCs w:val="20"/>
          <w:color w:val="auto"/>
        </w:rPr>
      </w:pPr>
    </w:p>
    <w:p>
      <w:pPr>
        <w:jc w:val="both"/>
        <w:ind w:firstLine="656"/>
        <w:spacing w:after="0" w:line="291" w:lineRule="auto"/>
        <w:tabs>
          <w:tab w:leader="none" w:pos="1204" w:val="left"/>
        </w:tabs>
        <w:numPr>
          <w:ilvl w:val="0"/>
          <w:numId w:val="202"/>
        </w:numPr>
        <w:rPr>
          <w:rFonts w:ascii="Arial" w:cs="Arial" w:eastAsia="Arial" w:hAnsi="Arial"/>
          <w:sz w:val="19"/>
          <w:szCs w:val="19"/>
          <w:color w:val="auto"/>
        </w:rPr>
      </w:pPr>
      <w:r>
        <w:rPr>
          <w:rFonts w:ascii="Arial" w:cs="Arial" w:eastAsia="Arial" w:hAnsi="Arial"/>
          <w:sz w:val="19"/>
          <w:szCs w:val="19"/>
          <w:color w:val="auto"/>
        </w:rPr>
        <w:t>Solely with respect to the Notes issued hereby, Section 501(7) of the Original Indenture is hereby deleted in its entirety, and the following is substituted in lieu thereof as an Event of Default in addition to the other events set forth in 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501 of the Original Indenture:</w:t>
      </w:r>
    </w:p>
    <w:p>
      <w:pPr>
        <w:spacing w:after="0" w:line="229" w:lineRule="exact"/>
        <w:rPr>
          <w:sz w:val="20"/>
          <w:szCs w:val="20"/>
          <w:color w:val="auto"/>
        </w:rPr>
      </w:pPr>
    </w:p>
    <w:p>
      <w:pPr>
        <w:jc w:val="both"/>
        <w:ind w:left="1300" w:right="1300" w:firstLine="648"/>
        <w:spacing w:after="0" w:line="288" w:lineRule="auto"/>
        <w:rPr>
          <w:sz w:val="20"/>
          <w:szCs w:val="20"/>
          <w:color w:val="auto"/>
        </w:rPr>
      </w:pPr>
      <w:r>
        <w:rPr>
          <w:rFonts w:ascii="Arial" w:cs="Arial" w:eastAsia="Arial" w:hAnsi="Arial"/>
          <w:sz w:val="19"/>
          <w:szCs w:val="19"/>
          <w:color w:val="auto"/>
        </w:rPr>
        <w:t>“(7) the default by the Company or any Subsidiary, other than a Project Finance Subsidiary, in the payment, when due, after the expiration of any applicable grace period, of principal of indebtedness for money borrowed, other than Non-Recourse Debt, in the aggregate principal amount then outstanding of $125 million or more, or acceleration of any indebtedness for money borrowed in such aggregate principal amount so that it becomes due and payable prior to the date on which it would otherwise have become due and payable and such acceleration is not rescinded or such default is not cured within 30 days after there has been given, by registered or certified mail, to the Company by the Trustee or to the Company and the Trustee by the holders of at least 33% in principal amount of the Notes written notice specifying such default and requiring the Company to cause such acceleration to be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10" w:name="page211"/>
    <w:bookmarkEnd w:id="210"/>
    <w:p>
      <w:pPr>
        <w:ind w:left="1300" w:right="1300"/>
        <w:spacing w:after="0" w:line="263" w:lineRule="auto"/>
        <w:rPr>
          <w:sz w:val="20"/>
          <w:szCs w:val="20"/>
          <w:color w:val="auto"/>
        </w:rPr>
      </w:pPr>
      <w:r>
        <w:rPr>
          <w:rFonts w:ascii="Arial" w:cs="Arial" w:eastAsia="Arial" w:hAnsi="Arial"/>
          <w:sz w:val="22"/>
          <w:szCs w:val="22"/>
          <w:color w:val="auto"/>
        </w:rPr>
        <w:t>rescinded or such default to be cured and stating that such notice is a “Notice of Default” under the Indenture;”.</w:t>
      </w:r>
    </w:p>
    <w:p>
      <w:pPr>
        <w:spacing w:after="0" w:line="215" w:lineRule="exact"/>
        <w:rPr>
          <w:sz w:val="20"/>
          <w:szCs w:val="20"/>
          <w:color w:val="auto"/>
        </w:rPr>
      </w:pPr>
    </w:p>
    <w:p>
      <w:pPr>
        <w:ind w:firstLine="656"/>
        <w:spacing w:after="0" w:line="263" w:lineRule="auto"/>
        <w:tabs>
          <w:tab w:leader="none" w:pos="113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Solely with respect to the Notes issued hereby, the first paragraph of Section 502 of the Original Indenture is hereby deleted in its entirety, and the following is substituted in lieu thereof:</w:t>
      </w:r>
    </w:p>
    <w:p>
      <w:pPr>
        <w:spacing w:after="0" w:line="202" w:lineRule="exact"/>
        <w:rPr>
          <w:sz w:val="20"/>
          <w:szCs w:val="20"/>
          <w:color w:val="auto"/>
        </w:rPr>
      </w:pPr>
    </w:p>
    <w:p>
      <w:pPr>
        <w:jc w:val="both"/>
        <w:ind w:left="1300" w:right="1300" w:firstLine="648"/>
        <w:spacing w:after="0" w:line="258" w:lineRule="auto"/>
        <w:rPr>
          <w:sz w:val="20"/>
          <w:szCs w:val="20"/>
          <w:color w:val="auto"/>
        </w:rPr>
      </w:pPr>
      <w:r>
        <w:rPr>
          <w:rFonts w:ascii="Arial" w:cs="Arial" w:eastAsia="Arial" w:hAnsi="Arial"/>
          <w:sz w:val="21"/>
          <w:szCs w:val="21"/>
          <w:color w:val="auto"/>
        </w:rPr>
        <w:t>“If an Event of Default (other than an Event of Default specified in Section 501(5) or 501(6)) with respect to the Notes at the time Outstanding occurs and is continuing, then in every such case the Trustee or the Holders of not less than 33% in principal amount of the Notes Outstanding may declare the principal amount of all the Notes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501(6) with respect to the Notes at the time Outstanding occurs and is continuing, the principal amount of all the Notes shall automatically, and without any declaration or other action on the part of the Trustee or any Holder, become immediately due and payable.”</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Amendment of Certain Provisions</w:t>
      </w:r>
      <w:r>
        <w:rPr>
          <w:rFonts w:ascii="Arial" w:cs="Arial" w:eastAsia="Arial" w:hAnsi="Arial"/>
          <w:sz w:val="22"/>
          <w:szCs w:val="22"/>
          <w:color w:val="auto"/>
        </w:rPr>
        <w:t>. Solely with respect to the Notes issued hereby, references to “25%” in Article Five of the Indenture are hereby deleted in their entirety and “33%” is substituted in lieu thereof.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SIX</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 Provisions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601 The Indenture, as supplemented and amended by this Supplemental Indenture No. 19, is in all respects hereby adopted, ratified and confirmed.</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Section 602 This Supplemental Indenture No. 19 may be executed in any number of counterparts, each of which shall be an original, but such counterparts shall together constitute but one and the same instrument. The words “execution,” “executed,” “signed,” signature,” and words of like import in this Supplemental Indenture No. 19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11" w:name="page212"/>
    <w:bookmarkEnd w:id="211"/>
    <w:p>
      <w:pPr>
        <w:jc w:val="both"/>
        <w:spacing w:after="0" w:line="288" w:lineRule="auto"/>
        <w:rPr>
          <w:sz w:val="20"/>
          <w:szCs w:val="20"/>
          <w:color w:val="auto"/>
        </w:rPr>
      </w:pPr>
      <w:r>
        <w:rPr>
          <w:rFonts w:ascii="Arial" w:cs="Arial" w:eastAsia="Arial" w:hAnsi="Arial"/>
          <w:sz w:val="19"/>
          <w:szCs w:val="19"/>
          <w:color w:val="auto"/>
        </w:rPr>
        <w:t>applicable law, including, without limitation, any state law based on the Uniform Electronic Transactions Act or the Uniform Commercial Code. Without limitation to the foregoing, and anything in this Supplemental Indenture No. 19 to the contrary notwithstanding, (a) any Officers’ Certificate, Company Order, Opinion of Counsel, Security, certificate of authentication appearing on or attached to any Security or other certificate, Opinion of Counsel, instrument, agreement or other document delivered pursuant to this Supplemental Indenture No. 19 may be executed, attested and transmitted by any of the foregoing electronic means and formats, (b) all references in Section 303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and (c) any requirement in Section 303 or elsewhere in the Indenture that any signature be made under a corporate seal (or facsimile thereof) shall not be applicable to the Securities of such series.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Section 603 THIS SUPPLEMENTAL INDENTURE NO. 19 AND EACH NOTE SHALL BE DEEMED TO BE A CONTRACT MADE UNDER THE LAWS OF THE STATE OF NEW YORK AND SHALL BE GOVERNED BY AND CONSTRUED IN ACCORDANCE WITH THE LAWS OF THE STATE OF NEW YORK.</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Section 604 If any provision in this Supplemental Indenture No. 19 limits, qualifies or conflicts with another provision hereof which is required to be included herein by any provisions of the Trust Indenture Act, such required provision shall control.</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Section 605 In case any provision in this Supplemental Indenture No. 19 or the Notes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212" w:name="page213"/>
    <w:bookmarkEnd w:id="212"/>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No. 19 to be duly executed, as of the day and year first written above.</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CENTERPOINT ENERGY RESOURCES CORP.</w:t>
      </w:r>
    </w:p>
    <w:p>
      <w:pPr>
        <w:spacing w:after="0" w:line="200" w:lineRule="exact"/>
        <w:rPr>
          <w:sz w:val="20"/>
          <w:szCs w:val="20"/>
          <w:color w:val="auto"/>
        </w:rPr>
      </w:pPr>
    </w:p>
    <w:p>
      <w:pPr>
        <w:spacing w:after="0" w:line="290" w:lineRule="exact"/>
        <w:rPr>
          <w:sz w:val="20"/>
          <w:szCs w:val="20"/>
          <w:color w:val="auto"/>
        </w:rPr>
      </w:pPr>
    </w:p>
    <w:p>
      <w:pPr>
        <w:jc w:val="center"/>
        <w:ind w:left="2480"/>
        <w:spacing w:after="0"/>
        <w:tabs>
          <w:tab w:leader="none" w:pos="260" w:val="left"/>
        </w:tabs>
        <w:rPr>
          <w:sz w:val="20"/>
          <w:szCs w:val="20"/>
          <w:color w:val="auto"/>
        </w:rPr>
      </w:pPr>
      <w:r>
        <w:rPr>
          <w:rFonts w:ascii="Arial" w:cs="Arial" w:eastAsia="Arial" w:hAnsi="Arial"/>
          <w:sz w:val="22"/>
          <w:szCs w:val="22"/>
          <w:color w:val="auto"/>
        </w:rPr>
        <w:t>By:</w:t>
        <w:tab/>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6275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1" w:lineRule="exact"/>
        <w:rPr>
          <w:sz w:val="20"/>
          <w:szCs w:val="20"/>
          <w:color w:val="auto"/>
        </w:rPr>
      </w:pPr>
    </w:p>
    <w:p>
      <w:pPr>
        <w:jc w:val="center"/>
        <w:ind w:right="1420"/>
        <w:spacing w:after="0"/>
        <w:rPr>
          <w:sz w:val="20"/>
          <w:szCs w:val="20"/>
          <w:color w:val="auto"/>
        </w:rPr>
      </w:pPr>
      <w:r>
        <w:rPr>
          <w:rFonts w:ascii="Arial" w:cs="Arial" w:eastAsia="Arial" w:hAnsi="Arial"/>
          <w:sz w:val="22"/>
          <w:szCs w:val="22"/>
          <w:color w:val="auto"/>
        </w:rPr>
        <w:t>Jason P. Wells</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Executive Vice President and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265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Vincent A. Mercaldi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right="1360"/>
        <w:spacing w:after="0" w:line="263" w:lineRule="auto"/>
        <w:rPr>
          <w:sz w:val="20"/>
          <w:szCs w:val="20"/>
          <w:color w:val="auto"/>
        </w:rPr>
      </w:pPr>
      <w:r>
        <w:rPr>
          <w:rFonts w:ascii="Arial" w:cs="Arial" w:eastAsia="Arial" w:hAnsi="Arial"/>
          <w:sz w:val="22"/>
          <w:szCs w:val="22"/>
          <w:color w:val="auto"/>
        </w:rPr>
        <w:t>THE BANK OF NEW YORK MELLON TRUST COMPANY, N.A., As Trustee</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Linda Wirfel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563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1556385" cy="8255"/>
                    </a:xfrm>
                    <a:prstGeom prst="rect">
                      <a:avLst/>
                    </a:prstGeom>
                    <a:noFill/>
                  </pic:spPr>
                </pic:pic>
              </a:graphicData>
            </a:graphic>
          </wp:anchor>
        </w:drawing>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FACE OF SECURITY]</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(“DTC”), TO CENTERPOINT ENERGY RESOURCES CORP.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CENTERPOINT ENERGY RESOURCES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Floating Rate Senior Notes due 2023</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320" w:type="dxa"/>
            <w:vAlign w:val="bottom"/>
            <w:gridSpan w:val="3"/>
          </w:tcPr>
          <w:p>
            <w:pPr>
              <w:spacing w:after="0"/>
              <w:rPr>
                <w:sz w:val="20"/>
                <w:szCs w:val="20"/>
                <w:color w:val="auto"/>
              </w:rPr>
            </w:pPr>
            <w:r>
              <w:rPr>
                <w:rFonts w:ascii="Arial" w:cs="Arial" w:eastAsia="Arial" w:hAnsi="Arial"/>
                <w:sz w:val="22"/>
                <w:szCs w:val="22"/>
                <w:color w:val="auto"/>
              </w:rPr>
              <w:t>Original Interest Accrual Date: March 2, 2021</w:t>
            </w:r>
          </w:p>
        </w:tc>
        <w:tc>
          <w:tcPr>
            <w:tcW w:w="5880" w:type="dxa"/>
            <w:vAlign w:val="bottom"/>
            <w:gridSpan w:val="4"/>
          </w:tcPr>
          <w:p>
            <w:pPr>
              <w:spacing w:after="0"/>
              <w:rPr>
                <w:sz w:val="20"/>
                <w:szCs w:val="20"/>
                <w:color w:val="auto"/>
              </w:rPr>
            </w:pPr>
            <w:r>
              <w:rPr>
                <w:rFonts w:ascii="Arial" w:cs="Arial" w:eastAsia="Arial" w:hAnsi="Arial"/>
                <w:sz w:val="22"/>
                <w:szCs w:val="22"/>
                <w:color w:val="auto"/>
              </w:rPr>
              <w:t>Redeemable: Yes [X] No [ ]</w:t>
            </w:r>
          </w:p>
        </w:tc>
      </w:tr>
      <w:tr>
        <w:trPr>
          <w:trHeight w:val="224"/>
        </w:trPr>
        <w:tc>
          <w:tcPr>
            <w:tcW w:w="5320" w:type="dxa"/>
            <w:vAlign w:val="bottom"/>
            <w:gridSpan w:val="3"/>
          </w:tcPr>
          <w:p>
            <w:pPr>
              <w:spacing w:after="0" w:line="224" w:lineRule="exact"/>
              <w:rPr>
                <w:sz w:val="20"/>
                <w:szCs w:val="20"/>
                <w:color w:val="auto"/>
              </w:rPr>
            </w:pPr>
            <w:r>
              <w:rPr>
                <w:rFonts w:ascii="Arial" w:cs="Arial" w:eastAsia="Arial" w:hAnsi="Arial"/>
                <w:sz w:val="22"/>
                <w:szCs w:val="22"/>
                <w:color w:val="auto"/>
              </w:rPr>
              <w:t>Stated Maturity: March 2, 2023</w:t>
            </w:r>
          </w:p>
        </w:tc>
        <w:tc>
          <w:tcPr>
            <w:tcW w:w="5880" w:type="dxa"/>
            <w:vAlign w:val="bottom"/>
            <w:gridSpan w:val="4"/>
          </w:tcPr>
          <w:p>
            <w:pPr>
              <w:spacing w:after="0" w:line="224" w:lineRule="exact"/>
              <w:rPr>
                <w:sz w:val="20"/>
                <w:szCs w:val="20"/>
                <w:color w:val="auto"/>
              </w:rPr>
            </w:pPr>
            <w:r>
              <w:rPr>
                <w:rFonts w:ascii="Arial" w:cs="Arial" w:eastAsia="Arial" w:hAnsi="Arial"/>
                <w:sz w:val="22"/>
                <w:szCs w:val="22"/>
                <w:color w:val="auto"/>
                <w:w w:val="94"/>
              </w:rPr>
              <w:t>Redemption Date: On or after September 2, 2021 (the “Par Call</w:t>
            </w:r>
          </w:p>
        </w:tc>
      </w:tr>
      <w:tr>
        <w:trPr>
          <w:trHeight w:val="237"/>
        </w:trPr>
        <w:tc>
          <w:tcPr>
            <w:tcW w:w="10100" w:type="dxa"/>
            <w:vAlign w:val="bottom"/>
            <w:gridSpan w:val="5"/>
          </w:tcPr>
          <w:p>
            <w:pPr>
              <w:spacing w:after="0" w:line="237" w:lineRule="exact"/>
              <w:rPr>
                <w:sz w:val="20"/>
                <w:szCs w:val="20"/>
                <w:color w:val="auto"/>
              </w:rPr>
            </w:pPr>
            <w:r>
              <w:rPr>
                <w:rFonts w:ascii="Arial" w:cs="Arial" w:eastAsia="Arial" w:hAnsi="Arial"/>
                <w:sz w:val="22"/>
                <w:szCs w:val="22"/>
                <w:color w:val="auto"/>
              </w:rPr>
              <w:t>Interest Rate: Three-Month LIBOR Rate plus 0.50% (the Date”).</w:t>
            </w:r>
          </w:p>
        </w:tc>
        <w:tc>
          <w:tcPr>
            <w:tcW w:w="7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532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r>
      <w:tr>
        <w:trPr>
          <w:trHeight w:val="236"/>
        </w:trPr>
        <w:tc>
          <w:tcPr>
            <w:tcW w:w="5320" w:type="dxa"/>
            <w:vAlign w:val="bottom"/>
            <w:gridSpan w:val="3"/>
          </w:tcPr>
          <w:p>
            <w:pPr>
              <w:spacing w:after="0" w:line="237" w:lineRule="exact"/>
              <w:rPr>
                <w:sz w:val="20"/>
                <w:szCs w:val="20"/>
                <w:color w:val="auto"/>
              </w:rPr>
            </w:pPr>
            <w:r>
              <w:rPr>
                <w:rFonts w:ascii="Arial" w:cs="Arial" w:eastAsia="Arial" w:hAnsi="Arial"/>
                <w:sz w:val="22"/>
                <w:szCs w:val="22"/>
                <w:color w:val="auto"/>
              </w:rPr>
              <w:t>“Margin”), reset quarterly</w:t>
            </w:r>
          </w:p>
        </w:tc>
        <w:tc>
          <w:tcPr>
            <w:tcW w:w="5880" w:type="dxa"/>
            <w:vAlign w:val="bottom"/>
            <w:gridSpan w:val="4"/>
          </w:tcPr>
          <w:p>
            <w:pPr>
              <w:spacing w:after="0" w:line="237" w:lineRule="exact"/>
              <w:rPr>
                <w:sz w:val="20"/>
                <w:szCs w:val="20"/>
                <w:color w:val="auto"/>
              </w:rPr>
            </w:pPr>
            <w:r>
              <w:rPr>
                <w:rFonts w:ascii="Arial" w:cs="Arial" w:eastAsia="Arial" w:hAnsi="Arial"/>
                <w:sz w:val="22"/>
                <w:szCs w:val="22"/>
                <w:color w:val="auto"/>
                <w:w w:val="89"/>
              </w:rPr>
              <w:t>Redemption Price: On or after the Par Call Date, at a price equal to</w:t>
            </w:r>
          </w:p>
        </w:tc>
      </w:tr>
      <w:tr>
        <w:trPr>
          <w:trHeight w:val="20"/>
        </w:trPr>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9"/>
        </w:trPr>
        <w:tc>
          <w:tcPr>
            <w:tcW w:w="5320" w:type="dxa"/>
            <w:vAlign w:val="bottom"/>
            <w:gridSpan w:val="3"/>
          </w:tcPr>
          <w:p>
            <w:pPr>
              <w:spacing w:after="0"/>
              <w:rPr>
                <w:sz w:val="20"/>
                <w:szCs w:val="20"/>
                <w:color w:val="auto"/>
              </w:rPr>
            </w:pPr>
            <w:r>
              <w:rPr>
                <w:rFonts w:ascii="Arial" w:cs="Arial" w:eastAsia="Arial" w:hAnsi="Arial"/>
                <w:sz w:val="22"/>
                <w:szCs w:val="22"/>
                <w:color w:val="auto"/>
                <w:w w:val="91"/>
              </w:rPr>
              <w:t>Interest Payment Dates: March 2, June 2, September 2 and</w:t>
            </w:r>
          </w:p>
        </w:tc>
        <w:tc>
          <w:tcPr>
            <w:tcW w:w="5880" w:type="dxa"/>
            <w:vAlign w:val="bottom"/>
            <w:gridSpan w:val="4"/>
          </w:tcPr>
          <w:p>
            <w:pPr>
              <w:spacing w:after="0"/>
              <w:rPr>
                <w:sz w:val="20"/>
                <w:szCs w:val="20"/>
                <w:color w:val="auto"/>
              </w:rPr>
            </w:pPr>
            <w:r>
              <w:rPr>
                <w:rFonts w:ascii="Arial" w:cs="Arial" w:eastAsia="Arial" w:hAnsi="Arial"/>
                <w:sz w:val="22"/>
                <w:szCs w:val="22"/>
                <w:color w:val="auto"/>
                <w:w w:val="90"/>
              </w:rPr>
              <w:t>100% of the principal amount of this Security or the portion thereof</w:t>
            </w:r>
          </w:p>
        </w:tc>
      </w:tr>
      <w:tr>
        <w:trPr>
          <w:trHeight w:val="257"/>
        </w:trPr>
        <w:tc>
          <w:tcPr>
            <w:tcW w:w="5320" w:type="dxa"/>
            <w:vAlign w:val="bottom"/>
            <w:gridSpan w:val="3"/>
          </w:tcPr>
          <w:p>
            <w:pPr>
              <w:spacing w:after="0"/>
              <w:rPr>
                <w:sz w:val="20"/>
                <w:szCs w:val="20"/>
                <w:color w:val="auto"/>
              </w:rPr>
            </w:pPr>
            <w:r>
              <w:rPr>
                <w:rFonts w:ascii="Arial" w:cs="Arial" w:eastAsia="Arial" w:hAnsi="Arial"/>
                <w:sz w:val="22"/>
                <w:szCs w:val="22"/>
                <w:color w:val="auto"/>
              </w:rPr>
              <w:t>December 2</w:t>
            </w:r>
          </w:p>
        </w:tc>
        <w:tc>
          <w:tcPr>
            <w:tcW w:w="5880" w:type="dxa"/>
            <w:vAlign w:val="bottom"/>
            <w:gridSpan w:val="4"/>
          </w:tcPr>
          <w:p>
            <w:pPr>
              <w:spacing w:after="0"/>
              <w:rPr>
                <w:sz w:val="20"/>
                <w:szCs w:val="20"/>
                <w:color w:val="auto"/>
              </w:rPr>
            </w:pPr>
            <w:r>
              <w:rPr>
                <w:rFonts w:ascii="Arial" w:cs="Arial" w:eastAsia="Arial" w:hAnsi="Arial"/>
                <w:sz w:val="22"/>
                <w:szCs w:val="22"/>
                <w:color w:val="auto"/>
                <w:w w:val="92"/>
              </w:rPr>
              <w:t>to be redeemed plus accrued and unpaid interest on the principal</w:t>
            </w:r>
          </w:p>
        </w:tc>
      </w:tr>
      <w:tr>
        <w:trPr>
          <w:trHeight w:val="256"/>
        </w:trPr>
        <w:tc>
          <w:tcPr>
            <w:tcW w:w="5320" w:type="dxa"/>
            <w:vAlign w:val="bottom"/>
            <w:gridSpan w:val="3"/>
          </w:tcPr>
          <w:p>
            <w:pPr>
              <w:spacing w:after="0"/>
              <w:rPr>
                <w:sz w:val="20"/>
                <w:szCs w:val="20"/>
                <w:color w:val="auto"/>
              </w:rPr>
            </w:pPr>
            <w:r>
              <w:rPr>
                <w:rFonts w:ascii="Arial" w:cs="Arial" w:eastAsia="Arial" w:hAnsi="Arial"/>
                <w:sz w:val="22"/>
                <w:szCs w:val="22"/>
                <w:color w:val="auto"/>
              </w:rPr>
              <w:t>Initial Interest Payment Date: June 2, 2021</w:t>
            </w:r>
          </w:p>
        </w:tc>
        <w:tc>
          <w:tcPr>
            <w:tcW w:w="5880" w:type="dxa"/>
            <w:vAlign w:val="bottom"/>
            <w:gridSpan w:val="4"/>
          </w:tcPr>
          <w:p>
            <w:pPr>
              <w:spacing w:after="0"/>
              <w:rPr>
                <w:sz w:val="20"/>
                <w:szCs w:val="20"/>
                <w:color w:val="auto"/>
              </w:rPr>
            </w:pPr>
            <w:r>
              <w:rPr>
                <w:rFonts w:ascii="Arial" w:cs="Arial" w:eastAsia="Arial" w:hAnsi="Arial"/>
                <w:sz w:val="22"/>
                <w:szCs w:val="22"/>
                <w:color w:val="auto"/>
                <w:w w:val="92"/>
              </w:rPr>
              <w:t>amount being redeemed to, but excluding, the Redemption Date.</w:t>
            </w:r>
          </w:p>
        </w:tc>
      </w:tr>
      <w:tr>
        <w:trPr>
          <w:trHeight w:val="274"/>
        </w:trPr>
        <w:tc>
          <w:tcPr>
            <w:tcW w:w="5320" w:type="dxa"/>
            <w:vAlign w:val="bottom"/>
            <w:gridSpan w:val="3"/>
          </w:tcPr>
          <w:p>
            <w:pPr>
              <w:spacing w:after="0"/>
              <w:rPr>
                <w:sz w:val="20"/>
                <w:szCs w:val="20"/>
                <w:color w:val="auto"/>
              </w:rPr>
            </w:pPr>
            <w:r>
              <w:rPr>
                <w:rFonts w:ascii="Arial" w:cs="Arial" w:eastAsia="Arial" w:hAnsi="Arial"/>
                <w:sz w:val="22"/>
                <w:szCs w:val="22"/>
                <w:color w:val="auto"/>
              </w:rPr>
              <w:t>Regular  Record  Dates:  [Business  Day  immediately</w:t>
            </w:r>
          </w:p>
        </w:tc>
        <w:tc>
          <w:tcPr>
            <w:tcW w:w="40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r>
    </w:tbl>
    <w:p>
      <w:pPr>
        <w:ind w:left="20"/>
        <w:spacing w:after="0"/>
        <w:rPr>
          <w:sz w:val="20"/>
          <w:szCs w:val="20"/>
          <w:color w:val="auto"/>
        </w:rPr>
      </w:pPr>
      <w:r>
        <w:rPr>
          <w:rFonts w:ascii="Arial" w:cs="Arial" w:eastAsia="Arial" w:hAnsi="Arial"/>
          <w:sz w:val="22"/>
          <w:szCs w:val="22"/>
          <w:color w:val="auto"/>
        </w:rPr>
        <w:t>preceding such Interest Payment Date]/[15th calendar day</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immediately preceding such Interest Payment Date (whether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or not a Business Day)] </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714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1" w:lineRule="exact"/>
        <w:rPr>
          <w:sz w:val="20"/>
          <w:szCs w:val="20"/>
          <w:color w:val="auto"/>
        </w:rPr>
      </w:pPr>
    </w:p>
    <w:p>
      <w:pPr>
        <w:ind w:left="120" w:hanging="112"/>
        <w:spacing w:after="0"/>
        <w:tabs>
          <w:tab w:leader="none" w:pos="120" w:val="left"/>
        </w:tabs>
        <w:numPr>
          <w:ilvl w:val="0"/>
          <w:numId w:val="204"/>
        </w:numPr>
        <w:rPr>
          <w:rFonts w:ascii="Arial" w:cs="Arial" w:eastAsia="Arial" w:hAnsi="Arial"/>
          <w:sz w:val="23"/>
          <w:szCs w:val="23"/>
          <w:color w:val="auto"/>
          <w:vertAlign w:val="superscript"/>
        </w:rPr>
      </w:pPr>
      <w:r>
        <w:rPr>
          <w:rFonts w:ascii="Arial" w:cs="Arial" w:eastAsia="Arial" w:hAnsi="Arial"/>
          <w:sz w:val="18"/>
          <w:szCs w:val="18"/>
          <w:color w:val="auto"/>
        </w:rPr>
        <w:t>NTD: Insert first bracketed language if Global Security otherwise insert second bracketed language.</w:t>
      </w:r>
    </w:p>
    <w:p>
      <w:pPr>
        <w:sectPr>
          <w:pgSz w:w="11900" w:h="16838" w:orient="portrait"/>
          <w:cols w:equalWidth="0" w:num="1">
            <w:col w:w="11240"/>
          </w:cols>
          <w:pgMar w:left="320" w:top="1428" w:right="339"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This Security is not an Original Issue Discount Security</w:t>
      </w:r>
    </w:p>
    <w:p>
      <w:pPr>
        <w:spacing w:after="0" w:line="65" w:lineRule="exact"/>
        <w:rPr>
          <w:sz w:val="20"/>
          <w:szCs w:val="20"/>
          <w:color w:val="auto"/>
        </w:rPr>
      </w:pPr>
    </w:p>
    <w:p>
      <w:pPr>
        <w:ind w:left="3260"/>
        <w:spacing w:after="0"/>
        <w:rPr>
          <w:sz w:val="20"/>
          <w:szCs w:val="20"/>
          <w:color w:val="auto"/>
        </w:rPr>
      </w:pPr>
      <w:r>
        <w:rPr>
          <w:rFonts w:ascii="Arial" w:cs="Arial" w:eastAsia="Arial" w:hAnsi="Arial"/>
          <w:sz w:val="19"/>
          <w:szCs w:val="19"/>
          <w:color w:val="auto"/>
        </w:rPr>
        <w:t>within the meaning of the within-mentioned Indenture.</w:t>
      </w:r>
    </w:p>
    <w:p>
      <w:pPr>
        <w:spacing w:after="0" w:line="65"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_____________________________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Principal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Registered No. T-[ ]</w:t>
      </w:r>
    </w:p>
    <w:p>
      <w:pPr>
        <w:spacing w:after="0" w:line="111" w:lineRule="exact"/>
        <w:rPr>
          <w:sz w:val="20"/>
          <w:szCs w:val="20"/>
          <w:color w:val="auto"/>
        </w:rPr>
      </w:pPr>
    </w:p>
    <w:p>
      <w:pPr>
        <w:sectPr>
          <w:pgSz w:w="11900" w:h="16838" w:orient="portrait"/>
          <w:cols w:equalWidth="0" w:num="2">
            <w:col w:w="8520" w:space="720"/>
            <w:col w:w="200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$_______________</w:t>
      </w: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CUSIP 15189W AN0</w:t>
      </w:r>
    </w:p>
    <w:p>
      <w:pPr>
        <w:spacing w:after="0" w:line="200" w:lineRule="exact"/>
        <w:rPr>
          <w:sz w:val="20"/>
          <w:szCs w:val="20"/>
          <w:color w:val="auto"/>
        </w:rPr>
      </w:pPr>
    </w:p>
    <w:p>
      <w:pPr>
        <w:sectPr>
          <w:pgSz w:w="11900" w:h="16838" w:orient="portrait"/>
          <w:cols w:equalWidth="0" w:num="2">
            <w:col w:w="8380" w:space="720"/>
            <w:col w:w="2140"/>
          </w:cols>
          <w:pgMar w:left="320" w:top="1440" w:right="339" w:bottom="1440" w:gutter="0" w:footer="0" w:header="0"/>
          <w:type w:val="continuous"/>
        </w:sectPr>
      </w:pPr>
    </w:p>
    <w:p>
      <w:pPr>
        <w:spacing w:after="0" w:line="351"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CENTERPOINT ENERGY RESOURCES CORP., a corporation duly organized and existing under the laws of the State of Delaware, formerly known as NorAm Energy Corp. (herein called the “</w:t>
      </w:r>
      <w:r>
        <w:rPr>
          <w:rFonts w:ascii="Arial" w:cs="Arial" w:eastAsia="Arial" w:hAnsi="Arial"/>
          <w:sz w:val="22"/>
          <w:szCs w:val="22"/>
          <w:u w:val="single" w:color="auto"/>
          <w:color w:val="auto"/>
        </w:rPr>
        <w:t>Company</w:t>
      </w:r>
      <w:r>
        <w:rPr>
          <w:rFonts w:ascii="Arial" w:cs="Arial" w:eastAsia="Arial" w:hAnsi="Arial"/>
          <w:sz w:val="22"/>
          <w:szCs w:val="22"/>
          <w:color w:val="auto"/>
        </w:rPr>
        <w:t>,” which term includes any successor Person under the Indenture referred to below), for value received, hereby promises to pay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***CEDE &amp; Co.***</w:t>
      </w:r>
    </w:p>
    <w:p>
      <w:pPr>
        <w:spacing w:after="0" w:line="247" w:lineRule="exact"/>
        <w:rPr>
          <w:sz w:val="20"/>
          <w:szCs w:val="20"/>
          <w:color w:val="auto"/>
        </w:rPr>
      </w:pPr>
    </w:p>
    <w:p>
      <w:pPr>
        <w:jc w:val="both"/>
        <w:ind w:firstLine="8"/>
        <w:spacing w:after="0" w:line="294" w:lineRule="auto"/>
        <w:tabs>
          <w:tab w:leader="none" w:pos="127" w:val="left"/>
        </w:tabs>
        <w:numPr>
          <w:ilvl w:val="0"/>
          <w:numId w:val="205"/>
        </w:numPr>
        <w:rPr>
          <w:rFonts w:ascii="Arial" w:cs="Arial" w:eastAsia="Arial" w:hAnsi="Arial"/>
          <w:sz w:val="19"/>
          <w:szCs w:val="19"/>
          <w:color w:val="auto"/>
        </w:rPr>
      </w:pPr>
      <w:r>
        <w:rPr>
          <w:rFonts w:ascii="Arial" w:cs="Arial" w:eastAsia="Arial" w:hAnsi="Arial"/>
          <w:sz w:val="19"/>
          <w:szCs w:val="19"/>
          <w:color w:val="auto"/>
        </w:rPr>
        <w:t>or its registered assigns, the principal sum of DOLLARS on the Stated Maturity specified above, and to pay interest thereon from the Original Interest Accrual Date specified above or from the most recent Interest Payment Date to which interest has been paid or duly provided for, quarterly in arrears on the Interest Payment Dates specified above in each year, commencing on June 2, 2021, and at Stated Maturity, at the Interest Rate per annum specified above, until the principal hereof is paid or made available for payment. The amount of interest payable on any Interest Payment Date shall be computed on the basis of the actual number of days for which interest is payable in the relevant interest period, divided by 360.</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Interest Rate for the period from the issue date to the first LIBOR Rate Reset Date shall be equal to the Three-Month LIBOR Rate as determined by the Calculation Agent on March 1, 2021 plus the Margin. Following the initial interest period the Interest Rate for each subsequent interest period shall be equal to the Three Month LIBOR Rate as determined by the Calculation Agent on the related LIBOR Rate Reset Date, plus the Margin. Such Interest Rate will be reset on the 2nd day of the months of March, June, September and December of each year beginning on June 2, 2021 (each, a “</w:t>
      </w:r>
      <w:r>
        <w:rPr>
          <w:rFonts w:ascii="Arial" w:cs="Arial" w:eastAsia="Arial" w:hAnsi="Arial"/>
          <w:sz w:val="19"/>
          <w:szCs w:val="19"/>
          <w:u w:val="single" w:color="auto"/>
          <w:color w:val="auto"/>
        </w:rPr>
        <w:t>LIBOR Rate Reset Date</w:t>
      </w:r>
      <w:r>
        <w:rPr>
          <w:rFonts w:ascii="Arial" w:cs="Arial" w:eastAsia="Arial" w:hAnsi="Arial"/>
          <w:sz w:val="19"/>
          <w:szCs w:val="19"/>
          <w:color w:val="auto"/>
        </w:rPr>
        <w:t>”). An interest period is the period commencing on an Interest Payment Date (or, in the case of the initial interest period, commencing on March 2, 2021) and ending on the day preceding the next Interest Payment Date. Promptly upon such determination, the Calculation Agent will notify the Trustee, if the person serving as the Trustee is not then serving as the Calculation Agent, of the Interest Rate for the new interest period. The Interest Rate determined by the Calculation Agent, absent manifest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714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ectPr>
          <w:pgSz w:w="11900" w:h="16838" w:orient="portrait"/>
          <w:cols w:equalWidth="0" w:num="1">
            <w:col w:w="11240"/>
          </w:cols>
          <w:pgMar w:left="320" w:top="1440" w:right="339" w:bottom="1440" w:gutter="0" w:footer="0" w:header="0"/>
          <w:type w:val="continuous"/>
        </w:sectPr>
      </w:pPr>
    </w:p>
    <w:bookmarkStart w:id="215" w:name="page216"/>
    <w:bookmarkEnd w:id="215"/>
    <w:p>
      <w:pPr>
        <w:jc w:val="both"/>
        <w:spacing w:after="0" w:line="263" w:lineRule="auto"/>
        <w:rPr>
          <w:sz w:val="20"/>
          <w:szCs w:val="20"/>
          <w:color w:val="auto"/>
        </w:rPr>
      </w:pPr>
      <w:r>
        <w:rPr>
          <w:rFonts w:ascii="Arial" w:cs="Arial" w:eastAsia="Arial" w:hAnsi="Arial"/>
          <w:sz w:val="22"/>
          <w:szCs w:val="22"/>
          <w:color w:val="auto"/>
        </w:rPr>
        <w:t>error, shall be binding and conclusive upon the beneficial owners and registered holders of this Security, the Company and the Trustee.</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above, if the Company (or the Designee) determines on or prior to the relevant LIBOR Interest Determination Date that a Benchmark Transition Event and its related Benchmark Replacement Date have occurred with respect to the then current Benchmark, then, the Interest Rate that will be payable for each interest period will be an annual rate equal to the sum of the Benchmark Replacement and the Margin in the manner set forth in the Indenture. However, if the Company (or the Designee) determines that a Benchmark Transition Event and its related Benchmark Replacement Date have occurred with respect to the then current Benchmark, but for any reason the Benchmark Replacement has not been determined as of the relevant LIBOR Interest Determination Date, the Interest Rate for the applicable interest period will be equal to the Interest Rate for the immediately preceding interest period, as determined by the Company (or the Designee).</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interest so payable, and punctually paid or duly provided for, on any Interest Payment Date, as provided in the Indenture, shall be paid to the Person in whose name this Security (or one or more Predecessor Securities) shall have been registered on the Regular Record Date; provided further that interest payable on the Maturity Date or on the Redemption Date shall be paid to the Person to whom principal is paid. Any such interest not so punctually paid or duly provided for shall forthwith cease to be payable to the Holder on such Regular Record Date and shall be paid as provided in said Indenture.</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If any LIBOR Rate Reset Date falls on a day that is not a Business Day, the LIBOR Rate Reset Date will be postponed to the next day that is a Business Day, except that if that Business Day is in the next succeeding calendar month, the LIBOR Rate Reset Date will be the next preceding Business Day. The Interest Rate in effect on any LIBOR Rate Reset Date will be the applicable rate as reset on that date. The Interest Rate applicable to any other day will either be the initial Interest Rate or the Interest Rate as reset on the immediately preceding LIBOR Rate Reset Date.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If any Interest Payment Date (other than at the Maturity Date) is not a Business Day, then such Interest Payment Date shall be the next succeeding Business Day, except that if such Business Day is in the next calendar month, such Interest Payment Date shall be the immediately preceding Business Day. If the Maturity Date of this Security falls on a day that is not a Business Day, the payment of principal and interest will be made on the next succeeding Business Day, and no interest shall accrue on such amounts for the period from and after such Maturity Date.</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at the option of the Company payment of interest may be made</w:t>
      </w:r>
    </w:p>
    <w:p>
      <w:pPr>
        <w:spacing w:after="0" w:line="1" w:lineRule="exact"/>
        <w:rPr>
          <w:sz w:val="20"/>
          <w:szCs w:val="20"/>
          <w:color w:val="auto"/>
        </w:rPr>
      </w:pPr>
    </w:p>
    <w:p>
      <w:pPr>
        <w:jc w:val="both"/>
        <w:ind w:firstLine="8"/>
        <w:spacing w:after="0" w:line="245" w:lineRule="auto"/>
        <w:tabs>
          <w:tab w:leader="none" w:pos="274" w:val="left"/>
        </w:tabs>
        <w:numPr>
          <w:ilvl w:val="0"/>
          <w:numId w:val="206"/>
        </w:numPr>
        <w:rPr>
          <w:rFonts w:ascii="Arial" w:cs="Arial" w:eastAsia="Arial" w:hAnsi="Arial"/>
          <w:sz w:val="22"/>
          <w:szCs w:val="22"/>
          <w:color w:val="auto"/>
        </w:rPr>
      </w:pPr>
      <w:r>
        <w:rPr>
          <w:rFonts w:ascii="Arial" w:cs="Arial" w:eastAsia="Arial" w:hAnsi="Arial"/>
          <w:sz w:val="22"/>
          <w:szCs w:val="22"/>
          <w:color w:val="auto"/>
        </w:rPr>
        <w:t>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ectPr>
          <w:pgSz w:w="11900" w:h="16838" w:orient="portrait"/>
          <w:cols w:equalWidth="0" w:num="1">
            <w:col w:w="11240"/>
          </w:cols>
          <w:pgMar w:left="320" w:top="1428" w:right="339" w:bottom="1440" w:gutter="0" w:footer="0" w:header="0"/>
        </w:sectPr>
      </w:pPr>
    </w:p>
    <w:bookmarkStart w:id="216" w:name="page217"/>
    <w:bookmarkEnd w:id="216"/>
    <w:p>
      <w:pPr>
        <w:spacing w:after="0" w:line="263" w:lineRule="auto"/>
        <w:rPr>
          <w:sz w:val="20"/>
          <w:szCs w:val="20"/>
          <w:color w:val="auto"/>
        </w:rPr>
      </w:pPr>
      <w:r>
        <w:rPr>
          <w:rFonts w:ascii="Arial" w:cs="Arial" w:eastAsia="Arial" w:hAnsi="Arial"/>
          <w:sz w:val="22"/>
          <w:szCs w:val="22"/>
          <w:color w:val="auto"/>
        </w:rPr>
        <w:t>Reference is hereby made to the further provisions of this Security set forth on the reverse hereof, which further provisions shall for all purposes have the same effect as if set forth at this place.</w:t>
      </w:r>
    </w:p>
    <w:p>
      <w:pPr>
        <w:spacing w:after="0" w:line="215"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ectPr>
          <w:pgSz w:w="11900" w:h="16838" w:orient="portrait"/>
          <w:cols w:equalWidth="0" w:num="1">
            <w:col w:w="11240"/>
          </w:cols>
          <w:pgMar w:left="320" w:top="1428" w:right="339" w:bottom="1440" w:gutter="0" w:footer="0" w:header="0"/>
        </w:sectPr>
      </w:pPr>
    </w:p>
    <w:bookmarkStart w:id="217" w:name="page218"/>
    <w:bookmarkEnd w:id="217"/>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Company has caused this instrument to be duly executed.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Dated: March 2, 2021</w:t>
      </w:r>
      <w:r>
        <w:rPr>
          <w:sz w:val="20"/>
          <w:szCs w:val="20"/>
          <w:color w:val="auto"/>
        </w:rPr>
        <w:tab/>
      </w:r>
      <w:r>
        <w:rPr>
          <w:rFonts w:ascii="Arial" w:cs="Arial" w:eastAsia="Arial" w:hAnsi="Arial"/>
          <w:sz w:val="19"/>
          <w:szCs w:val="19"/>
          <w:color w:val="auto"/>
        </w:rPr>
        <w:t>CENTERPOINT ENERGY RESOURCES CORP.</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-17780</wp:posOffset>
            </wp:positionV>
            <wp:extent cx="6858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Jason P. Wells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Executive Vice President and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(SEAL)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5829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Name: Vincent A. Mercaldi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Corporate Secretary</w:t>
      </w:r>
    </w:p>
    <w:p>
      <w:pPr>
        <w:spacing w:after="0" w:line="200" w:lineRule="exact"/>
        <w:rPr>
          <w:sz w:val="20"/>
          <w:szCs w:val="20"/>
          <w:color w:val="auto"/>
        </w:rPr>
      </w:pPr>
    </w:p>
    <w:p>
      <w:pPr>
        <w:spacing w:after="0" w:line="27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CERTIFICATE OF AUTHENTICATION</w:t>
      </w:r>
    </w:p>
    <w:p>
      <w:pPr>
        <w:spacing w:after="0" w:line="247" w:lineRule="exact"/>
        <w:rPr>
          <w:sz w:val="20"/>
          <w:szCs w:val="20"/>
          <w:color w:val="auto"/>
        </w:rPr>
      </w:pPr>
    </w:p>
    <w:p>
      <w:pPr>
        <w:jc w:val="right"/>
        <w:ind w:right="80"/>
        <w:spacing w:after="0"/>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247" w:lineRule="exact"/>
        <w:rPr>
          <w:sz w:val="20"/>
          <w:szCs w:val="20"/>
          <w:color w:val="auto"/>
        </w:rPr>
      </w:pPr>
    </w:p>
    <w:p>
      <w:pPr>
        <w:ind w:left="4540"/>
        <w:spacing w:after="0" w:line="263" w:lineRule="auto"/>
        <w:rPr>
          <w:sz w:val="20"/>
          <w:szCs w:val="20"/>
          <w:color w:val="auto"/>
        </w:rPr>
      </w:pPr>
      <w:r>
        <w:rPr>
          <w:rFonts w:ascii="Arial" w:cs="Arial" w:eastAsia="Arial" w:hAnsi="Arial"/>
          <w:sz w:val="22"/>
          <w:szCs w:val="22"/>
          <w:color w:val="auto"/>
        </w:rPr>
        <w:t>THE BANK OF NEW YORK MELLON TRUST COMPANY, N.A., As Trustee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March 2, 2021</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-29210</wp:posOffset>
            </wp:positionV>
            <wp:extent cx="6858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0540"/>
          </w:cols>
          <w:pgMar w:left="320" w:top="1440" w:right="10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22"/>
          <w:szCs w:val="22"/>
          <w:color w:val="auto"/>
        </w:rPr>
        <w:t>SCHEDULE A</w:t>
      </w:r>
    </w:p>
    <w:p>
      <w:pPr>
        <w:spacing w:after="0" w:line="247" w:lineRule="exact"/>
        <w:rPr>
          <w:sz w:val="20"/>
          <w:szCs w:val="20"/>
          <w:color w:val="auto"/>
        </w:rPr>
      </w:pPr>
    </w:p>
    <w:p>
      <w:pPr>
        <w:jc w:val="both"/>
        <w:ind w:firstLine="595"/>
        <w:spacing w:after="0" w:line="253" w:lineRule="auto"/>
        <w:rPr>
          <w:sz w:val="20"/>
          <w:szCs w:val="20"/>
          <w:color w:val="auto"/>
        </w:rPr>
      </w:pPr>
      <w:r>
        <w:rPr>
          <w:rFonts w:ascii="Arial" w:cs="Arial" w:eastAsia="Arial" w:hAnsi="Arial"/>
          <w:sz w:val="22"/>
          <w:szCs w:val="22"/>
          <w:color w:val="auto"/>
        </w:rPr>
        <w:t>The initial aggregate principal amount of Securities evidenced by the Certificate to which this Schedule is attached is $ . The notations on the following table evidence decreases and increases in the aggregate principal amount of Securities evidenced by such Certificate.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22"/>
                <w:szCs w:val="22"/>
                <w:color w:val="auto"/>
                <w:w w:val="90"/>
              </w:rPr>
              <w:t>Aggregate Principal</w:t>
            </w:r>
          </w:p>
        </w:tc>
        <w:tc>
          <w:tcPr>
            <w:tcW w:w="1400" w:type="dxa"/>
            <w:vAlign w:val="bottom"/>
          </w:tcPr>
          <w:p>
            <w:pPr>
              <w:spacing w:after="0"/>
              <w:rPr>
                <w:sz w:val="23"/>
                <w:szCs w:val="23"/>
                <w:color w:val="auto"/>
              </w:rPr>
            </w:pPr>
          </w:p>
        </w:tc>
      </w:tr>
      <w:tr>
        <w:trPr>
          <w:trHeight w:val="338"/>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22"/>
                <w:szCs w:val="22"/>
                <w:color w:val="auto"/>
                <w:w w:val="90"/>
              </w:rPr>
              <w:t>Amount of Securities</w:t>
            </w:r>
          </w:p>
        </w:tc>
        <w:tc>
          <w:tcPr>
            <w:tcW w:w="1400" w:type="dxa"/>
            <w:vAlign w:val="bottom"/>
          </w:tcPr>
          <w:p>
            <w:pPr>
              <w:spacing w:after="0"/>
              <w:rPr>
                <w:sz w:val="24"/>
                <w:szCs w:val="24"/>
                <w:color w:val="auto"/>
              </w:rPr>
            </w:pPr>
          </w:p>
        </w:tc>
      </w:tr>
      <w:tr>
        <w:trPr>
          <w:trHeight w:val="338"/>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22"/>
                <w:szCs w:val="22"/>
                <w:color w:val="auto"/>
                <w:w w:val="87"/>
              </w:rPr>
              <w:t>Decrease in Aggregate</w:t>
            </w:r>
          </w:p>
        </w:tc>
        <w:tc>
          <w:tcPr>
            <w:tcW w:w="2760" w:type="dxa"/>
            <w:vAlign w:val="bottom"/>
            <w:gridSpan w:val="2"/>
          </w:tcPr>
          <w:p>
            <w:pPr>
              <w:jc w:val="center"/>
              <w:ind w:right="100"/>
              <w:spacing w:after="0"/>
              <w:rPr>
                <w:sz w:val="20"/>
                <w:szCs w:val="20"/>
                <w:color w:val="auto"/>
              </w:rPr>
            </w:pPr>
            <w:r>
              <w:rPr>
                <w:rFonts w:ascii="Arial" w:cs="Arial" w:eastAsia="Arial" w:hAnsi="Arial"/>
                <w:sz w:val="22"/>
                <w:szCs w:val="22"/>
                <w:color w:val="auto"/>
                <w:w w:val="88"/>
              </w:rPr>
              <w:t>Increase in Aggregate</w:t>
            </w:r>
          </w:p>
        </w:tc>
        <w:tc>
          <w:tcPr>
            <w:tcW w:w="2760" w:type="dxa"/>
            <w:vAlign w:val="bottom"/>
            <w:gridSpan w:val="2"/>
          </w:tcPr>
          <w:p>
            <w:pPr>
              <w:jc w:val="center"/>
              <w:ind w:right="100"/>
              <w:spacing w:after="0"/>
              <w:rPr>
                <w:sz w:val="20"/>
                <w:szCs w:val="20"/>
                <w:color w:val="auto"/>
              </w:rPr>
            </w:pPr>
            <w:r>
              <w:rPr>
                <w:rFonts w:ascii="Arial" w:cs="Arial" w:eastAsia="Arial" w:hAnsi="Arial"/>
                <w:sz w:val="22"/>
                <w:szCs w:val="22"/>
                <w:color w:val="auto"/>
                <w:w w:val="92"/>
              </w:rPr>
              <w:t>Remaining After</w:t>
            </w:r>
          </w:p>
        </w:tc>
        <w:tc>
          <w:tcPr>
            <w:tcW w:w="1400" w:type="dxa"/>
            <w:vAlign w:val="bottom"/>
          </w:tcPr>
          <w:p>
            <w:pPr>
              <w:jc w:val="center"/>
              <w:spacing w:after="0"/>
              <w:rPr>
                <w:sz w:val="20"/>
                <w:szCs w:val="20"/>
                <w:color w:val="auto"/>
              </w:rPr>
            </w:pPr>
            <w:r>
              <w:rPr>
                <w:rFonts w:ascii="Arial" w:cs="Arial" w:eastAsia="Arial" w:hAnsi="Arial"/>
                <w:sz w:val="22"/>
                <w:szCs w:val="22"/>
                <w:color w:val="auto"/>
                <w:w w:val="93"/>
              </w:rPr>
              <w:t>Notation by</w:t>
            </w:r>
          </w:p>
        </w:tc>
      </w:tr>
      <w:tr>
        <w:trPr>
          <w:trHeight w:val="338"/>
        </w:trPr>
        <w:tc>
          <w:tcPr>
            <w:tcW w:w="1580" w:type="dxa"/>
            <w:vAlign w:val="bottom"/>
            <w:gridSpan w:val="2"/>
          </w:tcPr>
          <w:p>
            <w:pPr>
              <w:jc w:val="center"/>
              <w:ind w:right="100"/>
              <w:spacing w:after="0"/>
              <w:rPr>
                <w:sz w:val="20"/>
                <w:szCs w:val="20"/>
                <w:color w:val="auto"/>
              </w:rPr>
            </w:pPr>
            <w:r>
              <w:rPr>
                <w:rFonts w:ascii="Arial" w:cs="Arial" w:eastAsia="Arial" w:hAnsi="Arial"/>
                <w:sz w:val="22"/>
                <w:szCs w:val="22"/>
                <w:color w:val="auto"/>
                <w:w w:val="90"/>
              </w:rPr>
              <w:t>Date of</w:t>
            </w:r>
          </w:p>
        </w:tc>
        <w:tc>
          <w:tcPr>
            <w:tcW w:w="2740" w:type="dxa"/>
            <w:vAlign w:val="bottom"/>
            <w:gridSpan w:val="2"/>
          </w:tcPr>
          <w:p>
            <w:pPr>
              <w:jc w:val="center"/>
              <w:ind w:right="80"/>
              <w:spacing w:after="0"/>
              <w:rPr>
                <w:sz w:val="20"/>
                <w:szCs w:val="20"/>
                <w:color w:val="auto"/>
              </w:rPr>
            </w:pPr>
            <w:r>
              <w:rPr>
                <w:rFonts w:ascii="Arial" w:cs="Arial" w:eastAsia="Arial" w:hAnsi="Arial"/>
                <w:sz w:val="22"/>
                <w:szCs w:val="22"/>
                <w:color w:val="auto"/>
                <w:w w:val="93"/>
              </w:rPr>
              <w:t>Principal Amount of</w:t>
            </w:r>
          </w:p>
        </w:tc>
        <w:tc>
          <w:tcPr>
            <w:tcW w:w="2760" w:type="dxa"/>
            <w:vAlign w:val="bottom"/>
            <w:gridSpan w:val="2"/>
          </w:tcPr>
          <w:p>
            <w:pPr>
              <w:jc w:val="center"/>
              <w:ind w:right="100"/>
              <w:spacing w:after="0"/>
              <w:rPr>
                <w:sz w:val="20"/>
                <w:szCs w:val="20"/>
                <w:color w:val="auto"/>
              </w:rPr>
            </w:pPr>
            <w:r>
              <w:rPr>
                <w:rFonts w:ascii="Arial" w:cs="Arial" w:eastAsia="Arial" w:hAnsi="Arial"/>
                <w:sz w:val="22"/>
                <w:szCs w:val="22"/>
                <w:color w:val="auto"/>
                <w:w w:val="93"/>
              </w:rPr>
              <w:t>Principal Amount of</w:t>
            </w:r>
          </w:p>
        </w:tc>
        <w:tc>
          <w:tcPr>
            <w:tcW w:w="2760" w:type="dxa"/>
            <w:vAlign w:val="bottom"/>
            <w:gridSpan w:val="2"/>
          </w:tcPr>
          <w:p>
            <w:pPr>
              <w:jc w:val="center"/>
              <w:ind w:right="120"/>
              <w:spacing w:after="0"/>
              <w:rPr>
                <w:sz w:val="20"/>
                <w:szCs w:val="20"/>
                <w:color w:val="auto"/>
              </w:rPr>
            </w:pPr>
            <w:r>
              <w:rPr>
                <w:rFonts w:ascii="Arial" w:cs="Arial" w:eastAsia="Arial" w:hAnsi="Arial"/>
                <w:sz w:val="22"/>
                <w:szCs w:val="22"/>
                <w:color w:val="auto"/>
                <w:w w:val="86"/>
              </w:rPr>
              <w:t>Such Decrease or</w:t>
            </w:r>
          </w:p>
        </w:tc>
        <w:tc>
          <w:tcPr>
            <w:tcW w:w="1400" w:type="dxa"/>
            <w:vAlign w:val="bottom"/>
          </w:tcPr>
          <w:p>
            <w:pPr>
              <w:jc w:val="center"/>
              <w:spacing w:after="0"/>
              <w:rPr>
                <w:sz w:val="20"/>
                <w:szCs w:val="20"/>
                <w:color w:val="auto"/>
              </w:rPr>
            </w:pPr>
            <w:r>
              <w:rPr>
                <w:rFonts w:ascii="Arial" w:cs="Arial" w:eastAsia="Arial" w:hAnsi="Arial"/>
                <w:sz w:val="22"/>
                <w:szCs w:val="22"/>
                <w:color w:val="auto"/>
                <w:w w:val="90"/>
              </w:rPr>
              <w:t>Security</w:t>
            </w:r>
          </w:p>
        </w:tc>
      </w:tr>
      <w:tr>
        <w:trPr>
          <w:trHeight w:val="338"/>
        </w:trPr>
        <w:tc>
          <w:tcPr>
            <w:tcW w:w="1580" w:type="dxa"/>
            <w:vAlign w:val="bottom"/>
            <w:gridSpan w:val="2"/>
          </w:tcPr>
          <w:p>
            <w:pPr>
              <w:jc w:val="center"/>
              <w:ind w:right="100"/>
              <w:spacing w:after="0"/>
              <w:rPr>
                <w:sz w:val="20"/>
                <w:szCs w:val="20"/>
                <w:color w:val="auto"/>
              </w:rPr>
            </w:pPr>
            <w:r>
              <w:rPr>
                <w:rFonts w:ascii="Arial" w:cs="Arial" w:eastAsia="Arial" w:hAnsi="Arial"/>
                <w:sz w:val="22"/>
                <w:szCs w:val="22"/>
                <w:color w:val="auto"/>
                <w:w w:val="90"/>
              </w:rPr>
              <w:t>Adjustment</w:t>
            </w:r>
          </w:p>
        </w:tc>
        <w:tc>
          <w:tcPr>
            <w:tcW w:w="2740" w:type="dxa"/>
            <w:vAlign w:val="bottom"/>
            <w:gridSpan w:val="2"/>
          </w:tcPr>
          <w:p>
            <w:pPr>
              <w:jc w:val="center"/>
              <w:ind w:right="100"/>
              <w:spacing w:after="0"/>
              <w:rPr>
                <w:sz w:val="20"/>
                <w:szCs w:val="20"/>
                <w:color w:val="auto"/>
              </w:rPr>
            </w:pPr>
            <w:r>
              <w:rPr>
                <w:rFonts w:ascii="Arial" w:cs="Arial" w:eastAsia="Arial" w:hAnsi="Arial"/>
                <w:sz w:val="22"/>
                <w:szCs w:val="22"/>
                <w:color w:val="auto"/>
                <w:w w:val="86"/>
              </w:rPr>
              <w:t>Securities</w:t>
            </w:r>
          </w:p>
        </w:tc>
        <w:tc>
          <w:tcPr>
            <w:tcW w:w="2760" w:type="dxa"/>
            <w:vAlign w:val="bottom"/>
            <w:gridSpan w:val="2"/>
          </w:tcPr>
          <w:p>
            <w:pPr>
              <w:jc w:val="center"/>
              <w:ind w:right="100"/>
              <w:spacing w:after="0"/>
              <w:rPr>
                <w:sz w:val="20"/>
                <w:szCs w:val="20"/>
                <w:color w:val="auto"/>
              </w:rPr>
            </w:pPr>
            <w:r>
              <w:rPr>
                <w:rFonts w:ascii="Arial" w:cs="Arial" w:eastAsia="Arial" w:hAnsi="Arial"/>
                <w:sz w:val="22"/>
                <w:szCs w:val="22"/>
                <w:color w:val="auto"/>
                <w:w w:val="88"/>
              </w:rPr>
              <w:t>Securities</w:t>
            </w:r>
          </w:p>
        </w:tc>
        <w:tc>
          <w:tcPr>
            <w:tcW w:w="2760" w:type="dxa"/>
            <w:vAlign w:val="bottom"/>
            <w:gridSpan w:val="2"/>
          </w:tcPr>
          <w:p>
            <w:pPr>
              <w:jc w:val="center"/>
              <w:ind w:right="120"/>
              <w:spacing w:after="0"/>
              <w:rPr>
                <w:sz w:val="20"/>
                <w:szCs w:val="20"/>
                <w:color w:val="auto"/>
              </w:rPr>
            </w:pPr>
            <w:r>
              <w:rPr>
                <w:rFonts w:ascii="Arial" w:cs="Arial" w:eastAsia="Arial" w:hAnsi="Arial"/>
                <w:sz w:val="22"/>
                <w:szCs w:val="22"/>
                <w:color w:val="auto"/>
                <w:w w:val="85"/>
              </w:rPr>
              <w:t>Increase</w:t>
            </w:r>
          </w:p>
        </w:tc>
        <w:tc>
          <w:tcPr>
            <w:tcW w:w="1400" w:type="dxa"/>
            <w:vAlign w:val="bottom"/>
          </w:tcPr>
          <w:p>
            <w:pPr>
              <w:jc w:val="center"/>
              <w:spacing w:after="0"/>
              <w:rPr>
                <w:sz w:val="20"/>
                <w:szCs w:val="20"/>
                <w:color w:val="auto"/>
              </w:rPr>
            </w:pPr>
            <w:r>
              <w:rPr>
                <w:rFonts w:ascii="Arial" w:cs="Arial" w:eastAsia="Arial" w:hAnsi="Arial"/>
                <w:sz w:val="22"/>
                <w:szCs w:val="22"/>
                <w:color w:val="auto"/>
                <w:w w:val="89"/>
              </w:rPr>
              <w:t>Registrar</w:t>
            </w:r>
          </w:p>
        </w:tc>
      </w:tr>
      <w:tr>
        <w:trPr>
          <w:trHeight w:val="30"/>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28"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22"/>
          <w:szCs w:val="22"/>
          <w:color w:val="auto"/>
        </w:rPr>
        <w:t>[FORM OF REVERSE SIDE OF SECURITY]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CENTERPOINT ENERGY RESOURCES CORP.</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FLOATING RATE SENIOR NOTES DUE 2023</w:t>
      </w:r>
    </w:p>
    <w:p>
      <w:pPr>
        <w:spacing w:after="0" w:line="2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Security is one of a duly authorized issue of securities of the Company (herein called the “</w:t>
      </w:r>
      <w:r>
        <w:rPr>
          <w:rFonts w:ascii="Arial" w:cs="Arial" w:eastAsia="Arial" w:hAnsi="Arial"/>
          <w:sz w:val="19"/>
          <w:szCs w:val="19"/>
          <w:u w:val="single" w:color="auto"/>
          <w:color w:val="auto"/>
        </w:rPr>
        <w:t>Securities</w:t>
      </w:r>
      <w:r>
        <w:rPr>
          <w:rFonts w:ascii="Arial" w:cs="Arial" w:eastAsia="Arial" w:hAnsi="Arial"/>
          <w:sz w:val="19"/>
          <w:szCs w:val="19"/>
          <w:color w:val="auto"/>
        </w:rPr>
        <w:t>”), issued and to be issued in one or more series under an Indenture, dated as of February 1, 1998, as previously supplemented and amended including by the Supplemental Indenture No. 19, dated as of March 2, 2021 (collectively herein called the “</w:t>
      </w:r>
      <w:r>
        <w:rPr>
          <w:rFonts w:ascii="Arial" w:cs="Arial" w:eastAsia="Arial" w:hAnsi="Arial"/>
          <w:sz w:val="19"/>
          <w:szCs w:val="19"/>
          <w:u w:val="single" w:color="auto"/>
          <w:color w:val="auto"/>
        </w:rPr>
        <w:t>Indenture</w:t>
      </w:r>
      <w:r>
        <w:rPr>
          <w:rFonts w:ascii="Arial" w:cs="Arial" w:eastAsia="Arial" w:hAnsi="Arial"/>
          <w:sz w:val="19"/>
          <w:szCs w:val="19"/>
          <w:color w:val="auto"/>
        </w:rPr>
        <w:t>,” which term shall have the meaning assigned to it in such instrument), between the Company and The Bank of New York Mellon Trust Company, N.A. (successor to JPMorgan Chase Bank, National Association (formerly Chase Bank of Texas, National Association)), as Trustee (herein called the “</w:t>
      </w:r>
      <w:r>
        <w:rPr>
          <w:rFonts w:ascii="Arial" w:cs="Arial" w:eastAsia="Arial" w:hAnsi="Arial"/>
          <w:sz w:val="19"/>
          <w:szCs w:val="19"/>
          <w:u w:val="single" w:color="auto"/>
          <w:color w:val="auto"/>
        </w:rPr>
        <w:t>Trustee</w:t>
      </w:r>
      <w:r>
        <w:rPr>
          <w:rFonts w:ascii="Arial" w:cs="Arial" w:eastAsia="Arial" w:hAnsi="Arial"/>
          <w:sz w:val="19"/>
          <w:szCs w:val="19"/>
          <w:color w:val="auto"/>
        </w:rPr>
        <w:t xml:space="preserv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$1,000,000,000;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authorized aggregate principal amount of the Securities may be increased above such amount by a Board Resolution to such effect.</w:t>
      </w:r>
    </w:p>
    <w:p>
      <w:pPr>
        <w:spacing w:after="0" w:line="19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Security shall be redeemable, at the option of the Company, at any time or from time to time, in whole or in part, on or after September 2, 2021 (the “</w:t>
      </w:r>
      <w:r>
        <w:rPr>
          <w:rFonts w:ascii="Arial" w:cs="Arial" w:eastAsia="Arial" w:hAnsi="Arial"/>
          <w:sz w:val="21"/>
          <w:szCs w:val="21"/>
          <w:u w:val="single" w:color="auto"/>
          <w:color w:val="auto"/>
        </w:rPr>
        <w:t>Par Call Date</w:t>
      </w:r>
      <w:r>
        <w:rPr>
          <w:rFonts w:ascii="Arial" w:cs="Arial" w:eastAsia="Arial" w:hAnsi="Arial"/>
          <w:sz w:val="21"/>
          <w:szCs w:val="21"/>
          <w:color w:val="auto"/>
        </w:rPr>
        <w:t>”) at a price equal to 100% of the principal amount of this Security (or such portion to be redeemed) plus accrued and unpaid interest on the principal amount being redeemed, if any, to, but excluding, the Redemption Date. The Trustee shall have no responsibility for the calculation of such amount.</w:t>
      </w:r>
    </w:p>
    <w:p>
      <w:pPr>
        <w:spacing w:after="0" w:line="202" w:lineRule="exact"/>
        <w:rPr>
          <w:sz w:val="20"/>
          <w:szCs w:val="20"/>
          <w:color w:val="auto"/>
        </w:rPr>
      </w:pPr>
    </w:p>
    <w:p>
      <w:pPr>
        <w:jc w:val="both"/>
        <w:ind w:right="20" w:firstLine="704"/>
        <w:spacing w:after="0" w:line="287" w:lineRule="auto"/>
        <w:rPr>
          <w:sz w:val="20"/>
          <w:szCs w:val="20"/>
          <w:color w:val="auto"/>
        </w:rPr>
      </w:pPr>
      <w:r>
        <w:rPr>
          <w:rFonts w:ascii="Arial" w:cs="Arial" w:eastAsia="Arial" w:hAnsi="Arial"/>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Securities of this series are not entitled to the benefit of any sinking fund.</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Indenture contains provisions for satisfaction and discharge of the entire indebtedness of this Security upon compliance by the Company with certain conditions set forth in the Indenture.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 (as supplemented by the Supplemental Indenture).</w:t>
      </w:r>
    </w:p>
    <w:p>
      <w:pPr>
        <w:sectPr>
          <w:pgSz w:w="11900" w:h="16838" w:orient="portrait"/>
          <w:cols w:equalWidth="0" w:num="1">
            <w:col w:w="11240"/>
          </w:cols>
          <w:pgMar w:left="320" w:top="1428" w:right="339" w:bottom="1440" w:gutter="0" w:footer="0" w:header="0"/>
        </w:sectPr>
      </w:pPr>
    </w:p>
    <w:bookmarkStart w:id="220" w:name="page221"/>
    <w:bookmarkEnd w:id="220"/>
    <w:p>
      <w:pPr>
        <w:jc w:val="both"/>
        <w:ind w:firstLine="648"/>
        <w:spacing w:after="0" w:line="287" w:lineRule="auto"/>
        <w:rPr>
          <w:sz w:val="20"/>
          <w:szCs w:val="20"/>
          <w:color w:val="auto"/>
        </w:rPr>
      </w:pPr>
      <w:r>
        <w:rPr>
          <w:rFonts w:ascii="Arial" w:cs="Arial" w:eastAsia="Arial" w:hAnsi="Arial"/>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4"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9"/>
          <w:szCs w:val="19"/>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w:t>
      </w:r>
    </w:p>
    <w:p>
      <w:pPr>
        <w:sectPr>
          <w:pgSz w:w="11900" w:h="16838" w:orient="portrait"/>
          <w:cols w:equalWidth="0" w:num="1">
            <w:col w:w="11240"/>
          </w:cols>
          <w:pgMar w:left="320" w:top="1428" w:right="339" w:bottom="1440" w:gutter="0" w:footer="0" w:header="0"/>
        </w:sectPr>
      </w:pPr>
    </w:p>
    <w:bookmarkStart w:id="221" w:name="page222"/>
    <w:bookmarkEnd w:id="221"/>
    <w:p>
      <w:pPr>
        <w:jc w:val="both"/>
        <w:spacing w:after="0" w:line="263" w:lineRule="auto"/>
        <w:rPr>
          <w:sz w:val="20"/>
          <w:szCs w:val="20"/>
          <w:color w:val="auto"/>
        </w:rPr>
      </w:pPr>
      <w:r>
        <w:rPr>
          <w:rFonts w:ascii="Arial" w:cs="Arial" w:eastAsia="Arial" w:hAnsi="Arial"/>
          <w:sz w:val="22"/>
          <w:szCs w:val="22"/>
          <w:color w:val="auto"/>
        </w:rPr>
        <w:t>service charge shall be made for any such registration of transfer or exchange, but the Company may require payment of a sum sufficient to cover any tax or other governmental charge payable in connection therewith.</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Securities of this series are issuable only in registered form without coupons in minimum denominations of $2,000 principal amount and integral multiples of $1,000 principal amount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terms used in this Security which are defined in the Indenture shall have the meanings assigned to them in the Indenture.</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INDENTURE AND THIS SECURITY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079364.0000005EMF_US84123573v2</w:t>
      </w:r>
    </w:p>
    <w:p>
      <w:pPr>
        <w:sectPr>
          <w:pgSz w:w="11900" w:h="16838" w:orient="portrait"/>
          <w:cols w:equalWidth="0" w:num="1">
            <w:col w:w="11240"/>
          </w:cols>
          <w:pgMar w:left="320" w:top="1428"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0"/>
          <w:szCs w:val="20"/>
          <w:b w:val="1"/>
          <w:bCs w:val="1"/>
          <w:color w:val="auto"/>
        </w:rPr>
        <w:t>Exhibit 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CENTERPOINT ENERGY RESOURCES CORP.</w:t>
      </w:r>
    </w:p>
    <w:p>
      <w:pPr>
        <w:spacing w:after="0" w:line="247"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(formerly known as NorAm Energy Corp.)</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THE BANK OF NEW YORK MELLON TRUST COMPANY, N.A.</w:t>
      </w:r>
    </w:p>
    <w:p>
      <w:pPr>
        <w:spacing w:after="0" w:line="2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(successor to JPMorgan Chase Bank, National Association (formerly Chase Bank of Texas, National Association))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SUPPLEMENTAL INDENTURE NO. 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Dated as of March 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$700,000,000 0.70% Senior Notes due 2023</w:t>
      </w:r>
    </w:p>
    <w:p>
      <w:pPr>
        <w:sectPr>
          <w:pgSz w:w="11900" w:h="16838" w:orient="portrait"/>
          <w:cols w:equalWidth="0" w:num="1">
            <w:col w:w="10120"/>
          </w:cols>
          <w:pgMar w:left="1440" w:top="846" w:right="3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22"/>
          <w:szCs w:val="22"/>
          <w:color w:val="auto"/>
        </w:rPr>
        <w:t>CENTERPOINT ENERGY RESOURCES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SUPPLEMENTAL INDENTURE NO. 20</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0.70% Senior Notes due 2023</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SUPPLEMENTAL INDENTURE No. 20, dated as of March 2, 2021, between CENTERPOINT ENERGY RESOURCES CORP., a Delaware corporation formerly known as NorAm Energy Corp.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BANK OF NEW YORK MELLON TRUST COMPANY, N.A. (successor to JPMorgan Chase Bank, National Association (formerly Chase Bank of Texas, National Association)),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has heretofore executed and delivered to the Trustee an Indenture, dated as of February 1, 1998 (the “</w:t>
      </w:r>
      <w:r>
        <w:rPr>
          <w:rFonts w:ascii="Arial" w:cs="Arial" w:eastAsia="Arial" w:hAnsi="Arial"/>
          <w:sz w:val="22"/>
          <w:szCs w:val="22"/>
          <w:u w:val="single" w:color="auto"/>
          <w:color w:val="auto"/>
        </w:rPr>
        <w:t>Original Indenture</w:t>
      </w:r>
      <w:r>
        <w:rPr>
          <w:rFonts w:ascii="Arial" w:cs="Arial" w:eastAsia="Arial" w:hAnsi="Arial"/>
          <w:sz w:val="22"/>
          <w:szCs w:val="22"/>
          <w:color w:val="auto"/>
        </w:rPr>
        <w:t>” and, as previously and hereby supplemented and amended, the “</w:t>
      </w:r>
      <w:r>
        <w:rPr>
          <w:rFonts w:ascii="Arial" w:cs="Arial" w:eastAsia="Arial" w:hAnsi="Arial"/>
          <w:sz w:val="22"/>
          <w:szCs w:val="22"/>
          <w:u w:val="single" w:color="auto"/>
          <w:color w:val="auto"/>
        </w:rPr>
        <w:t>Indenture</w:t>
      </w:r>
      <w:r>
        <w:rPr>
          <w:rFonts w:ascii="Arial" w:cs="Arial" w:eastAsia="Arial" w:hAnsi="Arial"/>
          <w:sz w:val="22"/>
          <w:szCs w:val="22"/>
          <w:color w:val="auto"/>
        </w:rPr>
        <w:t>”), providing for the issuance from time to time of one or more series of the Company’s Securities.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has changed its name from “NorAm Energy Corp.” to “CenterPoint Energy Resources Corp.” and all references in the Indenture to the “Company” or “NorAm Energy Corp.” shall be deemed to refer to CenterPoint Energy Resources Corp.</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Pursuant to the terms of the Indenture, the Company desires to provide for the establishment of a new series of Securities to be designated as the “0.70% Senior Notes due 2023” (the “</w:t>
      </w:r>
      <w:r>
        <w:rPr>
          <w:rFonts w:ascii="Arial" w:cs="Arial" w:eastAsia="Arial" w:hAnsi="Arial"/>
          <w:sz w:val="19"/>
          <w:szCs w:val="19"/>
          <w:u w:val="single" w:color="auto"/>
          <w:color w:val="auto"/>
        </w:rPr>
        <w:t>Notes</w:t>
      </w:r>
      <w:r>
        <w:rPr>
          <w:rFonts w:ascii="Arial" w:cs="Arial" w:eastAsia="Arial" w:hAnsi="Arial"/>
          <w:sz w:val="19"/>
          <w:szCs w:val="19"/>
          <w:color w:val="auto"/>
        </w:rPr>
        <w:t>”), the form and substance of such Notes and the terms, provisions and conditions thereof to be set forth as provided in the Original Indenture and this Supplemental Indenture No. 20.</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301 of the Original Indenture provides that various matters with respect to any series of Securities issued under the Indenture may be established in an indenture supplemental to the Indenture.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8"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22"/>
          <w:szCs w:val="22"/>
          <w:color w:val="auto"/>
        </w:rPr>
        <w:t>ARTICLE ONE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Relation to Indenture; Additional Definitions</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Relation to Indenture</w:t>
      </w:r>
      <w:r>
        <w:rPr>
          <w:rFonts w:ascii="Arial" w:cs="Arial" w:eastAsia="Arial" w:hAnsi="Arial"/>
          <w:sz w:val="22"/>
          <w:szCs w:val="22"/>
          <w:color w:val="auto"/>
        </w:rPr>
        <w:t>. This Supplemental Indenture No. 20 constitutes an integral part of the Original Indenture.</w:t>
      </w:r>
    </w:p>
    <w:p>
      <w:pPr>
        <w:spacing w:after="0" w:line="202" w:lineRule="exact"/>
        <w:rPr>
          <w:sz w:val="20"/>
          <w:szCs w:val="20"/>
          <w:color w:val="auto"/>
        </w:rPr>
      </w:pPr>
    </w:p>
    <w:p>
      <w:pPr>
        <w:ind w:left="660"/>
        <w:spacing w:after="0"/>
        <w:tabs>
          <w:tab w:leader="none" w:pos="1880" w:val="left"/>
          <w:tab w:leader="none" w:pos="40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22"/>
          <w:szCs w:val="22"/>
          <w:i w:val="1"/>
          <w:iCs w:val="1"/>
          <w:color w:val="auto"/>
        </w:rPr>
        <w:t>Additional Definitions.</w:t>
      </w:r>
      <w:r>
        <w:rPr>
          <w:sz w:val="20"/>
          <w:szCs w:val="20"/>
          <w:color w:val="auto"/>
        </w:rPr>
        <w:tab/>
      </w:r>
      <w:r>
        <w:rPr>
          <w:rFonts w:ascii="Arial" w:cs="Arial" w:eastAsia="Arial" w:hAnsi="Arial"/>
          <w:sz w:val="19"/>
          <w:szCs w:val="19"/>
          <w:color w:val="auto"/>
        </w:rPr>
        <w:t>For all purposes of this Supplemental Indenture No. 20:</w:t>
      </w:r>
    </w:p>
    <w:p>
      <w:pPr>
        <w:spacing w:after="0" w:line="247"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Capitalized terms used but not defined in this Supplement Indenture No. 20 have the meaning given such terms in the Original Indenture. Capitalized terms defined in both this Supplemental Indenture No. 20 and in the Original Indenture have the meaning given such terms in this Supplemental Indenture No. 20.</w:t>
      </w:r>
    </w:p>
    <w:p>
      <w:pPr>
        <w:spacing w:after="0" w:line="212"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with respect to any Note, any day other than a Saturday, a Sunday or a day on which banking institutions or trust companies in The City of New York are generally authorized or required by law or executive order to remain closed. If any Interest Payment Date, Stated Maturity or Redemption Date of a Note falls on a day that is not a Business Day, the required payment will be made on the next succeeding Business Day with the same force and effect as if made on the relevant date that the payment was due and no interest will accrue on such payment for the period from and after the Interest Payment Date, Stated Maturity or Redemption Date, as the case may be, to the date of that payment on the next succeeding Business Day.</w:t>
      </w:r>
    </w:p>
    <w:p>
      <w:pPr>
        <w:spacing w:after="0" w:line="207"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Tangible Assets</w:t>
      </w:r>
      <w:r>
        <w:rPr>
          <w:rFonts w:ascii="Arial" w:cs="Arial" w:eastAsia="Arial" w:hAnsi="Arial"/>
          <w:sz w:val="19"/>
          <w:szCs w:val="19"/>
          <w:color w:val="auto"/>
        </w:rPr>
        <w:t>” means the total amount of assets of the Company, including the assets of its Subsidiaries, less, without duplication: (a) total current liabilities (excluding indebtedness due within 12 months); (b) all reserves for depreciation and other asset valuation reserves, but excluding reserves for deferred federal income taxes;</w:t>
      </w:r>
    </w:p>
    <w:p>
      <w:pPr>
        <w:spacing w:after="0" w:line="1" w:lineRule="exact"/>
        <w:rPr>
          <w:sz w:val="20"/>
          <w:szCs w:val="20"/>
          <w:color w:val="auto"/>
        </w:rPr>
      </w:pPr>
    </w:p>
    <w:p>
      <w:pPr>
        <w:jc w:val="both"/>
        <w:ind w:left="660" w:hanging="4"/>
        <w:spacing w:after="0" w:line="244" w:lineRule="auto"/>
        <w:tabs>
          <w:tab w:leader="none" w:pos="974"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all intangible assets such as goodwill, trademarks, trade names, patents and unamortized debt discount and expense carried as an asset; and (d) all appropriate adjustments on account of minority interests of other Persons holding common stock of any Subsidiary, all as reflected in the Company’s most recent audited consolidated balance sheet preceding the date of such determination.</w:t>
      </w:r>
    </w:p>
    <w:p>
      <w:pPr>
        <w:spacing w:after="0" w:line="23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“controlled by” and “under common control with”) means the possession, direct or indirect, of the power to direct or cause the direction of the management and policies of a Person, whether through the ownership of voting shares, by contract, or otherwise.</w:t>
      </w:r>
    </w:p>
    <w:p>
      <w:pPr>
        <w:spacing w:after="0" w:line="212"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Trust Office</w:t>
      </w:r>
      <w:r>
        <w:rPr>
          <w:rFonts w:ascii="Arial" w:cs="Arial" w:eastAsia="Arial" w:hAnsi="Arial"/>
          <w:sz w:val="19"/>
          <w:szCs w:val="19"/>
          <w:color w:val="auto"/>
        </w:rPr>
        <w:t>” means the principal office of the Trustee at which at any particular time its corporate trust business shall be administered, which office as of the date hereof is located at: 601 Travis Street, 16th Floor, Houston, Texas 77002, Attention: Global Corporate Trust; telephone: (713) 483-6817; telecopy: (713) 483-7038.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25" w:name="page226"/>
    <w:bookmarkEnd w:id="225"/>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any capital stock, partnership, joint venture, member or limited liability or unlimited liability company interest, beneficial interest in a trust or similar entity or other equity interest or investment of whatever nature.</w:t>
      </w:r>
    </w:p>
    <w:p>
      <w:pPr>
        <w:spacing w:after="0" w:line="226"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Finance Lease</w:t>
      </w:r>
      <w:r>
        <w:rPr>
          <w:rFonts w:ascii="Arial" w:cs="Arial" w:eastAsia="Arial" w:hAnsi="Arial"/>
          <w:sz w:val="22"/>
          <w:szCs w:val="22"/>
          <w:color w:val="auto"/>
        </w:rPr>
        <w:t>” means a lease that, in accordance with accounting principles generally accepted in the United States of America, would be recorded as a finance lease on the balance sheet of the lessee, but excluding, for the avoidance of doubt, any operating leases or any other non-finance leases.</w:t>
      </w:r>
    </w:p>
    <w:p>
      <w:pPr>
        <w:spacing w:after="0" w:line="212"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as applied to the Company or any Subsidiary, means bonds, debentures, notes and other instruments or arrangements representing obligations created or assumed by the Company or any such Subsidiary, including any and all: (i) obligations for money borrowed (other than unamortized debt discount or premium);</w:t>
      </w:r>
    </w:p>
    <w:p>
      <w:pPr>
        <w:spacing w:after="0" w:line="1" w:lineRule="exact"/>
        <w:rPr>
          <w:sz w:val="20"/>
          <w:szCs w:val="20"/>
          <w:color w:val="auto"/>
        </w:rPr>
      </w:pPr>
    </w:p>
    <w:p>
      <w:pPr>
        <w:jc w:val="both"/>
        <w:ind w:left="4" w:hanging="4"/>
        <w:spacing w:after="0" w:line="285" w:lineRule="auto"/>
        <w:tabs>
          <w:tab w:leader="none" w:pos="363" w:val="left"/>
        </w:tabs>
        <w:numPr>
          <w:ilvl w:val="0"/>
          <w:numId w:val="208"/>
        </w:numPr>
        <w:rPr>
          <w:rFonts w:ascii="Arial" w:cs="Arial" w:eastAsia="Arial" w:hAnsi="Arial"/>
          <w:sz w:val="19"/>
          <w:szCs w:val="19"/>
          <w:color w:val="auto"/>
        </w:rPr>
      </w:pPr>
      <w:r>
        <w:rPr>
          <w:rFonts w:ascii="Arial" w:cs="Arial" w:eastAsia="Arial" w:hAnsi="Arial"/>
          <w:sz w:val="19"/>
          <w:szCs w:val="19"/>
          <w:color w:val="auto"/>
        </w:rPr>
        <w:t>obligations evidenced by a note or similar instrument given in connection with the acquisition of any business, properties or assets of any kind; (iii) obligations as lessee under a Finance Lease; and (iv) amendments, renewals, extensions, modifications and refundings of any such indebtedness or obligation listed in clause (i), (ii) or (iii) above. All indebtedness secured by a lien upon property owned by the Company or any Subsidiary and upon which indebtedness the Company or any such Subsidiary customarily pays interest, although the Company or any such Subsidiary has not assumed or become liable for the payment of such indebtedness, shall for all purposes hereof be deemed to be indebtedness of the Company or any such Subsidiary. All indebtedness for borrowed money incurred by other Persons which is directly guaranteed as to payment of principal by the Company or any Subsidiary shall for all purposes hereof be deemed to be indebtedness of the Company or any such Subsidiary, as applicable, but no other contingent obligation of the Company or any such Subsidiary in respect of indebtedness incurred by other Persons shall for any purpose be deemed to be indebtedness of the Company or any such Subsidiary.</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has the meaning set forth in Section 204(a) hereof.</w:t>
      </w:r>
    </w:p>
    <w:p>
      <w:pPr>
        <w:spacing w:after="0" w:line="26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has the meaning set forth in Section 204(a) hereof.</w:t>
      </w:r>
    </w:p>
    <w:p>
      <w:pPr>
        <w:spacing w:after="0" w:line="247"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deed of trust, pledge, hypothecation, assignment, deposit arrangement, charge, security interest, encumbrance or lien of any kind whatsoever (including any Finance Lease).</w:t>
      </w:r>
    </w:p>
    <w:p>
      <w:pPr>
        <w:spacing w:after="0" w:line="21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has the meaning set forth in Section 203 hereof.</w:t>
      </w:r>
    </w:p>
    <w:p>
      <w:pPr>
        <w:spacing w:after="0" w:line="247" w:lineRule="exact"/>
        <w:rPr>
          <w:sz w:val="20"/>
          <w:szCs w:val="20"/>
          <w:color w:val="auto"/>
        </w:rPr>
      </w:pPr>
    </w:p>
    <w:p>
      <w:pPr>
        <w:jc w:val="both"/>
        <w:ind w:left="4"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Non-Recourse Debt</w:t>
      </w:r>
      <w:r>
        <w:rPr>
          <w:rFonts w:ascii="Arial" w:cs="Arial" w:eastAsia="Arial" w:hAnsi="Arial"/>
          <w:sz w:val="22"/>
          <w:szCs w:val="22"/>
          <w:color w:val="auto"/>
        </w:rPr>
        <w:t>” means (i) any indebtedness for borrowed money incurred by any Project Finance Subsidiary to finance the acquisition, improvement, installation, design, engineering, construction, development, completion, maintenance or operation of, or otherwise to pay costs and expenses relating to or providing financing for, any project, which indebtedness for borrowed money does not provide for recourse against the Company or any Subsidiary of the Company (other than a Project Finance Subsidiary and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226" w:name="page227"/>
    <w:bookmarkEnd w:id="226"/>
    <w:p>
      <w:pPr>
        <w:jc w:val="both"/>
        <w:spacing w:after="0" w:line="246" w:lineRule="auto"/>
        <w:rPr>
          <w:sz w:val="20"/>
          <w:szCs w:val="20"/>
          <w:color w:val="auto"/>
        </w:rPr>
      </w:pPr>
      <w:r>
        <w:rPr>
          <w:rFonts w:ascii="Arial" w:cs="Arial" w:eastAsia="Arial" w:hAnsi="Arial"/>
          <w:sz w:val="22"/>
          <w:szCs w:val="22"/>
          <w:color w:val="auto"/>
        </w:rPr>
        <w:t>such recourse as exists under a Performance Guaranty) or any property or asset of the Company or any Subsidiary of the Company (other than Equity Interests in, or the property or assets of, a Project Finance Subsidiary and such recourse as exists under a Performance Guaranty) and (ii) any refinancing of such indebtedness for borrowed money that does not increase the outstanding principal amount thereof (other than to pay costs incurred in connection therewith and the capitalization of any interest or fees) at the time of the refinancing or increase the property subject to any lien securing such indebtedness for borrowed money or otherwise add additional security or support for such indebtedness for borrowed money.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has the meaning set forth in the third paragraph of the Recitals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Indenture</w:t>
      </w:r>
      <w:r>
        <w:rPr>
          <w:rFonts w:ascii="Arial" w:cs="Arial" w:eastAsia="Arial" w:hAnsi="Arial"/>
          <w:sz w:val="22"/>
          <w:szCs w:val="22"/>
          <w:color w:val="auto"/>
        </w:rPr>
        <w:t>” has the meaning set forth in the first paragraph of the Recitals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 Call Date</w:t>
      </w:r>
      <w:r>
        <w:rPr>
          <w:rFonts w:ascii="Arial" w:cs="Arial" w:eastAsia="Arial" w:hAnsi="Arial"/>
          <w:sz w:val="22"/>
          <w:szCs w:val="22"/>
          <w:color w:val="auto"/>
        </w:rPr>
        <w:t>” has the meaning set forth in Section 401 hereof.</w:t>
      </w:r>
    </w:p>
    <w:p>
      <w:pPr>
        <w:spacing w:after="0" w:line="2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Guaranty</w:t>
      </w:r>
      <w:r>
        <w:rPr>
          <w:rFonts w:ascii="Arial" w:cs="Arial" w:eastAsia="Arial" w:hAnsi="Arial"/>
          <w:sz w:val="19"/>
          <w:szCs w:val="19"/>
          <w:color w:val="auto"/>
        </w:rPr>
        <w:t>” means any guaranty issued in connection with any Non-Recourse Debt that (i) if secured, is secured only by assets of or Equity Interests in a Project Finance Subsidiary, and (ii) guarantees to the provider of such Non-Recourse Debt or any other person (a) performance of the improvement, installation,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Finance Subsidiary, or (c) performance by a Project Finance Subsidiary of obligations to persons other than the provider of such Non-Recourse Debt.</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Project Finance Subsidiary</w:t>
      </w:r>
      <w:r>
        <w:rPr>
          <w:rFonts w:ascii="Arial" w:cs="Arial" w:eastAsia="Arial" w:hAnsi="Arial"/>
          <w:sz w:val="21"/>
          <w:szCs w:val="21"/>
          <w:color w:val="auto"/>
        </w:rPr>
        <w:t>” means any Subsidiary designated by the Company whose principal purpose is to incur Non-Recourse Debt and/or construct, lease, own or operate the assets financed thereby, or to become a direct or indirect partner, member or other equity participant or owner in a Person created for such purpose, and substantially all the assets of which Subsidiary or Person are limited to (x) those assets being financed (or to be financed), or the operation of which is being financed (or to be financed), in whole or in part by Non-Recourse Debt, or (y) Equity Interests in, or indebtedness or other obligations of, one or more other such Subsidiaries or Persons, or (z) indebtedness or other obligations of the Company or any Subsidiary or other Persons. At the time of designation of any Project Finance Subsidiary, the sum of the net book value of the assets of such Subsidiary and the net book value of the assets of all other Project Finance Subsidiaries then existing shall not in the aggregate exceed 10 percent of the Consolidated Net Tangible Assets.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Regular Record Date</w:t>
      </w:r>
      <w:r>
        <w:rPr>
          <w:rFonts w:ascii="Arial" w:cs="Arial" w:eastAsia="Arial" w:hAnsi="Arial"/>
          <w:sz w:val="22"/>
          <w:szCs w:val="22"/>
          <w:color w:val="auto"/>
        </w:rPr>
        <w:t>” has the meaning set forth in Section 204(a)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28" w:right="339" w:bottom="1440" w:gutter="0" w:footer="0" w:header="0"/>
        </w:sectPr>
      </w:pPr>
    </w:p>
    <w:bookmarkStart w:id="227" w:name="page228"/>
    <w:bookmarkEnd w:id="227"/>
    <w:p>
      <w:pPr>
        <w:jc w:val="both"/>
        <w:ind w:left="66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any entity means any corporation, partnership, joint venture, limited liability company, trust or estate of which (or in which) more than 50% of (i)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w:t>
      </w:r>
    </w:p>
    <w:p>
      <w:pPr>
        <w:spacing w:after="0" w:line="3" w:lineRule="exact"/>
        <w:rPr>
          <w:sz w:val="20"/>
          <w:szCs w:val="20"/>
          <w:color w:val="auto"/>
        </w:rPr>
      </w:pPr>
    </w:p>
    <w:p>
      <w:pPr>
        <w:ind w:left="1000" w:hanging="344"/>
        <w:spacing w:after="0"/>
        <w:tabs>
          <w:tab w:leader="none" w:pos="100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the interest in the capital or profits of such limited liability company, partnership, joint venture or other entity or</w:t>
      </w:r>
    </w:p>
    <w:p>
      <w:pPr>
        <w:spacing w:after="0" w:line="15" w:lineRule="exact"/>
        <w:rPr>
          <w:rFonts w:ascii="Arial" w:cs="Arial" w:eastAsia="Arial" w:hAnsi="Arial"/>
          <w:sz w:val="21"/>
          <w:szCs w:val="21"/>
          <w:color w:val="auto"/>
        </w:rPr>
      </w:pPr>
    </w:p>
    <w:p>
      <w:pPr>
        <w:ind w:left="660" w:hanging="4"/>
        <w:spacing w:after="0" w:line="323" w:lineRule="auto"/>
        <w:tabs>
          <w:tab w:leader="none" w:pos="1042"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beneficial interest in such trust or estate is at the time directly or indirectly owned or controlled by such entity, by such entity and one or more of its other subsidiaries or by one or more of such entity’s other subsidiaries.</w:t>
      </w:r>
    </w:p>
    <w:p>
      <w:pPr>
        <w:spacing w:after="0" w:line="163"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All references herein to Articles and Sections, unless otherwise specified, refer to the corresponding Articles and Sections of this Supplemental Indenture No. 20; and</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terms “herein,” “hereof,” “hereunder” and other words of similar import refer to this Supplemental Indenture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20.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TWO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Series of Securities</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 xml:space="preserve">Title of the Securities. </w:t>
      </w:r>
      <w:r>
        <w:rPr>
          <w:rFonts w:ascii="Arial" w:cs="Arial" w:eastAsia="Arial" w:hAnsi="Arial"/>
          <w:sz w:val="19"/>
          <w:szCs w:val="19"/>
          <w:color w:val="auto"/>
        </w:rPr>
        <w:t>The Notes shall be designated as the “0.70% Senior Notes due 2023.”</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Limitation on Aggregate Principal Amount</w:t>
      </w:r>
      <w:r>
        <w:rPr>
          <w:rFonts w:ascii="Arial" w:cs="Arial" w:eastAsia="Arial" w:hAnsi="Arial"/>
          <w:sz w:val="22"/>
          <w:szCs w:val="22"/>
          <w:color w:val="auto"/>
        </w:rPr>
        <w:t xml:space="preserve">. The Trustee shall authenticate and deliver the Notes for original issue on the Issue Date in the aggregate principal amount of $700,000,000 upon a Company Order for the authentication and delivery thereof and satisfaction of Sections 301 and 303 of the Original Indenture. Such order shall specify the amount of the Notes to be authenticated, the date on which the original issue of Notes is to be authenticated and the name or names of the initial Holder or Holders. The aggregate principal amount of Notes that may initially be outstanding shall not exceed $700,000,000;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authorized aggregate principal amount of the Notes may be increased above such amount by a Board Resolution to such effect.</w:t>
      </w:r>
    </w:p>
    <w:p>
      <w:pPr>
        <w:spacing w:after="0" w:line="23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Stated Maturity</w:t>
      </w:r>
      <w:r>
        <w:rPr>
          <w:rFonts w:ascii="Arial" w:cs="Arial" w:eastAsia="Arial" w:hAnsi="Arial"/>
          <w:sz w:val="19"/>
          <w:szCs w:val="19"/>
          <w:color w:val="auto"/>
        </w:rPr>
        <w:t>. The Stated Maturity of the Notes shall be March 2, 2023 (the “</w:t>
      </w:r>
      <w:r>
        <w:rPr>
          <w:rFonts w:ascii="Arial" w:cs="Arial" w:eastAsia="Arial" w:hAnsi="Arial"/>
          <w:sz w:val="19"/>
          <w:szCs w:val="19"/>
          <w:u w:val="single" w:color="auto"/>
          <w:color w:val="auto"/>
        </w:rPr>
        <w:t>Maturity Date</w:t>
      </w:r>
      <w:r>
        <w:rPr>
          <w:rFonts w:ascii="Arial" w:cs="Arial" w:eastAsia="Arial" w:hAnsi="Arial"/>
          <w:sz w:val="19"/>
          <w:szCs w:val="19"/>
          <w:color w:val="auto"/>
        </w:rPr>
        <w:t>”).</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Interest and Interest Rates.</w:t>
      </w:r>
    </w:p>
    <w:p>
      <w:pPr>
        <w:spacing w:after="0" w:line="260" w:lineRule="exact"/>
        <w:rPr>
          <w:sz w:val="20"/>
          <w:szCs w:val="20"/>
          <w:color w:val="auto"/>
        </w:rPr>
      </w:pPr>
    </w:p>
    <w:p>
      <w:pPr>
        <w:jc w:val="both"/>
        <w:ind w:firstLine="656"/>
        <w:spacing w:after="0" w:line="250" w:lineRule="auto"/>
        <w:tabs>
          <w:tab w:leader="none" w:pos="1102"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Notes shall bear interest at a rate of 0.70% per year, from and including March 2, 2021 (the “</w:t>
      </w:r>
      <w:r>
        <w:rPr>
          <w:rFonts w:ascii="Arial" w:cs="Arial" w:eastAsia="Arial" w:hAnsi="Arial"/>
          <w:sz w:val="22"/>
          <w:szCs w:val="22"/>
          <w:u w:val="single" w:color="auto"/>
          <w:color w:val="auto"/>
        </w:rPr>
        <w:t>Issue Date</w:t>
      </w:r>
      <w:r>
        <w:rPr>
          <w:rFonts w:ascii="Arial" w:cs="Arial" w:eastAsia="Arial" w:hAnsi="Arial"/>
          <w:sz w:val="22"/>
          <w:szCs w:val="22"/>
          <w:color w:val="auto"/>
        </w:rPr>
        <w:t>”) to, but excluding, the Maturity Date. Such interest shall be payable semi-annually in arrears on March 2 and September 2 of each year (each an “</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beginning September 2, 2021 to the persons in whose names the Notes (or one or more Predecessor Securities) are registered at the close of business 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228" w:name="page229"/>
    <w:bookmarkEnd w:id="228"/>
    <w:p>
      <w:pPr>
        <w:ind w:right="20"/>
        <w:spacing w:after="0" w:line="263" w:lineRule="auto"/>
        <w:rPr>
          <w:sz w:val="20"/>
          <w:szCs w:val="20"/>
          <w:color w:val="auto"/>
        </w:rPr>
      </w:pPr>
      <w:r>
        <w:rPr>
          <w:rFonts w:ascii="Arial" w:cs="Arial" w:eastAsia="Arial" w:hAnsi="Arial"/>
          <w:sz w:val="22"/>
          <w:szCs w:val="22"/>
          <w:color w:val="auto"/>
        </w:rPr>
        <w:t>February 16 and August 16 (each a “</w:t>
      </w:r>
      <w:r>
        <w:rPr>
          <w:rFonts w:ascii="Arial" w:cs="Arial" w:eastAsia="Arial" w:hAnsi="Arial"/>
          <w:sz w:val="22"/>
          <w:szCs w:val="22"/>
          <w:u w:val="single" w:color="auto"/>
          <w:color w:val="auto"/>
        </w:rPr>
        <w:t>Regular Record Date</w:t>
      </w:r>
      <w:r>
        <w:rPr>
          <w:rFonts w:ascii="Arial" w:cs="Arial" w:eastAsia="Arial" w:hAnsi="Arial"/>
          <w:sz w:val="22"/>
          <w:szCs w:val="22"/>
          <w:color w:val="auto"/>
        </w:rPr>
        <w:t>”) (whether or not a Business Day), as the case may be, immediately preceding such Interest Payment Date.</w:t>
      </w:r>
    </w:p>
    <w:p>
      <w:pPr>
        <w:spacing w:after="0" w:line="215" w:lineRule="exact"/>
        <w:rPr>
          <w:sz w:val="20"/>
          <w:szCs w:val="20"/>
          <w:color w:val="auto"/>
        </w:rPr>
      </w:pPr>
    </w:p>
    <w:p>
      <w:pPr>
        <w:jc w:val="both"/>
        <w:ind w:firstLine="656"/>
        <w:spacing w:after="0" w:line="286" w:lineRule="auto"/>
        <w:tabs>
          <w:tab w:leader="none" w:pos="1160" w:val="left"/>
        </w:tabs>
        <w:numPr>
          <w:ilvl w:val="1"/>
          <w:numId w:val="211"/>
        </w:numPr>
        <w:rPr>
          <w:rFonts w:ascii="Arial" w:cs="Arial" w:eastAsia="Arial" w:hAnsi="Arial"/>
          <w:sz w:val="19"/>
          <w:szCs w:val="19"/>
          <w:color w:val="auto"/>
        </w:rPr>
      </w:pPr>
      <w:r>
        <w:rPr>
          <w:rFonts w:ascii="Arial" w:cs="Arial" w:eastAsia="Arial" w:hAnsi="Arial"/>
          <w:sz w:val="19"/>
          <w:szCs w:val="19"/>
          <w:color w:val="auto"/>
        </w:rPr>
        <w:t>Any such interest not so punctually paid or duly provided for shall forthwith cease to be payable to the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the Notes not less than 10 days prior to such Special Record Date, or</w:t>
      </w:r>
    </w:p>
    <w:p>
      <w:pPr>
        <w:spacing w:after="0" w:line="2" w:lineRule="exact"/>
        <w:rPr>
          <w:rFonts w:ascii="Arial" w:cs="Arial" w:eastAsia="Arial" w:hAnsi="Arial"/>
          <w:sz w:val="19"/>
          <w:szCs w:val="19"/>
          <w:color w:val="auto"/>
        </w:rPr>
      </w:pPr>
    </w:p>
    <w:p>
      <w:pPr>
        <w:jc w:val="both"/>
        <w:ind w:firstLine="8"/>
        <w:spacing w:after="0" w:line="245" w:lineRule="auto"/>
        <w:tabs>
          <w:tab w:leader="none" w:pos="36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be paid at any time in any other lawful manner not inconsistent with the requirements of any securities exchange or automated quotation system on which the Notes may be listed or traded, and upon such notice as may be required by such exchange or automated quotation system, all as more fully provided in the Indenture.</w:t>
      </w:r>
    </w:p>
    <w:p>
      <w:pPr>
        <w:spacing w:after="0" w:line="233" w:lineRule="exact"/>
        <w:rPr>
          <w:rFonts w:ascii="Arial" w:cs="Arial" w:eastAsia="Arial" w:hAnsi="Arial"/>
          <w:sz w:val="22"/>
          <w:szCs w:val="22"/>
          <w:color w:val="auto"/>
        </w:rPr>
      </w:pPr>
    </w:p>
    <w:p>
      <w:pPr>
        <w:jc w:val="both"/>
        <w:ind w:firstLine="656"/>
        <w:spacing w:after="0" w:line="247" w:lineRule="auto"/>
        <w:tabs>
          <w:tab w:leader="none" w:pos="1163" w:val="left"/>
        </w:tabs>
        <w:numPr>
          <w:ilvl w:val="1"/>
          <w:numId w:val="212"/>
        </w:numPr>
        <w:rPr>
          <w:rFonts w:ascii="Arial" w:cs="Arial" w:eastAsia="Arial" w:hAnsi="Arial"/>
          <w:sz w:val="22"/>
          <w:szCs w:val="22"/>
          <w:color w:val="auto"/>
        </w:rPr>
      </w:pPr>
      <w:r>
        <w:rPr>
          <w:rFonts w:ascii="Arial" w:cs="Arial" w:eastAsia="Arial" w:hAnsi="Arial"/>
          <w:sz w:val="22"/>
          <w:szCs w:val="22"/>
          <w:color w:val="auto"/>
        </w:rPr>
        <w:t>The amount of interest payable for any period shall be computed on the basis of a 360-day year of twelve 30-day months. The amount of interest payable for any partial period shall be computed on the basis of a 360-day year of twelve 30-day months and the days elapsed in any partial month. In the event that any date on which interest is payable on a Note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w:t>
      </w:r>
    </w:p>
    <w:p>
      <w:pPr>
        <w:spacing w:after="0" w:line="233" w:lineRule="exact"/>
        <w:rPr>
          <w:rFonts w:ascii="Arial" w:cs="Arial" w:eastAsia="Arial" w:hAnsi="Arial"/>
          <w:sz w:val="22"/>
          <w:szCs w:val="22"/>
          <w:color w:val="auto"/>
        </w:rPr>
      </w:pPr>
    </w:p>
    <w:p>
      <w:pPr>
        <w:jc w:val="both"/>
        <w:ind w:firstLine="656"/>
        <w:spacing w:after="0" w:line="253" w:lineRule="auto"/>
        <w:tabs>
          <w:tab w:leader="none" w:pos="1122" w:val="left"/>
        </w:tabs>
        <w:numPr>
          <w:ilvl w:val="1"/>
          <w:numId w:val="212"/>
        </w:numPr>
        <w:rPr>
          <w:rFonts w:ascii="Arial" w:cs="Arial" w:eastAsia="Arial" w:hAnsi="Arial"/>
          <w:sz w:val="22"/>
          <w:szCs w:val="22"/>
          <w:color w:val="auto"/>
        </w:rPr>
      </w:pPr>
      <w:r>
        <w:rPr>
          <w:rFonts w:ascii="Arial" w:cs="Arial" w:eastAsia="Arial" w:hAnsi="Arial"/>
          <w:sz w:val="22"/>
          <w:szCs w:val="22"/>
          <w:color w:val="auto"/>
        </w:rPr>
        <w:t>Any principal and premium, if any, and any installment of interest, which is overdue shall bear interest at the rate of 0.70% per annum (to the extent permitted by law), from the dates such amounts are due until they are paid or made available for payment, and such interest shall be payable on demand.</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Paying Agent; Place of Payment</w:t>
      </w:r>
      <w:r>
        <w:rPr>
          <w:rFonts w:ascii="Arial" w:cs="Arial" w:eastAsia="Arial" w:hAnsi="Arial"/>
          <w:sz w:val="22"/>
          <w:szCs w:val="22"/>
          <w:color w:val="auto"/>
        </w:rPr>
        <w:t>. The Trustee shall initially serve as the Paying Agent for the Notes. The Company may appoint and change any Paying Agent or approve a change in the office through which any Paying Agent acts without notice, other than notice to the Trustee. The Company or any of its Subsidiaries or any of their Affiliates may act as Paying Agent. The Place of Payment where the Notes may be presented or surrendered for payment shall be the Corporate Trust Office of the Trustee.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2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i w:val="1"/>
          <w:iCs w:val="1"/>
          <w:color w:val="auto"/>
        </w:rPr>
        <w:t>Place of Registration or Exchange; Notices and Demands With Respect to the Notes</w:t>
      </w:r>
      <w:r>
        <w:rPr>
          <w:rFonts w:ascii="Arial" w:cs="Arial" w:eastAsia="Arial" w:hAnsi="Arial"/>
          <w:sz w:val="21"/>
          <w:szCs w:val="21"/>
          <w:color w:val="auto"/>
        </w:rPr>
        <w:t>. The place where the Holders of the Notes may present the Notes for registration of transfer or exchange and may make notices and demands to or upon the Company in respect of the Notes shall be the Corporate Trust Office of the Trustee.</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Percentage of Principal Amount</w:t>
      </w:r>
      <w:r>
        <w:rPr>
          <w:rFonts w:ascii="Arial" w:cs="Arial" w:eastAsia="Arial" w:hAnsi="Arial"/>
          <w:sz w:val="22"/>
          <w:szCs w:val="22"/>
          <w:color w:val="auto"/>
        </w:rPr>
        <w:t>. The Notes shall be initially issued at 99.903% of their principal amount, plus accrued interest, if any, from the Issue Date.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29" w:name="page230"/>
    <w:bookmarkEnd w:id="229"/>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Global Securities</w:t>
      </w:r>
      <w:r>
        <w:rPr>
          <w:rFonts w:ascii="Arial" w:cs="Arial" w:eastAsia="Arial" w:hAnsi="Arial"/>
          <w:sz w:val="22"/>
          <w:szCs w:val="22"/>
          <w:color w:val="auto"/>
        </w:rPr>
        <w:t xml:space="preserve">. The Notes shall be issuable in whole or in part in the form of one or more Global Securities. Such Global Securities shall be deposited with, or on behalf of, The Depository Trust Company, New York, New York, which shall act as Depositary with respect to the Notes. Such Global Securities shall bear the legends set forth in the form of Security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2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Form of Securities</w:t>
      </w:r>
      <w:r>
        <w:rPr>
          <w:rFonts w:ascii="Arial" w:cs="Arial" w:eastAsia="Arial" w:hAnsi="Arial"/>
          <w:sz w:val="19"/>
          <w:szCs w:val="19"/>
          <w:color w:val="auto"/>
        </w:rPr>
        <w:t>. The Notes shall be substantially in the form attached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Securities Registrar</w:t>
      </w:r>
      <w:r>
        <w:rPr>
          <w:rFonts w:ascii="Arial" w:cs="Arial" w:eastAsia="Arial" w:hAnsi="Arial"/>
          <w:sz w:val="19"/>
          <w:szCs w:val="19"/>
          <w:color w:val="auto"/>
        </w:rPr>
        <w:t>. The Trustee shall initially serve as the Security Registrar for the Notes.</w:t>
      </w:r>
    </w:p>
    <w:p>
      <w:pPr>
        <w:spacing w:after="0" w:line="26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Defeasance and Discharge; Covenant Defeasance.</w:t>
      </w:r>
    </w:p>
    <w:p>
      <w:pPr>
        <w:spacing w:after="0" w:line="260" w:lineRule="exact"/>
        <w:rPr>
          <w:sz w:val="20"/>
          <w:szCs w:val="20"/>
          <w:color w:val="auto"/>
        </w:rPr>
      </w:pPr>
    </w:p>
    <w:p>
      <w:pPr>
        <w:ind w:firstLine="656"/>
        <w:spacing w:after="0" w:line="263" w:lineRule="auto"/>
        <w:tabs>
          <w:tab w:leader="none" w:pos="11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Article Fourteen of the Original Indenture, including without limitation Sections 1402 and 1403 thereof (as modified by Section 211(b) hereof), shall apply to the Notes.</w:t>
      </w:r>
    </w:p>
    <w:p>
      <w:pPr>
        <w:spacing w:after="0" w:line="215" w:lineRule="exact"/>
        <w:rPr>
          <w:rFonts w:ascii="Arial" w:cs="Arial" w:eastAsia="Arial" w:hAnsi="Arial"/>
          <w:sz w:val="22"/>
          <w:szCs w:val="22"/>
          <w:color w:val="auto"/>
        </w:rPr>
      </w:pPr>
    </w:p>
    <w:p>
      <w:pPr>
        <w:ind w:firstLine="656"/>
        <w:spacing w:after="0" w:line="263" w:lineRule="auto"/>
        <w:tabs>
          <w:tab w:leader="none" w:pos="113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Solely with respect to the Notes issued hereby, the first sentence of Section 1403 of the Original Indenture is hereby deleted in its entirety, and the following is substituted in lieu thereof:</w:t>
      </w:r>
    </w:p>
    <w:p>
      <w:pPr>
        <w:spacing w:after="0" w:line="202" w:lineRule="exact"/>
        <w:rPr>
          <w:sz w:val="20"/>
          <w:szCs w:val="20"/>
          <w:color w:val="auto"/>
        </w:rPr>
      </w:pPr>
    </w:p>
    <w:p>
      <w:pPr>
        <w:jc w:val="both"/>
        <w:ind w:left="980"/>
        <w:spacing w:after="0" w:line="290" w:lineRule="auto"/>
        <w:rPr>
          <w:sz w:val="20"/>
          <w:szCs w:val="20"/>
          <w:color w:val="auto"/>
        </w:rPr>
      </w:pPr>
      <w:r>
        <w:rPr>
          <w:rFonts w:ascii="Arial" w:cs="Arial" w:eastAsia="Arial" w:hAnsi="Arial"/>
          <w:sz w:val="19"/>
          <w:szCs w:val="19"/>
          <w:color w:val="auto"/>
        </w:rPr>
        <w:t>“Upon the Company’s exercise of its option (if any) to have this Section 1403 applied to any Securities or any series of Securities, as the case may be, (1) the Company shall be released from its obligations under Article Eight and under any covenants provided pursuant to Section 301(20), 901(2) or 901(7) for the benefit of the Holders of such Securities, including without limitation, the covenants provided for in Article Three of Supplemental Indenture No. 20 to the Indenture, and (2) the occurrence of any event specified in Sections 501(4) (with respect to Article Eight and to any such covenants provided pursuant to Section 301(20), 901(2) or 901(7)) and 501(7) shall be deemed not to be or result in an Event of Default, in each case with respect to such Securities as provided in this Section 1403 on and after the date the conditions set forth in Section 1404 are satisfied (hereinafter called “Covenant Defeasance”).”</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Sinking Fund Obligations</w:t>
      </w:r>
      <w:r>
        <w:rPr>
          <w:rFonts w:ascii="Arial" w:cs="Arial" w:eastAsia="Arial" w:hAnsi="Arial"/>
          <w:sz w:val="22"/>
          <w:szCs w:val="22"/>
          <w:color w:val="auto"/>
        </w:rPr>
        <w:t>. The Company shall have no obligation to redeem or purchase any Notes pursuant to any sinking fund or analogous requirement or upon the happening of a specified event or at the option of a Holder thereof.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THREE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Covenants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Maintenance of Properties.</w:t>
      </w:r>
      <w:r>
        <w:rPr>
          <w:rFonts w:ascii="Arial" w:cs="Arial" w:eastAsia="Arial" w:hAnsi="Arial"/>
          <w:sz w:val="22"/>
          <w:szCs w:val="22"/>
          <w:color w:val="auto"/>
        </w:rPr>
        <w:t xml:space="preserve"> The Company shall cause all properties used or useful in the conduct of its business or the business of any Subsidiary to be maintained and kept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230" w:name="page231"/>
    <w:bookmarkEnd w:id="230"/>
    <w:p>
      <w:pPr>
        <w:jc w:val="both"/>
        <w:spacing w:after="0" w:line="297" w:lineRule="auto"/>
        <w:rPr>
          <w:sz w:val="20"/>
          <w:szCs w:val="20"/>
          <w:color w:val="auto"/>
        </w:rPr>
      </w:pPr>
      <w:r>
        <w:rPr>
          <w:rFonts w:ascii="Arial" w:cs="Arial" w:eastAsia="Arial" w:hAnsi="Arial"/>
          <w:sz w:val="19"/>
          <w:szCs w:val="19"/>
          <w:color w:val="auto"/>
        </w:rPr>
        <w:t xml:space="preserve">in good condition, repair and working order and supplied with all necessary equipment and shall cause to be made all necessary repairs, renewals, replacements, betterments and improvements thereof, all as in the judgment of the Company may be necessary so that the business carried on in connection therewith may be properly conducted at all times;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301 shall prevent the Company from discontinuing the operation or maintenance of any of such properties if such discontinuance is, in the judgment of the Company, desirable in the conduct of its business or the business of any Subsidiary.</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Payment of Taxes and Other Claims.</w:t>
      </w:r>
      <w:r>
        <w:rPr>
          <w:rFonts w:ascii="Arial" w:cs="Arial" w:eastAsia="Arial" w:hAnsi="Arial"/>
          <w:sz w:val="22"/>
          <w:szCs w:val="22"/>
          <w:color w:val="auto"/>
        </w:rPr>
        <w:t xml:space="preserve"> The Company shall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FOUR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Optional Redemption of the Notes</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Redemption Price</w:t>
      </w:r>
      <w:r>
        <w:rPr>
          <w:rFonts w:ascii="Arial" w:cs="Arial" w:eastAsia="Arial" w:hAnsi="Arial"/>
          <w:sz w:val="19"/>
          <w:szCs w:val="19"/>
          <w:color w:val="auto"/>
        </w:rPr>
        <w:t>. The Notes shall be redeemable, at the option of the Company, at any time and from time to time, in whole or in part, on or after September 2, 2021 (the “</w:t>
      </w:r>
      <w:r>
        <w:rPr>
          <w:rFonts w:ascii="Arial" w:cs="Arial" w:eastAsia="Arial" w:hAnsi="Arial"/>
          <w:sz w:val="19"/>
          <w:szCs w:val="19"/>
          <w:u w:val="single" w:color="auto"/>
          <w:color w:val="auto"/>
        </w:rPr>
        <w:t>Par Call Date</w:t>
      </w:r>
      <w:r>
        <w:rPr>
          <w:rFonts w:ascii="Arial" w:cs="Arial" w:eastAsia="Arial" w:hAnsi="Arial"/>
          <w:sz w:val="19"/>
          <w:szCs w:val="19"/>
          <w:color w:val="auto"/>
        </w:rPr>
        <w:t>”), at a price equal to 100% of the principal amount of the Notes to be redeemed plus accrued and unpaid interest on the principal amount being redeemed, if any, to, but excluding, the Redemption Date. The Trustee shall have no responsibility for the calculation of such amount.</w:t>
      </w:r>
    </w:p>
    <w:p>
      <w:pPr>
        <w:spacing w:after="0" w:line="18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[Reserved].</w:t>
      </w:r>
    </w:p>
    <w:p>
      <w:pPr>
        <w:spacing w:after="0" w:line="2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i w:val="1"/>
          <w:iCs w:val="1"/>
          <w:color w:val="auto"/>
        </w:rPr>
        <w:t>Partial Redemption</w:t>
      </w:r>
      <w:r>
        <w:rPr>
          <w:rFonts w:ascii="Arial" w:cs="Arial" w:eastAsia="Arial" w:hAnsi="Arial"/>
          <w:sz w:val="21"/>
          <w:szCs w:val="21"/>
          <w:color w:val="auto"/>
        </w:rPr>
        <w:t>. If fewer than all of the Notes are to be redeemed by the Company pursuant to this Article Four, not more than 60 days prior to the Redemption Date, the particular Notes or portions thereof called for redemption will be selected from the outstanding Notes not previously called by such method as the Trustee deems fair and appropriate. The Trustee may select for redemption Notes and portions of Notes in amounts of $2,000 or whole multiples of $1,000. A new Note in principal amount equal to the unredeemed portion of the original Note shall be issued upon the cancellation of the original Note. In the case of a partial redemption of Notes registered in the name of Cede &amp; Co., the Notes to be redeemed will be determined in accordance with the procedures of The Depository Trust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i w:val="1"/>
          <w:iCs w:val="1"/>
          <w:color w:val="auto"/>
        </w:rPr>
        <w:t>Notice of Optional Redemption</w:t>
      </w:r>
      <w:r>
        <w:rPr>
          <w:rFonts w:ascii="Arial" w:cs="Arial" w:eastAsia="Arial" w:hAnsi="Arial"/>
          <w:sz w:val="22"/>
          <w:szCs w:val="22"/>
          <w:color w:val="auto"/>
        </w:rPr>
        <w:t>.</w:t>
      </w:r>
    </w:p>
    <w:p>
      <w:pPr>
        <w:spacing w:after="0" w:line="247" w:lineRule="exact"/>
        <w:rPr>
          <w:sz w:val="20"/>
          <w:szCs w:val="20"/>
          <w:color w:val="auto"/>
        </w:rPr>
      </w:pPr>
    </w:p>
    <w:p>
      <w:pPr>
        <w:ind w:right="20" w:firstLine="656"/>
        <w:spacing w:after="0" w:line="263" w:lineRule="auto"/>
        <w:tabs>
          <w:tab w:leader="none" w:pos="95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Trustee, at the written direction of the Company, will send a notice of redemption prepared by the Company to each holder of Notes to be redeemed by first-class mail (or in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31" w:name="page232"/>
    <w:bookmarkEnd w:id="231"/>
    <w:p>
      <w:pPr>
        <w:jc w:val="both"/>
        <w:spacing w:after="0" w:line="302" w:lineRule="auto"/>
        <w:rPr>
          <w:sz w:val="20"/>
          <w:szCs w:val="20"/>
          <w:color w:val="auto"/>
        </w:rPr>
      </w:pPr>
      <w:r>
        <w:rPr>
          <w:rFonts w:ascii="Arial" w:cs="Arial" w:eastAsia="Arial" w:hAnsi="Arial"/>
          <w:sz w:val="19"/>
          <w:szCs w:val="19"/>
          <w:color w:val="auto"/>
        </w:rPr>
        <w:t>accordance with the procedures of The Depository Trust Company with respect to Notes registered in the name of Cede &amp; Co.) at least 15 and not more than 60 days prior to the date fixed for redemption. Unless the Company defaults on payment of the redemption price, interest will cease to accrue on the Notes or portions thereof called for redemption on the Redemption Date. If any Note is to be redeemed in part only, the notice of redemption shall state the portion of the principal amount to be redeemed.</w:t>
      </w:r>
    </w:p>
    <w:p>
      <w:pPr>
        <w:spacing w:after="0" w:line="169" w:lineRule="exact"/>
        <w:rPr>
          <w:sz w:val="20"/>
          <w:szCs w:val="20"/>
          <w:color w:val="auto"/>
        </w:rPr>
      </w:pPr>
    </w:p>
    <w:p>
      <w:pPr>
        <w:jc w:val="both"/>
        <w:ind w:firstLine="656"/>
        <w:spacing w:after="0" w:line="290" w:lineRule="auto"/>
        <w:tabs>
          <w:tab w:leader="none" w:pos="982" w:val="left"/>
        </w:tabs>
        <w:numPr>
          <w:ilvl w:val="0"/>
          <w:numId w:val="215"/>
        </w:numPr>
        <w:rPr>
          <w:rFonts w:ascii="Arial" w:cs="Arial" w:eastAsia="Arial" w:hAnsi="Arial"/>
          <w:sz w:val="19"/>
          <w:szCs w:val="19"/>
          <w:color w:val="auto"/>
        </w:rPr>
      </w:pPr>
      <w:r>
        <w:rPr>
          <w:rFonts w:ascii="Arial" w:cs="Arial" w:eastAsia="Arial" w:hAnsi="Arial"/>
          <w:sz w:val="19"/>
          <w:szCs w:val="19"/>
          <w:color w:val="auto"/>
        </w:rPr>
        <w:t>Notice of any redemption of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Company or another Person).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 The Company shall notify holders of Notes of any such rescission as soon as practicable after it determines that such conditions precedent will not be able to be satisfied or the Company is not able or willing to waive such conditions precedent.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FIVE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Remedies</w:t>
      </w:r>
    </w:p>
    <w:p>
      <w:pPr>
        <w:spacing w:after="0" w:line="2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Additional Event of Default; Acceleration of Maturity.</w:t>
      </w:r>
    </w:p>
    <w:p>
      <w:pPr>
        <w:spacing w:after="0" w:line="247" w:lineRule="exact"/>
        <w:rPr>
          <w:sz w:val="20"/>
          <w:szCs w:val="20"/>
          <w:color w:val="auto"/>
        </w:rPr>
      </w:pPr>
    </w:p>
    <w:p>
      <w:pPr>
        <w:jc w:val="both"/>
        <w:ind w:firstLine="656"/>
        <w:spacing w:after="0" w:line="291" w:lineRule="auto"/>
        <w:tabs>
          <w:tab w:leader="none" w:pos="1204" w:val="left"/>
        </w:tabs>
        <w:numPr>
          <w:ilvl w:val="0"/>
          <w:numId w:val="216"/>
        </w:numPr>
        <w:rPr>
          <w:rFonts w:ascii="Arial" w:cs="Arial" w:eastAsia="Arial" w:hAnsi="Arial"/>
          <w:sz w:val="19"/>
          <w:szCs w:val="19"/>
          <w:color w:val="auto"/>
        </w:rPr>
      </w:pPr>
      <w:r>
        <w:rPr>
          <w:rFonts w:ascii="Arial" w:cs="Arial" w:eastAsia="Arial" w:hAnsi="Arial"/>
          <w:sz w:val="19"/>
          <w:szCs w:val="19"/>
          <w:color w:val="auto"/>
        </w:rPr>
        <w:t>Solely with respect to the Notes issued hereby, Section 501(7) of the Original Indenture is hereby deleted in its entirety, and the following is substituted in lieu thereof as an Event of Default in addition to the other events set forth in 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501 of the Original Indenture:</w:t>
      </w:r>
    </w:p>
    <w:p>
      <w:pPr>
        <w:spacing w:after="0" w:line="229" w:lineRule="exact"/>
        <w:rPr>
          <w:sz w:val="20"/>
          <w:szCs w:val="20"/>
          <w:color w:val="auto"/>
        </w:rPr>
      </w:pPr>
    </w:p>
    <w:p>
      <w:pPr>
        <w:jc w:val="both"/>
        <w:ind w:left="1300" w:right="1300" w:firstLine="648"/>
        <w:spacing w:after="0" w:line="287" w:lineRule="auto"/>
        <w:rPr>
          <w:sz w:val="20"/>
          <w:szCs w:val="20"/>
          <w:color w:val="auto"/>
        </w:rPr>
      </w:pPr>
      <w:r>
        <w:rPr>
          <w:rFonts w:ascii="Arial" w:cs="Arial" w:eastAsia="Arial" w:hAnsi="Arial"/>
          <w:sz w:val="19"/>
          <w:szCs w:val="19"/>
          <w:color w:val="auto"/>
        </w:rPr>
        <w:t>“(7) the default by the Company or any Subsidiary, other than a Project Finance Subsidiary, in the payment, when due, after the expiration of any applicable grace period, of principal of indebtedness for money borrowed, other than Non-Recourse Debt, in the aggregate principal amount then outstanding of $125 million or more, or acceleration of any indebtedness for money borrowed in such aggregate principal amount so that it becomes due and payable prior to the date on which it would otherwise have become due and payable and such acceleration is not rescinded or such default is not cured within 30 days after there has been given, by registered or certified mail, to the Company by the Trustee or to the Company and the Trustee by the holders of at least 33% in principal amount of the Notes written notice specifying such default and requiring the Company to cause such acceleration to be rescinded or such default to be cured and stating that such notice is a “Notice of Default” under the Indenture;”.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32" w:name="page233"/>
    <w:bookmarkEnd w:id="232"/>
    <w:p>
      <w:pPr>
        <w:spacing w:after="0" w:line="245" w:lineRule="exact"/>
        <w:rPr>
          <w:sz w:val="20"/>
          <w:szCs w:val="20"/>
          <w:color w:val="auto"/>
        </w:rPr>
      </w:pPr>
    </w:p>
    <w:p>
      <w:pPr>
        <w:ind w:firstLine="656"/>
        <w:spacing w:after="0" w:line="263" w:lineRule="auto"/>
        <w:tabs>
          <w:tab w:leader="none" w:pos="113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Solely with respect to the Notes issued hereby, the first paragraph of Section 502 of the Original Indenture is hereby deleted in its entirety, and the following is substituted in lieu thereof:</w:t>
      </w:r>
    </w:p>
    <w:p>
      <w:pPr>
        <w:spacing w:after="0" w:line="202" w:lineRule="exact"/>
        <w:rPr>
          <w:sz w:val="20"/>
          <w:szCs w:val="20"/>
          <w:color w:val="auto"/>
        </w:rPr>
      </w:pPr>
    </w:p>
    <w:p>
      <w:pPr>
        <w:jc w:val="both"/>
        <w:ind w:left="1300" w:right="1300" w:firstLine="648"/>
        <w:spacing w:after="0" w:line="258" w:lineRule="auto"/>
        <w:rPr>
          <w:sz w:val="20"/>
          <w:szCs w:val="20"/>
          <w:color w:val="auto"/>
        </w:rPr>
      </w:pPr>
      <w:r>
        <w:rPr>
          <w:rFonts w:ascii="Arial" w:cs="Arial" w:eastAsia="Arial" w:hAnsi="Arial"/>
          <w:sz w:val="21"/>
          <w:szCs w:val="21"/>
          <w:color w:val="auto"/>
        </w:rPr>
        <w:t>“If an Event of Default (other than an Event of Default specified in Section 501(5) or 501(6)) with respect to the Notes at the time Outstanding occurs and is continuing, then in every such case the Trustee or the Holders of not less than 33% in principal amount of the Notes Outstanding may declare the principal amount of all the Notes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501(6) with respect to the Notes at the time Outstanding occurs and is continuing, the principal amount of all the Notes shall automatically, and without any declaration or other action on the part of the Trustee or any Holder, become immediately due and payable.”</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Amendment of Certain Provisions</w:t>
      </w:r>
      <w:r>
        <w:rPr>
          <w:rFonts w:ascii="Arial" w:cs="Arial" w:eastAsia="Arial" w:hAnsi="Arial"/>
          <w:sz w:val="22"/>
          <w:szCs w:val="22"/>
          <w:color w:val="auto"/>
        </w:rPr>
        <w:t>. Solely with respect to the Notes issued hereby, references to “25%” in Article Five of the Indenture are hereby deleted in their entirety and “33%” is substituted in lieu thereof.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SIX</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 Provisions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601 The Indenture, as supplemented and amended by this Supplemental Indenture No. 20, is in all respects hereby adopted, ratified and confirmed.</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Section 602 This Supplemental Indenture No. 20 may be executed in any number of counterparts, each of which shall be an original, but such counterparts shall together constitute but one and the same instrument. The words “execution,” “executed,” “signed,” signature,” and words of like import in this Supplemental Indenture No. 20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233" w:name="page234"/>
    <w:bookmarkEnd w:id="233"/>
    <w:p>
      <w:pPr>
        <w:jc w:val="both"/>
        <w:spacing w:after="0" w:line="259" w:lineRule="auto"/>
        <w:rPr>
          <w:sz w:val="20"/>
          <w:szCs w:val="20"/>
          <w:color w:val="auto"/>
        </w:rPr>
      </w:pPr>
      <w:r>
        <w:rPr>
          <w:rFonts w:ascii="Arial" w:cs="Arial" w:eastAsia="Arial" w:hAnsi="Arial"/>
          <w:sz w:val="21"/>
          <w:szCs w:val="21"/>
          <w:color w:val="auto"/>
        </w:rPr>
        <w:t>anything in this Supplemental Indenture No. 20 to the contrary notwithstanding, (a) any Officers’ Certificate, Company Order, Opinion of Counsel, Security, certificate of authentication appearing on or attached to any Security or other certificate, Opinion of Counsel, instrument, agreement or other document delivered pursuant to this Supplemental Indenture No. 20 may be executed, attested and transmitted by any of the foregoing electronic means and formats, (b) all references in Section 303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and (c) any requirement in Section 303 or elsewhere in the Indenture that any signature be made under a corporate seal (or facsimile thereof) shall not be applicable to the Securities of such series.</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Section 603 THIS SUPPLEMENTAL INDENTURE NO. 20 AND EACH NOTE SHALL BE DEEMED TO BE A CONTRACT MADE UNDER THE LAWS OF THE STATE OF NEW YORK AND SHALL BE GOVERNED BY AND CONSTRUED IN ACCORDANCE WITH THE LAWS OF THE STATE OF NEW YORK.</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Section 604 If any provision in this Supplemental Indenture No. 20 limits, qualifies or conflicts with another provision hereof which is required to be included herein by any provisions of the Trust Indenture Act, such required provision shall control.</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Section 605 In case any provision in this Supplemental Indenture No. 20 or the Notes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34" w:name="page235"/>
    <w:bookmarkEnd w:id="234"/>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No. 20 to be duly executed, as of the day and year first written above.</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CENTERPOINT ENERGY RESOURCES CORP.</w:t>
      </w:r>
    </w:p>
    <w:p>
      <w:pPr>
        <w:spacing w:after="0" w:line="200" w:lineRule="exact"/>
        <w:rPr>
          <w:sz w:val="20"/>
          <w:szCs w:val="20"/>
          <w:color w:val="auto"/>
        </w:rPr>
      </w:pPr>
    </w:p>
    <w:p>
      <w:pPr>
        <w:spacing w:after="0" w:line="290" w:lineRule="exact"/>
        <w:rPr>
          <w:sz w:val="20"/>
          <w:szCs w:val="20"/>
          <w:color w:val="auto"/>
        </w:rPr>
      </w:pPr>
    </w:p>
    <w:p>
      <w:pPr>
        <w:jc w:val="center"/>
        <w:ind w:left="2480"/>
        <w:spacing w:after="0"/>
        <w:tabs>
          <w:tab w:leader="none" w:pos="260" w:val="left"/>
        </w:tabs>
        <w:rPr>
          <w:sz w:val="20"/>
          <w:szCs w:val="20"/>
          <w:color w:val="auto"/>
        </w:rPr>
      </w:pPr>
      <w:r>
        <w:rPr>
          <w:rFonts w:ascii="Arial" w:cs="Arial" w:eastAsia="Arial" w:hAnsi="Arial"/>
          <w:sz w:val="22"/>
          <w:szCs w:val="22"/>
          <w:color w:val="auto"/>
        </w:rPr>
        <w:t>By:</w:t>
        <w:tab/>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6275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1" w:lineRule="exact"/>
        <w:rPr>
          <w:sz w:val="20"/>
          <w:szCs w:val="20"/>
          <w:color w:val="auto"/>
        </w:rPr>
      </w:pPr>
    </w:p>
    <w:p>
      <w:pPr>
        <w:jc w:val="center"/>
        <w:ind w:right="1420"/>
        <w:spacing w:after="0"/>
        <w:rPr>
          <w:sz w:val="20"/>
          <w:szCs w:val="20"/>
          <w:color w:val="auto"/>
        </w:rPr>
      </w:pPr>
      <w:r>
        <w:rPr>
          <w:rFonts w:ascii="Arial" w:cs="Arial" w:eastAsia="Arial" w:hAnsi="Arial"/>
          <w:sz w:val="22"/>
          <w:szCs w:val="22"/>
          <w:color w:val="auto"/>
        </w:rPr>
        <w:t>Jason P. Wells</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Executive Vice President and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979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Vincent A. Mercaldi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right="1360"/>
        <w:spacing w:after="0" w:line="263" w:lineRule="auto"/>
        <w:rPr>
          <w:sz w:val="20"/>
          <w:szCs w:val="20"/>
          <w:color w:val="auto"/>
        </w:rPr>
      </w:pPr>
      <w:r>
        <w:rPr>
          <w:rFonts w:ascii="Arial" w:cs="Arial" w:eastAsia="Arial" w:hAnsi="Arial"/>
          <w:sz w:val="22"/>
          <w:szCs w:val="22"/>
          <w:color w:val="auto"/>
        </w:rPr>
        <w:t>THE BANK OF NEW YORK MELLON TRUST COMPANY, N.A., As Trustee</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Linda Wirfel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563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1556385" cy="8890"/>
                    </a:xfrm>
                    <a:prstGeom prst="rect">
                      <a:avLst/>
                    </a:prstGeom>
                    <a:noFill/>
                  </pic:spPr>
                </pic:pic>
              </a:graphicData>
            </a:graphic>
          </wp:anchor>
        </w:drawing>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FACE OF SECURITY]</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(“DTC”), TO CENTERPOINT ENERGY RESOURCES CORP.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CENTERPOINT ENERGY RESOURCES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0.70% Senior Notes due 2023</w:t>
      </w:r>
    </w:p>
    <w:p>
      <w:pPr>
        <w:sectPr>
          <w:pgSz w:w="11900" w:h="16838" w:orient="portrait"/>
          <w:cols w:equalWidth="0" w:num="1">
            <w:col w:w="11240"/>
          </w:cols>
          <w:pgMar w:left="320" w:top="1428" w:right="33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22"/>
          <w:szCs w:val="22"/>
          <w:color w:val="auto"/>
        </w:rPr>
        <w:t>Original Interest Accrual Date: March 2, 2021</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color w:val="auto"/>
        </w:rPr>
        <w:t>Stated Maturity: March 2, 2023</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Interest Rate: 0.70%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Interest Payment Dates: March 2 and September 2</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Initial Interest Payment Date: September 2, 2021</w:t>
      </w:r>
    </w:p>
    <w:p>
      <w:pPr>
        <w:spacing w:after="0" w:line="220" w:lineRule="exact"/>
        <w:rPr>
          <w:sz w:val="20"/>
          <w:szCs w:val="20"/>
          <w:color w:val="auto"/>
        </w:rPr>
      </w:pPr>
    </w:p>
    <w:p>
      <w:pPr>
        <w:ind w:left="20"/>
        <w:spacing w:after="0" w:line="298" w:lineRule="auto"/>
        <w:rPr>
          <w:sz w:val="20"/>
          <w:szCs w:val="20"/>
          <w:color w:val="auto"/>
        </w:rPr>
      </w:pPr>
      <w:r>
        <w:rPr>
          <w:rFonts w:ascii="Arial" w:cs="Arial" w:eastAsia="Arial" w:hAnsi="Arial"/>
          <w:sz w:val="19"/>
          <w:szCs w:val="19"/>
          <w:color w:val="auto"/>
        </w:rPr>
        <w:t>Regular Record Dates: February 16 and August 16 immediately preceding the applicable Interest Payment Date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Redeemable: Yes [X] No [ ]</w:t>
      </w:r>
    </w:p>
    <w:p>
      <w:pPr>
        <w:spacing w:after="0" w:line="274" w:lineRule="exact"/>
        <w:rPr>
          <w:sz w:val="20"/>
          <w:szCs w:val="20"/>
          <w:color w:val="auto"/>
        </w:rPr>
      </w:pPr>
    </w:p>
    <w:p>
      <w:pPr>
        <w:ind w:right="420"/>
        <w:spacing w:after="0" w:line="232" w:lineRule="auto"/>
        <w:rPr>
          <w:sz w:val="20"/>
          <w:szCs w:val="20"/>
          <w:color w:val="auto"/>
        </w:rPr>
      </w:pPr>
      <w:r>
        <w:rPr>
          <w:rFonts w:ascii="Arial" w:cs="Arial" w:eastAsia="Arial" w:hAnsi="Arial"/>
          <w:sz w:val="22"/>
          <w:szCs w:val="22"/>
          <w:color w:val="auto"/>
        </w:rPr>
        <w:t>Redemption Date: On or after September 2, 2021 (the “Par Call Date”).</w:t>
      </w:r>
    </w:p>
    <w:p>
      <w:pPr>
        <w:spacing w:after="0" w:line="1" w:lineRule="exact"/>
        <w:rPr>
          <w:sz w:val="20"/>
          <w:szCs w:val="20"/>
          <w:color w:val="auto"/>
        </w:rPr>
      </w:pPr>
    </w:p>
    <w:p>
      <w:pPr>
        <w:ind w:right="340"/>
        <w:spacing w:after="0" w:line="215" w:lineRule="auto"/>
        <w:rPr>
          <w:sz w:val="20"/>
          <w:szCs w:val="20"/>
          <w:color w:val="auto"/>
        </w:rPr>
      </w:pPr>
      <w:r>
        <w:rPr>
          <w:rFonts w:ascii="Arial" w:cs="Arial" w:eastAsia="Arial" w:hAnsi="Arial"/>
          <w:sz w:val="22"/>
          <w:szCs w:val="22"/>
          <w:color w:val="auto"/>
        </w:rPr>
        <w:t>Redemption Price: On or after the Par Call Date, at a price equal to 100% of the principal amount of this Security or the portion thereof to be redeemed plus accrued and unpaid interest on the principal amount being redeemed to, but excluding, the Redemption Date.</w:t>
      </w:r>
    </w:p>
    <w:p>
      <w:pPr>
        <w:sectPr>
          <w:pgSz w:w="11900" w:h="16838" w:orient="portrait"/>
          <w:cols w:equalWidth="0" w:num="2">
            <w:col w:w="5240" w:space="80"/>
            <w:col w:w="5920"/>
          </w:cols>
          <w:pgMar w:left="320" w:top="1428" w:right="339" w:bottom="1440" w:gutter="0" w:footer="0" w:header="0"/>
          <w:type w:val="continuous"/>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Principal Amount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9"/>
          <w:szCs w:val="19"/>
          <w:color w:val="auto"/>
        </w:rPr>
        <w:t>$_______________</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br w:type="column"/>
      </w:r>
    </w:p>
    <w:p>
      <w:pPr>
        <w:jc w:val="both"/>
        <w:ind w:left="40" w:right="3200" w:hanging="38"/>
        <w:spacing w:after="0" w:line="291" w:lineRule="auto"/>
        <w:rPr>
          <w:sz w:val="20"/>
          <w:szCs w:val="20"/>
          <w:color w:val="auto"/>
        </w:rPr>
      </w:pPr>
      <w:r>
        <w:rPr>
          <w:rFonts w:ascii="Arial" w:cs="Arial" w:eastAsia="Arial" w:hAnsi="Arial"/>
          <w:sz w:val="19"/>
          <w:szCs w:val="19"/>
          <w:color w:val="auto"/>
        </w:rPr>
        <w:t>This Security is not an Original Issue Discount Security within the meaning of the within-mentioned Indenture.</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_____________________________</w:t>
      </w:r>
    </w:p>
    <w:p>
      <w:pPr>
        <w:spacing w:after="0" w:line="200" w:lineRule="exact"/>
        <w:rPr>
          <w:sz w:val="20"/>
          <w:szCs w:val="20"/>
          <w:color w:val="auto"/>
        </w:rPr>
      </w:pPr>
    </w:p>
    <w:p>
      <w:pPr>
        <w:spacing w:after="0" w:line="299"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Registered No. T-[ ]</w:t>
      </w:r>
    </w:p>
    <w:p>
      <w:pPr>
        <w:spacing w:after="0" w:line="92" w:lineRule="exact"/>
        <w:rPr>
          <w:sz w:val="20"/>
          <w:szCs w:val="20"/>
          <w:color w:val="auto"/>
        </w:rPr>
      </w:pPr>
    </w:p>
    <w:p>
      <w:pPr>
        <w:jc w:val="right"/>
        <w:ind w:right="260"/>
        <w:spacing w:after="0"/>
        <w:rPr>
          <w:sz w:val="20"/>
          <w:szCs w:val="20"/>
          <w:color w:val="auto"/>
        </w:rPr>
      </w:pPr>
      <w:r>
        <w:rPr>
          <w:rFonts w:ascii="Arial" w:cs="Arial" w:eastAsia="Arial" w:hAnsi="Arial"/>
          <w:sz w:val="22"/>
          <w:szCs w:val="22"/>
          <w:color w:val="auto"/>
        </w:rPr>
        <w:t>CUSIP 15189W AM2</w:t>
      </w:r>
    </w:p>
    <w:p>
      <w:pPr>
        <w:spacing w:after="0" w:line="226" w:lineRule="exact"/>
        <w:rPr>
          <w:sz w:val="20"/>
          <w:szCs w:val="20"/>
          <w:color w:val="auto"/>
        </w:rPr>
      </w:pPr>
    </w:p>
    <w:p>
      <w:pPr>
        <w:sectPr>
          <w:pgSz w:w="11900" w:h="16838" w:orient="portrait"/>
          <w:cols w:equalWidth="0" w:num="2">
            <w:col w:w="2500" w:space="720"/>
            <w:col w:w="8020"/>
          </w:cols>
          <w:pgMar w:left="320" w:top="1428" w:right="339" w:bottom="1440" w:gutter="0" w:footer="0" w:header="0"/>
        </w:sectPr>
      </w:pPr>
    </w:p>
    <w:p>
      <w:pPr>
        <w:spacing w:after="0" w:line="26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CENTERPOINT ENERGY RESOURCES CORP., a corporation duly organized and existing under the laws of the State of Delaware, formerly known as NorAm Energy Corp. (herein called the “</w:t>
      </w:r>
      <w:r>
        <w:rPr>
          <w:rFonts w:ascii="Arial" w:cs="Arial" w:eastAsia="Arial" w:hAnsi="Arial"/>
          <w:sz w:val="22"/>
          <w:szCs w:val="22"/>
          <w:u w:val="single" w:color="auto"/>
          <w:color w:val="auto"/>
        </w:rPr>
        <w:t>Company</w:t>
      </w:r>
      <w:r>
        <w:rPr>
          <w:rFonts w:ascii="Arial" w:cs="Arial" w:eastAsia="Arial" w:hAnsi="Arial"/>
          <w:sz w:val="22"/>
          <w:szCs w:val="22"/>
          <w:color w:val="auto"/>
        </w:rPr>
        <w:t>,” which term includes any successor Person under the Indenture referred to below), for value received, hereby promises to pay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***CEDE &amp; Co.***</w:t>
      </w:r>
    </w:p>
    <w:p>
      <w:pPr>
        <w:spacing w:after="0" w:line="247" w:lineRule="exact"/>
        <w:rPr>
          <w:sz w:val="20"/>
          <w:szCs w:val="20"/>
          <w:color w:val="auto"/>
        </w:rPr>
      </w:pPr>
    </w:p>
    <w:p>
      <w:pPr>
        <w:jc w:val="both"/>
        <w:ind w:firstLine="8"/>
        <w:spacing w:after="0" w:line="285" w:lineRule="auto"/>
        <w:tabs>
          <w:tab w:leader="none" w:pos="127"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or its registered assigns, the principal sum of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September 2, 2021, and at Stated Maturity, at the Interest Rate per annum specified above, until the principal hereof is paid or made available for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principal and premium, and any such installment of interest, which is overdue shall bear interest at the rate of 0.70%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“Business Day” 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February 16 or August 16 (whether or not a Business Day), as the case may be, next preceding such Interest Payment Date. Any such interest not so punctually paid or duly provided for shall forthwith cease to be payable to the Holder on such Regular Record Date and shall either be paid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1714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ectPr>
          <w:pgSz w:w="11900" w:h="16838" w:orient="portrait"/>
          <w:cols w:equalWidth="0" w:num="1">
            <w:col w:w="11240"/>
          </w:cols>
          <w:pgMar w:left="320" w:top="1428" w:right="339" w:bottom="1440" w:gutter="0" w:footer="0" w:header="0"/>
          <w:type w:val="continuous"/>
        </w:sectPr>
      </w:pPr>
    </w:p>
    <w:bookmarkStart w:id="237" w:name="page238"/>
    <w:bookmarkEnd w:id="237"/>
    <w:p>
      <w:pPr>
        <w:jc w:val="both"/>
        <w:spacing w:after="0" w:line="247" w:lineRule="auto"/>
        <w:rPr>
          <w:sz w:val="20"/>
          <w:szCs w:val="20"/>
          <w:color w:val="auto"/>
        </w:rPr>
      </w:pPr>
      <w:r>
        <w:rPr>
          <w:rFonts w:ascii="Arial" w:cs="Arial" w:eastAsia="Arial" w:hAnsi="Arial"/>
          <w:sz w:val="22"/>
          <w:szCs w:val="22"/>
          <w:color w:val="auto"/>
        </w:rPr>
        <w:t>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spacing w:after="0" w:line="2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at the option of the Company payment of interest may be made</w:t>
      </w:r>
    </w:p>
    <w:p>
      <w:pPr>
        <w:spacing w:after="0" w:line="1" w:lineRule="exact"/>
        <w:rPr>
          <w:sz w:val="20"/>
          <w:szCs w:val="20"/>
          <w:color w:val="auto"/>
        </w:rPr>
      </w:pPr>
    </w:p>
    <w:p>
      <w:pPr>
        <w:jc w:val="both"/>
        <w:ind w:firstLine="8"/>
        <w:spacing w:after="0" w:line="245" w:lineRule="auto"/>
        <w:tabs>
          <w:tab w:leader="none" w:pos="274" w:val="left"/>
        </w:tabs>
        <w:numPr>
          <w:ilvl w:val="0"/>
          <w:numId w:val="219"/>
        </w:numPr>
        <w:rPr>
          <w:rFonts w:ascii="Arial" w:cs="Arial" w:eastAsia="Arial" w:hAnsi="Arial"/>
          <w:sz w:val="22"/>
          <w:szCs w:val="22"/>
          <w:color w:val="auto"/>
        </w:rPr>
      </w:pPr>
      <w:r>
        <w:rPr>
          <w:rFonts w:ascii="Arial" w:cs="Arial" w:eastAsia="Arial" w:hAnsi="Arial"/>
          <w:sz w:val="22"/>
          <w:szCs w:val="22"/>
          <w:color w:val="auto"/>
        </w:rPr>
        <w:t>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Reference is hereby made to the further provisions of this Security set forth on the reverse hereof, which further provisions shall for all purposes have the same effect as if set forth at this place.</w:t>
      </w:r>
    </w:p>
    <w:p>
      <w:pPr>
        <w:spacing w:after="0" w:line="21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ectPr>
          <w:pgSz w:w="11900" w:h="16838" w:orient="portrait"/>
          <w:cols w:equalWidth="0" w:num="1">
            <w:col w:w="11240"/>
          </w:cols>
          <w:pgMar w:left="320" w:top="1428" w:right="339" w:bottom="1440" w:gutter="0" w:footer="0" w:header="0"/>
        </w:sectPr>
      </w:pPr>
    </w:p>
    <w:bookmarkStart w:id="238" w:name="page239"/>
    <w:bookmarkEnd w:id="238"/>
    <w:p>
      <w:pPr>
        <w:ind w:left="1300"/>
        <w:spacing w:after="0"/>
        <w:rPr>
          <w:sz w:val="20"/>
          <w:szCs w:val="20"/>
          <w:color w:val="auto"/>
        </w:rPr>
      </w:pPr>
      <w:r>
        <w:rPr>
          <w:rFonts w:ascii="Arial" w:cs="Arial" w:eastAsia="Arial" w:hAnsi="Arial"/>
          <w:sz w:val="22"/>
          <w:szCs w:val="22"/>
          <w:color w:val="auto"/>
        </w:rPr>
        <w:t>IN WITNESS WHEREOF, the Company has caused this instrument to be duly executed.</w:t>
      </w:r>
    </w:p>
    <w:p>
      <w:pPr>
        <w:spacing w:after="0" w:line="200" w:lineRule="exact"/>
        <w:rPr>
          <w:sz w:val="20"/>
          <w:szCs w:val="20"/>
          <w:color w:val="auto"/>
        </w:rPr>
      </w:pPr>
    </w:p>
    <w:p>
      <w:pPr>
        <w:spacing w:after="0" w:line="290"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Dated: March 2, 2021</w:t>
      </w:r>
      <w:r>
        <w:rPr>
          <w:sz w:val="20"/>
          <w:szCs w:val="20"/>
          <w:color w:val="auto"/>
        </w:rPr>
        <w:tab/>
      </w:r>
      <w:r>
        <w:rPr>
          <w:rFonts w:ascii="Arial" w:cs="Arial" w:eastAsia="Arial" w:hAnsi="Arial"/>
          <w:sz w:val="19"/>
          <w:szCs w:val="19"/>
          <w:color w:val="auto"/>
        </w:rPr>
        <w:t>CENTERPOINT ENERGY RESOURCES CORP.</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-17780</wp:posOffset>
            </wp:positionV>
            <wp:extent cx="6858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Jason P. Wells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Executive Vice President and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(SEAL)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5829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Name: Vincent A. Mercaldi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Corporate Secretary</w:t>
      </w:r>
    </w:p>
    <w:p>
      <w:pPr>
        <w:spacing w:after="0" w:line="200" w:lineRule="exact"/>
        <w:rPr>
          <w:sz w:val="20"/>
          <w:szCs w:val="20"/>
          <w:color w:val="auto"/>
        </w:rPr>
      </w:pPr>
    </w:p>
    <w:p>
      <w:pPr>
        <w:spacing w:after="0" w:line="27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CERTIFICATE OF AUTHENTICATION</w:t>
      </w:r>
    </w:p>
    <w:p>
      <w:pPr>
        <w:spacing w:after="0" w:line="247" w:lineRule="exact"/>
        <w:rPr>
          <w:sz w:val="20"/>
          <w:szCs w:val="20"/>
          <w:color w:val="auto"/>
        </w:rPr>
      </w:pPr>
    </w:p>
    <w:p>
      <w:pPr>
        <w:jc w:val="right"/>
        <w:ind w:right="80"/>
        <w:spacing w:after="0"/>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247" w:lineRule="exact"/>
        <w:rPr>
          <w:sz w:val="20"/>
          <w:szCs w:val="20"/>
          <w:color w:val="auto"/>
        </w:rPr>
      </w:pPr>
    </w:p>
    <w:p>
      <w:pPr>
        <w:ind w:left="4540"/>
        <w:spacing w:after="0" w:line="263" w:lineRule="auto"/>
        <w:rPr>
          <w:sz w:val="20"/>
          <w:szCs w:val="20"/>
          <w:color w:val="auto"/>
        </w:rPr>
      </w:pPr>
      <w:r>
        <w:rPr>
          <w:rFonts w:ascii="Arial" w:cs="Arial" w:eastAsia="Arial" w:hAnsi="Arial"/>
          <w:sz w:val="22"/>
          <w:szCs w:val="22"/>
          <w:color w:val="auto"/>
        </w:rPr>
        <w:t>THE BANK OF NEW YORK MELLON TRUST COMPANY, N.A., As Trustee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March 2, 2021</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-29210</wp:posOffset>
            </wp:positionV>
            <wp:extent cx="6858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0540"/>
          </w:cols>
          <w:pgMar w:left="320" w:top="1428" w:right="10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22"/>
          <w:szCs w:val="22"/>
          <w:color w:val="auto"/>
        </w:rPr>
        <w:t>SCHEDULE A</w:t>
      </w:r>
    </w:p>
    <w:p>
      <w:pPr>
        <w:spacing w:after="0" w:line="247" w:lineRule="exact"/>
        <w:rPr>
          <w:sz w:val="20"/>
          <w:szCs w:val="20"/>
          <w:color w:val="auto"/>
        </w:rPr>
      </w:pPr>
    </w:p>
    <w:p>
      <w:pPr>
        <w:jc w:val="both"/>
        <w:ind w:firstLine="595"/>
        <w:spacing w:after="0" w:line="253" w:lineRule="auto"/>
        <w:rPr>
          <w:sz w:val="20"/>
          <w:szCs w:val="20"/>
          <w:color w:val="auto"/>
        </w:rPr>
      </w:pPr>
      <w:r>
        <w:rPr>
          <w:rFonts w:ascii="Arial" w:cs="Arial" w:eastAsia="Arial" w:hAnsi="Arial"/>
          <w:sz w:val="22"/>
          <w:szCs w:val="22"/>
          <w:color w:val="auto"/>
        </w:rPr>
        <w:t>The initial aggregate principal amount of Securities evidenced by the Certificate to which this Schedule is attached is $ . The notations on the following table evidence decreases and increases in the aggregate principal amount of Securities evidenced by such Certificate.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2"/>
          </w:tcPr>
          <w:p>
            <w:pPr>
              <w:jc w:val="center"/>
              <w:ind w:right="80"/>
              <w:spacing w:after="0"/>
              <w:rPr>
                <w:sz w:val="20"/>
                <w:szCs w:val="20"/>
                <w:color w:val="auto"/>
              </w:rPr>
            </w:pPr>
            <w:r>
              <w:rPr>
                <w:rFonts w:ascii="Arial" w:cs="Arial" w:eastAsia="Arial" w:hAnsi="Arial"/>
                <w:sz w:val="22"/>
                <w:szCs w:val="22"/>
                <w:color w:val="auto"/>
                <w:w w:val="90"/>
              </w:rPr>
              <w:t>Aggregate Principal</w:t>
            </w:r>
          </w:p>
        </w:tc>
        <w:tc>
          <w:tcPr>
            <w:tcW w:w="1600" w:type="dxa"/>
            <w:vAlign w:val="bottom"/>
          </w:tcPr>
          <w:p>
            <w:pPr>
              <w:spacing w:after="0"/>
              <w:rPr>
                <w:sz w:val="23"/>
                <w:szCs w:val="23"/>
                <w:color w:val="auto"/>
              </w:rPr>
            </w:pPr>
          </w:p>
        </w:tc>
      </w:tr>
      <w:tr>
        <w:trPr>
          <w:trHeight w:val="270"/>
        </w:trPr>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22"/>
                <w:szCs w:val="22"/>
                <w:color w:val="auto"/>
                <w:w w:val="90"/>
              </w:rPr>
              <w:t>Amount of Securities</w:t>
            </w:r>
          </w:p>
        </w:tc>
        <w:tc>
          <w:tcPr>
            <w:tcW w:w="1600" w:type="dxa"/>
            <w:vAlign w:val="bottom"/>
          </w:tcPr>
          <w:p>
            <w:pPr>
              <w:spacing w:after="0"/>
              <w:rPr>
                <w:sz w:val="23"/>
                <w:szCs w:val="23"/>
                <w:color w:val="auto"/>
              </w:rPr>
            </w:pPr>
          </w:p>
        </w:tc>
      </w:tr>
      <w:tr>
        <w:trPr>
          <w:trHeight w:val="270"/>
        </w:trPr>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22"/>
                <w:szCs w:val="22"/>
                <w:color w:val="auto"/>
                <w:w w:val="87"/>
              </w:rPr>
              <w:t>Decrease in Aggregate</w:t>
            </w:r>
          </w:p>
        </w:tc>
        <w:tc>
          <w:tcPr>
            <w:tcW w:w="2860" w:type="dxa"/>
            <w:vAlign w:val="bottom"/>
            <w:gridSpan w:val="2"/>
          </w:tcPr>
          <w:p>
            <w:pPr>
              <w:jc w:val="center"/>
              <w:ind w:right="80"/>
              <w:spacing w:after="0"/>
              <w:rPr>
                <w:sz w:val="20"/>
                <w:szCs w:val="20"/>
                <w:color w:val="auto"/>
              </w:rPr>
            </w:pPr>
            <w:r>
              <w:rPr>
                <w:rFonts w:ascii="Arial" w:cs="Arial" w:eastAsia="Arial" w:hAnsi="Arial"/>
                <w:sz w:val="22"/>
                <w:szCs w:val="22"/>
                <w:color w:val="auto"/>
                <w:w w:val="88"/>
              </w:rPr>
              <w:t>Increase in Aggregate</w:t>
            </w:r>
          </w:p>
        </w:tc>
        <w:tc>
          <w:tcPr>
            <w:tcW w:w="2500" w:type="dxa"/>
            <w:vAlign w:val="bottom"/>
            <w:gridSpan w:val="2"/>
          </w:tcPr>
          <w:p>
            <w:pPr>
              <w:jc w:val="center"/>
              <w:ind w:right="80"/>
              <w:spacing w:after="0"/>
              <w:rPr>
                <w:sz w:val="20"/>
                <w:szCs w:val="20"/>
                <w:color w:val="auto"/>
              </w:rPr>
            </w:pPr>
            <w:r>
              <w:rPr>
                <w:rFonts w:ascii="Arial" w:cs="Arial" w:eastAsia="Arial" w:hAnsi="Arial"/>
                <w:sz w:val="22"/>
                <w:szCs w:val="22"/>
                <w:color w:val="auto"/>
                <w:w w:val="92"/>
              </w:rPr>
              <w:t>Remaining After</w:t>
            </w:r>
          </w:p>
        </w:tc>
        <w:tc>
          <w:tcPr>
            <w:tcW w:w="1600" w:type="dxa"/>
            <w:vAlign w:val="bottom"/>
          </w:tcPr>
          <w:p>
            <w:pPr>
              <w:jc w:val="center"/>
              <w:spacing w:after="0"/>
              <w:rPr>
                <w:sz w:val="20"/>
                <w:szCs w:val="20"/>
                <w:color w:val="auto"/>
              </w:rPr>
            </w:pPr>
            <w:r>
              <w:rPr>
                <w:rFonts w:ascii="Arial" w:cs="Arial" w:eastAsia="Arial" w:hAnsi="Arial"/>
                <w:sz w:val="22"/>
                <w:szCs w:val="22"/>
                <w:color w:val="auto"/>
                <w:w w:val="91"/>
              </w:rPr>
              <w:t>Notation by</w:t>
            </w:r>
          </w:p>
        </w:tc>
      </w:tr>
      <w:tr>
        <w:trPr>
          <w:trHeight w:val="270"/>
        </w:trPr>
        <w:tc>
          <w:tcPr>
            <w:tcW w:w="1660" w:type="dxa"/>
            <w:vAlign w:val="bottom"/>
            <w:gridSpan w:val="2"/>
          </w:tcPr>
          <w:p>
            <w:pPr>
              <w:jc w:val="center"/>
              <w:ind w:right="100"/>
              <w:spacing w:after="0"/>
              <w:rPr>
                <w:sz w:val="20"/>
                <w:szCs w:val="20"/>
                <w:color w:val="auto"/>
              </w:rPr>
            </w:pPr>
            <w:r>
              <w:rPr>
                <w:rFonts w:ascii="Arial" w:cs="Arial" w:eastAsia="Arial" w:hAnsi="Arial"/>
                <w:sz w:val="22"/>
                <w:szCs w:val="22"/>
                <w:color w:val="auto"/>
                <w:w w:val="90"/>
              </w:rPr>
              <w:t>Date of</w:t>
            </w:r>
          </w:p>
        </w:tc>
        <w:tc>
          <w:tcPr>
            <w:tcW w:w="2620" w:type="dxa"/>
            <w:vAlign w:val="bottom"/>
            <w:gridSpan w:val="2"/>
          </w:tcPr>
          <w:p>
            <w:pPr>
              <w:jc w:val="center"/>
              <w:ind w:right="120"/>
              <w:spacing w:after="0"/>
              <w:rPr>
                <w:sz w:val="20"/>
                <w:szCs w:val="20"/>
                <w:color w:val="auto"/>
              </w:rPr>
            </w:pPr>
            <w:r>
              <w:rPr>
                <w:rFonts w:ascii="Arial" w:cs="Arial" w:eastAsia="Arial" w:hAnsi="Arial"/>
                <w:sz w:val="22"/>
                <w:szCs w:val="22"/>
                <w:color w:val="auto"/>
                <w:w w:val="93"/>
              </w:rPr>
              <w:t>Principal Amount of</w:t>
            </w:r>
          </w:p>
        </w:tc>
        <w:tc>
          <w:tcPr>
            <w:tcW w:w="2860" w:type="dxa"/>
            <w:vAlign w:val="bottom"/>
            <w:gridSpan w:val="2"/>
          </w:tcPr>
          <w:p>
            <w:pPr>
              <w:jc w:val="center"/>
              <w:ind w:right="80"/>
              <w:spacing w:after="0"/>
              <w:rPr>
                <w:sz w:val="20"/>
                <w:szCs w:val="20"/>
                <w:color w:val="auto"/>
              </w:rPr>
            </w:pPr>
            <w:r>
              <w:rPr>
                <w:rFonts w:ascii="Arial" w:cs="Arial" w:eastAsia="Arial" w:hAnsi="Arial"/>
                <w:sz w:val="22"/>
                <w:szCs w:val="22"/>
                <w:color w:val="auto"/>
                <w:w w:val="93"/>
              </w:rPr>
              <w:t>Principal Amount of</w:t>
            </w:r>
          </w:p>
        </w:tc>
        <w:tc>
          <w:tcPr>
            <w:tcW w:w="2500" w:type="dxa"/>
            <w:vAlign w:val="bottom"/>
            <w:gridSpan w:val="2"/>
          </w:tcPr>
          <w:p>
            <w:pPr>
              <w:jc w:val="center"/>
              <w:ind w:right="100"/>
              <w:spacing w:after="0"/>
              <w:rPr>
                <w:sz w:val="20"/>
                <w:szCs w:val="20"/>
                <w:color w:val="auto"/>
              </w:rPr>
            </w:pPr>
            <w:r>
              <w:rPr>
                <w:rFonts w:ascii="Arial" w:cs="Arial" w:eastAsia="Arial" w:hAnsi="Arial"/>
                <w:sz w:val="22"/>
                <w:szCs w:val="22"/>
                <w:color w:val="auto"/>
                <w:w w:val="86"/>
              </w:rPr>
              <w:t>Such Decrease or</w:t>
            </w:r>
          </w:p>
        </w:tc>
        <w:tc>
          <w:tcPr>
            <w:tcW w:w="1600" w:type="dxa"/>
            <w:vAlign w:val="bottom"/>
          </w:tcPr>
          <w:p>
            <w:pPr>
              <w:jc w:val="center"/>
              <w:spacing w:after="0"/>
              <w:rPr>
                <w:sz w:val="20"/>
                <w:szCs w:val="20"/>
                <w:color w:val="auto"/>
              </w:rPr>
            </w:pPr>
            <w:r>
              <w:rPr>
                <w:rFonts w:ascii="Arial" w:cs="Arial" w:eastAsia="Arial" w:hAnsi="Arial"/>
                <w:sz w:val="22"/>
                <w:szCs w:val="22"/>
                <w:color w:val="auto"/>
                <w:w w:val="90"/>
              </w:rPr>
              <w:t>Security</w:t>
            </w:r>
          </w:p>
        </w:tc>
      </w:tr>
      <w:tr>
        <w:trPr>
          <w:trHeight w:val="276"/>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Adjustment</w:t>
            </w:r>
          </w:p>
        </w:tc>
        <w:tc>
          <w:tcPr>
            <w:tcW w:w="120" w:type="dxa"/>
            <w:vAlign w:val="bottom"/>
          </w:tcPr>
          <w:p>
            <w:pPr>
              <w:spacing w:after="0"/>
              <w:rPr>
                <w:sz w:val="24"/>
                <w:szCs w:val="2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6"/>
              </w:rPr>
              <w:t>Securities</w:t>
            </w:r>
          </w:p>
        </w:tc>
        <w:tc>
          <w:tcPr>
            <w:tcW w:w="10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Securities</w:t>
            </w:r>
          </w:p>
        </w:tc>
        <w:tc>
          <w:tcPr>
            <w:tcW w:w="100" w:type="dxa"/>
            <w:vAlign w:val="bottom"/>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Increase</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Registrar</w:t>
            </w:r>
          </w:p>
        </w:tc>
      </w:tr>
    </w:tbl>
    <w:p>
      <w:pPr>
        <w:sectPr>
          <w:pgSz w:w="11900" w:h="16838" w:orient="portrait"/>
          <w:cols w:equalWidth="0" w:num="1">
            <w:col w:w="11240"/>
          </w:cols>
          <w:pgMar w:left="320" w:top="1428"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2"/>
          <w:szCs w:val="22"/>
          <w:color w:val="auto"/>
        </w:rPr>
        <w:t>[FORM OF REVERSE SIDE OF SECURITY]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CENTERPOINT ENERGY RESOURCES CORP.</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0.70% SENIOR NOTES DUE 2023</w:t>
      </w:r>
    </w:p>
    <w:p>
      <w:pPr>
        <w:spacing w:after="0" w:line="2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Security is one of a duly authorized issue of securities of the Company (herein called the “</w:t>
      </w:r>
      <w:r>
        <w:rPr>
          <w:rFonts w:ascii="Arial" w:cs="Arial" w:eastAsia="Arial" w:hAnsi="Arial"/>
          <w:sz w:val="19"/>
          <w:szCs w:val="19"/>
          <w:u w:val="single" w:color="auto"/>
          <w:color w:val="auto"/>
        </w:rPr>
        <w:t>Securities</w:t>
      </w:r>
      <w:r>
        <w:rPr>
          <w:rFonts w:ascii="Arial" w:cs="Arial" w:eastAsia="Arial" w:hAnsi="Arial"/>
          <w:sz w:val="19"/>
          <w:szCs w:val="19"/>
          <w:color w:val="auto"/>
        </w:rPr>
        <w:t>”), issued and to be issued in one or more series under an Indenture, dated as of February 1, 1998</w:t>
      </w:r>
      <w:r>
        <w:rPr>
          <w:rFonts w:ascii="Arial" w:cs="Arial" w:eastAsia="Arial" w:hAnsi="Arial"/>
          <w:sz w:val="17"/>
          <w:szCs w:val="17"/>
          <w:color w:val="auto"/>
        </w:rPr>
        <w:t>,</w:t>
      </w:r>
      <w:r>
        <w:rPr>
          <w:rFonts w:ascii="Arial" w:cs="Arial" w:eastAsia="Arial" w:hAnsi="Arial"/>
          <w:sz w:val="19"/>
          <w:szCs w:val="19"/>
          <w:color w:val="auto"/>
        </w:rPr>
        <w:t xml:space="preserve"> as previously supplemented and amended including by the Supplemental Indenture No. 20, dated as of March 2, 2021 (collectively herein called the “ </w:t>
      </w:r>
      <w:r>
        <w:rPr>
          <w:rFonts w:ascii="Arial" w:cs="Arial" w:eastAsia="Arial" w:hAnsi="Arial"/>
          <w:sz w:val="19"/>
          <w:szCs w:val="19"/>
          <w:u w:val="single" w:color="auto"/>
          <w:color w:val="auto"/>
        </w:rPr>
        <w:t>Indenture</w:t>
      </w:r>
      <w:r>
        <w:rPr>
          <w:rFonts w:ascii="Arial" w:cs="Arial" w:eastAsia="Arial" w:hAnsi="Arial"/>
          <w:sz w:val="19"/>
          <w:szCs w:val="19"/>
          <w:color w:val="auto"/>
        </w:rPr>
        <w:t>,” which term shall have the meaning assigned to it in such instrument), between the Company and The Bank of New York Mellon Trust Company, N.A. (successor to JPMorgan Chase Bank, National Association (formerly Chase Bank of Texas, National Association)), as Trustee (herein called the “</w:t>
      </w:r>
      <w:r>
        <w:rPr>
          <w:rFonts w:ascii="Arial" w:cs="Arial" w:eastAsia="Arial" w:hAnsi="Arial"/>
          <w:sz w:val="19"/>
          <w:szCs w:val="19"/>
          <w:u w:val="single" w:color="auto"/>
          <w:color w:val="auto"/>
        </w:rPr>
        <w:t>Trustee</w:t>
      </w:r>
      <w:r>
        <w:rPr>
          <w:rFonts w:ascii="Arial" w:cs="Arial" w:eastAsia="Arial" w:hAnsi="Arial"/>
          <w:sz w:val="19"/>
          <w:szCs w:val="19"/>
          <w:color w:val="auto"/>
        </w:rPr>
        <w:t xml:space="preserv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authorized aggregate principal amount of the Securities may be increased above such amount by a Board Resolution to such effect.</w:t>
      </w:r>
    </w:p>
    <w:p>
      <w:pPr>
        <w:spacing w:after="0" w:line="19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Security shall be redeemable, at the option of the Company, at any time or from time to time, in whole or in part, on or after September 2, 2021 (the “</w:t>
      </w:r>
      <w:r>
        <w:rPr>
          <w:rFonts w:ascii="Arial" w:cs="Arial" w:eastAsia="Arial" w:hAnsi="Arial"/>
          <w:sz w:val="21"/>
          <w:szCs w:val="21"/>
          <w:u w:val="single" w:color="auto"/>
          <w:color w:val="auto"/>
        </w:rPr>
        <w:t>Par Call Date</w:t>
      </w:r>
      <w:r>
        <w:rPr>
          <w:rFonts w:ascii="Arial" w:cs="Arial" w:eastAsia="Arial" w:hAnsi="Arial"/>
          <w:sz w:val="21"/>
          <w:szCs w:val="21"/>
          <w:color w:val="auto"/>
        </w:rPr>
        <w:t>”) at a price equal to 100% of the principal amount of this Security (or such portion to be redeemed) plus accrued and unpaid interest on the principal amount being redeemed, if any, to, but excluding, the Redemption Date. The Trustee shall have no responsibility for the calculation of such amount.</w:t>
      </w:r>
    </w:p>
    <w:p>
      <w:pPr>
        <w:spacing w:after="0" w:line="200" w:lineRule="exact"/>
        <w:rPr>
          <w:sz w:val="20"/>
          <w:szCs w:val="20"/>
          <w:color w:val="auto"/>
        </w:rPr>
      </w:pPr>
    </w:p>
    <w:p>
      <w:pPr>
        <w:spacing w:after="0" w:line="25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Securities of this series are not entitled to the benefit of any sinking fund.</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Indenture contains provisions for satisfaction and discharge of the entire indebtedness of this Security upon compliance by the Company with certain conditions set forth in the Indenture.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ectPr>
          <w:pgSz w:w="11900" w:h="16838" w:orient="portrait"/>
          <w:cols w:equalWidth="0" w:num="1">
            <w:col w:w="11240"/>
          </w:cols>
          <w:pgMar w:left="320" w:top="1428" w:right="339" w:bottom="1440" w:gutter="0" w:footer="0" w:header="0"/>
        </w:sectPr>
      </w:pPr>
    </w:p>
    <w:bookmarkStart w:id="241" w:name="page242"/>
    <w:bookmarkEnd w:id="241"/>
    <w:p>
      <w:pPr>
        <w:jc w:val="both"/>
        <w:ind w:firstLine="648"/>
        <w:spacing w:after="0" w:line="287" w:lineRule="auto"/>
        <w:rPr>
          <w:sz w:val="20"/>
          <w:szCs w:val="20"/>
          <w:color w:val="auto"/>
        </w:rPr>
      </w:pPr>
      <w:r>
        <w:rPr>
          <w:rFonts w:ascii="Arial" w:cs="Arial" w:eastAsia="Arial" w:hAnsi="Arial"/>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4"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9"/>
          <w:szCs w:val="19"/>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w:t>
      </w:r>
    </w:p>
    <w:p>
      <w:pPr>
        <w:sectPr>
          <w:pgSz w:w="11900" w:h="16838" w:orient="portrait"/>
          <w:cols w:equalWidth="0" w:num="1">
            <w:col w:w="11240"/>
          </w:cols>
          <w:pgMar w:left="320" w:top="1428" w:right="339" w:bottom="1440" w:gutter="0" w:footer="0" w:header="0"/>
        </w:sectPr>
      </w:pPr>
    </w:p>
    <w:bookmarkStart w:id="242" w:name="page243"/>
    <w:bookmarkEnd w:id="242"/>
    <w:p>
      <w:pPr>
        <w:jc w:val="both"/>
        <w:spacing w:after="0" w:line="263" w:lineRule="auto"/>
        <w:rPr>
          <w:sz w:val="20"/>
          <w:szCs w:val="20"/>
          <w:color w:val="auto"/>
        </w:rPr>
      </w:pPr>
      <w:r>
        <w:rPr>
          <w:rFonts w:ascii="Arial" w:cs="Arial" w:eastAsia="Arial" w:hAnsi="Arial"/>
          <w:sz w:val="22"/>
          <w:szCs w:val="22"/>
          <w:color w:val="auto"/>
        </w:rPr>
        <w:t>service charge shall be made for any such registration of transfer or exchange, but the Company may require payment of a sum sufficient to cover any tax or other governmental charge payable in connection therewith.</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Securities of this series are issuable only in registered form without coupons in minimum denominations of $2,000 principal amount and integral multiples of $1,000 principal amount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terms used in this Security which are defined in the Indenture shall have the meanings assigned to them in the Indenture.</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INDENTURE AND THIS SECURITY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079364.0000005 EMF_US 84123592v2</w:t>
      </w:r>
    </w:p>
    <w:p>
      <w:pPr>
        <w:sectPr>
          <w:pgSz w:w="11900" w:h="16838" w:orient="portrait"/>
          <w:cols w:equalWidth="0" w:num="1">
            <w:col w:w="11240"/>
          </w:cols>
          <w:pgMar w:left="320" w:top="1428"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22"/>
          <w:szCs w:val="22"/>
          <w:b w:val="1"/>
          <w:bCs w:val="1"/>
          <w:color w:val="auto"/>
        </w:rPr>
        <w:t>Exhibit 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CENTERPOINT ENERGY HOUSTON ELECTRIC,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CERTIFICATE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11, 2021</w:t>
      </w:r>
    </w:p>
    <w:p>
      <w:pPr>
        <w:spacing w:after="0" w:line="24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I, the undersigned officer of CenterPoint Energy Houston Electric, LLC, a Texas limited liability company (the “Company”), do hereby certify that I am an Authorized Officer of the Company as such term is defined in the Indenture (as defined herein). I am delivering this certificate pursuant to the authority granted in the Resolutions adopted by written consent of the sole Manager of the Company dated February 19, 2021, and Sections 105, 201, 301, 401(1), 401(5) and 1403 of the General Mortgage Indenture, dated as of October 10, 2002, as heretofore supplemented to the date hereof (as heretofore supplemented, the “Indenture”), between the Company and The Bank of New York Mellon Trust Company, National Association (successor in trust to JPMorgan Chase Bank), as Trustee (the “Trustee”). Terms used herein and not otherwise defined herein shall have the meanings assigned to them in the Indenture, unless the context clearly requires otherwise. Based upon the foregoing, I hereby certify on behalf of the Company as follows:</w:t>
      </w:r>
    </w:p>
    <w:p>
      <w:pPr>
        <w:spacing w:after="0" w:line="179" w:lineRule="exact"/>
        <w:rPr>
          <w:sz w:val="20"/>
          <w:szCs w:val="20"/>
          <w:color w:val="auto"/>
        </w:rPr>
      </w:pPr>
    </w:p>
    <w:p>
      <w:pPr>
        <w:ind w:firstLine="8"/>
        <w:spacing w:after="0" w:line="343" w:lineRule="auto"/>
        <w:tabs>
          <w:tab w:leader="none" w:pos="423"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terms and conditions of the Securities of the series described in this Officer’s Certificate are as follows (the numbered subdivisions set forth in this Paragraph 1 corresponding to the numbered subdivisions of Section 301 of the Indenture):</w:t>
      </w:r>
    </w:p>
    <w:p>
      <w:pPr>
        <w:spacing w:after="0" w:line="104" w:lineRule="exact"/>
        <w:rPr>
          <w:rFonts w:ascii="Arial" w:cs="Arial" w:eastAsia="Arial" w:hAnsi="Arial"/>
          <w:sz w:val="19"/>
          <w:szCs w:val="19"/>
          <w:color w:val="auto"/>
        </w:rPr>
      </w:pPr>
    </w:p>
    <w:p>
      <w:pPr>
        <w:jc w:val="both"/>
        <w:ind w:left="660" w:hanging="4"/>
        <w:spacing w:after="0" w:line="294" w:lineRule="auto"/>
        <w:tabs>
          <w:tab w:leader="none" w:pos="1183" w:val="left"/>
        </w:tabs>
        <w:numPr>
          <w:ilvl w:val="1"/>
          <w:numId w:val="220"/>
        </w:numPr>
        <w:rPr>
          <w:rFonts w:ascii="Arial" w:cs="Arial" w:eastAsia="Arial" w:hAnsi="Arial"/>
          <w:sz w:val="19"/>
          <w:szCs w:val="19"/>
          <w:color w:val="auto"/>
        </w:rPr>
      </w:pPr>
      <w:r>
        <w:rPr>
          <w:rFonts w:ascii="Arial" w:cs="Arial" w:eastAsia="Arial" w:hAnsi="Arial"/>
          <w:sz w:val="19"/>
          <w:szCs w:val="19"/>
          <w:color w:val="auto"/>
        </w:rPr>
        <w:t>The Securities of the thirty-first series to be issued under the Indenture shall be designated as the “2.35% General Mortgage Bonds, Series AE, due 2031” (the “Series AE Mortgage Bonds”), as set forth in the Thirtieth Supplemental Indenture, dated as of the date hereof, between the Company and the Trustee. The Securities of the thirty-second series to be issued under the Indenture shall be designated as the “3.35% General Mortgage Bonds, Series AF, due 2051” (the “Series AF Mortgage Bonds” and, together with the Series AE Mortgage Bonds, the “Bonds”), as set forth in the Thirtieth Supplemental Indenture, dated as of the date hereof, between the Company and the Trustee.</w:t>
      </w:r>
    </w:p>
    <w:p>
      <w:pPr>
        <w:spacing w:after="0" w:line="41" w:lineRule="exact"/>
        <w:rPr>
          <w:rFonts w:ascii="Arial" w:cs="Arial" w:eastAsia="Arial" w:hAnsi="Arial"/>
          <w:sz w:val="19"/>
          <w:szCs w:val="19"/>
          <w:color w:val="auto"/>
        </w:rPr>
      </w:pPr>
    </w:p>
    <w:p>
      <w:pPr>
        <w:jc w:val="both"/>
        <w:ind w:left="660" w:hanging="4"/>
        <w:spacing w:after="0" w:line="246" w:lineRule="auto"/>
        <w:tabs>
          <w:tab w:leader="none" w:pos="1259" w:val="left"/>
        </w:tabs>
        <w:numPr>
          <w:ilvl w:val="1"/>
          <w:numId w:val="220"/>
        </w:numPr>
        <w:rPr>
          <w:rFonts w:ascii="Arial" w:cs="Arial" w:eastAsia="Arial" w:hAnsi="Arial"/>
          <w:sz w:val="22"/>
          <w:szCs w:val="22"/>
          <w:color w:val="auto"/>
        </w:rPr>
      </w:pPr>
      <w:r>
        <w:rPr>
          <w:rFonts w:ascii="Arial" w:cs="Arial" w:eastAsia="Arial" w:hAnsi="Arial"/>
          <w:sz w:val="22"/>
          <w:szCs w:val="22"/>
          <w:color w:val="auto"/>
        </w:rPr>
        <w:t>The Trustee shall authenticate and deliver the Series AE Mortgage Bonds and Series AF Mortgage Bonds for original issue on March 11, 2021 (the “Issue Date”) in the aggregate principal amount of $400,000,000 and $700,000,000, respectively, upon a Company Order for the authentication and delivery thereof and satisfaction of Section 401 of the Indenture; provided, however, that, as contemplated in the second paragraph of Section 301 of the Indenture and the definition of “Tranche” in Section 101 of the Indenture, additional Securities of a series or Tranche may be subsequently issued from time to time, without any consent of Holders of the Securities of such series, pursuant to Section 1401(4) of the Indenture.</w:t>
      </w:r>
    </w:p>
    <w:p>
      <w:pPr>
        <w:spacing w:after="0" w:line="88" w:lineRule="exact"/>
        <w:rPr>
          <w:rFonts w:ascii="Arial" w:cs="Arial" w:eastAsia="Arial" w:hAnsi="Arial"/>
          <w:sz w:val="22"/>
          <w:szCs w:val="22"/>
          <w:color w:val="auto"/>
        </w:rPr>
      </w:pPr>
    </w:p>
    <w:p>
      <w:pPr>
        <w:ind w:left="660" w:hanging="4"/>
        <w:spacing w:after="0" w:line="263" w:lineRule="auto"/>
        <w:tabs>
          <w:tab w:leader="none" w:pos="1175" w:val="left"/>
        </w:tabs>
        <w:numPr>
          <w:ilvl w:val="1"/>
          <w:numId w:val="220"/>
        </w:numPr>
        <w:rPr>
          <w:rFonts w:ascii="Arial" w:cs="Arial" w:eastAsia="Arial" w:hAnsi="Arial"/>
          <w:sz w:val="22"/>
          <w:szCs w:val="22"/>
          <w:color w:val="auto"/>
        </w:rPr>
      </w:pPr>
      <w:r>
        <w:rPr>
          <w:rFonts w:ascii="Arial" w:cs="Arial" w:eastAsia="Arial" w:hAnsi="Arial"/>
          <w:sz w:val="22"/>
          <w:szCs w:val="22"/>
          <w:color w:val="auto"/>
        </w:rPr>
        <w:t>Interest on the Bonds shall be payable to the Persons in whose names such Securities are registered at the close of business on the Regular Record Date for such</w:t>
      </w:r>
    </w:p>
    <w:p>
      <w:pPr>
        <w:sectPr>
          <w:pgSz w:w="11900" w:h="16838" w:orient="portrait"/>
          <w:cols w:equalWidth="0" w:num="1">
            <w:col w:w="11240"/>
          </w:cols>
          <w:pgMar w:left="320" w:top="126" w:right="339" w:bottom="1440" w:gutter="0" w:footer="0" w:header="0"/>
        </w:sectPr>
      </w:pPr>
    </w:p>
    <w:bookmarkStart w:id="244" w:name="page245"/>
    <w:bookmarkEnd w:id="244"/>
    <w:p>
      <w:pPr>
        <w:ind w:left="4"/>
        <w:spacing w:after="0" w:line="263" w:lineRule="auto"/>
        <w:rPr>
          <w:sz w:val="20"/>
          <w:szCs w:val="20"/>
          <w:color w:val="auto"/>
        </w:rPr>
      </w:pPr>
      <w:r>
        <w:rPr>
          <w:rFonts w:ascii="Arial" w:cs="Arial" w:eastAsia="Arial" w:hAnsi="Arial"/>
          <w:sz w:val="22"/>
          <w:szCs w:val="22"/>
          <w:color w:val="auto"/>
        </w:rPr>
        <w:t xml:space="preserve">interest (as specified in (5) below), except as otherwise expressly provided in the form of such Securities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67" w:lineRule="exact"/>
        <w:rPr>
          <w:sz w:val="20"/>
          <w:szCs w:val="20"/>
          <w:color w:val="auto"/>
        </w:rPr>
      </w:pPr>
    </w:p>
    <w:p>
      <w:pPr>
        <w:jc w:val="both"/>
        <w:ind w:left="4" w:hanging="4"/>
        <w:spacing w:after="0" w:line="312" w:lineRule="auto"/>
        <w:tabs>
          <w:tab w:leader="none" w:pos="544"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Series AE Mortgage Bonds shall mature and the principal thereof shall be due and payable together with all accrued and unpaid interest thereon on April 1, 2031. The Series AF Mortgage Bonds shall mature and the principal thereof shall be due and payable together with all accrued and unpaid interest thereon on April 1, 2051.</w:t>
      </w:r>
    </w:p>
    <w:p>
      <w:pPr>
        <w:spacing w:after="0" w:line="25" w:lineRule="exact"/>
        <w:rPr>
          <w:rFonts w:ascii="Arial" w:cs="Arial" w:eastAsia="Arial" w:hAnsi="Arial"/>
          <w:sz w:val="19"/>
          <w:szCs w:val="19"/>
          <w:color w:val="auto"/>
        </w:rPr>
      </w:pPr>
    </w:p>
    <w:p>
      <w:pPr>
        <w:jc w:val="both"/>
        <w:ind w:left="4" w:hanging="4"/>
        <w:spacing w:after="0" w:line="292" w:lineRule="auto"/>
        <w:tabs>
          <w:tab w:leader="none" w:pos="502"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Series AE Mortgage Bonds shall bear interest at the rate of 2.35% per annum. The Series AF Mortgage Bonds shall bear interest at the rate of 3.35% per annum. Interest shall accrue on the Bonds from the Issue Date, or the most recent date to which interest has been paid or duly provided for. The Interest Payment Dates for the Bonds shall be April 1 and October 1 in each year commencing October 1, 2021, and the Regular Record Dates with respect to the Interest Payment Dates for the Bonds shall be the March 15 and September 15, respectively, immediately preceding each Interest Payment Date (whether or not a Business Day); provided however that interest payable at maturity, upon redemption or when principal is otherwise due will be payable to the Holder to whom principal is payable.</w:t>
      </w:r>
    </w:p>
    <w:p>
      <w:pPr>
        <w:spacing w:after="0" w:line="42" w:lineRule="exact"/>
        <w:rPr>
          <w:rFonts w:ascii="Arial" w:cs="Arial" w:eastAsia="Arial" w:hAnsi="Arial"/>
          <w:sz w:val="19"/>
          <w:szCs w:val="19"/>
          <w:color w:val="auto"/>
        </w:rPr>
      </w:pPr>
    </w:p>
    <w:p>
      <w:pPr>
        <w:jc w:val="both"/>
        <w:ind w:left="4" w:hanging="4"/>
        <w:spacing w:after="0" w:line="289" w:lineRule="auto"/>
        <w:tabs>
          <w:tab w:leader="none" w:pos="51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Corporate Trust Office of The Bank of New York Mellon Trust Company, National Association in New York, New York shall be the place at which (i) the principal of and premium, if any, and interest on the Bonds shall be payable, (ii) registration of transfer of the Bonds may be effected, (iii) exchanges of the Bonds may be effected, and (iv) notices and demands to or upon the Company in respect of the Bonds and the Indenture may be served; and The Bank of New York Mellon Trust Company, National Association shall be the Security Registrar and Paying Agent for the Bonds; provided, however, that the Company reserves the right to change, by one or more Officer’s Certificates, any such place or the Security Registrar; and provided, further, that the Company reserves the right to designate, by one or more Officer’s Certificates, its principal office in Houston, Texas as any such place or itself as the Security Registrar; provided, however, that there shall be only a single Security Registrar for each series of Bonds.</w:t>
      </w:r>
    </w:p>
    <w:p>
      <w:pPr>
        <w:spacing w:after="0" w:line="48" w:lineRule="exact"/>
        <w:rPr>
          <w:rFonts w:ascii="Arial" w:cs="Arial" w:eastAsia="Arial" w:hAnsi="Arial"/>
          <w:sz w:val="19"/>
          <w:szCs w:val="19"/>
          <w:color w:val="auto"/>
        </w:rPr>
      </w:pPr>
    </w:p>
    <w:p>
      <w:pPr>
        <w:jc w:val="both"/>
        <w:ind w:left="4" w:hanging="4"/>
        <w:spacing w:after="0" w:line="288" w:lineRule="auto"/>
        <w:tabs>
          <w:tab w:leader="none" w:pos="53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Each series of the Bonds shall be redeemable, at the option of the Company, at any time or from time to time, in whole or in part, on any date prior to January 1, 2031, in the case of the Series AE Mortgage Bonds, or October 1, 2050, in the case of the Series AF Mortgage Bonds, at a redemption price equal to the greater of (i) 100% of the principal amount of the Bonds of such series then outstanding to be redeemed or (ii) the sum of the present values of the remaining scheduled payments of principal and interest on the Bonds of such series to be redeemed that would be due if such Bonds matured on January 1, 2031, in the case of the Series AE Mortgage Bonds, or October 1, 2050, in the case of the Series AF Mortgage Bonds, but for the redemption (not including any portion of such payments of interest accrued to the Redemption Date) discounted to the date of redemption (the “Redemption Date”) on a semiannual basis (assuming a 360-day year consisting of twelve 30-day months) at the applicable Treasury Rate plus 15 basis points, in the case of the Series AE Mortgage Bonds, or 20 basis points, in the case of the Series AF Mortgage Bonds; plus, in each case, accrued and unpaid interest on the principal</w:t>
      </w:r>
    </w:p>
    <w:p>
      <w:pPr>
        <w:sectPr>
          <w:pgSz w:w="11900" w:h="16838" w:orient="portrait"/>
          <w:cols w:equalWidth="0" w:num="1">
            <w:col w:w="10584"/>
          </w:cols>
          <w:pgMar w:left="976" w:top="1428" w:right="339" w:bottom="1440" w:gutter="0" w:footer="0" w:header="0"/>
        </w:sectPr>
      </w:pPr>
    </w:p>
    <w:bookmarkStart w:id="245" w:name="page246"/>
    <w:bookmarkEnd w:id="245"/>
    <w:p>
      <w:pPr>
        <w:jc w:val="both"/>
        <w:ind w:left="660"/>
        <w:spacing w:after="0" w:line="263" w:lineRule="auto"/>
        <w:rPr>
          <w:sz w:val="20"/>
          <w:szCs w:val="20"/>
          <w:color w:val="auto"/>
        </w:rPr>
      </w:pPr>
      <w:r>
        <w:rPr>
          <w:rFonts w:ascii="Arial" w:cs="Arial" w:eastAsia="Arial" w:hAnsi="Arial"/>
          <w:sz w:val="21"/>
          <w:szCs w:val="21"/>
          <w:color w:val="auto"/>
        </w:rPr>
        <w:t>amount being redeemed to, but excluding, the Redemption Date. On or after January 1, 2031, in the case of the Series AE Mortgage Bonds, or October 1, 2050, in the case of the Series AF Mortgage Bonds, the Company may redeem the Series AE Mortgage Bonds or the Series AF Mortgage Bonds, as applicable, at any time or from time to time, in whole or in part, by paying 100% of the principal amount of Bonds to be redeemed plus accrued and unpaid interest on the principal amount being redeemed to, but excluding, the Redemption Date.</w:t>
      </w:r>
    </w:p>
    <w:p>
      <w:pPr>
        <w:spacing w:after="0" w:line="6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“Treasury Rate”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(“H.15”) under the caption “Treasury Constant Maturities - Nominal”, the Independent Investment Banker shall select two yields – one for the maturity immediately before and one for the maturity immediately after the remaining maturity of the Bonds (assuming the Bonds matured on January 1, 2031, in the case of the Series AE Mortgage Bonds or October 1, 2050, in the case of the Series AF Mortgage Bonds) – and shall interpolate on a straight-line basis using such yields; if there is no such maturity either before or after, the Independent Investment Banker shall select the maturity closest to January 1, 2031, in the case of the Series AE Mortgage Bonds or October 1, 2050, in the case of the Series AF Mortgage Bonds, that appears on the release; or if such release (or any successor release) is not published during the week preceding the calculation date or does not contain such yields, the rate per annum equal to the semiannual equivalent yield to maturity of the Comparable Treasury Issue, calculated by the Independent Investment Banker using a price for the Comparable Treasury Issue (expressed as a percentage of its principal amount) equal to the Comparable Treasury Price for such Redemption Date. The Treasury Rate will be calculated by the Independent Investment Banker on the third Business Day preceding the Redemption Date.</w:t>
      </w:r>
    </w:p>
    <w:p>
      <w:pPr>
        <w:spacing w:after="0" w:line="189"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“Comparable Treasury Issue” means the U.S. Treasury security selected by an Independent Investment Banker as having an actual or interpolated maturity comparable to the remaining term (“remaining life”) of the Bonds to be redeemed (assuming for this purpose that the Series AE Mortgage Bonds matured on January 1, 2031 or the Series AF Mortgage Bonds matured on October 1, 2050, as applicable) that would be utilized, at the time of selection and in accordance with customary financial practice, in pricing new issues of corporate debt securities of comparable maturity to the remaining term of such Bonds.</w:t>
      </w:r>
    </w:p>
    <w:p>
      <w:pPr>
        <w:spacing w:after="0" w:line="174"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“Comparable Treasury Price”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“Independent Investment Banker” means one of the Reference Treasury Dealers appointed by the Company.</w:t>
      </w:r>
    </w:p>
    <w:p>
      <w:pPr>
        <w:sectPr>
          <w:pgSz w:w="11900" w:h="16838" w:orient="portrait"/>
          <w:cols w:equalWidth="0" w:num="1">
            <w:col w:w="11240"/>
          </w:cols>
          <w:pgMar w:left="320" w:top="1428" w:right="339" w:bottom="1440" w:gutter="0" w:footer="0" w:header="0"/>
        </w:sectPr>
      </w:pPr>
    </w:p>
    <w:bookmarkStart w:id="246" w:name="page247"/>
    <w:bookmarkEnd w:id="246"/>
    <w:p>
      <w:pPr>
        <w:jc w:val="both"/>
        <w:ind w:firstLine="1296"/>
        <w:spacing w:after="0" w:line="246" w:lineRule="auto"/>
        <w:rPr>
          <w:sz w:val="20"/>
          <w:szCs w:val="20"/>
          <w:color w:val="auto"/>
        </w:rPr>
      </w:pPr>
      <w:r>
        <w:rPr>
          <w:rFonts w:ascii="Arial" w:cs="Arial" w:eastAsia="Arial" w:hAnsi="Arial"/>
          <w:sz w:val="22"/>
          <w:szCs w:val="22"/>
          <w:color w:val="auto"/>
        </w:rPr>
        <w:t>“Reference Treasury Dealer” means each of (1) BNP Paribas Securities Corp., Citigroup Global Markets Inc., Credit Suisse Securities (USA) LLC, TD Securities (USA) LLC and Wells Fargo Securities, LLC and each of their respective affiliates or successors, provided, however, that if any of the foregoing shall cease to be a primary U.S. government securities dealer in the United States of America (a “Primary Treasury Dealer”), the Company will substitute therefor another Primary Treasury Dealer and (2) any other Primary Treasury Dealer selected by the Company after consultation with the Independent Investment Banker.</w:t>
      </w:r>
    </w:p>
    <w:p>
      <w:pPr>
        <w:spacing w:after="0" w:line="1"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9"/>
          <w:szCs w:val="19"/>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1"/>
          <w:szCs w:val="21"/>
          <w:color w:val="auto"/>
        </w:rPr>
        <w:t>The Trustee, at the written direction of the Company, will send a notice of redemption to each holder of Bonds to be redeemed by first-class mail (or in accordance with the procedures of The Depository Trust Company with respect to Bonds registered in the name of Cede &amp; Co.) at least 15 and not more than 60 days prior to the date fixed for redemption. Unless the Company defaults on payment of the redemption price, interest will cease to accrue on the Bonds or portions thereof called for redemption on the Redemption Date. If fewer than all of the Bonds of a series are to be redeemed, not more than 60 days prior to the Redemption Date, the particular Bonds of that series or portions thereof called for redemption will be selected from the outstanding Bonds of that series not previously called by such method as the Trustee deems fair and appropriate. The Trustee may select for redemption Bonds and portions of Bonds in amounts of $2,000 or whole multiples of $1,000. In the case of a partial redemption of Bonds registered in the name of Cede &amp; Co., the Bonds to be redeemed will be determined in accordance with the procedures of The Depository Trust Company.</w:t>
      </w:r>
    </w:p>
    <w:p>
      <w:pPr>
        <w:spacing w:after="0" w:line="214" w:lineRule="exact"/>
        <w:rPr>
          <w:sz w:val="20"/>
          <w:szCs w:val="20"/>
          <w:color w:val="auto"/>
        </w:rPr>
      </w:pPr>
    </w:p>
    <w:p>
      <w:pPr>
        <w:ind w:left="480" w:hanging="472"/>
        <w:spacing w:after="0"/>
        <w:tabs>
          <w:tab w:leader="none" w:pos="4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46" w:lineRule="exact"/>
        <w:rPr>
          <w:rFonts w:ascii="Arial" w:cs="Arial" w:eastAsia="Arial" w:hAnsi="Arial"/>
          <w:sz w:val="22"/>
          <w:szCs w:val="22"/>
          <w:color w:val="auto"/>
        </w:rPr>
      </w:pPr>
    </w:p>
    <w:p>
      <w:pPr>
        <w:ind w:left="480" w:hanging="472"/>
        <w:spacing w:after="0"/>
        <w:tabs>
          <w:tab w:leader="none" w:pos="48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Bonds will be issued in minimum denominations of $2,000 and integral multiples of $1,000 in excess thereof.</w:t>
      </w:r>
    </w:p>
    <w:p>
      <w:pPr>
        <w:spacing w:after="0" w:line="258" w:lineRule="exact"/>
        <w:rPr>
          <w:rFonts w:ascii="Arial" w:cs="Arial" w:eastAsia="Arial" w:hAnsi="Arial"/>
          <w:sz w:val="21"/>
          <w:szCs w:val="21"/>
          <w:color w:val="auto"/>
        </w:rPr>
      </w:pPr>
    </w:p>
    <w:p>
      <w:pPr>
        <w:ind w:left="580" w:hanging="572"/>
        <w:spacing w:after="0"/>
        <w:tabs>
          <w:tab w:leader="none" w:pos="5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46" w:lineRule="exact"/>
        <w:rPr>
          <w:rFonts w:ascii="Arial" w:cs="Arial" w:eastAsia="Arial" w:hAnsi="Arial"/>
          <w:sz w:val="22"/>
          <w:szCs w:val="22"/>
          <w:color w:val="auto"/>
        </w:rPr>
      </w:pPr>
    </w:p>
    <w:p>
      <w:pPr>
        <w:ind w:left="580" w:hanging="572"/>
        <w:spacing w:after="0"/>
        <w:tabs>
          <w:tab w:leader="none" w:pos="5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46" w:lineRule="exact"/>
        <w:rPr>
          <w:rFonts w:ascii="Arial" w:cs="Arial" w:eastAsia="Arial" w:hAnsi="Arial"/>
          <w:sz w:val="22"/>
          <w:szCs w:val="22"/>
          <w:color w:val="auto"/>
        </w:rPr>
      </w:pPr>
    </w:p>
    <w:p>
      <w:pPr>
        <w:ind w:left="580" w:hanging="572"/>
        <w:spacing w:after="0"/>
        <w:tabs>
          <w:tab w:leader="none" w:pos="5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46" w:lineRule="exact"/>
        <w:rPr>
          <w:rFonts w:ascii="Arial" w:cs="Arial" w:eastAsia="Arial" w:hAnsi="Arial"/>
          <w:sz w:val="22"/>
          <w:szCs w:val="22"/>
          <w:color w:val="auto"/>
        </w:rPr>
      </w:pPr>
    </w:p>
    <w:p>
      <w:pPr>
        <w:ind w:left="580" w:hanging="572"/>
        <w:spacing w:after="0"/>
        <w:tabs>
          <w:tab w:leader="none" w:pos="5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See subsection (7) above.</w:t>
      </w:r>
    </w:p>
    <w:p>
      <w:pPr>
        <w:spacing w:after="0" w:line="246" w:lineRule="exact"/>
        <w:rPr>
          <w:rFonts w:ascii="Arial" w:cs="Arial" w:eastAsia="Arial" w:hAnsi="Arial"/>
          <w:sz w:val="22"/>
          <w:szCs w:val="22"/>
          <w:color w:val="auto"/>
        </w:rPr>
      </w:pPr>
    </w:p>
    <w:p>
      <w:pPr>
        <w:ind w:left="580" w:hanging="572"/>
        <w:spacing w:after="0"/>
        <w:tabs>
          <w:tab w:leader="none" w:pos="5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46" w:lineRule="exact"/>
        <w:rPr>
          <w:rFonts w:ascii="Arial" w:cs="Arial" w:eastAsia="Arial" w:hAnsi="Arial"/>
          <w:sz w:val="22"/>
          <w:szCs w:val="22"/>
          <w:color w:val="auto"/>
        </w:rPr>
      </w:pPr>
    </w:p>
    <w:p>
      <w:pPr>
        <w:ind w:left="580" w:hanging="572"/>
        <w:spacing w:after="0"/>
        <w:tabs>
          <w:tab w:leader="none" w:pos="5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46" w:lineRule="exact"/>
        <w:rPr>
          <w:rFonts w:ascii="Arial" w:cs="Arial" w:eastAsia="Arial" w:hAnsi="Arial"/>
          <w:sz w:val="22"/>
          <w:szCs w:val="22"/>
          <w:color w:val="auto"/>
        </w:rPr>
      </w:pPr>
    </w:p>
    <w:p>
      <w:pPr>
        <w:ind w:left="580" w:hanging="572"/>
        <w:spacing w:after="0"/>
        <w:tabs>
          <w:tab w:leader="none" w:pos="5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428" w:right="339" w:bottom="1440" w:gutter="0" w:footer="0" w:header="0"/>
        </w:sectPr>
      </w:pPr>
    </w:p>
    <w:bookmarkStart w:id="247" w:name="page248"/>
    <w:bookmarkEnd w:id="247"/>
    <w:p>
      <w:pPr>
        <w:jc w:val="both"/>
        <w:ind w:left="-8" w:firstLine="8"/>
        <w:spacing w:after="0" w:line="247" w:lineRule="auto"/>
        <w:tabs>
          <w:tab w:leader="none" w:pos="65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Bonds shall be issuable in whole or in part in the form of one or more Global Securities (as defined below). The Depository Trust Company shall initially serve as Depositary (as defined below) with respect to the Global Securities. “Depositary” means, with respect to Securities of any series issuable in whole or in part in the form of one or more Global Securities, a clearing agency registered under the Exchange Act that is designated to act as depositary for such Securities. “Global Security” means a Security that evidences all or part of the Securities of a series and bears a legend in substantially the following form:</w:t>
      </w:r>
    </w:p>
    <w:p>
      <w:pPr>
        <w:spacing w:after="0" w:line="220" w:lineRule="exact"/>
        <w:rPr>
          <w:sz w:val="20"/>
          <w:szCs w:val="20"/>
          <w:color w:val="auto"/>
        </w:rPr>
      </w:pPr>
    </w:p>
    <w:p>
      <w:pPr>
        <w:jc w:val="both"/>
        <w:ind w:left="652"/>
        <w:spacing w:after="0" w:line="261" w:lineRule="auto"/>
        <w:rPr>
          <w:sz w:val="20"/>
          <w:szCs w:val="20"/>
          <w:color w:val="auto"/>
        </w:rPr>
      </w:pPr>
      <w:r>
        <w:rPr>
          <w:rFonts w:ascii="Arial" w:cs="Arial" w:eastAsia="Arial" w:hAnsi="Arial"/>
          <w:sz w:val="21"/>
          <w:szCs w:val="21"/>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20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The provisions of Clauses (1), (2), (3) and (4) below shall apply only to Global Securities:</w:t>
      </w:r>
    </w:p>
    <w:p>
      <w:pPr>
        <w:spacing w:after="0" w:line="247" w:lineRule="exact"/>
        <w:rPr>
          <w:sz w:val="20"/>
          <w:szCs w:val="20"/>
          <w:color w:val="auto"/>
        </w:rPr>
      </w:pPr>
    </w:p>
    <w:p>
      <w:pPr>
        <w:jc w:val="both"/>
        <w:ind w:left="-8" w:firstLine="656"/>
        <w:spacing w:after="0" w:line="271" w:lineRule="auto"/>
        <w:tabs>
          <w:tab w:leader="none" w:pos="961" w:val="left"/>
        </w:tabs>
        <w:numPr>
          <w:ilvl w:val="0"/>
          <w:numId w:val="224"/>
        </w:numPr>
        <w:rPr>
          <w:rFonts w:ascii="Arial" w:cs="Arial" w:eastAsia="Arial" w:hAnsi="Arial"/>
          <w:sz w:val="21"/>
          <w:szCs w:val="21"/>
          <w:color w:val="auto"/>
        </w:rPr>
      </w:pPr>
      <w:r>
        <w:rPr>
          <w:rFonts w:ascii="Arial" w:cs="Arial" w:eastAsia="Arial" w:hAnsi="Arial"/>
          <w:sz w:val="21"/>
          <w:szCs w:val="21"/>
          <w:color w:val="auto"/>
        </w:rPr>
        <w:t>Each Global Security authenticated under the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the Indenture.</w:t>
      </w:r>
    </w:p>
    <w:p>
      <w:pPr>
        <w:spacing w:after="0" w:line="194" w:lineRule="exact"/>
        <w:rPr>
          <w:rFonts w:ascii="Arial" w:cs="Arial" w:eastAsia="Arial" w:hAnsi="Arial"/>
          <w:sz w:val="21"/>
          <w:szCs w:val="21"/>
          <w:color w:val="auto"/>
        </w:rPr>
      </w:pPr>
    </w:p>
    <w:p>
      <w:pPr>
        <w:jc w:val="both"/>
        <w:ind w:left="-8" w:firstLine="656"/>
        <w:spacing w:after="0" w:line="290" w:lineRule="auto"/>
        <w:tabs>
          <w:tab w:leader="none" w:pos="963" w:val="left"/>
        </w:tabs>
        <w:numPr>
          <w:ilvl w:val="0"/>
          <w:numId w:val="224"/>
        </w:numPr>
        <w:rPr>
          <w:rFonts w:ascii="Arial" w:cs="Arial" w:eastAsia="Arial" w:hAnsi="Arial"/>
          <w:sz w:val="19"/>
          <w:szCs w:val="19"/>
          <w:color w:val="auto"/>
        </w:rPr>
      </w:pPr>
      <w:r>
        <w:rPr>
          <w:rFonts w:ascii="Arial" w:cs="Arial" w:eastAsia="Arial" w:hAnsi="Arial"/>
          <w:sz w:val="19"/>
          <w:szCs w:val="19"/>
          <w:color w:val="auto"/>
        </w:rPr>
        <w:t>Notwithstanding any other provision in the Indenture, no Global Security may be exchanged in whole or in part for Securities registered, and no transfer of a Global Security in whole or in part may be registered, in the name of any Person other than the Depositary for such Global Security or a nominee thereof unless (A) the Company has notified the Trustee that the Depositary is unwilling or unable to continue as Depositary for such Global Security, the Depositary defaults in the performance of its duties as Depositary, or the Depositary has ceased to be a clearing agency registered under the Exchange Act, in each case, unless the Company has approved a successor Depositary within 90 days, (B) the Company in its sole discretion determines that such Global Security will be so exchangeable or transferable or (C) there shall exist such circumstances, if any, in addition to or in lieu of the foregoing as have been specified for this purpose as contemplated by the Indenture.</w:t>
      </w:r>
    </w:p>
    <w:p>
      <w:pPr>
        <w:spacing w:after="0" w:line="182" w:lineRule="exact"/>
        <w:rPr>
          <w:rFonts w:ascii="Arial" w:cs="Arial" w:eastAsia="Arial" w:hAnsi="Arial"/>
          <w:sz w:val="19"/>
          <w:szCs w:val="19"/>
          <w:color w:val="auto"/>
        </w:rPr>
      </w:pPr>
    </w:p>
    <w:p>
      <w:pPr>
        <w:jc w:val="both"/>
        <w:ind w:left="-8" w:firstLine="656"/>
        <w:spacing w:after="0" w:line="253" w:lineRule="auto"/>
        <w:tabs>
          <w:tab w:leader="none" w:pos="954" w:val="left"/>
        </w:tabs>
        <w:numPr>
          <w:ilvl w:val="0"/>
          <w:numId w:val="224"/>
        </w:numPr>
        <w:rPr>
          <w:rFonts w:ascii="Arial" w:cs="Arial" w:eastAsia="Arial" w:hAnsi="Arial"/>
          <w:sz w:val="22"/>
          <w:szCs w:val="22"/>
          <w:color w:val="auto"/>
        </w:rPr>
      </w:pPr>
      <w:r>
        <w:rPr>
          <w:rFonts w:ascii="Arial" w:cs="Arial" w:eastAsia="Arial" w:hAnsi="Arial"/>
          <w:sz w:val="22"/>
          <w:szCs w:val="22"/>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212" w:lineRule="exact"/>
        <w:rPr>
          <w:rFonts w:ascii="Arial" w:cs="Arial" w:eastAsia="Arial" w:hAnsi="Arial"/>
          <w:sz w:val="22"/>
          <w:szCs w:val="22"/>
          <w:color w:val="auto"/>
        </w:rPr>
      </w:pPr>
    </w:p>
    <w:p>
      <w:pPr>
        <w:jc w:val="both"/>
        <w:ind w:left="-8" w:firstLine="656"/>
        <w:spacing w:after="0" w:line="253" w:lineRule="auto"/>
        <w:tabs>
          <w:tab w:leader="none" w:pos="958"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Every Security authenticated and delivered upon registration of transfer of, or in exchange for or in lieu of, a Global Security or any portion thereof, whether pursuant to Sections 304, 305, 306, 507 or 1406 of the Indenture or otherwise, shall be authenticated and delivered in</w:t>
      </w:r>
    </w:p>
    <w:p>
      <w:pPr>
        <w:sectPr>
          <w:pgSz w:w="11900" w:h="16838" w:orient="portrait"/>
          <w:cols w:equalWidth="0" w:num="1">
            <w:col w:w="11232"/>
          </w:cols>
          <w:pgMar w:left="328" w:top="1428" w:right="339" w:bottom="1440" w:gutter="0" w:footer="0" w:header="0"/>
        </w:sectPr>
      </w:pPr>
    </w:p>
    <w:bookmarkStart w:id="248" w:name="page249"/>
    <w:bookmarkEnd w:id="248"/>
    <w:p>
      <w:pPr>
        <w:spacing w:after="0" w:line="263" w:lineRule="auto"/>
        <w:rPr>
          <w:sz w:val="20"/>
          <w:szCs w:val="20"/>
          <w:color w:val="auto"/>
        </w:rPr>
      </w:pPr>
      <w:r>
        <w:rPr>
          <w:rFonts w:ascii="Arial" w:cs="Arial" w:eastAsia="Arial" w:hAnsi="Arial"/>
          <w:sz w:val="22"/>
          <w:szCs w:val="22"/>
          <w:color w:val="auto"/>
        </w:rPr>
        <w:t>the form of, and shall be, a Global Security, unless such Security is registered in the name of a Person other than the Depositary for such Global Security or a nominee thereof.</w:t>
      </w:r>
    </w:p>
    <w:p>
      <w:pPr>
        <w:spacing w:after="0" w:line="202" w:lineRule="exact"/>
        <w:rPr>
          <w:sz w:val="20"/>
          <w:szCs w:val="20"/>
          <w:color w:val="auto"/>
        </w:rPr>
      </w:pPr>
    </w:p>
    <w:p>
      <w:pPr>
        <w:ind w:left="580" w:hanging="572"/>
        <w:spacing w:after="0"/>
        <w:tabs>
          <w:tab w:leader="none" w:pos="5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46" w:lineRule="exact"/>
        <w:rPr>
          <w:rFonts w:ascii="Arial" w:cs="Arial" w:eastAsia="Arial" w:hAnsi="Arial"/>
          <w:sz w:val="22"/>
          <w:szCs w:val="22"/>
          <w:color w:val="auto"/>
        </w:rPr>
      </w:pPr>
    </w:p>
    <w:p>
      <w:pPr>
        <w:ind w:left="580" w:hanging="572"/>
        <w:spacing w:after="0"/>
        <w:tabs>
          <w:tab w:leader="none" w:pos="5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46" w:lineRule="exact"/>
        <w:rPr>
          <w:rFonts w:ascii="Arial" w:cs="Arial" w:eastAsia="Arial" w:hAnsi="Arial"/>
          <w:sz w:val="22"/>
          <w:szCs w:val="22"/>
          <w:color w:val="auto"/>
        </w:rPr>
      </w:pPr>
    </w:p>
    <w:p>
      <w:pPr>
        <w:jc w:val="both"/>
        <w:ind w:firstLine="8"/>
        <w:spacing w:after="0" w:line="253" w:lineRule="auto"/>
        <w:tabs>
          <w:tab w:leader="none" w:pos="66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For purposes of the Bonds, “Business Day” shall mean any day, other than Saturday or Sunday, on which commercial banks and foreign exchange markets are open for business, including dealings in deposits in U.S. dollars, in New York, New York.</w:t>
      </w:r>
    </w:p>
    <w:p>
      <w:pPr>
        <w:spacing w:after="0" w:line="212" w:lineRule="exact"/>
        <w:rPr>
          <w:rFonts w:ascii="Arial" w:cs="Arial" w:eastAsia="Arial" w:hAnsi="Arial"/>
          <w:sz w:val="22"/>
          <w:szCs w:val="22"/>
          <w:color w:val="auto"/>
        </w:rPr>
      </w:pPr>
    </w:p>
    <w:p>
      <w:pPr>
        <w:ind w:left="580" w:hanging="572"/>
        <w:spacing w:after="0"/>
        <w:tabs>
          <w:tab w:leader="none" w:pos="5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46" w:lineRule="exact"/>
        <w:rPr>
          <w:rFonts w:ascii="Arial" w:cs="Arial" w:eastAsia="Arial" w:hAnsi="Arial"/>
          <w:sz w:val="22"/>
          <w:szCs w:val="22"/>
          <w:color w:val="auto"/>
        </w:rPr>
      </w:pPr>
    </w:p>
    <w:p>
      <w:pPr>
        <w:ind w:firstLine="8"/>
        <w:spacing w:after="0" w:line="263" w:lineRule="auto"/>
        <w:tabs>
          <w:tab w:leader="none" w:pos="63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Bonds shall have such other terms and provisions as are provided in the forms thereof attached hereto as Exhibit A and shall be issued in substantially such forms.</w:t>
      </w:r>
    </w:p>
    <w:p>
      <w:pPr>
        <w:spacing w:after="0" w:line="202" w:lineRule="exact"/>
        <w:rPr>
          <w:sz w:val="20"/>
          <w:szCs w:val="20"/>
          <w:color w:val="auto"/>
        </w:rPr>
      </w:pPr>
    </w:p>
    <w:p>
      <w:pPr>
        <w:jc w:val="both"/>
        <w:ind w:firstLine="8"/>
        <w:spacing w:after="0" w:line="271" w:lineRule="auto"/>
        <w:tabs>
          <w:tab w:leader="none" w:pos="395" w:val="left"/>
        </w:tabs>
        <w:numPr>
          <w:ilvl w:val="0"/>
          <w:numId w:val="226"/>
        </w:numPr>
        <w:rPr>
          <w:rFonts w:ascii="Arial" w:cs="Arial" w:eastAsia="Arial" w:hAnsi="Arial"/>
          <w:sz w:val="21"/>
          <w:szCs w:val="21"/>
          <w:color w:val="auto"/>
        </w:rPr>
      </w:pPr>
      <w:r>
        <w:rPr>
          <w:rFonts w:ascii="Arial" w:cs="Arial" w:eastAsia="Arial" w:hAnsi="Arial"/>
          <w:sz w:val="21"/>
          <w:szCs w:val="21"/>
          <w:color w:val="auto"/>
        </w:rPr>
        <w:t>The undersigned has read all of the covenants and conditions contained in the Indenture, and the definitions in the Indenture relating thereto, relating to the authentication, delivery and issuance of the Bonds and the execution and delivery of the Thirtieth Supplemental Indenture and in respect of compliance with which this certificate is made.</w:t>
      </w:r>
    </w:p>
    <w:p>
      <w:pPr>
        <w:spacing w:after="0" w:line="194" w:lineRule="exact"/>
        <w:rPr>
          <w:rFonts w:ascii="Arial" w:cs="Arial" w:eastAsia="Arial" w:hAnsi="Arial"/>
          <w:sz w:val="21"/>
          <w:szCs w:val="21"/>
          <w:color w:val="auto"/>
        </w:rPr>
      </w:pPr>
    </w:p>
    <w:p>
      <w:pPr>
        <w:jc w:val="both"/>
        <w:ind w:firstLine="8"/>
        <w:spacing w:after="0" w:line="253" w:lineRule="auto"/>
        <w:tabs>
          <w:tab w:leader="none" w:pos="536"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statements contained in this certificate are based upon the familiarity of the undersigned with the Indenture, the documents accompanying this certificate, and upon discussions by the undersigned with officers and employees of the Company familiar with the matters set forth herein.</w:t>
      </w:r>
    </w:p>
    <w:p>
      <w:pPr>
        <w:spacing w:after="0" w:line="212" w:lineRule="exact"/>
        <w:rPr>
          <w:rFonts w:ascii="Arial" w:cs="Arial" w:eastAsia="Arial" w:hAnsi="Arial"/>
          <w:sz w:val="22"/>
          <w:szCs w:val="22"/>
          <w:color w:val="auto"/>
        </w:rPr>
      </w:pPr>
    </w:p>
    <w:p>
      <w:pPr>
        <w:ind w:firstLine="8"/>
        <w:spacing w:after="0" w:line="263" w:lineRule="auto"/>
        <w:tabs>
          <w:tab w:leader="none" w:pos="389" w:val="left"/>
        </w:tabs>
        <w:numPr>
          <w:ilvl w:val="0"/>
          <w:numId w:val="226"/>
        </w:numPr>
        <w:rPr>
          <w:rFonts w:ascii="Arial" w:cs="Arial" w:eastAsia="Arial" w:hAnsi="Arial"/>
          <w:sz w:val="22"/>
          <w:szCs w:val="22"/>
          <w:color w:val="auto"/>
        </w:rPr>
      </w:pPr>
      <w:r>
        <w:rPr>
          <w:rFonts w:ascii="Arial" w:cs="Arial" w:eastAsia="Arial" w:hAnsi="Arial"/>
          <w:sz w:val="22"/>
          <w:szCs w:val="22"/>
          <w:color w:val="auto"/>
        </w:rPr>
        <w:t>In the opinion of the undersigned, she has made such examination or investigation as is necessary to enable her to express an informed opinion as to whether or not such covenants and conditions have been complied with.</w:t>
      </w:r>
    </w:p>
    <w:p>
      <w:pPr>
        <w:spacing w:after="0" w:line="201" w:lineRule="exact"/>
        <w:rPr>
          <w:rFonts w:ascii="Arial" w:cs="Arial" w:eastAsia="Arial" w:hAnsi="Arial"/>
          <w:sz w:val="22"/>
          <w:szCs w:val="22"/>
          <w:color w:val="auto"/>
        </w:rPr>
      </w:pPr>
    </w:p>
    <w:p>
      <w:pPr>
        <w:ind w:left="380" w:hanging="372"/>
        <w:spacing w:after="0"/>
        <w:tabs>
          <w:tab w:leader="none" w:pos="38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In the opinion of the undersigned, such conditions and covenants have been complied with.</w:t>
      </w:r>
    </w:p>
    <w:p>
      <w:pPr>
        <w:spacing w:after="0" w:line="246" w:lineRule="exact"/>
        <w:rPr>
          <w:rFonts w:ascii="Arial" w:cs="Arial" w:eastAsia="Arial" w:hAnsi="Arial"/>
          <w:sz w:val="22"/>
          <w:szCs w:val="22"/>
          <w:color w:val="auto"/>
        </w:rPr>
      </w:pPr>
    </w:p>
    <w:p>
      <w:pPr>
        <w:ind w:left="380" w:hanging="372"/>
        <w:spacing w:after="0"/>
        <w:tabs>
          <w:tab w:leader="none" w:pos="38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To my knowledge, no Event of Default has occurred and is continuing.</w:t>
      </w:r>
    </w:p>
    <w:p>
      <w:pPr>
        <w:spacing w:after="0" w:line="246" w:lineRule="exact"/>
        <w:rPr>
          <w:rFonts w:ascii="Arial" w:cs="Arial" w:eastAsia="Arial" w:hAnsi="Arial"/>
          <w:sz w:val="22"/>
          <w:szCs w:val="22"/>
          <w:color w:val="auto"/>
        </w:rPr>
      </w:pPr>
    </w:p>
    <w:p>
      <w:pPr>
        <w:ind w:right="20" w:firstLine="8"/>
        <w:spacing w:after="0" w:line="263" w:lineRule="auto"/>
        <w:tabs>
          <w:tab w:leader="none" w:pos="398"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execution of the Thirtieth Supplemental Indenture, dated as of the date hereof, between the Company and the Trustee is authorized or permitted by the Indenture.</w:t>
      </w:r>
    </w:p>
    <w:p>
      <w:pPr>
        <w:spacing w:after="0" w:line="201" w:lineRule="exact"/>
        <w:rPr>
          <w:rFonts w:ascii="Arial" w:cs="Arial" w:eastAsia="Arial" w:hAnsi="Arial"/>
          <w:sz w:val="22"/>
          <w:szCs w:val="22"/>
          <w:color w:val="auto"/>
        </w:rPr>
      </w:pPr>
    </w:p>
    <w:p>
      <w:pPr>
        <w:jc w:val="both"/>
        <w:ind w:firstLine="8"/>
        <w:spacing w:after="0" w:line="250" w:lineRule="auto"/>
        <w:tabs>
          <w:tab w:leader="none" w:pos="398" w:val="left"/>
        </w:tabs>
        <w:numPr>
          <w:ilvl w:val="0"/>
          <w:numId w:val="226"/>
        </w:numPr>
        <w:rPr>
          <w:rFonts w:ascii="Arial" w:cs="Arial" w:eastAsia="Arial" w:hAnsi="Arial"/>
          <w:sz w:val="22"/>
          <w:szCs w:val="22"/>
          <w:color w:val="auto"/>
        </w:rPr>
      </w:pPr>
      <w:r>
        <w:rPr>
          <w:rFonts w:ascii="Arial" w:cs="Arial" w:eastAsia="Arial" w:hAnsi="Arial"/>
          <w:sz w:val="22"/>
          <w:szCs w:val="22"/>
          <w:color w:val="auto"/>
        </w:rPr>
        <w:t>With respect to Section 402(2)(B) of the Indenture, Property Additions of $6,201,112,858.18 are the basis for authentication and delivery of $400,000,000 aggregate principal amount of the Series AE Mortgage Bonds, and Property Additions of $6,201,112,858.18 are the basis for authentication and delivery of $700,000,000 aggregate principal amount of the Series AF Mortgage Bonds.</w:t>
      </w:r>
    </w:p>
    <w:p>
      <w:pPr>
        <w:spacing w:after="0" w:line="214" w:lineRule="exact"/>
        <w:rPr>
          <w:rFonts w:ascii="Arial" w:cs="Arial" w:eastAsia="Arial" w:hAnsi="Arial"/>
          <w:sz w:val="22"/>
          <w:szCs w:val="22"/>
          <w:color w:val="auto"/>
        </w:rPr>
      </w:pPr>
    </w:p>
    <w:p>
      <w:pPr>
        <w:ind w:left="380" w:hanging="372"/>
        <w:spacing w:after="0"/>
        <w:tabs>
          <w:tab w:leader="none" w:pos="38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First Mortgage Collateralization Date has not occurred.</w:t>
      </w:r>
    </w:p>
    <w:p>
      <w:pPr>
        <w:sectPr>
          <w:pgSz w:w="11900" w:h="16838" w:orient="portrait"/>
          <w:cols w:equalWidth="0" w:num="1">
            <w:col w:w="11240"/>
          </w:cols>
          <w:pgMar w:left="320" w:top="1428" w:right="339" w:bottom="1440" w:gutter="0" w:footer="0" w:header="0"/>
        </w:sectPr>
      </w:pPr>
    </w:p>
    <w:bookmarkStart w:id="249" w:name="page250"/>
    <w:bookmarkEnd w:id="249"/>
    <w:p>
      <w:pPr>
        <w:jc w:val="both"/>
        <w:ind w:firstLine="8"/>
        <w:spacing w:after="0" w:line="297" w:lineRule="auto"/>
        <w:tabs>
          <w:tab w:leader="none" w:pos="56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No certificate of an Independent Accountant pursuant to Section 104 of the Indenture is required in connection with the authentication and delivery of the Bonds because (i) the Net Earnings Certificate covers a period different from that required to be covered by annual reports required to be filed by the Company and (ii) an Independent Accountant has provided the Company with a letter addressed to the Company containing the results of procedures on financial information included in the Net Earnings Certificate that are agreed upon by the Authorized Officer signing the Net Earnings Certificate.</w:t>
      </w:r>
    </w:p>
    <w:p>
      <w:pPr>
        <w:spacing w:after="0" w:line="173" w:lineRule="exact"/>
        <w:rPr>
          <w:rFonts w:ascii="Arial" w:cs="Arial" w:eastAsia="Arial" w:hAnsi="Arial"/>
          <w:sz w:val="19"/>
          <w:szCs w:val="19"/>
          <w:color w:val="auto"/>
        </w:rPr>
      </w:pPr>
    </w:p>
    <w:p>
      <w:pPr>
        <w:jc w:val="both"/>
        <w:ind w:firstLine="8"/>
        <w:spacing w:after="0" w:line="249" w:lineRule="auto"/>
        <w:tabs>
          <w:tab w:leader="none" w:pos="557" w:val="left"/>
        </w:tabs>
        <w:numPr>
          <w:ilvl w:val="0"/>
          <w:numId w:val="227"/>
        </w:numPr>
        <w:rPr>
          <w:rFonts w:ascii="Arial" w:cs="Arial" w:eastAsia="Arial" w:hAnsi="Arial"/>
          <w:sz w:val="22"/>
          <w:szCs w:val="22"/>
          <w:color w:val="auto"/>
        </w:rPr>
      </w:pPr>
      <w:r>
        <w:rPr>
          <w:rFonts w:ascii="Arial" w:cs="Arial" w:eastAsia="Arial" w:hAnsi="Arial"/>
          <w:sz w:val="22"/>
          <w:szCs w:val="22"/>
          <w:color w:val="auto"/>
        </w:rPr>
        <w:t>Pursuant to the resolutions adopted by the Sole Manager of the Company by written consent on February 19, 2021, Stacey L. Peterson, Senior Vice President, Financial Planning &amp; Treasurer, has been named an Authorized Officer, as defined under the Indenture, including for purposes of executing the Net Earnings Certificate.</w:t>
      </w:r>
    </w:p>
    <w:p>
      <w:pPr>
        <w:ind w:left="1300"/>
        <w:spacing w:after="0"/>
        <w:rPr>
          <w:rFonts w:ascii="Arial" w:cs="Arial" w:eastAsia="Arial" w:hAnsi="Arial"/>
          <w:sz w:val="22"/>
          <w:szCs w:val="22"/>
          <w:color w:val="auto"/>
        </w:rPr>
      </w:pPr>
      <w:r>
        <w:rPr>
          <w:rFonts w:ascii="Arial" w:cs="Arial" w:eastAsia="Arial" w:hAnsi="Arial"/>
          <w:sz w:val="21"/>
          <w:szCs w:val="21"/>
          <w:color w:val="auto"/>
        </w:rPr>
        <w:t>IN WITNESS WHEREOF, the undersigned has executed this Officer’s Certificate as of the date first written</w:t>
      </w:r>
    </w:p>
    <w:p>
      <w:pPr>
        <w:spacing w:after="0" w:line="15"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 Stacey 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24130</wp:posOffset>
            </wp:positionV>
            <wp:extent cx="41573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51"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Stacey L. Peterson</w:t>
      </w:r>
    </w:p>
    <w:p>
      <w:pPr>
        <w:spacing w:after="0" w:line="5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Senior Vice President, Financial Planning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Received 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of the date first written above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MELLON TRUST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NATIONAL ASSOCIATION,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Linda Wirfel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1573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Linda Wirfel</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Vice President</w:t>
      </w:r>
    </w:p>
    <w:p>
      <w:pPr>
        <w:sectPr>
          <w:pgSz w:w="11900" w:h="16838" w:orient="portrait"/>
          <w:cols w:equalWidth="0" w:num="1">
            <w:col w:w="11240"/>
          </w:cols>
          <w:pgMar w:left="320" w:top="1428"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BONDS</w:t>
      </w:r>
    </w:p>
    <w:p>
      <w:pPr>
        <w:spacing w:after="0" w:line="200" w:lineRule="exact"/>
        <w:rPr>
          <w:sz w:val="20"/>
          <w:szCs w:val="20"/>
          <w:color w:val="auto"/>
        </w:rPr>
      </w:pPr>
    </w:p>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 General Mortgage Bonds, Series AE, due 2031</w:t>
      </w:r>
    </w:p>
    <w:p>
      <w:pPr>
        <w:sectPr>
          <w:pgSz w:w="11900" w:h="16838" w:orient="portrait"/>
          <w:cols w:equalWidth="0" w:num="1">
            <w:col w:w="11240"/>
          </w:cols>
          <w:pgMar w:left="320" w:top="126"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Original Interest Accrual Date: March 11,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Stated Maturity: April 1, 2031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2.35%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Payment Dates: April 1 and October 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Regular  Record  Dates:  March  15  and  September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preceding the respective Interest Payment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15  immediately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Redeemable: Yes [X] No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 At any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Redemption Price: on any date prior to January 1, 2031 at a price equal to the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greater of (i) 100% of the principal amount of this Security or the portion</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hereof to be redeemed or (ii) the sum of the present values of the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remaining scheduled payments of principal and interest on this Security or</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portion thereof to be redeemed that would be due if this Security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matured on January 1, 2031 but for the redemption (not including any</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portion of such payments of interest accrued to the Redemption Date)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discounted to the Redemption Date on a semiannual basis at the applicable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Treasury Rate plus 15 basis points; plus, in each case, accrued and unpaid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interest to the Redemption Date on the principal amount being redeemed;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or on or after January 1, 2031, at a price equal to 100% of the principal</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amount of this Security or the portion thereof to be redeemed plus accrued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and unpaid interest to the Redemption Date on the principal amount being</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redeemed.</w:t>
      </w:r>
    </w:p>
    <w:p>
      <w:pPr>
        <w:spacing w:after="0" w:line="200" w:lineRule="exact"/>
        <w:rPr>
          <w:sz w:val="20"/>
          <w:szCs w:val="20"/>
          <w:color w:val="auto"/>
        </w:rPr>
      </w:pPr>
    </w:p>
    <w:p>
      <w:pPr>
        <w:sectPr>
          <w:pgSz w:w="11900" w:h="16838" w:orient="portrait"/>
          <w:cols w:equalWidth="0" w:num="3">
            <w:col w:w="3960" w:space="120"/>
            <w:col w:w="1200" w:space="40"/>
            <w:col w:w="5920"/>
          </w:cols>
          <w:pgMar w:left="320" w:top="126" w:right="339" w:bottom="1440" w:gutter="0" w:footer="0" w:header="0"/>
          <w:type w:val="continuous"/>
        </w:sectPr>
      </w:pPr>
    </w:p>
    <w:p>
      <w:pPr>
        <w:spacing w:after="0" w:line="24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This Security is not an Original Issue Discount Security</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within the meaning of the within-mentioned Indenture.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Principal Amount</w:t>
      </w:r>
      <w:r>
        <w:rPr>
          <w:sz w:val="20"/>
          <w:szCs w:val="20"/>
          <w:color w:val="auto"/>
        </w:rPr>
        <w:tab/>
      </w:r>
      <w:r>
        <w:rPr>
          <w:rFonts w:ascii="Arial" w:cs="Arial" w:eastAsia="Arial" w:hAnsi="Arial"/>
          <w:sz w:val="16"/>
          <w:szCs w:val="16"/>
          <w:color w:val="auto"/>
        </w:rPr>
        <w:t>Registered No. T-1</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$400,000,000*</w:t>
      </w:r>
      <w:r>
        <w:rPr>
          <w:sz w:val="20"/>
          <w:szCs w:val="20"/>
          <w:color w:val="auto"/>
        </w:rPr>
        <w:tab/>
      </w:r>
      <w:r>
        <w:rPr>
          <w:rFonts w:ascii="Arial" w:cs="Arial" w:eastAsia="Arial" w:hAnsi="Arial"/>
          <w:sz w:val="17"/>
          <w:szCs w:val="17"/>
          <w:color w:val="auto"/>
        </w:rPr>
        <w:t>CUSIP 15189X AV0</w:t>
      </w:r>
    </w:p>
    <w:p>
      <w:pPr>
        <w:spacing w:after="0" w:line="2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***CEDE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ectPr>
          <w:pgSz w:w="11900" w:h="16838" w:orient="portrait"/>
          <w:cols w:equalWidth="0" w:num="1">
            <w:col w:w="11240"/>
          </w:cols>
          <w:pgMar w:left="320" w:top="126" w:right="339" w:bottom="1440" w:gutter="0" w:footer="0" w:header="0"/>
          <w:type w:val="continuous"/>
        </w:sectPr>
      </w:pPr>
    </w:p>
    <w:bookmarkStart w:id="251" w:name="page252"/>
    <w:bookmarkEnd w:id="251"/>
    <w:p>
      <w:pPr>
        <w:spacing w:after="0" w:line="225" w:lineRule="exact"/>
        <w:rPr>
          <w:sz w:val="20"/>
          <w:szCs w:val="20"/>
          <w:color w:val="auto"/>
        </w:rPr>
      </w:pPr>
    </w:p>
    <w:p>
      <w:pPr>
        <w:jc w:val="both"/>
        <w:ind w:firstLine="8"/>
        <w:spacing w:after="0" w:line="268" w:lineRule="auto"/>
        <w:tabs>
          <w:tab w:leader="none" w:pos="113" w:val="left"/>
        </w:tabs>
        <w:numPr>
          <w:ilvl w:val="0"/>
          <w:numId w:val="228"/>
        </w:numPr>
        <w:rPr>
          <w:rFonts w:ascii="Arial" w:cs="Arial" w:eastAsia="Arial" w:hAnsi="Arial"/>
          <w:sz w:val="17"/>
          <w:szCs w:val="17"/>
          <w:color w:val="auto"/>
        </w:rPr>
      </w:pPr>
      <w:r>
        <w:rPr>
          <w:rFonts w:ascii="Arial" w:cs="Arial" w:eastAsia="Arial" w:hAnsi="Arial"/>
          <w:sz w:val="17"/>
          <w:szCs w:val="17"/>
          <w:color w:val="auto"/>
        </w:rPr>
        <w:t>or its registered assigns, the principal sum of FOUR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October 1, 2021,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Security is subject to redemption, at the option of the Company, at any time or from time to time, in whole or in part, on any date prior to January 1, 2031 at a price equal to the greater of (i) 100% of the principal amount of this Security (or the portion hereof to be redeemed) or (ii) the sum of the present values of the remaining scheduled</w:t>
      </w:r>
    </w:p>
    <w:p>
      <w:pPr>
        <w:sectPr>
          <w:pgSz w:w="11900" w:h="16838" w:orient="portrait"/>
          <w:cols w:equalWidth="0" w:num="1">
            <w:col w:w="11240"/>
          </w:cols>
          <w:pgMar w:left="320" w:top="1440" w:right="339" w:bottom="1440" w:gutter="0" w:footer="0" w:header="0"/>
        </w:sectPr>
      </w:pPr>
    </w:p>
    <w:bookmarkStart w:id="252" w:name="page253"/>
    <w:bookmarkEnd w:id="252"/>
    <w:p>
      <w:pPr>
        <w:jc w:val="both"/>
        <w:spacing w:after="0" w:line="272" w:lineRule="auto"/>
        <w:rPr>
          <w:sz w:val="20"/>
          <w:szCs w:val="20"/>
          <w:color w:val="auto"/>
        </w:rPr>
      </w:pPr>
      <w:r>
        <w:rPr>
          <w:rFonts w:ascii="Arial" w:cs="Arial" w:eastAsia="Arial" w:hAnsi="Arial"/>
          <w:sz w:val="17"/>
          <w:szCs w:val="17"/>
          <w:color w:val="auto"/>
        </w:rPr>
        <w:t>payments of principal and interest on this Security (or such portion to be redeemed) that would be due if this Security (or such portion to be redeemed) matured on January 1, 2031 but for the redemption (not including any portion of such payments of interest accrued to the Redemption Date) discounted to the Redemption Date on a semiannual basis (assuming a 360-day year consisting of twelve 30-day months) at the applicable Treasury Rate plus 15 basis points; plus, in each case, accrued and unpaid interest on the principal amount being redeemed to, but excluding, the Redemption Date. On or after January 1, 2031, the Company may redeem this Security, at any time or from time to time, in whole or in part, by paying 100% of the principal amount of this Security (or such portion to be redeemed) plus accrued and unpaid interest on the principal amount being redeemed to, but excluding, the Redemption Date. The Trustee shall have no responsibility for the calculation of such amount.</w:t>
      </w:r>
    </w:p>
    <w:p>
      <w:pPr>
        <w:spacing w:after="0" w:line="177" w:lineRule="exact"/>
        <w:rPr>
          <w:sz w:val="20"/>
          <w:szCs w:val="20"/>
          <w:color w:val="auto"/>
        </w:rPr>
      </w:pPr>
    </w:p>
    <w:p>
      <w:pPr>
        <w:jc w:val="both"/>
        <w:ind w:firstLine="667"/>
        <w:spacing w:after="0" w:line="288" w:lineRule="auto"/>
        <w:rPr>
          <w:sz w:val="20"/>
          <w:szCs w:val="20"/>
          <w:color w:val="auto"/>
        </w:rPr>
      </w:pPr>
      <w:r>
        <w:rPr>
          <w:rFonts w:ascii="Arial" w:cs="Arial" w:eastAsia="Arial" w:hAnsi="Arial"/>
          <w:sz w:val="16"/>
          <w:szCs w:val="16"/>
          <w:color w:val="auto"/>
        </w:rPr>
        <w:t>“Treasury Rate”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(“H.15”) under the caption “Treasury Constant Maturities - Nominal”, the independent investment banker shall select two yields – one for the maturity immediately before and one for the maturity immediately after the remaining maturity of the notes (assuming the notes matured on January 1, 2031) – and shall interpolate on a straight-line basis using such yields; if there is no such maturity either before or after, the independent investment banker shall select the maturity closest to January 1, 2031 that appears on the release; or if such release (or any successor release) is not published during the week preceding the calculation date or does not contain such yields, the rate per annum equal to the semiannual equivalent yield to maturity of the Comparable Treasury Issue, calculated by the Independent Investment Banker using a price for the Comparable Treasury Issue (expressed as a percentage of its principal amount) equal to the Comparable Treasury Price for such Redemption Date. The Treasury Rate will be calculated by the Independent Investment Banker on the third Business Day preceding the Redemption Date.</w:t>
      </w:r>
    </w:p>
    <w:p>
      <w:pPr>
        <w:spacing w:after="0" w:line="168"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“Comparable Treasury Issue” means the U.S. Treasury security selected by an Independent Investment Banker as having an actual or interpolated maturity comparable to the remaining term (“remaining life”) of this Security to be redeemed (assuming for this purpose that this Security matured on January 1, 2031) that would be utilized, at the time of selection and in accordance with customary financial practice, in pricing new issues of corporate debt securities of comparable maturity to the remaining term of this Security.</w:t>
      </w:r>
    </w:p>
    <w:p>
      <w:pPr>
        <w:spacing w:after="0" w:line="187"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8"/>
          <w:szCs w:val="18"/>
          <w:color w:val="auto"/>
        </w:rPr>
        <w:t>“Comparable Treasury Price”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“Independent Investment Banker” means one of the Reference Treasury Dealers appointed by the Company.</w:t>
      </w:r>
    </w:p>
    <w:p>
      <w:pPr>
        <w:spacing w:after="0" w:line="225" w:lineRule="exact"/>
        <w:rPr>
          <w:sz w:val="20"/>
          <w:szCs w:val="20"/>
          <w:color w:val="auto"/>
        </w:rPr>
      </w:pPr>
    </w:p>
    <w:p>
      <w:pPr>
        <w:jc w:val="both"/>
        <w:ind w:firstLine="667"/>
        <w:spacing w:after="0" w:line="257" w:lineRule="auto"/>
        <w:rPr>
          <w:sz w:val="20"/>
          <w:szCs w:val="20"/>
          <w:color w:val="auto"/>
        </w:rPr>
      </w:pPr>
      <w:r>
        <w:rPr>
          <w:rFonts w:ascii="Arial" w:cs="Arial" w:eastAsia="Arial" w:hAnsi="Arial"/>
          <w:sz w:val="18"/>
          <w:szCs w:val="18"/>
          <w:color w:val="auto"/>
        </w:rPr>
        <w:t>“Reference Treasury Dealer” means each of (1) BNP Paribas Securities Corp., Citigroup Global Markets Inc., Credit Suisse Securities (USA) LLC, TD Securities (USA) LLC and Wells Fargo Securities, LLC and each of their respective affiliates or successors, provided, however, that if any of the foregoing shall cease to be a primary U.S. government securities dealer in the United States of America (a “Primary Treasury Dealer”), the Company will substitute therefor another Primary Treasury Dealer and (2) any other Primary Treasury Dealer selected by the Company after consultation with the Independent Investment Banker.</w:t>
      </w:r>
    </w:p>
    <w:p>
      <w:pPr>
        <w:spacing w:after="0" w:line="188"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Trustee, at the written direction of the Company, will send a notice of redemption to each Holder of Securities to be redeemed by first-class mail (or in accordance with the procedures of The Depository Trust Company with</w:t>
      </w:r>
    </w:p>
    <w:p>
      <w:pPr>
        <w:sectPr>
          <w:pgSz w:w="11900" w:h="16838" w:orient="portrait"/>
          <w:cols w:equalWidth="0" w:num="1">
            <w:col w:w="11240"/>
          </w:cols>
          <w:pgMar w:left="320" w:top="1421" w:right="339" w:bottom="1440" w:gutter="0" w:footer="0" w:header="0"/>
        </w:sectPr>
      </w:pPr>
    </w:p>
    <w:bookmarkStart w:id="253" w:name="page254"/>
    <w:bookmarkEnd w:id="253"/>
    <w:p>
      <w:pPr>
        <w:jc w:val="both"/>
        <w:spacing w:after="0" w:line="272" w:lineRule="auto"/>
        <w:rPr>
          <w:sz w:val="20"/>
          <w:szCs w:val="20"/>
          <w:color w:val="auto"/>
        </w:rPr>
      </w:pPr>
      <w:r>
        <w:rPr>
          <w:rFonts w:ascii="Arial" w:cs="Arial" w:eastAsia="Arial" w:hAnsi="Arial"/>
          <w:sz w:val="17"/>
          <w:szCs w:val="17"/>
          <w:color w:val="auto"/>
        </w:rPr>
        <w:t>respect to Securities registered in the name of Cede &amp; Co.) at least 15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such method as the Trustee deems fair and appropriate.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w:t>
      </w:r>
    </w:p>
    <w:p>
      <w:pPr>
        <w:sectPr>
          <w:pgSz w:w="11900" w:h="16838" w:orient="portrait"/>
          <w:cols w:equalWidth="0" w:num="1">
            <w:col w:w="11240"/>
          </w:cols>
          <w:pgMar w:left="320" w:top="1421" w:right="339" w:bottom="1440" w:gutter="0" w:footer="0" w:header="0"/>
        </w:sectPr>
      </w:pPr>
    </w:p>
    <w:bookmarkStart w:id="254" w:name="page255"/>
    <w:bookmarkEnd w:id="254"/>
    <w:p>
      <w:pPr>
        <w:jc w:val="both"/>
        <w:spacing w:after="0" w:line="277" w:lineRule="auto"/>
        <w:rPr>
          <w:sz w:val="20"/>
          <w:szCs w:val="20"/>
          <w:color w:val="auto"/>
        </w:rPr>
      </w:pPr>
      <w:r>
        <w:rPr>
          <w:rFonts w:ascii="Arial" w:cs="Arial" w:eastAsia="Arial" w:hAnsi="Arial"/>
          <w:sz w:val="18"/>
          <w:szCs w:val="18"/>
          <w:color w:val="auto"/>
        </w:rPr>
        <w:t>The Bank of New York Mellon Trust Company, National Association in New York, New York, or such other office or agency as may be designated by the Company from time to time.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are not entitled to the benefit of any sinking fund.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240"/>
          </w:cols>
          <w:pgMar w:left="320" w:top="1421" w:right="339" w:bottom="1440" w:gutter="0" w:footer="0" w:header="0"/>
        </w:sectPr>
      </w:pPr>
    </w:p>
    <w:bookmarkStart w:id="255" w:name="page256"/>
    <w:bookmarkEnd w:id="255"/>
    <w:p>
      <w:pPr>
        <w:ind w:left="68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5340" w:type="dxa"/>
            <w:vAlign w:val="bottom"/>
            <w:gridSpan w:val="3"/>
          </w:tcPr>
          <w:p>
            <w:pPr>
              <w:ind w:left="820"/>
              <w:spacing w:after="0"/>
              <w:rPr>
                <w:sz w:val="20"/>
                <w:szCs w:val="20"/>
                <w:color w:val="auto"/>
              </w:rPr>
            </w:pPr>
            <w:r>
              <w:rPr>
                <w:rFonts w:ascii="Arial" w:cs="Arial" w:eastAsia="Arial" w:hAnsi="Arial"/>
                <w:sz w:val="18"/>
                <w:szCs w:val="18"/>
                <w:b w:val="1"/>
                <w:bCs w:val="1"/>
                <w:color w:val="auto"/>
              </w:rPr>
              <w:t>CENTERPOINT ENERGY HOUSTON ELECTRIC, LLC</w:t>
            </w:r>
          </w:p>
        </w:tc>
      </w:tr>
      <w:tr>
        <w:trPr>
          <w:trHeight w:val="392"/>
        </w:trPr>
        <w:tc>
          <w:tcPr>
            <w:tcW w:w="3880" w:type="dxa"/>
            <w:vAlign w:val="bottom"/>
          </w:tcPr>
          <w:p>
            <w:pPr>
              <w:spacing w:after="0"/>
              <w:rPr>
                <w:sz w:val="20"/>
                <w:szCs w:val="20"/>
                <w:color w:val="auto"/>
              </w:rPr>
            </w:pPr>
            <w:r>
              <w:rPr>
                <w:rFonts w:ascii="Arial" w:cs="Arial" w:eastAsia="Arial" w:hAnsi="Arial"/>
                <w:sz w:val="18"/>
                <w:szCs w:val="18"/>
                <w:color w:val="auto"/>
              </w:rPr>
              <w:t>Attest: ____________________________</w:t>
            </w:r>
          </w:p>
        </w:tc>
        <w:tc>
          <w:tcPr>
            <w:tcW w:w="1300" w:type="dxa"/>
            <w:vAlign w:val="bottom"/>
          </w:tcPr>
          <w:p>
            <w:pPr>
              <w:ind w:left="820"/>
              <w:spacing w:after="0"/>
              <w:rPr>
                <w:sz w:val="20"/>
                <w:szCs w:val="20"/>
                <w:color w:val="auto"/>
              </w:rPr>
            </w:pPr>
            <w:r>
              <w:rPr>
                <w:rFonts w:ascii="Arial" w:cs="Arial" w:eastAsia="Arial" w:hAnsi="Arial"/>
                <w:sz w:val="18"/>
                <w:szCs w:val="18"/>
                <w:b w:val="1"/>
                <w:bCs w:val="1"/>
                <w:color w:val="auto"/>
              </w:rPr>
              <w:t>By:</w:t>
            </w:r>
          </w:p>
        </w:tc>
        <w:tc>
          <w:tcPr>
            <w:tcW w:w="180" w:type="dxa"/>
            <w:vAlign w:val="bottom"/>
            <w:tcBorders>
              <w:bottom w:val="single" w:sz="8" w:color="auto"/>
            </w:tcBorders>
          </w:tcPr>
          <w:p>
            <w:pPr>
              <w:spacing w:after="0"/>
              <w:rPr>
                <w:sz w:val="24"/>
                <w:szCs w:val="24"/>
                <w:color w:val="auto"/>
              </w:rPr>
            </w:pPr>
          </w:p>
        </w:tc>
        <w:tc>
          <w:tcPr>
            <w:tcW w:w="3860" w:type="dxa"/>
            <w:vAlign w:val="bottom"/>
          </w:tcPr>
          <w:p>
            <w:pPr>
              <w:spacing w:after="0"/>
              <w:rPr>
                <w:sz w:val="24"/>
                <w:szCs w:val="24"/>
                <w:color w:val="auto"/>
              </w:rPr>
            </w:pPr>
          </w:p>
        </w:tc>
      </w:tr>
      <w:tr>
        <w:trPr>
          <w:trHeight w:val="434"/>
        </w:trPr>
        <w:tc>
          <w:tcPr>
            <w:tcW w:w="3880" w:type="dxa"/>
            <w:vAlign w:val="bottom"/>
          </w:tcPr>
          <w:p>
            <w:pPr>
              <w:spacing w:after="0"/>
              <w:rPr>
                <w:sz w:val="20"/>
                <w:szCs w:val="20"/>
                <w:color w:val="auto"/>
              </w:rPr>
            </w:pPr>
            <w:r>
              <w:rPr>
                <w:rFonts w:ascii="Arial" w:cs="Arial" w:eastAsia="Arial" w:hAnsi="Arial"/>
                <w:sz w:val="18"/>
                <w:szCs w:val="18"/>
                <w:color w:val="auto"/>
              </w:rPr>
              <w:t>Vincent A. Mercaldi</w:t>
            </w:r>
          </w:p>
        </w:tc>
        <w:tc>
          <w:tcPr>
            <w:tcW w:w="5340" w:type="dxa"/>
            <w:vAlign w:val="bottom"/>
            <w:gridSpan w:val="3"/>
          </w:tcPr>
          <w:p>
            <w:pPr>
              <w:ind w:left="820"/>
              <w:spacing w:after="0"/>
              <w:rPr>
                <w:sz w:val="20"/>
                <w:szCs w:val="20"/>
                <w:color w:val="auto"/>
              </w:rPr>
            </w:pPr>
            <w:r>
              <w:rPr>
                <w:rFonts w:ascii="Arial" w:cs="Arial" w:eastAsia="Arial" w:hAnsi="Arial"/>
                <w:sz w:val="18"/>
                <w:szCs w:val="18"/>
                <w:b w:val="1"/>
                <w:bCs w:val="1"/>
                <w:color w:val="auto"/>
              </w:rPr>
              <w:t>Kristie L. Colvin</w:t>
            </w:r>
          </w:p>
        </w:tc>
      </w:tr>
      <w:tr>
        <w:trPr>
          <w:trHeight w:val="261"/>
        </w:trPr>
        <w:tc>
          <w:tcPr>
            <w:tcW w:w="3880" w:type="dxa"/>
            <w:vAlign w:val="bottom"/>
          </w:tcPr>
          <w:p>
            <w:pPr>
              <w:spacing w:after="0"/>
              <w:rPr>
                <w:sz w:val="20"/>
                <w:szCs w:val="20"/>
                <w:color w:val="auto"/>
              </w:rPr>
            </w:pPr>
            <w:r>
              <w:rPr>
                <w:rFonts w:ascii="Arial" w:cs="Arial" w:eastAsia="Arial" w:hAnsi="Arial"/>
                <w:sz w:val="18"/>
                <w:szCs w:val="18"/>
                <w:color w:val="auto"/>
              </w:rPr>
              <w:t>Secretary</w:t>
            </w:r>
          </w:p>
        </w:tc>
        <w:tc>
          <w:tcPr>
            <w:tcW w:w="5340" w:type="dxa"/>
            <w:vAlign w:val="bottom"/>
            <w:gridSpan w:val="3"/>
          </w:tcPr>
          <w:p>
            <w:pPr>
              <w:ind w:left="820"/>
              <w:spacing w:after="0"/>
              <w:rPr>
                <w:sz w:val="20"/>
                <w:szCs w:val="20"/>
                <w:color w:val="auto"/>
              </w:rPr>
            </w:pPr>
            <w:r>
              <w:rPr>
                <w:rFonts w:ascii="Arial" w:cs="Arial" w:eastAsia="Arial" w:hAnsi="Arial"/>
                <w:sz w:val="18"/>
                <w:szCs w:val="18"/>
                <w:b w:val="1"/>
                <w:bCs w:val="1"/>
                <w:color w:val="auto"/>
              </w:rPr>
              <w:t>Senior Vice President and Chief Accounting Officer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AUTHENTICATION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 ______________, 2021</w:t>
      </w:r>
    </w:p>
    <w:p>
      <w:pPr>
        <w:spacing w:after="0" w:line="221" w:lineRule="exact"/>
        <w:rPr>
          <w:sz w:val="20"/>
          <w:szCs w:val="20"/>
          <w:color w:val="auto"/>
        </w:rPr>
      </w:pPr>
    </w:p>
    <w:p>
      <w:pPr>
        <w:ind w:left="3900" w:hanging="10"/>
        <w:spacing w:after="0" w:line="282" w:lineRule="auto"/>
        <w:rPr>
          <w:sz w:val="20"/>
          <w:szCs w:val="20"/>
          <w:color w:val="auto"/>
        </w:rPr>
      </w:pPr>
      <w:r>
        <w:rPr>
          <w:rFonts w:ascii="Arial" w:cs="Arial" w:eastAsia="Arial" w:hAnsi="Arial"/>
          <w:sz w:val="18"/>
          <w:szCs w:val="18"/>
          <w:b w:val="1"/>
          <w:bCs w:val="1"/>
          <w:color w:val="auto"/>
        </w:rPr>
        <w:t>THE BANK OF NEW YORK MELLON TRUST COMPANY, NATIONAL ASSOCIATION</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-10160</wp:posOffset>
            </wp:positionV>
            <wp:extent cx="2286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56" w:name="page257"/>
    <w:bookmarkEnd w:id="256"/>
    <w:p>
      <w:pPr>
        <w:jc w:val="both"/>
        <w:spacing w:after="0" w:line="257" w:lineRule="auto"/>
        <w:rPr>
          <w:sz w:val="20"/>
          <w:szCs w:val="20"/>
          <w:color w:val="auto"/>
        </w:rPr>
      </w:pPr>
      <w:r>
        <w:rPr>
          <w:rFonts w:ascii="Arial" w:cs="Arial" w:eastAsia="Arial" w:hAnsi="Arial"/>
          <w:sz w:val="18"/>
          <w:szCs w:val="18"/>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3.35% General Mortgage Bonds, Series AF, due 2051</w:t>
      </w:r>
    </w:p>
    <w:p>
      <w:pPr>
        <w:sectPr>
          <w:pgSz w:w="11900" w:h="16838" w:orient="portrait"/>
          <w:cols w:equalWidth="0" w:num="1">
            <w:col w:w="11240"/>
          </w:cols>
          <w:pgMar w:left="320" w:top="1421"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Original Interest Accrual Date: March 11,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Stated Maturity: April 1, 2051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3.35%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Payment Dates: April 1 and October 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Regular  Record  Dates:  March  15  and  September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preceding the respective Interest Payment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15  immediately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Redeemable: Yes [X] No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 At any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Redemption Price: on any date prior to October 1, 2050 at a price equal to the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greater of (i) 100% of the principal amount of this Security or the portion</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hereof to be redeemed or (ii) the sum of the present values of the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remaining scheduled payments of principal and interest on this Security or</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portion thereof to be redeemed that would be due if this Security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matured on October 1, 2050 but for the redemption (not including any</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portion of such payments of interest accrued to the Redemption Date)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discounted to the Redemption Date on a semiannual basis at the applicable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Treasury Rate plus 20 basis points; plus, in each case, accrued and unpaid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interest to the Redemption Date on the principal amount being redeemed;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or on or after October 1, 2050, at a price equal to 100% of the principal</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amount of this Security or the portion thereof to be redeemed plus accrued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and unpaid interest to the Redemption Date on the principal amount being</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redeemed.</w:t>
      </w:r>
    </w:p>
    <w:p>
      <w:pPr>
        <w:spacing w:after="0" w:line="200" w:lineRule="exact"/>
        <w:rPr>
          <w:sz w:val="20"/>
          <w:szCs w:val="20"/>
          <w:color w:val="auto"/>
        </w:rPr>
      </w:pPr>
    </w:p>
    <w:p>
      <w:pPr>
        <w:sectPr>
          <w:pgSz w:w="11900" w:h="16838" w:orient="portrait"/>
          <w:cols w:equalWidth="0" w:num="3">
            <w:col w:w="3960" w:space="120"/>
            <w:col w:w="1200" w:space="40"/>
            <w:col w:w="5920"/>
          </w:cols>
          <w:pgMar w:left="320" w:top="1421" w:right="339" w:bottom="1440" w:gutter="0" w:footer="0" w:header="0"/>
          <w:type w:val="continuous"/>
        </w:sectPr>
      </w:pPr>
    </w:p>
    <w:p>
      <w:pPr>
        <w:spacing w:after="0" w:line="24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This Security is not an Original Issue Discount Security</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within the meaning of the within-mentioned Indenture.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Principal Amount</w:t>
      </w:r>
      <w:r>
        <w:rPr>
          <w:sz w:val="20"/>
          <w:szCs w:val="20"/>
          <w:color w:val="auto"/>
        </w:rPr>
        <w:tab/>
      </w:r>
      <w:r>
        <w:rPr>
          <w:rFonts w:ascii="Arial" w:cs="Arial" w:eastAsia="Arial" w:hAnsi="Arial"/>
          <w:sz w:val="16"/>
          <w:szCs w:val="16"/>
          <w:color w:val="auto"/>
        </w:rPr>
        <w:t>Registered No. T-1</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$500,000,000*</w:t>
      </w:r>
      <w:r>
        <w:rPr>
          <w:sz w:val="20"/>
          <w:szCs w:val="20"/>
          <w:color w:val="auto"/>
        </w:rPr>
        <w:tab/>
      </w:r>
      <w:r>
        <w:rPr>
          <w:rFonts w:ascii="Arial" w:cs="Arial" w:eastAsia="Arial" w:hAnsi="Arial"/>
          <w:sz w:val="17"/>
          <w:szCs w:val="17"/>
          <w:color w:val="auto"/>
        </w:rPr>
        <w:t>CUSIP 15189X AW8</w:t>
      </w:r>
    </w:p>
    <w:p>
      <w:pPr>
        <w:spacing w:after="0" w:line="2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***CEDE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ectPr>
          <w:pgSz w:w="11900" w:h="16838" w:orient="portrait"/>
          <w:cols w:equalWidth="0" w:num="1">
            <w:col w:w="11240"/>
          </w:cols>
          <w:pgMar w:left="320" w:top="1421" w:right="339" w:bottom="1440" w:gutter="0" w:footer="0" w:header="0"/>
          <w:type w:val="continuous"/>
        </w:sectPr>
      </w:pPr>
    </w:p>
    <w:bookmarkStart w:id="257" w:name="page258"/>
    <w:bookmarkEnd w:id="257"/>
    <w:p>
      <w:pPr>
        <w:jc w:val="both"/>
        <w:ind w:firstLine="8"/>
        <w:spacing w:after="0" w:line="268" w:lineRule="auto"/>
        <w:tabs>
          <w:tab w:leader="none" w:pos="9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or its registered assigns, the principal sum of FIVE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October 1, 2021,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This Security is subject to redemption, at the option of the Company, at any time or from time to time, in whole or in part, on any date prior to October 1, 2050 at a price equal to the greater of (i) 100% of the principal amount of this Security (or the portion hereof to be redeemed) or (ii) the sum of the present values of the remaining scheduled payments of principal and interest on this Security (or such portion to be redeemed) that would be due if this</w:t>
      </w:r>
    </w:p>
    <w:p>
      <w:pPr>
        <w:sectPr>
          <w:pgSz w:w="11900" w:h="16838" w:orient="portrait"/>
          <w:cols w:equalWidth="0" w:num="1">
            <w:col w:w="11240"/>
          </w:cols>
          <w:pgMar w:left="320" w:top="1421" w:right="339" w:bottom="1440" w:gutter="0" w:footer="0" w:header="0"/>
        </w:sectPr>
      </w:pPr>
    </w:p>
    <w:bookmarkStart w:id="258" w:name="page259"/>
    <w:bookmarkEnd w:id="258"/>
    <w:p>
      <w:pPr>
        <w:jc w:val="both"/>
        <w:spacing w:after="0" w:line="293" w:lineRule="auto"/>
        <w:rPr>
          <w:sz w:val="20"/>
          <w:szCs w:val="20"/>
          <w:color w:val="auto"/>
        </w:rPr>
      </w:pPr>
      <w:r>
        <w:rPr>
          <w:rFonts w:ascii="Arial" w:cs="Arial" w:eastAsia="Arial" w:hAnsi="Arial"/>
          <w:sz w:val="16"/>
          <w:szCs w:val="16"/>
          <w:color w:val="auto"/>
        </w:rPr>
        <w:t>Security (or such portion to be redeemed) matured on October 1, 2050 but for the redemption (not including any portion of such payments of interest accrued to the Redemption Date) discounted to the Redemption Date on a semiannual basis (assuming a 360-day year consisting of twelve 30-day months) at the applicable Treasury Rate plus 20 basis points; plus, in each case, accrued and unpaid interest on the principal amount being redeemed to, but excluding, the Redemption Date. On or after October 1, 2050, the Company may redeem this Security, at any time or from time to time, in whole or in part, by paying 100% of the principal amount of this Security (or such portion to be redeemed) plus accrued and unpaid interest on the principal amount being redeemed to, but excluding, the Redemption Date. The Trustee shall have no responsibility for the calculation of such amount.</w:t>
      </w:r>
    </w:p>
    <w:p>
      <w:pPr>
        <w:spacing w:after="0" w:line="164" w:lineRule="exact"/>
        <w:rPr>
          <w:sz w:val="20"/>
          <w:szCs w:val="20"/>
          <w:color w:val="auto"/>
        </w:rPr>
      </w:pPr>
    </w:p>
    <w:p>
      <w:pPr>
        <w:jc w:val="both"/>
        <w:ind w:firstLine="667"/>
        <w:spacing w:after="0" w:line="288" w:lineRule="auto"/>
        <w:rPr>
          <w:sz w:val="20"/>
          <w:szCs w:val="20"/>
          <w:color w:val="auto"/>
        </w:rPr>
      </w:pPr>
      <w:r>
        <w:rPr>
          <w:rFonts w:ascii="Arial" w:cs="Arial" w:eastAsia="Arial" w:hAnsi="Arial"/>
          <w:sz w:val="16"/>
          <w:szCs w:val="16"/>
          <w:color w:val="auto"/>
        </w:rPr>
        <w:t>“Treasury Rate”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(“H.15”) under the caption “Treasury Constant Maturities - Nominal”, the independent investment banker shall select two yields – one for the maturity immediately before and one for the maturity immediately after the remaining maturity of the notes (assuming the notes matured on October 1, 2050) – and shall interpolate on a straight-line basis using such yields; if there is no such maturity either before or after, the independent investment banker shall select the maturity closest to October 1, 2050 that appears on the release; or if such release (or any successor release) is not published during the week preceding the calculation date or does not contain such yields, the rate per annum equal to the semiannual equivalent yield to maturity of the Comparable Treasury Issue, calculated by the Independent Investment Banker using a price for the Comparable Treasury Issue (expressed as a percentage of its principal amount) equal to the Comparable Treasury Price for such Redemption Date. The Treasury Rate will be calculated by the Independent Investment Banker on the third Business Day preceding the Redemption Date.</w:t>
      </w:r>
    </w:p>
    <w:p>
      <w:pPr>
        <w:spacing w:after="0" w:line="168"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“Comparable Treasury Issue” means the U.S. Treasury security selected by an Independent Investment Banker as having an actual or interpolated maturity comparable to the remaining term (“remaining life”) of this Security to be redeemed (assuming for this purpose that this Security matured on October 1, 2050) that would be utilized, at the time of selection and in accordance with customary financial practice, in pricing new issues of corporate debt securities of comparable maturity to the remaining term of this Security.</w:t>
      </w:r>
    </w:p>
    <w:p>
      <w:pPr>
        <w:spacing w:after="0" w:line="187"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8"/>
          <w:szCs w:val="18"/>
          <w:color w:val="auto"/>
        </w:rPr>
        <w:t>“Comparable Treasury Price”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“Independent Investment Banker” means one of the Reference Treasury Dealers appointed by the Company.</w:t>
      </w:r>
    </w:p>
    <w:p>
      <w:pPr>
        <w:spacing w:after="0" w:line="225" w:lineRule="exact"/>
        <w:rPr>
          <w:sz w:val="20"/>
          <w:szCs w:val="20"/>
          <w:color w:val="auto"/>
        </w:rPr>
      </w:pPr>
    </w:p>
    <w:p>
      <w:pPr>
        <w:jc w:val="both"/>
        <w:ind w:firstLine="667"/>
        <w:spacing w:after="0" w:line="257" w:lineRule="auto"/>
        <w:rPr>
          <w:sz w:val="20"/>
          <w:szCs w:val="20"/>
          <w:color w:val="auto"/>
        </w:rPr>
      </w:pPr>
      <w:r>
        <w:rPr>
          <w:rFonts w:ascii="Arial" w:cs="Arial" w:eastAsia="Arial" w:hAnsi="Arial"/>
          <w:sz w:val="18"/>
          <w:szCs w:val="18"/>
          <w:color w:val="auto"/>
        </w:rPr>
        <w:t>“Reference Treasury Dealer” means each of (1) BNP Paribas Securities Corp., Citigroup Global Markets Inc., Credit Suisse Securities (USA) LLC, TD Securities (USA) LLC and Wells Fargo Securities, LLC and each of their respective affiliates or successors, provided, however, that if any of the foregoing shall cease to be a primary U.S. government securities dealer in the United States of America (a “Primary Treasury Dealer”), the Company will substitute therefor another Primary Treasury Dealer and (2) any other Primary Treasury Dealer selected by the Company after consultation with the Independent Investment Banker.</w:t>
      </w:r>
    </w:p>
    <w:p>
      <w:pPr>
        <w:spacing w:after="0" w:line="188"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15 and not more than 60 days prior to the date</w:t>
      </w:r>
    </w:p>
    <w:p>
      <w:pPr>
        <w:sectPr>
          <w:pgSz w:w="11900" w:h="16838" w:orient="portrait"/>
          <w:cols w:equalWidth="0" w:num="1">
            <w:col w:w="11240"/>
          </w:cols>
          <w:pgMar w:left="320" w:top="1421" w:right="339" w:bottom="1440" w:gutter="0" w:footer="0" w:header="0"/>
        </w:sectPr>
      </w:pPr>
    </w:p>
    <w:bookmarkStart w:id="259" w:name="page260"/>
    <w:bookmarkEnd w:id="259"/>
    <w:p>
      <w:pPr>
        <w:jc w:val="both"/>
        <w:spacing w:after="0" w:line="293" w:lineRule="auto"/>
        <w:rPr>
          <w:sz w:val="20"/>
          <w:szCs w:val="20"/>
          <w:color w:val="auto"/>
        </w:rPr>
      </w:pPr>
      <w:r>
        <w:rPr>
          <w:rFonts w:ascii="Arial" w:cs="Arial" w:eastAsia="Arial" w:hAnsi="Arial"/>
          <w:sz w:val="16"/>
          <w:szCs w:val="16"/>
          <w:color w:val="auto"/>
        </w:rPr>
        <w:t>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such method as the Trustee deems fair and appropriate.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sectPr>
          <w:pgSz w:w="11900" w:h="16838" w:orient="portrait"/>
          <w:cols w:equalWidth="0" w:num="1">
            <w:col w:w="11240"/>
          </w:cols>
          <w:pgMar w:left="320" w:top="1421" w:right="339" w:bottom="1440" w:gutter="0" w:footer="0" w:header="0"/>
        </w:sectPr>
      </w:pPr>
    </w:p>
    <w:bookmarkStart w:id="260" w:name="page261"/>
    <w:bookmarkEnd w:id="260"/>
    <w:p>
      <w:pPr>
        <w:jc w:val="both"/>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are not entitled to the benefit of any sinking fund.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240"/>
          </w:cols>
          <w:pgMar w:left="320" w:top="1421" w:right="339" w:bottom="1440" w:gutter="0" w:footer="0" w:header="0"/>
        </w:sectPr>
      </w:pPr>
    </w:p>
    <w:bookmarkStart w:id="261" w:name="page262"/>
    <w:bookmarkEnd w:id="261"/>
    <w:p>
      <w:pPr>
        <w:ind w:left="68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5340" w:type="dxa"/>
            <w:vAlign w:val="bottom"/>
            <w:gridSpan w:val="3"/>
          </w:tcPr>
          <w:p>
            <w:pPr>
              <w:ind w:left="820"/>
              <w:spacing w:after="0"/>
              <w:rPr>
                <w:sz w:val="20"/>
                <w:szCs w:val="20"/>
                <w:color w:val="auto"/>
              </w:rPr>
            </w:pPr>
            <w:r>
              <w:rPr>
                <w:rFonts w:ascii="Arial" w:cs="Arial" w:eastAsia="Arial" w:hAnsi="Arial"/>
                <w:sz w:val="18"/>
                <w:szCs w:val="18"/>
                <w:b w:val="1"/>
                <w:bCs w:val="1"/>
                <w:color w:val="auto"/>
              </w:rPr>
              <w:t>CENTERPOINT ENERGY HOUSTON ELECTRIC, LLC</w:t>
            </w:r>
          </w:p>
        </w:tc>
      </w:tr>
      <w:tr>
        <w:trPr>
          <w:trHeight w:val="392"/>
        </w:trPr>
        <w:tc>
          <w:tcPr>
            <w:tcW w:w="3880" w:type="dxa"/>
            <w:vAlign w:val="bottom"/>
          </w:tcPr>
          <w:p>
            <w:pPr>
              <w:spacing w:after="0"/>
              <w:rPr>
                <w:sz w:val="20"/>
                <w:szCs w:val="20"/>
                <w:color w:val="auto"/>
              </w:rPr>
            </w:pPr>
            <w:r>
              <w:rPr>
                <w:rFonts w:ascii="Arial" w:cs="Arial" w:eastAsia="Arial" w:hAnsi="Arial"/>
                <w:sz w:val="18"/>
                <w:szCs w:val="18"/>
                <w:color w:val="auto"/>
              </w:rPr>
              <w:t>Attest: ____________________________</w:t>
            </w:r>
          </w:p>
        </w:tc>
        <w:tc>
          <w:tcPr>
            <w:tcW w:w="1300" w:type="dxa"/>
            <w:vAlign w:val="bottom"/>
          </w:tcPr>
          <w:p>
            <w:pPr>
              <w:ind w:left="820"/>
              <w:spacing w:after="0"/>
              <w:rPr>
                <w:sz w:val="20"/>
                <w:szCs w:val="20"/>
                <w:color w:val="auto"/>
              </w:rPr>
            </w:pPr>
            <w:r>
              <w:rPr>
                <w:rFonts w:ascii="Arial" w:cs="Arial" w:eastAsia="Arial" w:hAnsi="Arial"/>
                <w:sz w:val="18"/>
                <w:szCs w:val="18"/>
                <w:b w:val="1"/>
                <w:bCs w:val="1"/>
                <w:color w:val="auto"/>
              </w:rPr>
              <w:t>By:</w:t>
            </w:r>
          </w:p>
        </w:tc>
        <w:tc>
          <w:tcPr>
            <w:tcW w:w="180" w:type="dxa"/>
            <w:vAlign w:val="bottom"/>
            <w:tcBorders>
              <w:bottom w:val="single" w:sz="8" w:color="auto"/>
            </w:tcBorders>
          </w:tcPr>
          <w:p>
            <w:pPr>
              <w:spacing w:after="0"/>
              <w:rPr>
                <w:sz w:val="24"/>
                <w:szCs w:val="24"/>
                <w:color w:val="auto"/>
              </w:rPr>
            </w:pPr>
          </w:p>
        </w:tc>
        <w:tc>
          <w:tcPr>
            <w:tcW w:w="3860" w:type="dxa"/>
            <w:vAlign w:val="bottom"/>
          </w:tcPr>
          <w:p>
            <w:pPr>
              <w:spacing w:after="0"/>
              <w:rPr>
                <w:sz w:val="24"/>
                <w:szCs w:val="24"/>
                <w:color w:val="auto"/>
              </w:rPr>
            </w:pPr>
          </w:p>
        </w:tc>
      </w:tr>
      <w:tr>
        <w:trPr>
          <w:trHeight w:val="434"/>
        </w:trPr>
        <w:tc>
          <w:tcPr>
            <w:tcW w:w="3880" w:type="dxa"/>
            <w:vAlign w:val="bottom"/>
          </w:tcPr>
          <w:p>
            <w:pPr>
              <w:spacing w:after="0"/>
              <w:rPr>
                <w:sz w:val="20"/>
                <w:szCs w:val="20"/>
                <w:color w:val="auto"/>
              </w:rPr>
            </w:pPr>
            <w:r>
              <w:rPr>
                <w:rFonts w:ascii="Arial" w:cs="Arial" w:eastAsia="Arial" w:hAnsi="Arial"/>
                <w:sz w:val="18"/>
                <w:szCs w:val="18"/>
                <w:color w:val="auto"/>
              </w:rPr>
              <w:t>Vincent A. Mercaldi</w:t>
            </w:r>
          </w:p>
        </w:tc>
        <w:tc>
          <w:tcPr>
            <w:tcW w:w="5340" w:type="dxa"/>
            <w:vAlign w:val="bottom"/>
            <w:gridSpan w:val="3"/>
          </w:tcPr>
          <w:p>
            <w:pPr>
              <w:ind w:left="820"/>
              <w:spacing w:after="0"/>
              <w:rPr>
                <w:sz w:val="20"/>
                <w:szCs w:val="20"/>
                <w:color w:val="auto"/>
              </w:rPr>
            </w:pPr>
            <w:r>
              <w:rPr>
                <w:rFonts w:ascii="Arial" w:cs="Arial" w:eastAsia="Arial" w:hAnsi="Arial"/>
                <w:sz w:val="18"/>
                <w:szCs w:val="18"/>
                <w:b w:val="1"/>
                <w:bCs w:val="1"/>
                <w:color w:val="auto"/>
              </w:rPr>
              <w:t>Kristie L. Colvin</w:t>
            </w:r>
          </w:p>
        </w:tc>
      </w:tr>
      <w:tr>
        <w:trPr>
          <w:trHeight w:val="261"/>
        </w:trPr>
        <w:tc>
          <w:tcPr>
            <w:tcW w:w="3880" w:type="dxa"/>
            <w:vAlign w:val="bottom"/>
          </w:tcPr>
          <w:p>
            <w:pPr>
              <w:spacing w:after="0"/>
              <w:rPr>
                <w:sz w:val="20"/>
                <w:szCs w:val="20"/>
                <w:color w:val="auto"/>
              </w:rPr>
            </w:pPr>
            <w:r>
              <w:rPr>
                <w:rFonts w:ascii="Arial" w:cs="Arial" w:eastAsia="Arial" w:hAnsi="Arial"/>
                <w:sz w:val="18"/>
                <w:szCs w:val="18"/>
                <w:color w:val="auto"/>
              </w:rPr>
              <w:t>Secretary</w:t>
            </w:r>
          </w:p>
        </w:tc>
        <w:tc>
          <w:tcPr>
            <w:tcW w:w="5340" w:type="dxa"/>
            <w:vAlign w:val="bottom"/>
            <w:gridSpan w:val="3"/>
          </w:tcPr>
          <w:p>
            <w:pPr>
              <w:ind w:left="820"/>
              <w:spacing w:after="0"/>
              <w:rPr>
                <w:sz w:val="20"/>
                <w:szCs w:val="20"/>
                <w:color w:val="auto"/>
              </w:rPr>
            </w:pPr>
            <w:r>
              <w:rPr>
                <w:rFonts w:ascii="Arial" w:cs="Arial" w:eastAsia="Arial" w:hAnsi="Arial"/>
                <w:sz w:val="18"/>
                <w:szCs w:val="18"/>
                <w:b w:val="1"/>
                <w:bCs w:val="1"/>
                <w:color w:val="auto"/>
              </w:rPr>
              <w:t>Senior Vice President and Chief Accounting Officer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AUTHENTICATION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 ______________, 2021</w:t>
      </w:r>
    </w:p>
    <w:p>
      <w:pPr>
        <w:spacing w:after="0" w:line="221" w:lineRule="exact"/>
        <w:rPr>
          <w:sz w:val="20"/>
          <w:szCs w:val="20"/>
          <w:color w:val="auto"/>
        </w:rPr>
      </w:pPr>
    </w:p>
    <w:p>
      <w:pPr>
        <w:ind w:left="3900" w:hanging="10"/>
        <w:spacing w:after="0" w:line="282" w:lineRule="auto"/>
        <w:rPr>
          <w:sz w:val="20"/>
          <w:szCs w:val="20"/>
          <w:color w:val="auto"/>
        </w:rPr>
      </w:pPr>
      <w:r>
        <w:rPr>
          <w:rFonts w:ascii="Arial" w:cs="Arial" w:eastAsia="Arial" w:hAnsi="Arial"/>
          <w:sz w:val="18"/>
          <w:szCs w:val="18"/>
          <w:b w:val="1"/>
          <w:bCs w:val="1"/>
          <w:color w:val="auto"/>
        </w:rPr>
        <w:t>THE BANK OF NEW YORK MELLON TRUST COMPANY, NATIONAL ASSOCIATION</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-10160</wp:posOffset>
            </wp:positionV>
            <wp:extent cx="2286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62" w:name="page263"/>
    <w:bookmarkEnd w:id="262"/>
    <w:p>
      <w:pPr>
        <w:jc w:val="both"/>
        <w:spacing w:after="0" w:line="257" w:lineRule="auto"/>
        <w:rPr>
          <w:sz w:val="20"/>
          <w:szCs w:val="20"/>
          <w:color w:val="auto"/>
        </w:rPr>
      </w:pPr>
      <w:r>
        <w:rPr>
          <w:rFonts w:ascii="Arial" w:cs="Arial" w:eastAsia="Arial" w:hAnsi="Arial"/>
          <w:sz w:val="18"/>
          <w:szCs w:val="18"/>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3.35% General Mortgage Bonds, Series AF, due 2051</w:t>
      </w:r>
    </w:p>
    <w:p>
      <w:pPr>
        <w:sectPr>
          <w:pgSz w:w="11900" w:h="16838" w:orient="portrait"/>
          <w:cols w:equalWidth="0" w:num="1">
            <w:col w:w="11240"/>
          </w:cols>
          <w:pgMar w:left="320" w:top="1421" w:right="339" w:bottom="1440" w:gutter="0" w:footer="0" w:header="0"/>
        </w:sectPr>
      </w:pPr>
    </w:p>
    <w:p>
      <w:pPr>
        <w:spacing w:after="0" w:line="4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Original Interest Accrual Date: March 11, 2021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Stated Maturity: April 1, 2051</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Rate: 3.35%</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Payment Dates: April 1 and October 1</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Regular  Record  Dates:  March  15  and  September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preceding the respective Interest Payment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15  immediately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Redeemable: Yes [X] No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 At any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Redemption Price: on any date prior to October 1, 2050 at a price equal to the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greater of (i) 100% of the principal amount of this Security or the portion</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hereof to be redeemed or (ii) the sum of the present values of the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remaining scheduled payments of principal and interest on this Security or</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portion thereof to be redeemed that would be due if this Security</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matured on October 1, 2050 but for the redemption (not including any</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portion of such payments of interest accrued to the Redemption Date)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discounted to the Redemption Date on a semiannual basis at the applicable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Treasury Rate plus 20 basis points; plus, in each case, accrued and unpaid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interest to the Redemption Date on the principal amount being redeemed;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or on or after October 1, 2050, at a price equal to 100% of the principal</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amount of this Security or the portion thereof to be redeemed plus accrued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and unpaid interest to the Redemption Date on the principal amount being</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redeemed.</w:t>
      </w:r>
    </w:p>
    <w:p>
      <w:pPr>
        <w:spacing w:after="0" w:line="200" w:lineRule="exact"/>
        <w:rPr>
          <w:sz w:val="20"/>
          <w:szCs w:val="20"/>
          <w:color w:val="auto"/>
        </w:rPr>
      </w:pPr>
    </w:p>
    <w:p>
      <w:pPr>
        <w:sectPr>
          <w:pgSz w:w="11900" w:h="16838" w:orient="portrait"/>
          <w:cols w:equalWidth="0" w:num="3">
            <w:col w:w="4080" w:space="120"/>
            <w:col w:w="1180" w:space="60"/>
            <w:col w:w="5800"/>
          </w:cols>
          <w:pgMar w:left="320" w:top="1421" w:right="339" w:bottom="1440" w:gutter="0" w:footer="0" w:header="0"/>
          <w:type w:val="continuous"/>
        </w:sectPr>
      </w:pPr>
    </w:p>
    <w:p>
      <w:pPr>
        <w:spacing w:after="0" w:line="24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This Security is not an Original Issue Discount Security</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within the meaning of the within-mentioned Indenture.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Principal Amount</w:t>
      </w:r>
      <w:r>
        <w:rPr>
          <w:sz w:val="20"/>
          <w:szCs w:val="20"/>
          <w:color w:val="auto"/>
        </w:rPr>
        <w:tab/>
      </w:r>
      <w:r>
        <w:rPr>
          <w:rFonts w:ascii="Arial" w:cs="Arial" w:eastAsia="Arial" w:hAnsi="Arial"/>
          <w:sz w:val="16"/>
          <w:szCs w:val="16"/>
          <w:color w:val="auto"/>
        </w:rPr>
        <w:t>Registered No. T-2</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$200,000,000*</w:t>
      </w:r>
      <w:r>
        <w:rPr>
          <w:sz w:val="20"/>
          <w:szCs w:val="20"/>
          <w:color w:val="auto"/>
        </w:rPr>
        <w:tab/>
      </w:r>
      <w:r>
        <w:rPr>
          <w:rFonts w:ascii="Arial" w:cs="Arial" w:eastAsia="Arial" w:hAnsi="Arial"/>
          <w:sz w:val="17"/>
          <w:szCs w:val="17"/>
          <w:color w:val="auto"/>
        </w:rPr>
        <w:t>CUSIP 15189X AW8</w:t>
      </w:r>
    </w:p>
    <w:p>
      <w:pPr>
        <w:spacing w:after="0" w:line="2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***CEDE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ectPr>
          <w:pgSz w:w="11900" w:h="16838" w:orient="portrait"/>
          <w:cols w:equalWidth="0" w:num="1">
            <w:col w:w="11240"/>
          </w:cols>
          <w:pgMar w:left="320" w:top="1421" w:right="339" w:bottom="1440" w:gutter="0" w:footer="0" w:header="0"/>
          <w:type w:val="continuous"/>
        </w:sectPr>
      </w:pPr>
    </w:p>
    <w:bookmarkStart w:id="263" w:name="page264"/>
    <w:bookmarkEnd w:id="263"/>
    <w:p>
      <w:pPr>
        <w:jc w:val="both"/>
        <w:ind w:firstLine="8"/>
        <w:spacing w:after="0" w:line="268" w:lineRule="auto"/>
        <w:tabs>
          <w:tab w:leader="none" w:pos="11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or its registered assigns, the principal sum of TWO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October 1, 2021,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This Security is subject to redemption, at the option of the Company, at any time or from time to time, in whole or in part, on any date prior to October 1, 2050 at a price equal to the greater of (i) 100% of the principal amount of this Security (or the portion hereof to be redeemed) or (ii) the sum of the present values of the remaining scheduled payments of principal and interest on this Security (or such portion to be redeemed) that would be due if this</w:t>
      </w:r>
    </w:p>
    <w:p>
      <w:pPr>
        <w:sectPr>
          <w:pgSz w:w="11900" w:h="16838" w:orient="portrait"/>
          <w:cols w:equalWidth="0" w:num="1">
            <w:col w:w="11240"/>
          </w:cols>
          <w:pgMar w:left="320" w:top="1421" w:right="339" w:bottom="1440" w:gutter="0" w:footer="0" w:header="0"/>
        </w:sectPr>
      </w:pPr>
    </w:p>
    <w:bookmarkStart w:id="264" w:name="page265"/>
    <w:bookmarkEnd w:id="264"/>
    <w:p>
      <w:pPr>
        <w:jc w:val="both"/>
        <w:spacing w:after="0" w:line="293" w:lineRule="auto"/>
        <w:rPr>
          <w:sz w:val="20"/>
          <w:szCs w:val="20"/>
          <w:color w:val="auto"/>
        </w:rPr>
      </w:pPr>
      <w:r>
        <w:rPr>
          <w:rFonts w:ascii="Arial" w:cs="Arial" w:eastAsia="Arial" w:hAnsi="Arial"/>
          <w:sz w:val="16"/>
          <w:szCs w:val="16"/>
          <w:color w:val="auto"/>
        </w:rPr>
        <w:t>Security (or such portion to be redeemed) matured on October 1, 2050 but for the redemption (not including any portion of such payments of interest accrued to the Redemption Date) discounted to the Redemption Date on a semiannual basis (assuming a 360-day year consisting of twelve 30-day months) at the applicable Treasury Rate plus 20 basis points; plus, in each case, accrued and unpaid interest on the principal amount being redeemed to, but excluding, the Redemption Date. On or after October 1, 2050, the Company may redeem this Security, at any time or from time to time, in whole or in part, by paying 100% of the principal amount of this Security (or such portion to be redeemed) plus accrued and unpaid interest on the principal amount being redeemed to, but excluding, the Redemption Date. The Trustee shall have no responsibility for the calculation of such amount.</w:t>
      </w:r>
    </w:p>
    <w:p>
      <w:pPr>
        <w:spacing w:after="0" w:line="164" w:lineRule="exact"/>
        <w:rPr>
          <w:sz w:val="20"/>
          <w:szCs w:val="20"/>
          <w:color w:val="auto"/>
        </w:rPr>
      </w:pPr>
    </w:p>
    <w:p>
      <w:pPr>
        <w:jc w:val="both"/>
        <w:ind w:firstLine="667"/>
        <w:spacing w:after="0" w:line="288" w:lineRule="auto"/>
        <w:rPr>
          <w:sz w:val="20"/>
          <w:szCs w:val="20"/>
          <w:color w:val="auto"/>
        </w:rPr>
      </w:pPr>
      <w:r>
        <w:rPr>
          <w:rFonts w:ascii="Arial" w:cs="Arial" w:eastAsia="Arial" w:hAnsi="Arial"/>
          <w:sz w:val="16"/>
          <w:szCs w:val="16"/>
          <w:color w:val="auto"/>
        </w:rPr>
        <w:t>“Treasury Rate”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(“H.15”) under the caption “Treasury Constant Maturities - Nominal”, the independent investment banker shall select two yields – one for the maturity immediately before and one for the maturity immediately after the remaining maturity of the notes (assuming the notes matured on October 1, 2050) – and shall interpolate on a straight-line basis using such yields; if there is no such maturity either before or after, the independent investment banker shall select the maturity closest to October 1, 2050 that appears on the release; or if such release (or any successor release) is not published during the week preceding the calculation date or does not contain such yields, the rate per annum equal to the semiannual equivalent yield to maturity of the Comparable Treasury Issue, calculated by the Independent Investment Banker using a price for the Comparable Treasury Issue (expressed as a percentage of its principal amount) equal to the Comparable Treasury Price for such Redemption Date. The Treasury Rate will be calculated by the Independent Investment Banker on the third Business Day preceding the Redemption Date.</w:t>
      </w:r>
    </w:p>
    <w:p>
      <w:pPr>
        <w:spacing w:after="0" w:line="168"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“Comparable Treasury Issue” means the U.S. Treasury security selected by an Independent Investment Banker as having an actual or interpolated maturity comparable to the remaining term (“remaining life”) of this Security to be redeemed (assuming for this purpose that this Security matured on October 1, 2050) that would be utilized, at the time of selection and in accordance with customary financial practice, in pricing new issues of corporate debt securities of comparable maturity to the remaining term of this Security.</w:t>
      </w:r>
    </w:p>
    <w:p>
      <w:pPr>
        <w:spacing w:after="0" w:line="187"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8"/>
          <w:szCs w:val="18"/>
          <w:color w:val="auto"/>
        </w:rPr>
        <w:t>“Comparable Treasury Price”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“Independent Investment Banker” means one of the Reference Treasury Dealers appointed by the Company.</w:t>
      </w:r>
    </w:p>
    <w:p>
      <w:pPr>
        <w:spacing w:after="0" w:line="225" w:lineRule="exact"/>
        <w:rPr>
          <w:sz w:val="20"/>
          <w:szCs w:val="20"/>
          <w:color w:val="auto"/>
        </w:rPr>
      </w:pPr>
    </w:p>
    <w:p>
      <w:pPr>
        <w:jc w:val="both"/>
        <w:ind w:firstLine="667"/>
        <w:spacing w:after="0" w:line="257" w:lineRule="auto"/>
        <w:rPr>
          <w:sz w:val="20"/>
          <w:szCs w:val="20"/>
          <w:color w:val="auto"/>
        </w:rPr>
      </w:pPr>
      <w:r>
        <w:rPr>
          <w:rFonts w:ascii="Arial" w:cs="Arial" w:eastAsia="Arial" w:hAnsi="Arial"/>
          <w:sz w:val="18"/>
          <w:szCs w:val="18"/>
          <w:color w:val="auto"/>
        </w:rPr>
        <w:t>“Reference Treasury Dealer” means each of (1) BNP Paribas Securities Corp., Citigroup Global Markets Inc., Credit Suisse Securities (USA) LLC, TD Securities (USA) LLC and Wells Fargo Securities, LLC and each of their respective affiliates or successors, provided, however, that if any of the foregoing shall cease to be a primary U.S. government securities dealer in the United States of America (a “Primary Treasury Dealer”), the Company will substitute therefor another Primary Treasury Dealer and (2) any other Primary Treasury Dealer selected by the Company after consultation with the Independent Investment Banker.</w:t>
      </w:r>
    </w:p>
    <w:p>
      <w:pPr>
        <w:spacing w:after="0" w:line="188"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15 and not more than 60 days prior to the date</w:t>
      </w:r>
    </w:p>
    <w:p>
      <w:pPr>
        <w:sectPr>
          <w:pgSz w:w="11900" w:h="16838" w:orient="portrait"/>
          <w:cols w:equalWidth="0" w:num="1">
            <w:col w:w="11240"/>
          </w:cols>
          <w:pgMar w:left="320" w:top="1421" w:right="339" w:bottom="1440" w:gutter="0" w:footer="0" w:header="0"/>
        </w:sectPr>
      </w:pPr>
    </w:p>
    <w:bookmarkStart w:id="265" w:name="page266"/>
    <w:bookmarkEnd w:id="265"/>
    <w:p>
      <w:pPr>
        <w:jc w:val="both"/>
        <w:spacing w:after="0" w:line="293" w:lineRule="auto"/>
        <w:rPr>
          <w:sz w:val="20"/>
          <w:szCs w:val="20"/>
          <w:color w:val="auto"/>
        </w:rPr>
      </w:pPr>
      <w:r>
        <w:rPr>
          <w:rFonts w:ascii="Arial" w:cs="Arial" w:eastAsia="Arial" w:hAnsi="Arial"/>
          <w:sz w:val="16"/>
          <w:szCs w:val="16"/>
          <w:color w:val="auto"/>
        </w:rPr>
        <w:t>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such method as the Trustee deems fair and appropriate.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sectPr>
          <w:pgSz w:w="11900" w:h="16838" w:orient="portrait"/>
          <w:cols w:equalWidth="0" w:num="1">
            <w:col w:w="11240"/>
          </w:cols>
          <w:pgMar w:left="320" w:top="1421" w:right="339" w:bottom="1440" w:gutter="0" w:footer="0" w:header="0"/>
        </w:sectPr>
      </w:pPr>
    </w:p>
    <w:bookmarkStart w:id="266" w:name="page267"/>
    <w:bookmarkEnd w:id="266"/>
    <w:p>
      <w:pPr>
        <w:jc w:val="both"/>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are not entitled to the benefit of any sinking fund.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240"/>
          </w:cols>
          <w:pgMar w:left="320" w:top="1421" w:right="339" w:bottom="1440" w:gutter="0" w:footer="0" w:header="0"/>
        </w:sectPr>
      </w:pPr>
    </w:p>
    <w:bookmarkStart w:id="267" w:name="page268"/>
    <w:bookmarkEnd w:id="267"/>
    <w:p>
      <w:pPr>
        <w:ind w:left="68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5380" w:type="dxa"/>
            <w:vAlign w:val="bottom"/>
            <w:gridSpan w:val="3"/>
          </w:tcPr>
          <w:p>
            <w:pPr>
              <w:ind w:left="860"/>
              <w:spacing w:after="0"/>
              <w:rPr>
                <w:sz w:val="20"/>
                <w:szCs w:val="20"/>
                <w:color w:val="auto"/>
              </w:rPr>
            </w:pPr>
            <w:r>
              <w:rPr>
                <w:rFonts w:ascii="Arial" w:cs="Arial" w:eastAsia="Arial" w:hAnsi="Arial"/>
                <w:sz w:val="18"/>
                <w:szCs w:val="18"/>
                <w:b w:val="1"/>
                <w:bCs w:val="1"/>
                <w:color w:val="auto"/>
              </w:rPr>
              <w:t>CENTERPOINT ENERGY HOUSTON ELECTRIC, LLC</w:t>
            </w:r>
          </w:p>
        </w:tc>
      </w:tr>
      <w:tr>
        <w:trPr>
          <w:trHeight w:val="392"/>
        </w:trPr>
        <w:tc>
          <w:tcPr>
            <w:tcW w:w="3920" w:type="dxa"/>
            <w:vAlign w:val="bottom"/>
          </w:tcPr>
          <w:p>
            <w:pPr>
              <w:spacing w:after="0"/>
              <w:rPr>
                <w:sz w:val="20"/>
                <w:szCs w:val="20"/>
                <w:color w:val="auto"/>
              </w:rPr>
            </w:pPr>
            <w:r>
              <w:rPr>
                <w:rFonts w:ascii="Arial" w:cs="Arial" w:eastAsia="Arial" w:hAnsi="Arial"/>
                <w:sz w:val="18"/>
                <w:szCs w:val="18"/>
                <w:color w:val="auto"/>
              </w:rPr>
              <w:t>Attest: ____________________________</w:t>
            </w:r>
          </w:p>
        </w:tc>
        <w:tc>
          <w:tcPr>
            <w:tcW w:w="1360" w:type="dxa"/>
            <w:vAlign w:val="bottom"/>
          </w:tcPr>
          <w:p>
            <w:pPr>
              <w:ind w:left="860"/>
              <w:spacing w:after="0"/>
              <w:rPr>
                <w:sz w:val="20"/>
                <w:szCs w:val="20"/>
                <w:color w:val="auto"/>
              </w:rPr>
            </w:pPr>
            <w:r>
              <w:rPr>
                <w:rFonts w:ascii="Arial" w:cs="Arial" w:eastAsia="Arial" w:hAnsi="Arial"/>
                <w:sz w:val="18"/>
                <w:szCs w:val="18"/>
                <w:b w:val="1"/>
                <w:bCs w:val="1"/>
                <w:color w:val="auto"/>
              </w:rPr>
              <w:t>By:</w:t>
            </w:r>
          </w:p>
        </w:tc>
        <w:tc>
          <w:tcPr>
            <w:tcW w:w="18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r>
      <w:tr>
        <w:trPr>
          <w:trHeight w:val="434"/>
        </w:trPr>
        <w:tc>
          <w:tcPr>
            <w:tcW w:w="3920" w:type="dxa"/>
            <w:vAlign w:val="bottom"/>
          </w:tcPr>
          <w:p>
            <w:pPr>
              <w:spacing w:after="0"/>
              <w:rPr>
                <w:sz w:val="20"/>
                <w:szCs w:val="20"/>
                <w:color w:val="auto"/>
              </w:rPr>
            </w:pPr>
            <w:r>
              <w:rPr>
                <w:rFonts w:ascii="Arial" w:cs="Arial" w:eastAsia="Arial" w:hAnsi="Arial"/>
                <w:sz w:val="18"/>
                <w:szCs w:val="18"/>
                <w:color w:val="auto"/>
              </w:rPr>
              <w:t>Vincent A. Mercaldi</w:t>
            </w:r>
          </w:p>
        </w:tc>
        <w:tc>
          <w:tcPr>
            <w:tcW w:w="5380" w:type="dxa"/>
            <w:vAlign w:val="bottom"/>
            <w:gridSpan w:val="3"/>
          </w:tcPr>
          <w:p>
            <w:pPr>
              <w:ind w:left="860"/>
              <w:spacing w:after="0"/>
              <w:rPr>
                <w:sz w:val="20"/>
                <w:szCs w:val="20"/>
                <w:color w:val="auto"/>
              </w:rPr>
            </w:pPr>
            <w:r>
              <w:rPr>
                <w:rFonts w:ascii="Arial" w:cs="Arial" w:eastAsia="Arial" w:hAnsi="Arial"/>
                <w:sz w:val="18"/>
                <w:szCs w:val="18"/>
                <w:b w:val="1"/>
                <w:bCs w:val="1"/>
                <w:color w:val="auto"/>
              </w:rPr>
              <w:t>Kristie L. Colvin</w:t>
            </w:r>
          </w:p>
        </w:tc>
      </w:tr>
      <w:tr>
        <w:trPr>
          <w:trHeight w:val="261"/>
        </w:trPr>
        <w:tc>
          <w:tcPr>
            <w:tcW w:w="3920" w:type="dxa"/>
            <w:vAlign w:val="bottom"/>
          </w:tcPr>
          <w:p>
            <w:pPr>
              <w:spacing w:after="0"/>
              <w:rPr>
                <w:sz w:val="20"/>
                <w:szCs w:val="20"/>
                <w:color w:val="auto"/>
              </w:rPr>
            </w:pPr>
            <w:r>
              <w:rPr>
                <w:rFonts w:ascii="Arial" w:cs="Arial" w:eastAsia="Arial" w:hAnsi="Arial"/>
                <w:sz w:val="18"/>
                <w:szCs w:val="18"/>
                <w:color w:val="auto"/>
              </w:rPr>
              <w:t>Secretary</w:t>
            </w:r>
          </w:p>
        </w:tc>
        <w:tc>
          <w:tcPr>
            <w:tcW w:w="5380" w:type="dxa"/>
            <w:vAlign w:val="bottom"/>
            <w:gridSpan w:val="3"/>
          </w:tcPr>
          <w:p>
            <w:pPr>
              <w:ind w:left="860"/>
              <w:spacing w:after="0"/>
              <w:rPr>
                <w:sz w:val="20"/>
                <w:szCs w:val="20"/>
                <w:color w:val="auto"/>
              </w:rPr>
            </w:pPr>
            <w:r>
              <w:rPr>
                <w:rFonts w:ascii="Arial" w:cs="Arial" w:eastAsia="Arial" w:hAnsi="Arial"/>
                <w:sz w:val="18"/>
                <w:szCs w:val="18"/>
                <w:b w:val="1"/>
                <w:bCs w:val="1"/>
                <w:color w:val="auto"/>
              </w:rPr>
              <w:t>Senior Vice President and Chief Accounting Officer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AUTHENTICATION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 ______________, 2021</w:t>
      </w:r>
    </w:p>
    <w:p>
      <w:pPr>
        <w:spacing w:after="0" w:line="221" w:lineRule="exact"/>
        <w:rPr>
          <w:sz w:val="20"/>
          <w:szCs w:val="20"/>
          <w:color w:val="auto"/>
        </w:rPr>
      </w:pPr>
    </w:p>
    <w:p>
      <w:pPr>
        <w:ind w:left="3900" w:hanging="10"/>
        <w:spacing w:after="0" w:line="282" w:lineRule="auto"/>
        <w:rPr>
          <w:sz w:val="20"/>
          <w:szCs w:val="20"/>
          <w:color w:val="auto"/>
        </w:rPr>
      </w:pPr>
      <w:r>
        <w:rPr>
          <w:rFonts w:ascii="Arial" w:cs="Arial" w:eastAsia="Arial" w:hAnsi="Arial"/>
          <w:sz w:val="18"/>
          <w:szCs w:val="18"/>
          <w:b w:val="1"/>
          <w:bCs w:val="1"/>
          <w:color w:val="auto"/>
        </w:rPr>
        <w:t>THE BANK OF NEW YORK MELLON TRUST COMPANY, NATIONAL ASSOCIATION</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-10160</wp:posOffset>
            </wp:positionV>
            <wp:extent cx="2286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t>Exhibit 31.1.1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25" w:lineRule="exact"/>
        <w:rPr>
          <w:sz w:val="20"/>
          <w:szCs w:val="20"/>
          <w:color w:val="auto"/>
        </w:rPr>
      </w:pPr>
    </w:p>
    <w:p>
      <w:pPr>
        <w:ind w:left="1300" w:hanging="644"/>
        <w:spacing w:after="0"/>
        <w:tabs>
          <w:tab w:leader="none" w:pos="13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29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00" w:right="20" w:hanging="644"/>
        <w:spacing w:after="0" w:line="308" w:lineRule="auto"/>
        <w:tabs>
          <w:tab w:leader="none" w:pos="129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J. Lesar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5"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t>Exhibit 31.1.2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M. Mercado, certify that:</w:t>
      </w:r>
    </w:p>
    <w:p>
      <w:pPr>
        <w:spacing w:after="0" w:line="225"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00" w:right="20" w:hanging="644"/>
        <w:spacing w:after="0" w:line="308" w:lineRule="auto"/>
        <w:tabs>
          <w:tab w:leader="none" w:pos="129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Kenneth M. Mercado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Kenneth M. Mercado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 President and Chief Executive Officer</w:t>
      </w:r>
    </w:p>
    <w:p>
      <w:pPr>
        <w:sectPr>
          <w:pgSz w:w="11900" w:h="16838" w:orient="portrait"/>
          <w:cols w:equalWidth="0" w:num="1">
            <w:col w:w="11240"/>
          </w:cols>
          <w:pgMar w:left="320" w:top="895"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t>Exhibit 31.1.3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25" w:lineRule="exact"/>
        <w:rPr>
          <w:sz w:val="20"/>
          <w:szCs w:val="20"/>
          <w:color w:val="auto"/>
        </w:rPr>
      </w:pPr>
    </w:p>
    <w:p>
      <w:pPr>
        <w:ind w:left="1280" w:hanging="624"/>
        <w:spacing w:after="0"/>
        <w:tabs>
          <w:tab w:leader="none" w:pos="12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80" w:firstLine="656"/>
        <w:spacing w:after="0" w:line="263" w:lineRule="auto"/>
        <w:tabs>
          <w:tab w:leader="none" w:pos="127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40" w:firstLine="656"/>
        <w:spacing w:after="0" w:line="308" w:lineRule="auto"/>
        <w:tabs>
          <w:tab w:leader="none" w:pos="127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91" w:lineRule="auto"/>
        <w:tabs>
          <w:tab w:leader="none" w:pos="127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ind w:left="1300" w:right="120" w:hanging="644"/>
        <w:spacing w:after="0" w:line="263" w:lineRule="auto"/>
        <w:tabs>
          <w:tab w:leader="none" w:pos="129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0" w:firstLine="656"/>
        <w:spacing w:after="0" w:line="342" w:lineRule="auto"/>
        <w:tabs>
          <w:tab w:leader="none" w:pos="127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left="1300" w:right="460" w:hanging="644"/>
        <w:spacing w:after="0" w:line="342" w:lineRule="auto"/>
        <w:tabs>
          <w:tab w:leader="none" w:pos="129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Scott E. Doyle</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5"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t>Exhibit 31.2.1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25" w:lineRule="exact"/>
        <w:rPr>
          <w:sz w:val="20"/>
          <w:szCs w:val="20"/>
          <w:color w:val="auto"/>
        </w:rPr>
      </w:pPr>
    </w:p>
    <w:p>
      <w:pPr>
        <w:ind w:left="1300" w:hanging="644"/>
        <w:spacing w:after="0"/>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29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00" w:right="20" w:hanging="644"/>
        <w:spacing w:after="0" w:line="308" w:lineRule="auto"/>
        <w:tabs>
          <w:tab w:leader="none" w:pos="129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5"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color w:val="auto"/>
        </w:rPr>
        <w:t>Exhibit 31.2.2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25" w:lineRule="exact"/>
        <w:rPr>
          <w:sz w:val="20"/>
          <w:szCs w:val="20"/>
          <w:color w:val="auto"/>
        </w:rPr>
      </w:pPr>
    </w:p>
    <w:p>
      <w:pPr>
        <w:ind w:left="1300" w:hanging="644"/>
        <w:spacing w:after="0"/>
        <w:tabs>
          <w:tab w:leader="none" w:pos="13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1300" w:right="20" w:hanging="644"/>
        <w:spacing w:after="0" w:line="308" w:lineRule="auto"/>
        <w:tabs>
          <w:tab w:leader="none" w:pos="129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5"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t>Exhibit 31.2.3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25" w:lineRule="exact"/>
        <w:rPr>
          <w:sz w:val="20"/>
          <w:szCs w:val="20"/>
          <w:color w:val="auto"/>
        </w:rPr>
      </w:pPr>
    </w:p>
    <w:p>
      <w:pPr>
        <w:ind w:left="1280" w:hanging="624"/>
        <w:spacing w:after="0"/>
        <w:tabs>
          <w:tab w:leader="none" w:pos="12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80" w:firstLine="656"/>
        <w:spacing w:after="0" w:line="263" w:lineRule="auto"/>
        <w:tabs>
          <w:tab w:leader="none" w:pos="127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40" w:firstLine="656"/>
        <w:spacing w:after="0" w:line="308" w:lineRule="auto"/>
        <w:tabs>
          <w:tab w:leader="none" w:pos="127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91" w:lineRule="auto"/>
        <w:tabs>
          <w:tab w:leader="none" w:pos="127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ind w:left="1300" w:right="120" w:hanging="644"/>
        <w:spacing w:after="0" w:line="263" w:lineRule="auto"/>
        <w:tabs>
          <w:tab w:leader="none" w:pos="129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0" w:firstLine="656"/>
        <w:spacing w:after="0" w:line="342" w:lineRule="auto"/>
        <w:tabs>
          <w:tab w:leader="none" w:pos="127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left="1300" w:right="460" w:hanging="644"/>
        <w:spacing w:after="0" w:line="342" w:lineRule="auto"/>
        <w:tabs>
          <w:tab w:leader="none" w:pos="129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14605</wp:posOffset>
            </wp:positionV>
            <wp:extent cx="29317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Jason P. Wells</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5"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t>Exhibit 32.1.1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March 31, 2021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Lesar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2021</w:t>
      </w:r>
    </w:p>
    <w:p>
      <w:pPr>
        <w:sectPr>
          <w:pgSz w:w="11900" w:h="16838" w:orient="portrait"/>
          <w:cols w:equalWidth="0" w:num="1">
            <w:col w:w="11240"/>
          </w:cols>
          <w:pgMar w:left="320" w:top="895"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t>Exhibit 32.1.2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three months ended March 31, 2021 (the “Report”), as filed with the Securities and Exchange Commission on the date hereof, I, Kenneth M. Mercado, Chief Executive Officer, certify, pursuant to 18 U.S.C. Section 1350, as adopted pursuant to Section 906 of the Sarbanes-Oxley Act of 2002, to the best of my knowledge, that:</w:t>
      </w:r>
    </w:p>
    <w:p>
      <w:pPr>
        <w:spacing w:after="0" w:line="176"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Kenneth M. Mercado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Kenneth M. Mercado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Manager,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2021</w:t>
      </w:r>
    </w:p>
    <w:p>
      <w:pPr>
        <w:sectPr>
          <w:pgSz w:w="11900" w:h="16838" w:orient="portrait"/>
          <w:cols w:equalWidth="0" w:num="1">
            <w:col w:w="11240"/>
          </w:cols>
          <w:pgMar w:left="320" w:top="895"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color w:val="auto"/>
        </w:rPr>
        <w:t>Exhibit 32.1.3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CenterPoint Energy Resources Corp. (the “Company”) on Form 10-Q for the three months ended March 31, 2021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192" w:lineRule="exact"/>
        <w:rPr>
          <w:sz w:val="20"/>
          <w:szCs w:val="20"/>
          <w:color w:val="auto"/>
        </w:rPr>
      </w:pPr>
    </w:p>
    <w:p>
      <w:pPr>
        <w:ind w:left="640" w:hanging="632"/>
        <w:spacing w:after="0"/>
        <w:tabs>
          <w:tab w:leader="none" w:pos="6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03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Doyle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2021</w:t>
      </w:r>
    </w:p>
    <w:p>
      <w:pPr>
        <w:sectPr>
          <w:pgSz w:w="11900" w:h="16838" w:orient="portrait"/>
          <w:cols w:equalWidth="0" w:num="1">
            <w:col w:w="11240"/>
          </w:cols>
          <w:pgMar w:left="320" w:top="895"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color w:val="auto"/>
        </w:rPr>
        <w:t>Exhibit 32.2.1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March 31,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652"/>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2021</w:t>
      </w:r>
    </w:p>
    <w:p>
      <w:pPr>
        <w:sectPr>
          <w:pgSz w:w="11900" w:h="16838" w:orient="portrait"/>
          <w:cols w:equalWidth="0" w:num="1">
            <w:col w:w="11240"/>
          </w:cols>
          <w:pgMar w:left="320" w:top="895"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t>Exhibit 32.2.2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three months ended March 31,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76" w:lineRule="exact"/>
        <w:rPr>
          <w:sz w:val="20"/>
          <w:szCs w:val="20"/>
          <w:color w:val="auto"/>
        </w:rPr>
      </w:pPr>
    </w:p>
    <w:p>
      <w:pPr>
        <w:ind w:left="660" w:hanging="652"/>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2021</w:t>
      </w:r>
    </w:p>
    <w:p>
      <w:pPr>
        <w:sectPr>
          <w:pgSz w:w="11900" w:h="16838" w:orient="portrait"/>
          <w:cols w:equalWidth="0" w:num="1">
            <w:col w:w="11240"/>
          </w:cols>
          <w:pgMar w:left="320" w:top="895"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color w:val="auto"/>
        </w:rPr>
        <w:t>Exhibit 32.2.3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CenterPoint Energy Resources Corp. (the “Company”) on Form 10-Q for the three months ended March 31,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2" w:lineRule="exact"/>
        <w:rPr>
          <w:sz w:val="20"/>
          <w:szCs w:val="20"/>
          <w:color w:val="auto"/>
        </w:rPr>
      </w:pPr>
    </w:p>
    <w:p>
      <w:pPr>
        <w:ind w:left="640" w:hanging="632"/>
        <w:spacing w:after="0"/>
        <w:tabs>
          <w:tab w:leader="none" w:pos="6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2021</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
      <w:numFmt w:val="bullet"/>
      <w:start w:val="1"/>
    </w:lvl>
  </w:abstractNum>
  <w:abstractNum w:abstractNumId="2">
    <w:nsid w:val="5399C654"/>
    <w:multiLevelType w:val="hybridMultilevel"/>
    <w:lvl w:ilvl="0">
      <w:lvlJc w:val="left"/>
      <w:lvlText w:val="•"/>
      <w:numFmt w:val="bullet"/>
      <w:start w:val="1"/>
    </w:lvl>
    <w:lvl w:ilvl="1">
      <w:lvlJc w:val="left"/>
      <w:lvlText w:val="◦"/>
      <w:numFmt w:val="bullet"/>
      <w:start w:val="1"/>
    </w:lvl>
  </w:abstractNum>
  <w:abstractNum w:abstractNumId="3">
    <w:nsid w:val="20EE1348"/>
    <w:multiLevelType w:val="hybridMultilevel"/>
    <w:lvl w:ilvl="0">
      <w:lvlJc w:val="left"/>
      <w:lvlText w:val="•"/>
      <w:numFmt w:val="bullet"/>
      <w:start w:val="1"/>
    </w:lvl>
  </w:abstractNum>
  <w:abstractNum w:abstractNumId="4">
    <w:nsid w:val="4427069A"/>
    <w:multiLevelType w:val="hybridMultilevel"/>
    <w:lvl w:ilvl="0">
      <w:lvlJc w:val="left"/>
      <w:lvlText w:val="•"/>
      <w:numFmt w:val="bullet"/>
      <w:start w:val="1"/>
    </w:lvl>
  </w:abstractNum>
  <w:abstractNum w:abstractNumId="5">
    <w:nsid w:val="B37E80A"/>
    <w:multiLevelType w:val="hybridMultilevel"/>
    <w:lvl w:ilvl="0">
      <w:lvlJc w:val="left"/>
      <w:lvlText w:val="•"/>
      <w:numFmt w:val="bullet"/>
      <w:start w:val="1"/>
    </w:lvl>
    <w:lvl w:ilvl="1">
      <w:lvlJc w:val="left"/>
      <w:lvlText w:val="•"/>
      <w:numFmt w:val="bullet"/>
      <w:start w:val="1"/>
    </w:lvl>
  </w:abstractNum>
  <w:abstractNum w:abstractNumId="6">
    <w:nsid w:val="2157F6BC"/>
    <w:multiLevelType w:val="hybridMultilevel"/>
    <w:lvl w:ilvl="0">
      <w:lvlJc w:val="left"/>
      <w:lvlText w:val="(%1)"/>
      <w:numFmt w:val="decimal"/>
      <w:start w:val="1"/>
    </w:lvl>
  </w:abstractNum>
  <w:abstractNum w:abstractNumId="7">
    <w:nsid w:val="704E1DD5"/>
    <w:multiLevelType w:val="hybridMultilevel"/>
    <w:lvl w:ilvl="0">
      <w:lvlJc w:val="left"/>
      <w:lvlText w:val="(%1)"/>
      <w:numFmt w:val="decimal"/>
      <w:start w:val="4"/>
    </w:lvl>
  </w:abstractNum>
  <w:abstractNum w:abstractNumId="8">
    <w:nsid w:val="57D2F10E"/>
    <w:multiLevelType w:val="hybridMultilevel"/>
    <w:lvl w:ilvl="0">
      <w:lvlJc w:val="left"/>
      <w:lvlText w:val="(%1)"/>
      <w:numFmt w:val="decimal"/>
      <w:start w:val="1"/>
    </w:lvl>
  </w:abstractNum>
  <w:abstractNum w:abstractNumId="9">
    <w:nsid w:val="BFFAE18"/>
    <w:multiLevelType w:val="hybridMultilevel"/>
    <w:lvl w:ilvl="0">
      <w:lvlJc w:val="left"/>
      <w:lvlText w:val="(%1)"/>
      <w:numFmt w:val="decimal"/>
      <w:start w:val="1"/>
    </w:lvl>
  </w:abstractNum>
  <w:abstractNum w:abstractNumId="10">
    <w:nsid w:val="E3E47A8"/>
    <w:multiLevelType w:val="hybridMultilevel"/>
    <w:lvl w:ilvl="0">
      <w:lvlJc w:val="left"/>
      <w:lvlText w:val="(%1)"/>
      <w:numFmt w:val="decimal"/>
      <w:start w:val="1"/>
    </w:lvl>
  </w:abstractNum>
  <w:abstractNum w:abstractNumId="11">
    <w:nsid w:val="2E48F044"/>
    <w:multiLevelType w:val="hybridMultilevel"/>
    <w:lvl w:ilvl="0">
      <w:lvlJc w:val="left"/>
      <w:lvlText w:val="(%1)"/>
      <w:numFmt w:val="decimal"/>
      <w:start w:val="1"/>
    </w:lvl>
  </w:abstractNum>
  <w:abstractNum w:abstractNumId="12">
    <w:nsid w:val="49D0FEAC"/>
    <w:multiLevelType w:val="hybridMultilevel"/>
    <w:lvl w:ilvl="0">
      <w:lvlJc w:val="left"/>
      <w:lvlText w:val="(%1)"/>
      <w:numFmt w:val="decimal"/>
      <w:start w:val="1"/>
    </w:lvl>
  </w:abstractNum>
  <w:abstractNum w:abstractNumId="13">
    <w:nsid w:val="4BEE5A5B"/>
    <w:multiLevelType w:val="hybridMultilevel"/>
    <w:lvl w:ilvl="0">
      <w:lvlJc w:val="left"/>
      <w:lvlText w:val="(%1)"/>
      <w:numFmt w:val="decimal"/>
      <w:start w:val="1"/>
    </w:lvl>
  </w:abstractNum>
  <w:abstractNum w:abstractNumId="14">
    <w:nsid w:val="5551B9F3"/>
    <w:multiLevelType w:val="hybridMultilevel"/>
    <w:lvl w:ilvl="0">
      <w:lvlJc w:val="left"/>
      <w:lvlText w:val="%1"/>
      <w:numFmt w:val="lowerLetter"/>
      <w:start w:val="1"/>
    </w:lvl>
    <w:lvl w:ilvl="1">
      <w:lvlJc w:val="left"/>
      <w:lvlText w:val="(%2)"/>
      <w:numFmt w:val="decimal"/>
      <w:start w:val="1"/>
    </w:lvl>
  </w:abstractNum>
  <w:abstractNum w:abstractNumId="15">
    <w:nsid w:val="24F6AB8E"/>
    <w:multiLevelType w:val="hybridMultilevel"/>
    <w:lvl w:ilvl="0">
      <w:lvlJc w:val="left"/>
      <w:lvlText w:val="(%1)"/>
      <w:numFmt w:val="lowerLetter"/>
      <w:start w:val="3"/>
    </w:lvl>
    <w:lvl w:ilvl="1">
      <w:lvlJc w:val="left"/>
      <w:lvlText w:val="%2"/>
      <w:numFmt w:val="decimal"/>
      <w:start w:val="1"/>
    </w:lvl>
  </w:abstractNum>
  <w:abstractNum w:abstractNumId="16">
    <w:nsid w:val="634C574C"/>
    <w:multiLevelType w:val="hybridMultilevel"/>
    <w:lvl w:ilvl="0">
      <w:lvlJc w:val="left"/>
      <w:lvlText w:val="(%1)"/>
      <w:numFmt w:val="decimal"/>
      <w:start w:val="1"/>
    </w:lvl>
  </w:abstractNum>
  <w:abstractNum w:abstractNumId="17">
    <w:nsid w:val="24E99DD7"/>
    <w:multiLevelType w:val="hybridMultilevel"/>
    <w:lvl w:ilvl="0">
      <w:lvlJc w:val="left"/>
      <w:lvlText w:val="%1"/>
      <w:numFmt w:val="decimal"/>
      <w:start w:val="1"/>
    </w:lvl>
    <w:lvl w:ilvl="1">
      <w:lvlJc w:val="left"/>
      <w:lvlText w:val="(%2)"/>
      <w:numFmt w:val="decimal"/>
      <w:start w:val="1"/>
    </w:lvl>
  </w:abstractNum>
  <w:abstractNum w:abstractNumId="18">
    <w:nsid w:val="2A31B62D"/>
    <w:multiLevelType w:val="hybridMultilevel"/>
    <w:lvl w:ilvl="0">
      <w:lvlJc w:val="left"/>
      <w:lvlText w:val="(%1)"/>
      <w:numFmt w:val="decimal"/>
      <w:start w:val="9"/>
    </w:lvl>
    <w:lvl w:ilvl="1">
      <w:lvlJc w:val="left"/>
      <w:lvlText w:val="%2"/>
      <w:numFmt w:val="decimal"/>
      <w:start w:val="1"/>
    </w:lvl>
  </w:abstractNum>
  <w:abstractNum w:abstractNumId="19">
    <w:nsid w:val="1849C29B"/>
    <w:multiLevelType w:val="hybridMultilevel"/>
    <w:lvl w:ilvl="0">
      <w:lvlJc w:val="left"/>
      <w:lvlText w:val="(%1)"/>
      <w:numFmt w:val="decimal"/>
      <w:start w:val="1"/>
    </w:lvl>
  </w:abstractNum>
  <w:abstractNum w:abstractNumId="20">
    <w:nsid w:val="7DFF9D09"/>
    <w:multiLevelType w:val="hybridMultilevel"/>
    <w:lvl w:ilvl="0">
      <w:lvlJc w:val="left"/>
      <w:lvlText w:val="(%1)"/>
      <w:numFmt w:val="decimal"/>
      <w:start w:val="1"/>
    </w:lvl>
  </w:abstractNum>
  <w:abstractNum w:abstractNumId="21">
    <w:nsid w:val="754342"/>
    <w:multiLevelType w:val="hybridMultilevel"/>
    <w:lvl w:ilvl="0">
      <w:lvlJc w:val="left"/>
      <w:lvlText w:val="(%1)"/>
      <w:numFmt w:val="decimal"/>
      <w:start w:val="1"/>
    </w:lvl>
  </w:abstractNum>
  <w:abstractNum w:abstractNumId="22">
    <w:nsid w:val="69E7F3E5"/>
    <w:multiLevelType w:val="hybridMultilevel"/>
    <w:lvl w:ilvl="0">
      <w:lvlJc w:val="left"/>
      <w:lvlText w:val="%1"/>
      <w:numFmt w:val="decimal"/>
      <w:start w:val="1"/>
    </w:lvl>
    <w:lvl w:ilvl="1">
      <w:lvlJc w:val="left"/>
      <w:lvlText w:val="(%2)"/>
      <w:numFmt w:val="decimal"/>
      <w:start w:val="1"/>
    </w:lvl>
  </w:abstractNum>
  <w:abstractNum w:abstractNumId="23">
    <w:nsid w:val="2A6DE806"/>
    <w:multiLevelType w:val="hybridMultilevel"/>
    <w:lvl w:ilvl="0">
      <w:lvlJc w:val="left"/>
      <w:lvlText w:val="(%1)"/>
      <w:numFmt w:val="decimal"/>
      <w:start w:val="10"/>
    </w:lvl>
    <w:lvl w:ilvl="1">
      <w:lvlJc w:val="left"/>
      <w:lvlText w:val="%2"/>
      <w:numFmt w:val="decimal"/>
      <w:start w:val="1"/>
    </w:lvl>
  </w:abstractNum>
  <w:abstractNum w:abstractNumId="24">
    <w:nsid w:val="1816F8C4"/>
    <w:multiLevelType w:val="hybridMultilevel"/>
    <w:lvl w:ilvl="0">
      <w:lvlJc w:val="left"/>
      <w:lvlText w:val="(%1)"/>
      <w:numFmt w:val="decimal"/>
      <w:start w:val="1"/>
    </w:lvl>
  </w:abstractNum>
  <w:abstractNum w:abstractNumId="25">
    <w:nsid w:val="37DF2233"/>
    <w:multiLevelType w:val="hybridMultilevel"/>
    <w:lvl w:ilvl="0">
      <w:lvlJc w:val="left"/>
      <w:lvlText w:val="(%1)"/>
      <w:numFmt w:val="decimal"/>
      <w:start w:val="11"/>
    </w:lvl>
    <w:lvl w:ilvl="1">
      <w:lvlJc w:val="left"/>
      <w:lvlText w:val="(%2)"/>
      <w:numFmt w:val="lowerLetter"/>
      <w:start w:val="1"/>
    </w:lvl>
  </w:abstractNum>
  <w:abstractNum w:abstractNumId="26">
    <w:nsid w:val="7AB49DAF"/>
    <w:multiLevelType w:val="hybridMultilevel"/>
    <w:lvl w:ilvl="0">
      <w:lvlJc w:val="left"/>
      <w:lvlText w:val="(%1)"/>
      <w:numFmt w:val="decimal"/>
      <w:start w:val="1"/>
    </w:lvl>
  </w:abstractNum>
  <w:abstractNum w:abstractNumId="27">
    <w:nsid w:val="759F82CD"/>
    <w:multiLevelType w:val="hybridMultilevel"/>
    <w:lvl w:ilvl="0">
      <w:lvlJc w:val="left"/>
      <w:lvlText w:val="(%1)"/>
      <w:numFmt w:val="decimal"/>
      <w:start w:val="1"/>
    </w:lvl>
  </w:abstractNum>
  <w:abstractNum w:abstractNumId="28">
    <w:nsid w:val="61E74EA3"/>
    <w:multiLevelType w:val="hybridMultilevel"/>
    <w:lvl w:ilvl="0">
      <w:lvlJc w:val="left"/>
      <w:lvlText w:val="(%1)"/>
      <w:numFmt w:val="decimal"/>
      <w:start w:val="1"/>
    </w:lvl>
  </w:abstractNum>
  <w:abstractNum w:abstractNumId="29">
    <w:nsid w:val="597B4D84"/>
    <w:multiLevelType w:val="hybridMultilevel"/>
    <w:lvl w:ilvl="0">
      <w:lvlJc w:val="left"/>
      <w:lvlText w:val="(%1)"/>
      <w:numFmt w:val="decimal"/>
      <w:start w:val="14"/>
    </w:lvl>
    <w:lvl w:ilvl="1">
      <w:lvlJc w:val="left"/>
      <w:lvlText w:val="(%2)"/>
      <w:numFmt w:val="lowerLetter"/>
      <w:start w:val="1"/>
    </w:lvl>
  </w:abstractNum>
  <w:abstractNum w:abstractNumId="30">
    <w:nsid w:val="F819E7F"/>
    <w:multiLevelType w:val="hybridMultilevel"/>
    <w:lvl w:ilvl="0">
      <w:lvlJc w:val="left"/>
      <w:lvlText w:val="(%1)"/>
      <w:numFmt w:val="decimal"/>
      <w:start w:val="1"/>
    </w:lvl>
  </w:abstractNum>
  <w:abstractNum w:abstractNumId="31">
    <w:nsid w:val="57C7D42D"/>
    <w:multiLevelType w:val="hybridMultilevel"/>
    <w:lvl w:ilvl="0">
      <w:lvlJc w:val="left"/>
      <w:lvlText w:val="(%1)"/>
      <w:numFmt w:val="lowerLetter"/>
      <w:start w:val="4"/>
    </w:lvl>
  </w:abstractNum>
  <w:abstractNum w:abstractNumId="32">
    <w:nsid w:val="312167AD"/>
    <w:multiLevelType w:val="hybridMultilevel"/>
    <w:lvl w:ilvl="0">
      <w:lvlJc w:val="left"/>
      <w:lvlText w:val="(%1)"/>
      <w:numFmt w:val="lowerRoman"/>
      <w:start w:val="1"/>
    </w:lvl>
  </w:abstractNum>
  <w:abstractNum w:abstractNumId="33">
    <w:nsid w:val="631B64D4"/>
    <w:multiLevelType w:val="hybridMultilevel"/>
    <w:lvl w:ilvl="0">
      <w:lvlJc w:val="left"/>
      <w:lvlText w:val="•"/>
      <w:numFmt w:val="bullet"/>
      <w:start w:val="1"/>
    </w:lvl>
  </w:abstractNum>
  <w:abstractNum w:abstractNumId="34">
    <w:nsid w:val="78B5E776"/>
    <w:multiLevelType w:val="hybridMultilevel"/>
    <w:lvl w:ilvl="0">
      <w:lvlJc w:val="left"/>
      <w:lvlText w:val="%1"/>
      <w:numFmt w:val="decimal"/>
      <w:start w:val="1"/>
    </w:lvl>
    <w:lvl w:ilvl="1">
      <w:lvlJc w:val="left"/>
      <w:lvlText w:val="(%2)"/>
      <w:numFmt w:val="decimal"/>
      <w:start w:val="1"/>
    </w:lvl>
  </w:abstractNum>
  <w:abstractNum w:abstractNumId="35">
    <w:nsid w:val="75486E47"/>
    <w:multiLevelType w:val="hybridMultilevel"/>
    <w:lvl w:ilvl="0">
      <w:lvlJc w:val="left"/>
      <w:lvlText w:val="(%1)"/>
      <w:numFmt w:val="decimal"/>
      <w:start w:val="16"/>
    </w:lvl>
    <w:lvl w:ilvl="1">
      <w:lvlJc w:val="left"/>
      <w:lvlText w:val="%2"/>
      <w:numFmt w:val="decimal"/>
      <w:start w:val="1"/>
    </w:lvl>
  </w:abstractNum>
  <w:abstractNum w:abstractNumId="36">
    <w:nsid w:val="6E534CDE"/>
    <w:multiLevelType w:val="hybridMultilevel"/>
    <w:lvl w:ilvl="0">
      <w:lvlJc w:val="left"/>
      <w:lvlText w:val="•"/>
      <w:numFmt w:val="bullet"/>
      <w:start w:val="1"/>
    </w:lvl>
  </w:abstractNum>
  <w:abstractNum w:abstractNumId="37">
    <w:nsid w:val="1A0DDE32"/>
    <w:multiLevelType w:val="hybridMultilevel"/>
    <w:lvl w:ilvl="0">
      <w:lvlJc w:val="left"/>
      <w:lvlText w:val="•"/>
      <w:numFmt w:val="bullet"/>
      <w:start w:val="1"/>
    </w:lvl>
  </w:abstractNum>
  <w:abstractNum w:abstractNumId="38">
    <w:nsid w:val="65968C1C"/>
    <w:multiLevelType w:val="hybridMultilevel"/>
    <w:lvl w:ilvl="0">
      <w:lvlJc w:val="left"/>
      <w:lvlText w:val="•"/>
      <w:numFmt w:val="bullet"/>
      <w:start w:val="1"/>
    </w:lvl>
  </w:abstractNum>
  <w:abstractNum w:abstractNumId="39">
    <w:nsid w:val="46263DEC"/>
    <w:multiLevelType w:val="hybridMultilevel"/>
    <w:lvl w:ilvl="0">
      <w:lvlJc w:val="left"/>
      <w:lvlText w:val="•"/>
      <w:numFmt w:val="bullet"/>
      <w:start w:val="1"/>
    </w:lvl>
  </w:abstractNum>
  <w:abstractNum w:abstractNumId="40">
    <w:nsid w:val="260D8C4A"/>
    <w:multiLevelType w:val="hybridMultilevel"/>
    <w:lvl w:ilvl="0">
      <w:lvlJc w:val="left"/>
      <w:lvlText w:val="(%1)"/>
      <w:numFmt w:val="decimal"/>
      <w:start w:val="2"/>
    </w:lvl>
  </w:abstractNum>
  <w:abstractNum w:abstractNumId="41">
    <w:nsid w:val="73D4D3C4"/>
    <w:multiLevelType w:val="hybridMultilevel"/>
    <w:lvl w:ilvl="0">
      <w:lvlJc w:val="left"/>
      <w:lvlText w:val="(%1)"/>
      <w:numFmt w:val="decimal"/>
      <w:start w:val="1"/>
    </w:lvl>
  </w:abstractNum>
  <w:abstractNum w:abstractNumId="42">
    <w:nsid w:val="746F2E30"/>
    <w:multiLevelType w:val="hybridMultilevel"/>
    <w:lvl w:ilvl="0">
      <w:lvlJc w:val="left"/>
      <w:lvlText w:val="(%1)"/>
      <w:numFmt w:val="decimal"/>
      <w:start w:val="1"/>
    </w:lvl>
  </w:abstractNum>
  <w:abstractNum w:abstractNumId="43">
    <w:nsid w:val="6FDE8AF6"/>
    <w:multiLevelType w:val="hybridMultilevel"/>
    <w:lvl w:ilvl="0">
      <w:lvlJc w:val="left"/>
      <w:lvlText w:val="(%1)"/>
      <w:numFmt w:val="decimal"/>
      <w:start w:val="1"/>
    </w:lvl>
  </w:abstractNum>
  <w:abstractNum w:abstractNumId="44">
    <w:nsid w:val="3FC32E20"/>
    <w:multiLevelType w:val="hybridMultilevel"/>
    <w:lvl w:ilvl="0">
      <w:lvlJc w:val="left"/>
      <w:lvlText w:val="(%1)"/>
      <w:numFmt w:val="decimal"/>
      <w:start w:val="1"/>
    </w:lvl>
  </w:abstractNum>
  <w:abstractNum w:abstractNumId="45">
    <w:nsid w:val="49C0E823"/>
    <w:multiLevelType w:val="hybridMultilevel"/>
    <w:lvl w:ilvl="0">
      <w:lvlJc w:val="left"/>
      <w:lvlText w:val="(%1)"/>
      <w:numFmt w:val="decimal"/>
      <w:start w:val="1"/>
    </w:lvl>
  </w:abstractNum>
  <w:abstractNum w:abstractNumId="46">
    <w:nsid w:val="14D53685"/>
    <w:multiLevelType w:val="hybridMultilevel"/>
    <w:lvl w:ilvl="0">
      <w:lvlJc w:val="left"/>
      <w:lvlText w:val="(%1)"/>
      <w:numFmt w:val="decimal"/>
      <w:start w:val="1"/>
    </w:lvl>
  </w:abstractNum>
  <w:abstractNum w:abstractNumId="47">
    <w:nsid w:val="230F856C"/>
    <w:multiLevelType w:val="hybridMultilevel"/>
    <w:lvl w:ilvl="0">
      <w:lvlJc w:val="left"/>
      <w:lvlText w:val="(%1)"/>
      <w:numFmt w:val="decimal"/>
      <w:start w:val="1"/>
    </w:lvl>
  </w:abstractNum>
  <w:abstractNum w:abstractNumId="48">
    <w:nsid w:val="6EAA85FB"/>
    <w:multiLevelType w:val="hybridMultilevel"/>
    <w:lvl w:ilvl="0">
      <w:lvlJc w:val="left"/>
      <w:lvlText w:val="•"/>
      <w:numFmt w:val="bullet"/>
      <w:start w:val="1"/>
    </w:lvl>
  </w:abstractNum>
  <w:abstractNum w:abstractNumId="49">
    <w:nsid w:val="3F06ECB2"/>
    <w:multiLevelType w:val="hybridMultilevel"/>
    <w:lvl w:ilvl="0">
      <w:lvlJc w:val="left"/>
      <w:lvlText w:val="•"/>
      <w:numFmt w:val="bullet"/>
      <w:start w:val="1"/>
    </w:lvl>
  </w:abstractNum>
  <w:abstractNum w:abstractNumId="50">
    <w:nsid w:val="3B594807"/>
    <w:multiLevelType w:val="hybridMultilevel"/>
    <w:lvl w:ilvl="0">
      <w:lvlJc w:val="left"/>
      <w:lvlText w:val="(%1)"/>
      <w:numFmt w:val="decimal"/>
      <w:start w:val="1"/>
    </w:lvl>
  </w:abstractNum>
  <w:abstractNum w:abstractNumId="51">
    <w:nsid w:val="6CAA2304"/>
    <w:multiLevelType w:val="hybridMultilevel"/>
    <w:lvl w:ilvl="0">
      <w:lvlJc w:val="left"/>
      <w:lvlText w:val="(%1)"/>
      <w:numFmt w:val="decimal"/>
      <w:start w:val="1"/>
    </w:lvl>
  </w:abstractNum>
  <w:abstractNum w:abstractNumId="52">
    <w:nsid w:val="3F7C2FF4"/>
    <w:multiLevelType w:val="hybridMultilevel"/>
    <w:lvl w:ilvl="0">
      <w:lvlJc w:val="left"/>
      <w:lvlText w:val="$"/>
      <w:numFmt w:val="bullet"/>
      <w:start w:val="1"/>
    </w:lvl>
  </w:abstractNum>
  <w:abstractNum w:abstractNumId="53">
    <w:nsid w:val="25413BEC"/>
    <w:multiLevelType w:val="hybridMultilevel"/>
    <w:lvl w:ilvl="0">
      <w:lvlJc w:val="left"/>
      <w:lvlText w:val="$"/>
      <w:numFmt w:val="bullet"/>
      <w:start w:val="1"/>
    </w:lvl>
  </w:abstractNum>
  <w:abstractNum w:abstractNumId="54">
    <w:nsid w:val="17180B0B"/>
    <w:multiLevelType w:val="hybridMultilevel"/>
    <w:lvl w:ilvl="0">
      <w:lvlJc w:val="left"/>
      <w:lvlText w:val="$"/>
      <w:numFmt w:val="bullet"/>
      <w:start w:val="1"/>
    </w:lvl>
  </w:abstractNum>
  <w:abstractNum w:abstractNumId="55">
    <w:nsid w:val="579328B9"/>
    <w:multiLevelType w:val="hybridMultilevel"/>
    <w:lvl w:ilvl="0">
      <w:lvlJc w:val="left"/>
      <w:lvlText w:val="(%1)"/>
      <w:numFmt w:val="decimal"/>
      <w:start w:val="1"/>
    </w:lvl>
  </w:abstractNum>
  <w:abstractNum w:abstractNumId="56">
    <w:nsid w:val="5D205E20"/>
    <w:multiLevelType w:val="hybridMultilevel"/>
    <w:lvl w:ilvl="0">
      <w:lvlJc w:val="left"/>
      <w:lvlText w:val="(%1)"/>
      <w:numFmt w:val="decimal"/>
      <w:start w:val="1"/>
    </w:lvl>
  </w:abstractNum>
  <w:abstractNum w:abstractNumId="57">
    <w:nsid w:val="11CCA8BA"/>
    <w:multiLevelType w:val="hybridMultilevel"/>
    <w:lvl w:ilvl="0">
      <w:lvlJc w:val="left"/>
      <w:lvlText w:val="•"/>
      <w:numFmt w:val="bullet"/>
      <w:start w:val="1"/>
    </w:lvl>
  </w:abstractNum>
  <w:abstractNum w:abstractNumId="58">
    <w:nsid w:val="4D32AB86"/>
    <w:multiLevelType w:val="hybridMultilevel"/>
    <w:lvl w:ilvl="0">
      <w:lvlJc w:val="left"/>
      <w:lvlText w:val="•"/>
      <w:numFmt w:val="bullet"/>
      <w:start w:val="1"/>
    </w:lvl>
  </w:abstractNum>
  <w:abstractNum w:abstractNumId="59">
    <w:nsid w:val="3F07ACC3"/>
    <w:multiLevelType w:val="hybridMultilevel"/>
    <w:lvl w:ilvl="0">
      <w:lvlJc w:val="left"/>
      <w:lvlText w:val="*"/>
      <w:numFmt w:val="bullet"/>
      <w:start w:val="1"/>
    </w:lvl>
  </w:abstractNum>
  <w:abstractNum w:abstractNumId="60">
    <w:nsid w:val="6B47F63E"/>
    <w:multiLevelType w:val="hybridMultilevel"/>
    <w:lvl w:ilvl="0">
      <w:lvlJc w:val="left"/>
      <w:lvlText w:val="(%1)"/>
      <w:numFmt w:val="lowerRoman"/>
      <w:start w:val="7"/>
    </w:lvl>
  </w:abstractNum>
  <w:abstractNum w:abstractNumId="61">
    <w:nsid w:val="5CB44A05"/>
    <w:multiLevelType w:val="hybridMultilevel"/>
    <w:lvl w:ilvl="0">
      <w:lvlJc w:val="left"/>
      <w:lvlText w:val="(%1)"/>
      <w:numFmt w:val="lowerRoman"/>
      <w:start w:val="16"/>
    </w:lvl>
  </w:abstractNum>
  <w:abstractNum w:abstractNumId="62">
    <w:nsid w:val="16CF80F1"/>
    <w:multiLevelType w:val="hybridMultilevel"/>
    <w:lvl w:ilvl="0">
      <w:lvlJc w:val="left"/>
      <w:lvlText w:val="(%1)"/>
      <w:numFmt w:val="lowerRoman"/>
      <w:start w:val="2"/>
    </w:lvl>
  </w:abstractNum>
  <w:abstractNum w:abstractNumId="63">
    <w:nsid w:val="1C695DEC"/>
    <w:multiLevelType w:val="hybridMultilevel"/>
    <w:lvl w:ilvl="0">
      <w:lvlJc w:val="left"/>
      <w:lvlText w:val="(%1)"/>
      <w:numFmt w:val="lowerLetter"/>
      <w:start w:val="5"/>
    </w:lvl>
  </w:abstractNum>
  <w:abstractNum w:abstractNumId="64">
    <w:nsid w:val="3FCFAED9"/>
    <w:multiLevelType w:val="hybridMultilevel"/>
    <w:lvl w:ilvl="0">
      <w:lvlJc w:val="left"/>
      <w:lvlText w:val="(%1)"/>
      <w:numFmt w:val="lowerLetter"/>
      <w:start w:val="2"/>
    </w:lvl>
  </w:abstractNum>
  <w:abstractNum w:abstractNumId="65">
    <w:nsid w:val="F856867"/>
    <w:multiLevelType w:val="hybridMultilevel"/>
    <w:lvl w:ilvl="0">
      <w:lvlJc w:val="left"/>
      <w:lvlText w:val="(%1)"/>
      <w:numFmt w:val="lowerLetter"/>
      <w:start w:val="1"/>
    </w:lvl>
  </w:abstractNum>
  <w:abstractNum w:abstractNumId="66">
    <w:nsid w:val="11B1CC33"/>
    <w:multiLevelType w:val="hybridMultilevel"/>
    <w:lvl w:ilvl="0">
      <w:lvlJc w:val="left"/>
      <w:lvlText w:val="(%1)"/>
      <w:numFmt w:val="lowerLetter"/>
      <w:start w:val="2"/>
    </w:lvl>
  </w:abstractNum>
  <w:abstractNum w:abstractNumId="67">
    <w:nsid w:val="2E22FBB7"/>
    <w:multiLevelType w:val="hybridMultilevel"/>
    <w:lvl w:ilvl="0">
      <w:lvlJc w:val="left"/>
      <w:lvlText w:val="(%1)"/>
      <w:numFmt w:val="lowerLetter"/>
      <w:start w:val="1"/>
    </w:lvl>
    <w:lvl w:ilvl="1">
      <w:lvlJc w:val="left"/>
      <w:lvlText w:val="(%2)"/>
      <w:numFmt w:val="lowerRoman"/>
      <w:start w:val="1"/>
    </w:lvl>
  </w:abstractNum>
  <w:abstractNum w:abstractNumId="68">
    <w:nsid w:val="29934699"/>
    <w:multiLevelType w:val="hybridMultilevel"/>
    <w:lvl w:ilvl="0">
      <w:lvlJc w:val="left"/>
      <w:lvlText w:val="%1"/>
      <w:numFmt w:val="lowerLetter"/>
      <w:start w:val="1"/>
    </w:lvl>
    <w:lvl w:ilvl="1">
      <w:lvlJc w:val="left"/>
      <w:lvlText w:val="(%2)"/>
      <w:numFmt w:val="lowerRoman"/>
      <w:start w:val="7"/>
    </w:lvl>
  </w:abstractNum>
  <w:abstractNum w:abstractNumId="69">
    <w:nsid w:val="77485850"/>
    <w:multiLevelType w:val="hybridMultilevel"/>
    <w:lvl w:ilvl="0">
      <w:lvlJc w:val="left"/>
      <w:lvlText w:val="(%1)"/>
      <w:numFmt w:val="lowerLetter"/>
      <w:start w:val="2"/>
    </w:lvl>
    <w:lvl w:ilvl="1">
      <w:lvlJc w:val="left"/>
      <w:lvlText w:val="%2"/>
      <w:numFmt w:val="lowerRoman"/>
      <w:start w:val="1"/>
    </w:lvl>
  </w:abstractNum>
  <w:abstractNum w:abstractNumId="70">
    <w:nsid w:val="744939A3"/>
    <w:multiLevelType w:val="hybridMultilevel"/>
    <w:lvl w:ilvl="0">
      <w:lvlJc w:val="left"/>
      <w:lvlText w:val="(%1)"/>
      <w:numFmt w:val="lowerLetter"/>
      <w:start w:val="11"/>
    </w:lvl>
  </w:abstractNum>
  <w:abstractNum w:abstractNumId="71">
    <w:nsid w:val="4FA0D2E3"/>
    <w:multiLevelType w:val="hybridMultilevel"/>
    <w:lvl w:ilvl="0">
      <w:lvlJc w:val="left"/>
      <w:lvlText w:val="(%1)"/>
      <w:numFmt w:val="lowerLetter"/>
      <w:start w:val="1"/>
    </w:lvl>
  </w:abstractNum>
  <w:abstractNum w:abstractNumId="72">
    <w:nsid w:val="6B1D2C14"/>
    <w:multiLevelType w:val="hybridMultilevel"/>
    <w:lvl w:ilvl="0">
      <w:lvlJc w:val="left"/>
      <w:lvlText w:val="(%1)"/>
      <w:numFmt w:val="lowerLetter"/>
      <w:start w:val="7"/>
    </w:lvl>
  </w:abstractNum>
  <w:abstractNum w:abstractNumId="73">
    <w:nsid w:val="68B867D3"/>
    <w:multiLevelType w:val="hybridMultilevel"/>
    <w:lvl w:ilvl="0">
      <w:lvlJc w:val="left"/>
      <w:lvlText w:val="(%1)"/>
      <w:numFmt w:val="lowerLetter"/>
      <w:start w:val="16"/>
    </w:lvl>
  </w:abstractNum>
  <w:abstractNum w:abstractNumId="74">
    <w:nsid w:val="3F7F5DD9"/>
    <w:multiLevelType w:val="hybridMultilevel"/>
    <w:lvl w:ilvl="0">
      <w:lvlJc w:val="left"/>
      <w:lvlText w:val="(%1)"/>
      <w:numFmt w:val="lowerLetter"/>
      <w:start w:val="1"/>
    </w:lvl>
  </w:abstractNum>
  <w:abstractNum w:abstractNumId="75">
    <w:nsid w:val="2AE05A34"/>
    <w:multiLevelType w:val="hybridMultilevel"/>
    <w:lvl w:ilvl="0">
      <w:lvlJc w:val="left"/>
      <w:lvlText w:val="(%1)"/>
      <w:numFmt w:val="lowerLetter"/>
      <w:start w:val="4"/>
    </w:lvl>
  </w:abstractNum>
  <w:abstractNum w:abstractNumId="76">
    <w:nsid w:val="32794FF7"/>
    <w:multiLevelType w:val="hybridMultilevel"/>
    <w:lvl w:ilvl="0">
      <w:lvlJc w:val="left"/>
      <w:lvlText w:val="%1"/>
      <w:numFmt w:val="lowerLetter"/>
      <w:start w:val="1"/>
    </w:lvl>
    <w:lvl w:ilvl="1">
      <w:lvlJc w:val="left"/>
      <w:lvlText w:val="(%2)"/>
      <w:numFmt w:val="lowerLetter"/>
      <w:start w:val="1"/>
    </w:lvl>
  </w:abstractNum>
  <w:abstractNum w:abstractNumId="77">
    <w:nsid w:val="5454945E"/>
    <w:multiLevelType w:val="hybridMultilevel"/>
    <w:lvl w:ilvl="0">
      <w:lvlJc w:val="left"/>
      <w:lvlText w:val="(%1)"/>
      <w:numFmt w:val="lowerLetter"/>
      <w:start w:val="9"/>
    </w:lvl>
    <w:lvl w:ilvl="1">
      <w:lvlJc w:val="left"/>
      <w:lvlText w:val="(%2)"/>
      <w:numFmt w:val="lowerLetter"/>
      <w:start w:val="5"/>
    </w:lvl>
  </w:abstractNum>
  <w:abstractNum w:abstractNumId="78">
    <w:nsid w:val="4DEFDFA0"/>
    <w:multiLevelType w:val="hybridMultilevel"/>
    <w:lvl w:ilvl="0">
      <w:lvlJc w:val="left"/>
      <w:lvlText w:val="(%1)"/>
      <w:numFmt w:val="lowerLetter"/>
      <w:start w:val="9"/>
    </w:lvl>
  </w:abstractNum>
  <w:abstractNum w:abstractNumId="79">
    <w:nsid w:val="2123D5F2"/>
    <w:multiLevelType w:val="hybridMultilevel"/>
    <w:lvl w:ilvl="0">
      <w:lvlJc w:val="left"/>
      <w:lvlText w:val="(%1)"/>
      <w:numFmt w:val="lowerLetter"/>
      <w:start w:val="1"/>
    </w:lvl>
  </w:abstractNum>
  <w:abstractNum w:abstractNumId="80">
    <w:nsid w:val="135B8110"/>
    <w:multiLevelType w:val="hybridMultilevel"/>
    <w:lvl w:ilvl="0">
      <w:lvlJc w:val="left"/>
      <w:lvlText w:val="(%1)"/>
      <w:numFmt w:val="lowerLetter"/>
      <w:start w:val="3"/>
    </w:lvl>
  </w:abstractNum>
  <w:abstractNum w:abstractNumId="81">
    <w:nsid w:val="94927A8"/>
    <w:multiLevelType w:val="hybridMultilevel"/>
    <w:lvl w:ilvl="0">
      <w:lvlJc w:val="left"/>
      <w:lvlText w:val="(%1)"/>
      <w:numFmt w:val="lowerLetter"/>
      <w:start w:val="5"/>
    </w:lvl>
  </w:abstractNum>
  <w:abstractNum w:abstractNumId="82">
    <w:nsid w:val="DCDF8F6"/>
    <w:multiLevelType w:val="hybridMultilevel"/>
    <w:lvl w:ilvl="0">
      <w:lvlJc w:val="left"/>
      <w:lvlText w:val="(%1)"/>
      <w:numFmt w:val="lowerLetter"/>
      <w:start w:val="1"/>
    </w:lvl>
  </w:abstractNum>
  <w:abstractNum w:abstractNumId="83">
    <w:nsid w:val="52D7B105"/>
    <w:multiLevelType w:val="hybridMultilevel"/>
    <w:lvl w:ilvl="0">
      <w:lvlJc w:val="left"/>
      <w:lvlText w:val="(%1)"/>
      <w:numFmt w:val="lowerLetter"/>
      <w:start w:val="2"/>
    </w:lvl>
  </w:abstractNum>
  <w:abstractNum w:abstractNumId="84">
    <w:nsid w:val="2E8A6394"/>
    <w:multiLevelType w:val="hybridMultilevel"/>
    <w:lvl w:ilvl="0">
      <w:lvlJc w:val="left"/>
      <w:lvlText w:val="(%1)"/>
      <w:numFmt w:val="lowerLetter"/>
      <w:start w:val="1"/>
    </w:lvl>
  </w:abstractNum>
  <w:abstractNum w:abstractNumId="85">
    <w:nsid w:val="24E60401"/>
    <w:multiLevelType w:val="hybridMultilevel"/>
    <w:lvl w:ilvl="0">
      <w:lvlJc w:val="left"/>
      <w:lvlText w:val="(%1)"/>
      <w:numFmt w:val="lowerLetter"/>
      <w:start w:val="5"/>
    </w:lvl>
  </w:abstractNum>
  <w:abstractNum w:abstractNumId="86">
    <w:nsid w:val="2A6AD9BE"/>
    <w:multiLevelType w:val="hybridMultilevel"/>
    <w:lvl w:ilvl="0">
      <w:lvlJc w:val="left"/>
      <w:lvlText w:val="(%1)"/>
      <w:numFmt w:val="lowerLetter"/>
      <w:start w:val="1"/>
    </w:lvl>
  </w:abstractNum>
  <w:abstractNum w:abstractNumId="87">
    <w:nsid w:val="BAAC1B4"/>
    <w:multiLevelType w:val="hybridMultilevel"/>
    <w:lvl w:ilvl="0">
      <w:lvlJc w:val="left"/>
      <w:lvlText w:val="(%1)"/>
      <w:numFmt w:val="lowerLetter"/>
      <w:start w:val="4"/>
    </w:lvl>
  </w:abstractNum>
  <w:abstractNum w:abstractNumId="88">
    <w:nsid w:val="36B2ACBC"/>
    <w:multiLevelType w:val="hybridMultilevel"/>
    <w:lvl w:ilvl="0">
      <w:lvlJc w:val="left"/>
      <w:lvlText w:val="(%1)"/>
      <w:numFmt w:val="lowerLetter"/>
      <w:start w:val="1"/>
    </w:lvl>
  </w:abstractNum>
  <w:abstractNum w:abstractNumId="89">
    <w:nsid w:val="779D8544"/>
    <w:multiLevelType w:val="hybridMultilevel"/>
    <w:lvl w:ilvl="0">
      <w:lvlJc w:val="left"/>
      <w:lvlText w:val="(%1)"/>
      <w:numFmt w:val="lowerLetter"/>
      <w:start w:val="1"/>
    </w:lvl>
  </w:abstractNum>
  <w:abstractNum w:abstractNumId="90">
    <w:nsid w:val="4AB26E78"/>
    <w:multiLevelType w:val="hybridMultilevel"/>
    <w:lvl w:ilvl="0">
      <w:lvlJc w:val="left"/>
      <w:lvlText w:val="(%1)"/>
      <w:numFmt w:val="lowerLetter"/>
      <w:start w:val="1"/>
    </w:lvl>
    <w:lvl w:ilvl="1">
      <w:lvlJc w:val="left"/>
      <w:lvlText w:val="(%2)"/>
      <w:numFmt w:val="lowerLetter"/>
      <w:start w:val="9"/>
    </w:lvl>
  </w:abstractNum>
  <w:abstractNum w:abstractNumId="91">
    <w:nsid w:val="21FAA2FA"/>
    <w:multiLevelType w:val="hybridMultilevel"/>
    <w:lvl w:ilvl="0">
      <w:lvlJc w:val="left"/>
      <w:lvlText w:val="%1"/>
      <w:numFmt w:val="upperLetter"/>
      <w:start w:val="1"/>
    </w:lvl>
    <w:lvl w:ilvl="1">
      <w:lvlJc w:val="left"/>
      <w:lvlText w:val="(%2)"/>
      <w:numFmt w:val="lowerRoman"/>
      <w:start w:val="2"/>
    </w:lvl>
  </w:abstractNum>
  <w:abstractNum w:abstractNumId="92">
    <w:nsid w:val="5451CF49"/>
    <w:multiLevelType w:val="hybridMultilevel"/>
    <w:lvl w:ilvl="0">
      <w:lvlJc w:val="left"/>
      <w:lvlText w:val="(%1)"/>
      <w:numFmt w:val="upperLetter"/>
      <w:start w:val="2"/>
    </w:lvl>
    <w:lvl w:ilvl="1">
      <w:lvlJc w:val="left"/>
      <w:lvlText w:val="(%2)"/>
      <w:numFmt w:val="lowerRoman"/>
      <w:start w:val="5"/>
    </w:lvl>
  </w:abstractNum>
  <w:abstractNum w:abstractNumId="93">
    <w:nsid w:val="6181EF69"/>
    <w:multiLevelType w:val="hybridMultilevel"/>
    <w:lvl w:ilvl="0">
      <w:lvlJc w:val="left"/>
      <w:lvlText w:val="%1"/>
      <w:numFmt w:val="lowerLetter"/>
      <w:start w:val="1"/>
    </w:lvl>
    <w:lvl w:ilvl="1">
      <w:lvlJc w:val="left"/>
      <w:lvlText w:val="(%2)"/>
      <w:numFmt w:val="lowerRoman"/>
      <w:start w:val="10"/>
    </w:lvl>
  </w:abstractNum>
  <w:abstractNum w:abstractNumId="94">
    <w:nsid w:val="3E6400E6"/>
    <w:multiLevelType w:val="hybridMultilevel"/>
    <w:lvl w:ilvl="0">
      <w:lvlJc w:val="left"/>
      <w:lvlText w:val="(%1)"/>
      <w:numFmt w:val="lowerLetter"/>
      <w:start w:val="2"/>
    </w:lvl>
    <w:lvl w:ilvl="1">
      <w:lvlJc w:val="left"/>
      <w:lvlText w:val="%2"/>
      <w:numFmt w:val="lowerRoman"/>
      <w:start w:val="1"/>
    </w:lvl>
  </w:abstractNum>
  <w:abstractNum w:abstractNumId="95">
    <w:nsid w:val="14217E23"/>
    <w:multiLevelType w:val="hybridMultilevel"/>
    <w:lvl w:ilvl="0">
      <w:lvlJc w:val="left"/>
      <w:lvlText w:val="%1"/>
      <w:numFmt w:val="upperLetter"/>
      <w:start w:val="1"/>
    </w:lvl>
    <w:lvl w:ilvl="1">
      <w:lvlJc w:val="left"/>
      <w:lvlText w:val="(%2)"/>
      <w:numFmt w:val="lowerLetter"/>
      <w:start w:val="1"/>
    </w:lvl>
  </w:abstractNum>
  <w:abstractNum w:abstractNumId="96">
    <w:nsid w:val="710757D0"/>
    <w:multiLevelType w:val="hybridMultilevel"/>
    <w:lvl w:ilvl="0">
      <w:lvlJc w:val="left"/>
      <w:lvlText w:val="(%1)"/>
      <w:numFmt w:val="upperLetter"/>
      <w:start w:val="1"/>
    </w:lvl>
    <w:lvl w:ilvl="1">
      <w:lvlJc w:val="left"/>
      <w:lvlText w:val="(%2)"/>
      <w:numFmt w:val="lowerLetter"/>
      <w:start w:val="3"/>
    </w:lvl>
  </w:abstractNum>
  <w:abstractNum w:abstractNumId="97">
    <w:nsid w:val="5015CD1A"/>
    <w:multiLevelType w:val="hybridMultilevel"/>
    <w:lvl w:ilvl="0">
      <w:lvlJc w:val="left"/>
      <w:lvlText w:val="(%1)"/>
      <w:numFmt w:val="lowerLetter"/>
      <w:start w:val="1"/>
    </w:lvl>
  </w:abstractNum>
  <w:abstractNum w:abstractNumId="98">
    <w:nsid w:val="424479DA"/>
    <w:multiLevelType w:val="hybridMultilevel"/>
    <w:lvl w:ilvl="0">
      <w:lvlJc w:val="left"/>
      <w:lvlText w:val="(%1)"/>
      <w:numFmt w:val="lowerLetter"/>
      <w:start w:val="1"/>
    </w:lvl>
  </w:abstractNum>
  <w:abstractNum w:abstractNumId="99">
    <w:nsid w:val="1A9A9E69"/>
    <w:multiLevelType w:val="hybridMultilevel"/>
    <w:lvl w:ilvl="0">
      <w:lvlJc w:val="left"/>
      <w:lvlText w:val="%1"/>
      <w:numFmt w:val="lowerLetter"/>
      <w:start w:val="1"/>
    </w:lvl>
    <w:lvl w:ilvl="1">
      <w:lvlJc w:val="left"/>
      <w:lvlText w:val="(%2)"/>
      <w:numFmt w:val="lowerLetter"/>
      <w:start w:val="1"/>
    </w:lvl>
  </w:abstractNum>
  <w:abstractNum w:abstractNumId="100">
    <w:nsid w:val="475E256A"/>
    <w:multiLevelType w:val="hybridMultilevel"/>
    <w:lvl w:ilvl="0">
      <w:lvlJc w:val="left"/>
      <w:lvlText w:val="(%1)"/>
      <w:numFmt w:val="lowerLetter"/>
      <w:start w:val="61"/>
    </w:lvl>
    <w:lvl w:ilvl="1">
      <w:lvlJc w:val="left"/>
      <w:lvlText w:val="(%2)"/>
      <w:numFmt w:val="lowerLetter"/>
      <w:start w:val="2"/>
    </w:lvl>
  </w:abstractNum>
  <w:abstractNum w:abstractNumId="101">
    <w:nsid w:val="368DB37E"/>
    <w:multiLevelType w:val="hybridMultilevel"/>
    <w:lvl w:ilvl="0">
      <w:lvlJc w:val="left"/>
      <w:lvlText w:val="(%1)"/>
      <w:numFmt w:val="lowerLetter"/>
      <w:start w:val="1"/>
    </w:lvl>
  </w:abstractNum>
  <w:abstractNum w:abstractNumId="102">
    <w:nsid w:val="6A3B714C"/>
    <w:multiLevelType w:val="hybridMultilevel"/>
    <w:lvl w:ilvl="0">
      <w:lvlJc w:val="left"/>
      <w:lvlText w:val="(%1)"/>
      <w:numFmt w:val="lowerLetter"/>
      <w:start w:val="1"/>
    </w:lvl>
  </w:abstractNum>
  <w:abstractNum w:abstractNumId="103">
    <w:nsid w:val="327B517E"/>
    <w:multiLevelType w:val="hybridMultilevel"/>
    <w:lvl w:ilvl="0">
      <w:lvlJc w:val="left"/>
      <w:lvlText w:val="(%1)"/>
      <w:numFmt w:val="lowerLetter"/>
      <w:start w:val="1"/>
    </w:lvl>
    <w:lvl w:ilvl="1">
      <w:lvlJc w:val="left"/>
      <w:lvlText w:val="(%2)"/>
      <w:numFmt w:val="lowerRoman"/>
      <w:start w:val="1"/>
    </w:lvl>
  </w:abstractNum>
  <w:abstractNum w:abstractNumId="104">
    <w:nsid w:val="1F461B51"/>
    <w:multiLevelType w:val="hybridMultilevel"/>
    <w:lvl w:ilvl="0">
      <w:lvlJc w:val="left"/>
      <w:lvlText w:val="%1"/>
      <w:numFmt w:val="lowerLetter"/>
      <w:start w:val="1"/>
    </w:lvl>
    <w:lvl w:ilvl="1">
      <w:lvlJc w:val="left"/>
      <w:lvlText w:val="(%2)"/>
      <w:numFmt w:val="lowerRoman"/>
      <w:start w:val="5"/>
    </w:lvl>
  </w:abstractNum>
  <w:abstractNum w:abstractNumId="105">
    <w:nsid w:val="29BACF25"/>
    <w:multiLevelType w:val="hybridMultilevel"/>
    <w:lvl w:ilvl="0">
      <w:lvlJc w:val="left"/>
      <w:lvlText w:val="(%1)"/>
      <w:numFmt w:val="lowerLetter"/>
      <w:start w:val="4"/>
    </w:lvl>
    <w:lvl w:ilvl="1">
      <w:lvlJc w:val="left"/>
      <w:lvlText w:val="%2"/>
      <w:numFmt w:val="lowerRoman"/>
      <w:start w:val="1"/>
    </w:lvl>
  </w:abstractNum>
  <w:abstractNum w:abstractNumId="106">
    <w:nsid w:val="5D5BABB3"/>
    <w:multiLevelType w:val="hybridMultilevel"/>
    <w:lvl w:ilvl="0">
      <w:lvlJc w:val="left"/>
      <w:lvlText w:val="(%1)"/>
      <w:numFmt w:val="lowerLetter"/>
      <w:start w:val="1"/>
    </w:lvl>
  </w:abstractNum>
  <w:abstractNum w:abstractNumId="107">
    <w:nsid w:val="51BF6B48"/>
    <w:multiLevelType w:val="hybridMultilevel"/>
    <w:lvl w:ilvl="0">
      <w:lvlJc w:val="left"/>
      <w:lvlText w:val="(%1)"/>
      <w:numFmt w:val="lowerLetter"/>
      <w:start w:val="3"/>
    </w:lvl>
  </w:abstractNum>
  <w:abstractNum w:abstractNumId="108">
    <w:nsid w:val="7E0F6384"/>
    <w:multiLevelType w:val="hybridMultilevel"/>
    <w:lvl w:ilvl="0">
      <w:lvlJc w:val="left"/>
      <w:lvlText w:val="(%1)"/>
      <w:numFmt w:val="lowerLetter"/>
      <w:start w:val="1"/>
    </w:lvl>
  </w:abstractNum>
  <w:abstractNum w:abstractNumId="109">
    <w:nsid w:val="2B4B8B53"/>
    <w:multiLevelType w:val="hybridMultilevel"/>
    <w:lvl w:ilvl="0">
      <w:lvlJc w:val="left"/>
      <w:lvlText w:val="(%1)"/>
      <w:numFmt w:val="lowerLetter"/>
      <w:start w:val="1"/>
    </w:lvl>
  </w:abstractNum>
  <w:abstractNum w:abstractNumId="110">
    <w:nsid w:val="72E3413A"/>
    <w:multiLevelType w:val="hybridMultilevel"/>
    <w:lvl w:ilvl="0">
      <w:lvlJc w:val="left"/>
      <w:lvlText w:val="(%1)"/>
      <w:numFmt w:val="lowerLetter"/>
      <w:start w:val="1"/>
    </w:lvl>
  </w:abstractNum>
  <w:abstractNum w:abstractNumId="111">
    <w:nsid w:val="116AE494"/>
    <w:multiLevelType w:val="hybridMultilevel"/>
    <w:lvl w:ilvl="0">
      <w:lvlJc w:val="left"/>
      <w:lvlText w:val="(%1)"/>
      <w:numFmt w:val="lowerLetter"/>
      <w:start w:val="2"/>
    </w:lvl>
  </w:abstractNum>
  <w:abstractNum w:abstractNumId="112">
    <w:nsid w:val="3494B2FB"/>
    <w:multiLevelType w:val="hybridMultilevel"/>
    <w:lvl w:ilvl="0">
      <w:lvlJc w:val="left"/>
      <w:lvlText w:val="(%1)"/>
      <w:numFmt w:val="lowerLetter"/>
      <w:start w:val="4"/>
    </w:lvl>
  </w:abstractNum>
  <w:abstractNum w:abstractNumId="113">
    <w:nsid w:val="B13A31"/>
    <w:multiLevelType w:val="hybridMultilevel"/>
    <w:lvl w:ilvl="0">
      <w:lvlJc w:val="left"/>
      <w:lvlText w:val="(%1)"/>
      <w:numFmt w:val="lowerLetter"/>
      <w:start w:val="1"/>
    </w:lvl>
  </w:abstractNum>
  <w:abstractNum w:abstractNumId="114">
    <w:nsid w:val="64429599"/>
    <w:multiLevelType w:val="hybridMultilevel"/>
    <w:lvl w:ilvl="0">
      <w:lvlJc w:val="left"/>
      <w:lvlText w:val="."/>
      <w:numFmt w:val="bullet"/>
      <w:start w:val="1"/>
    </w:lvl>
  </w:abstractNum>
  <w:abstractNum w:abstractNumId="115">
    <w:nsid w:val="631F1690"/>
    <w:multiLevelType w:val="hybridMultilevel"/>
    <w:lvl w:ilvl="0">
      <w:lvlJc w:val="left"/>
      <w:lvlText w:val="(%1)"/>
      <w:numFmt w:val="lowerLetter"/>
      <w:start w:val="1"/>
    </w:lvl>
    <w:lvl w:ilvl="1">
      <w:lvlJc w:val="left"/>
      <w:lvlText w:val="(%2)"/>
      <w:numFmt w:val="lowerRoman"/>
      <w:start w:val="1"/>
    </w:lvl>
  </w:abstractNum>
  <w:abstractNum w:abstractNumId="116">
    <w:nsid w:val="25973E32"/>
    <w:multiLevelType w:val="hybridMultilevel"/>
    <w:lvl w:ilvl="0">
      <w:lvlJc w:val="left"/>
      <w:lvlText w:val="(%1)"/>
      <w:numFmt w:val="lowerRoman"/>
      <w:start w:val="5"/>
    </w:lvl>
  </w:abstractNum>
  <w:abstractNum w:abstractNumId="117">
    <w:nsid w:val="EAD6F57"/>
    <w:multiLevelType w:val="hybridMultilevel"/>
    <w:lvl w:ilvl="0">
      <w:lvlJc w:val="left"/>
      <w:lvlText w:val="%1"/>
      <w:numFmt w:val="lowerLetter"/>
      <w:start w:val="1"/>
    </w:lvl>
    <w:lvl w:ilvl="1">
      <w:lvlJc w:val="left"/>
      <w:lvlText w:val="(%2)"/>
      <w:numFmt w:val="lowerRoman"/>
      <w:start w:val="12"/>
    </w:lvl>
  </w:abstractNum>
  <w:abstractNum w:abstractNumId="118">
    <w:nsid w:val="6EC9D844"/>
    <w:multiLevelType w:val="hybridMultilevel"/>
    <w:lvl w:ilvl="0">
      <w:lvlJc w:val="left"/>
      <w:lvlText w:val="(%1)"/>
      <w:numFmt w:val="lowerLetter"/>
      <w:start w:val="2"/>
    </w:lvl>
    <w:lvl w:ilvl="1">
      <w:lvlJc w:val="left"/>
      <w:lvlText w:val="%2"/>
      <w:numFmt w:val="lowerRoman"/>
      <w:start w:val="1"/>
    </w:lvl>
  </w:abstractNum>
  <w:abstractNum w:abstractNumId="119">
    <w:nsid w:val="5C49EAEE"/>
    <w:multiLevelType w:val="hybridMultilevel"/>
    <w:lvl w:ilvl="0">
      <w:lvlJc w:val="left"/>
      <w:lvlText w:val="%1"/>
      <w:numFmt w:val="lowerLetter"/>
      <w:start w:val="1"/>
    </w:lvl>
    <w:lvl w:ilvl="1">
      <w:lvlJc w:val="left"/>
      <w:lvlText w:val="(%2)"/>
      <w:numFmt w:val="lowerLetter"/>
      <w:start w:val="5"/>
    </w:lvl>
  </w:abstractNum>
  <w:abstractNum w:abstractNumId="120">
    <w:nsid w:val="64AF49B"/>
    <w:multiLevelType w:val="hybridMultilevel"/>
    <w:lvl w:ilvl="0">
      <w:lvlJc w:val="left"/>
      <w:lvlText w:val="(%1)"/>
      <w:numFmt w:val="lowerLetter"/>
      <w:start w:val="9"/>
    </w:lvl>
    <w:lvl w:ilvl="1">
      <w:lvlJc w:val="left"/>
      <w:lvlText w:val="%2"/>
      <w:numFmt w:val="lowerLetter"/>
      <w:start w:val="1"/>
    </w:lvl>
  </w:abstractNum>
  <w:abstractNum w:abstractNumId="121">
    <w:nsid w:val="397C46BC"/>
    <w:multiLevelType w:val="hybridMultilevel"/>
    <w:lvl w:ilvl="0">
      <w:lvlJc w:val="left"/>
      <w:lvlText w:val="(%1)"/>
      <w:numFmt w:val="lowerLetter"/>
      <w:start w:val="1"/>
    </w:lvl>
  </w:abstractNum>
  <w:abstractNum w:abstractNumId="122">
    <w:nsid w:val="7E448DE9"/>
    <w:multiLevelType w:val="hybridMultilevel"/>
    <w:lvl w:ilvl="0">
      <w:lvlJc w:val="left"/>
      <w:lvlText w:val="(%1)"/>
      <w:numFmt w:val="lowerLetter"/>
      <w:start w:val="2"/>
    </w:lvl>
  </w:abstractNum>
  <w:abstractNum w:abstractNumId="123">
    <w:nsid w:val="5A9CC3E5"/>
    <w:multiLevelType w:val="hybridMultilevel"/>
    <w:lvl w:ilvl="0">
      <w:lvlJc w:val="left"/>
      <w:lvlText w:val="(%1)"/>
      <w:numFmt w:val="lowerLetter"/>
      <w:start w:val="1"/>
    </w:lvl>
  </w:abstractNum>
  <w:abstractNum w:abstractNumId="124">
    <w:nsid w:val="1AFE3625"/>
    <w:multiLevelType w:val="hybridMultilevel"/>
    <w:lvl w:ilvl="0">
      <w:lvlJc w:val="left"/>
      <w:lvlText w:val="(%1)"/>
      <w:numFmt w:val="lowerLetter"/>
      <w:start w:val="3"/>
    </w:lvl>
  </w:abstractNum>
  <w:abstractNum w:abstractNumId="125">
    <w:nsid w:val="3CA88ECF"/>
    <w:multiLevelType w:val="hybridMultilevel"/>
    <w:lvl w:ilvl="0">
      <w:lvlJc w:val="left"/>
      <w:lvlText w:val="."/>
      <w:numFmt w:val="bullet"/>
      <w:start w:val="1"/>
    </w:lvl>
  </w:abstractNum>
  <w:abstractNum w:abstractNumId="126">
    <w:nsid w:val="6EBE4208"/>
    <w:multiLevelType w:val="hybridMultilevel"/>
    <w:lvl w:ilvl="0">
      <w:lvlJc w:val="left"/>
      <w:lvlText w:val="(%1)"/>
      <w:numFmt w:val="lowerLetter"/>
      <w:start w:val="1"/>
    </w:lvl>
  </w:abstractNum>
  <w:abstractNum w:abstractNumId="127">
    <w:nsid w:val="C058DF5"/>
    <w:multiLevelType w:val="hybridMultilevel"/>
    <w:lvl w:ilvl="0">
      <w:lvlJc w:val="left"/>
      <w:lvlText w:val="(%1)"/>
      <w:numFmt w:val="lowerLetter"/>
      <w:start w:val="3"/>
    </w:lvl>
  </w:abstractNum>
  <w:abstractNum w:abstractNumId="128">
    <w:nsid w:val="CBE5BE9"/>
    <w:multiLevelType w:val="hybridMultilevel"/>
    <w:lvl w:ilvl="0">
      <w:lvlJc w:val="left"/>
      <w:lvlText w:val="(%1)"/>
      <w:numFmt w:val="lowerRoman"/>
      <w:start w:val="1"/>
    </w:lvl>
  </w:abstractNum>
  <w:abstractNum w:abstractNumId="129">
    <w:nsid w:val="3102BBE2"/>
    <w:multiLevelType w:val="hybridMultilevel"/>
    <w:lvl w:ilvl="0">
      <w:lvlJc w:val="left"/>
      <w:lvlText w:val="(%1)"/>
      <w:numFmt w:val="lowerLetter"/>
      <w:start w:val="5"/>
    </w:lvl>
  </w:abstractNum>
  <w:abstractNum w:abstractNumId="130">
    <w:nsid w:val="26A02C5E"/>
    <w:multiLevelType w:val="hybridMultilevel"/>
    <w:lvl w:ilvl="0">
      <w:lvlJc w:val="left"/>
      <w:lvlText w:val="(%1)"/>
      <w:numFmt w:val="lowerLetter"/>
      <w:start w:val="1"/>
    </w:lvl>
  </w:abstractNum>
  <w:abstractNum w:abstractNumId="131">
    <w:nsid w:val="541C8153"/>
    <w:multiLevelType w:val="hybridMultilevel"/>
    <w:lvl w:ilvl="0">
      <w:lvlJc w:val="left"/>
      <w:lvlText w:val="(%1)"/>
      <w:numFmt w:val="lowerLetter"/>
      <w:start w:val="2"/>
    </w:lvl>
  </w:abstractNum>
  <w:abstractNum w:abstractNumId="132">
    <w:nsid w:val="67906F60"/>
    <w:multiLevelType w:val="hybridMultilevel"/>
    <w:lvl w:ilvl="0">
      <w:lvlJc w:val="left"/>
      <w:lvlText w:val="(%1)"/>
      <w:numFmt w:val="lowerLetter"/>
      <w:start w:val="4"/>
    </w:lvl>
  </w:abstractNum>
  <w:abstractNum w:abstractNumId="133">
    <w:nsid w:val="10DB9DAA"/>
    <w:multiLevelType w:val="hybridMultilevel"/>
    <w:lvl w:ilvl="0">
      <w:lvlJc w:val="left"/>
      <w:lvlText w:val="%1"/>
      <w:numFmt w:val="upperLetter"/>
      <w:start w:val="1"/>
    </w:lvl>
    <w:lvl w:ilvl="1">
      <w:lvlJc w:val="left"/>
      <w:lvlText w:val="(%2)"/>
      <w:numFmt w:val="lowerLetter"/>
      <w:start w:val="1"/>
    </w:lvl>
  </w:abstractNum>
  <w:abstractNum w:abstractNumId="134">
    <w:nsid w:val="697D2D2"/>
    <w:multiLevelType w:val="hybridMultilevel"/>
    <w:lvl w:ilvl="0">
      <w:lvlJc w:val="left"/>
      <w:lvlText w:val="(%1)"/>
      <w:numFmt w:val="upperLetter"/>
      <w:start w:val="2"/>
    </w:lvl>
    <w:lvl w:ilvl="1">
      <w:lvlJc w:val="left"/>
      <w:lvlText w:val="(%2)"/>
      <w:numFmt w:val="lowerLetter"/>
      <w:start w:val="2"/>
    </w:lvl>
  </w:abstractNum>
  <w:abstractNum w:abstractNumId="135">
    <w:nsid w:val="6D68AB2"/>
    <w:multiLevelType w:val="hybridMultilevel"/>
    <w:lvl w:ilvl="0">
      <w:lvlJc w:val="left"/>
      <w:lvlText w:val="%1"/>
      <w:numFmt w:val="lowerLetter"/>
      <w:start w:val="1"/>
    </w:lvl>
    <w:lvl w:ilvl="1">
      <w:lvlJc w:val="left"/>
      <w:lvlText w:val="(%2)"/>
      <w:numFmt w:val="lowerLetter"/>
      <w:start w:val="3"/>
    </w:lvl>
  </w:abstractNum>
  <w:abstractNum w:abstractNumId="136">
    <w:nsid w:val="3A966CD0"/>
    <w:multiLevelType w:val="hybridMultilevel"/>
    <w:lvl w:ilvl="0">
      <w:lvlJc w:val="left"/>
      <w:lvlText w:val="(%1)"/>
      <w:numFmt w:val="lowerLetter"/>
      <w:start w:val="9"/>
    </w:lvl>
    <w:lvl w:ilvl="1">
      <w:lvlJc w:val="left"/>
      <w:lvlText w:val="%2"/>
      <w:numFmt w:val="lowerLetter"/>
      <w:start w:val="1"/>
    </w:lvl>
  </w:abstractNum>
  <w:abstractNum w:abstractNumId="137">
    <w:nsid w:val="63F37E85"/>
    <w:multiLevelType w:val="hybridMultilevel"/>
    <w:lvl w:ilvl="0">
      <w:lvlJc w:val="left"/>
      <w:lvlText w:val="(%1)"/>
      <w:numFmt w:val="lowerLetter"/>
      <w:start w:val="4"/>
    </w:lvl>
  </w:abstractNum>
  <w:abstractNum w:abstractNumId="138">
    <w:nsid w:val="5895F5FA"/>
    <w:multiLevelType w:val="hybridMultilevel"/>
    <w:lvl w:ilvl="0">
      <w:lvlJc w:val="left"/>
      <w:lvlText w:val="(%1)"/>
      <w:numFmt w:val="lowerLetter"/>
      <w:start w:val="5"/>
    </w:lvl>
  </w:abstractNum>
  <w:abstractNum w:abstractNumId="139">
    <w:nsid w:val="38A5D054"/>
    <w:multiLevelType w:val="hybridMultilevel"/>
    <w:lvl w:ilvl="0">
      <w:lvlJc w:val="left"/>
      <w:lvlText w:val="(%1)"/>
      <w:numFmt w:val="lowerLetter"/>
      <w:start w:val="1"/>
    </w:lvl>
  </w:abstractNum>
  <w:abstractNum w:abstractNumId="140">
    <w:nsid w:val="F3F09D8"/>
    <w:multiLevelType w:val="hybridMultilevel"/>
    <w:lvl w:ilvl="0">
      <w:lvlJc w:val="left"/>
      <w:lvlText w:val="(%1)"/>
      <w:numFmt w:val="lowerLetter"/>
      <w:start w:val="35"/>
    </w:lvl>
    <w:lvl w:ilvl="1">
      <w:lvlJc w:val="left"/>
      <w:lvlText w:val="(%2)"/>
      <w:numFmt w:val="lowerLetter"/>
      <w:start w:val="3"/>
    </w:lvl>
  </w:abstractNum>
  <w:abstractNum w:abstractNumId="141">
    <w:nsid w:val="4B793735"/>
    <w:multiLevelType w:val="hybridMultilevel"/>
    <w:lvl w:ilvl="0">
      <w:lvlJc w:val="left"/>
      <w:lvlText w:val="(%1)"/>
      <w:numFmt w:val="lowerLetter"/>
      <w:start w:val="5"/>
    </w:lvl>
  </w:abstractNum>
  <w:abstractNum w:abstractNumId="142">
    <w:nsid w:val="4A10B4E8"/>
    <w:multiLevelType w:val="hybridMultilevel"/>
    <w:lvl w:ilvl="0">
      <w:lvlJc w:val="left"/>
      <w:lvlText w:val="(%1)"/>
      <w:numFmt w:val="lowerLetter"/>
      <w:start w:val="1"/>
    </w:lvl>
  </w:abstractNum>
  <w:abstractNum w:abstractNumId="143">
    <w:nsid w:val="43D3BCD4"/>
    <w:multiLevelType w:val="hybridMultilevel"/>
    <w:lvl w:ilvl="0">
      <w:lvlJc w:val="left"/>
      <w:lvlText w:val="%1"/>
      <w:numFmt w:val="lowerRoman"/>
      <w:start w:val="1"/>
    </w:lvl>
    <w:lvl w:ilvl="1">
      <w:lvlJc w:val="left"/>
      <w:lvlText w:val="(%2)"/>
      <w:numFmt w:val="lowerLetter"/>
      <w:start w:val="1"/>
    </w:lvl>
  </w:abstractNum>
  <w:abstractNum w:abstractNumId="144">
    <w:nsid w:val="4C2A7166"/>
    <w:multiLevelType w:val="hybridMultilevel"/>
    <w:lvl w:ilvl="0">
      <w:lvlJc w:val="left"/>
      <w:lvlText w:val="(%1)"/>
      <w:numFmt w:val="lowerRoman"/>
      <w:start w:val="7"/>
    </w:lvl>
    <w:lvl w:ilvl="1">
      <w:lvlJc w:val="left"/>
      <w:lvlText w:val="(%2)"/>
      <w:numFmt w:val="lowerLetter"/>
      <w:start w:val="3"/>
    </w:lvl>
  </w:abstractNum>
  <w:abstractNum w:abstractNumId="145">
    <w:nsid w:val="2E534A82"/>
    <w:multiLevelType w:val="hybridMultilevel"/>
    <w:lvl w:ilvl="0">
      <w:lvlJc w:val="left"/>
      <w:lvlText w:val="(%1)"/>
      <w:numFmt w:val="lowerLetter"/>
      <w:start w:val="4"/>
    </w:lvl>
  </w:abstractNum>
  <w:abstractNum w:abstractNumId="146">
    <w:nsid w:val="26F2D364"/>
    <w:multiLevelType w:val="hybridMultilevel"/>
    <w:lvl w:ilvl="0">
      <w:lvlJc w:val="left"/>
      <w:lvlText w:val="(%1)"/>
      <w:numFmt w:val="lowerLetter"/>
      <w:start w:val="6"/>
    </w:lvl>
  </w:abstractNum>
  <w:abstractNum w:abstractNumId="147">
    <w:nsid w:val="71C1AF98"/>
    <w:multiLevelType w:val="hybridMultilevel"/>
    <w:lvl w:ilvl="0">
      <w:lvlJc w:val="left"/>
      <w:lvlText w:val="(%1)"/>
      <w:numFmt w:val="lowerLetter"/>
      <w:start w:val="7"/>
    </w:lvl>
    <w:lvl w:ilvl="1">
      <w:lvlJc w:val="left"/>
      <w:lvlText w:val="(%2)"/>
      <w:numFmt w:val="lowerRoman"/>
      <w:start w:val="1"/>
    </w:lvl>
  </w:abstractNum>
  <w:abstractNum w:abstractNumId="148">
    <w:nsid w:val="3D00B9D9"/>
    <w:multiLevelType w:val="hybridMultilevel"/>
    <w:lvl w:ilvl="0">
      <w:lvlJc w:val="left"/>
      <w:lvlText w:val="%1"/>
      <w:numFmt w:val="lowerLetter"/>
      <w:start w:val="1"/>
    </w:lvl>
    <w:lvl w:ilvl="1">
      <w:lvlJc w:val="left"/>
      <w:lvlText w:val="(%2)"/>
      <w:numFmt w:val="lowerRoman"/>
      <w:start w:val="4"/>
    </w:lvl>
  </w:abstractNum>
  <w:abstractNum w:abstractNumId="149">
    <w:nsid w:val="15BCABA8"/>
    <w:multiLevelType w:val="hybridMultilevel"/>
    <w:lvl w:ilvl="0">
      <w:lvlJc w:val="left"/>
      <w:lvlText w:val="(%1)"/>
      <w:numFmt w:val="lowerLetter"/>
      <w:start w:val="9"/>
    </w:lvl>
    <w:lvl w:ilvl="1">
      <w:lvlJc w:val="left"/>
      <w:lvlText w:val="%2"/>
      <w:numFmt w:val="lowerRoman"/>
      <w:start w:val="1"/>
    </w:lvl>
  </w:abstractNum>
  <w:abstractNum w:abstractNumId="150">
    <w:nsid w:val="4E0B9A87"/>
    <w:multiLevelType w:val="hybridMultilevel"/>
    <w:lvl w:ilvl="0">
      <w:lvlJc w:val="left"/>
      <w:lvlText w:val="(%1)"/>
      <w:numFmt w:val="lowerLetter"/>
      <w:start w:val="1"/>
    </w:lvl>
  </w:abstractNum>
  <w:abstractNum w:abstractNumId="151">
    <w:nsid w:val="434BAE75"/>
    <w:multiLevelType w:val="hybridMultilevel"/>
    <w:lvl w:ilvl="0">
      <w:lvlJc w:val="left"/>
      <w:lvlText w:val="(%1)"/>
      <w:numFmt w:val="lowerLetter"/>
      <w:start w:val="1"/>
    </w:lvl>
  </w:abstractNum>
  <w:abstractNum w:abstractNumId="152">
    <w:nsid w:val="4F38F265"/>
    <w:multiLevelType w:val="hybridMultilevel"/>
    <w:lvl w:ilvl="0">
      <w:lvlJc w:val="left"/>
      <w:lvlText w:val="(%1)"/>
      <w:numFmt w:val="lowerLetter"/>
      <w:start w:val="2"/>
    </w:lvl>
  </w:abstractNum>
  <w:abstractNum w:abstractNumId="153">
    <w:nsid w:val="4C502870"/>
    <w:multiLevelType w:val="hybridMultilevel"/>
    <w:lvl w:ilvl="0">
      <w:lvlJc w:val="left"/>
      <w:lvlText w:val="(%1)"/>
      <w:numFmt w:val="lowerLetter"/>
      <w:start w:val="1"/>
    </w:lvl>
  </w:abstractNum>
  <w:abstractNum w:abstractNumId="154">
    <w:nsid w:val="1DE8725A"/>
    <w:multiLevelType w:val="hybridMultilevel"/>
    <w:lvl w:ilvl="0">
      <w:lvlJc w:val="left"/>
      <w:lvlText w:val="(%1)"/>
      <w:numFmt w:val="lowerLetter"/>
      <w:start w:val="2"/>
    </w:lvl>
  </w:abstractNum>
  <w:abstractNum w:abstractNumId="155">
    <w:nsid w:val="6A37288A"/>
    <w:multiLevelType w:val="hybridMultilevel"/>
    <w:lvl w:ilvl="0">
      <w:lvlJc w:val="left"/>
      <w:lvlText w:val="(%1)"/>
      <w:numFmt w:val="lowerLetter"/>
      <w:start w:val="1"/>
    </w:lvl>
  </w:abstractNum>
  <w:abstractNum w:abstractNumId="156">
    <w:nsid w:val="8F8B73F"/>
    <w:multiLevelType w:val="hybridMultilevel"/>
    <w:lvl w:ilvl="0">
      <w:lvlJc w:val="left"/>
      <w:lvlText w:val="(%1)"/>
      <w:numFmt w:val="lowerLetter"/>
      <w:start w:val="2"/>
    </w:lvl>
  </w:abstractNum>
  <w:abstractNum w:abstractNumId="157">
    <w:nsid w:val="CA6B462"/>
    <w:multiLevelType w:val="hybridMultilevel"/>
    <w:lvl w:ilvl="0">
      <w:lvlJc w:val="left"/>
      <w:lvlText w:val="(%1)"/>
      <w:numFmt w:val="lowerLetter"/>
      <w:start w:val="4"/>
    </w:lvl>
  </w:abstractNum>
  <w:abstractNum w:abstractNumId="158">
    <w:nsid w:val="763CB680"/>
    <w:multiLevelType w:val="hybridMultilevel"/>
    <w:lvl w:ilvl="0">
      <w:lvlJc w:val="left"/>
      <w:lvlText w:val="(%1)"/>
      <w:numFmt w:val="lowerLetter"/>
      <w:start w:val="1"/>
    </w:lvl>
  </w:abstractNum>
  <w:abstractNum w:abstractNumId="159">
    <w:nsid w:val="15B71329"/>
    <w:multiLevelType w:val="hybridMultilevel"/>
    <w:lvl w:ilvl="0">
      <w:lvlJc w:val="left"/>
      <w:lvlText w:val="(%1)"/>
      <w:numFmt w:val="lowerLetter"/>
      <w:start w:val="2"/>
    </w:lvl>
  </w:abstractNum>
  <w:abstractNum w:abstractNumId="160">
    <w:nsid w:val="3DA97044"/>
    <w:multiLevelType w:val="hybridMultilevel"/>
    <w:lvl w:ilvl="0">
      <w:lvlJc w:val="left"/>
      <w:lvlText w:val="(%1)"/>
      <w:numFmt w:val="lowerLetter"/>
      <w:start w:val="4"/>
    </w:lvl>
  </w:abstractNum>
  <w:abstractNum w:abstractNumId="161">
    <w:nsid w:val="1CDCE2DE"/>
    <w:multiLevelType w:val="hybridMultilevel"/>
    <w:lvl w:ilvl="0">
      <w:lvlJc w:val="left"/>
      <w:lvlText w:val="(%1)"/>
      <w:numFmt w:val="lowerLetter"/>
      <w:start w:val="1"/>
    </w:lvl>
  </w:abstractNum>
  <w:abstractNum w:abstractNumId="162">
    <w:nsid w:val="69D3947C"/>
    <w:multiLevelType w:val="hybridMultilevel"/>
    <w:lvl w:ilvl="0">
      <w:lvlJc w:val="left"/>
      <w:lvlText w:val="(%1)"/>
      <w:numFmt w:val="lowerLetter"/>
      <w:start w:val="2"/>
    </w:lvl>
  </w:abstractNum>
  <w:abstractNum w:abstractNumId="163">
    <w:nsid w:val="2539DFA5"/>
    <w:multiLevelType w:val="hybridMultilevel"/>
    <w:lvl w:ilvl="0">
      <w:lvlJc w:val="left"/>
      <w:lvlText w:val="."/>
      <w:numFmt w:val="bullet"/>
      <w:start w:val="1"/>
    </w:lvl>
    <w:lvl w:ilvl="1">
      <w:lvlJc w:val="left"/>
      <w:lvlText w:val="(%2)"/>
      <w:numFmt w:val="lowerLetter"/>
      <w:start w:val="1"/>
    </w:lvl>
  </w:abstractNum>
  <w:abstractNum w:abstractNumId="164">
    <w:nsid w:val="2DB88089"/>
    <w:multiLevelType w:val="hybridMultilevel"/>
    <w:lvl w:ilvl="0">
      <w:lvlJc w:val="left"/>
      <w:lvlText w:val="(%1)"/>
      <w:numFmt w:val="lowerLetter"/>
      <w:start w:val="6"/>
    </w:lvl>
  </w:abstractNum>
  <w:abstractNum w:abstractNumId="165">
    <w:nsid w:val="706B674E"/>
    <w:multiLevelType w:val="hybridMultilevel"/>
    <w:lvl w:ilvl="0">
      <w:lvlJc w:val="left"/>
      <w:lvlText w:val="(%1)"/>
      <w:numFmt w:val="lowerLetter"/>
      <w:start w:val="1"/>
    </w:lvl>
  </w:abstractNum>
  <w:abstractNum w:abstractNumId="166">
    <w:nsid w:val="2C106A57"/>
    <w:multiLevelType w:val="hybridMultilevel"/>
    <w:lvl w:ilvl="0">
      <w:lvlJc w:val="left"/>
      <w:lvlText w:val="(%1)"/>
      <w:numFmt w:val="lowerLetter"/>
      <w:start w:val="3"/>
    </w:lvl>
  </w:abstractNum>
  <w:abstractNum w:abstractNumId="167">
    <w:nsid w:val="684EED59"/>
    <w:multiLevelType w:val="hybridMultilevel"/>
    <w:lvl w:ilvl="0">
      <w:lvlJc w:val="left"/>
      <w:lvlText w:val="(%1)"/>
      <w:numFmt w:val="lowerLetter"/>
      <w:start w:val="1"/>
    </w:lvl>
  </w:abstractNum>
  <w:abstractNum w:abstractNumId="168">
    <w:nsid w:val="545EE5D3"/>
    <w:multiLevelType w:val="hybridMultilevel"/>
    <w:lvl w:ilvl="0">
      <w:lvlJc w:val="left"/>
      <w:lvlText w:val="(%1)"/>
      <w:numFmt w:val="lowerLetter"/>
      <w:start w:val="3"/>
    </w:lvl>
  </w:abstractNum>
  <w:abstractNum w:abstractNumId="169">
    <w:nsid w:val="4A66051"/>
    <w:multiLevelType w:val="hybridMultilevel"/>
    <w:lvl w:ilvl="0">
      <w:lvlJc w:val="left"/>
      <w:lvlText w:val="%1"/>
      <w:numFmt w:val="lowerLetter"/>
      <w:start w:val="1"/>
    </w:lvl>
    <w:lvl w:ilvl="1">
      <w:lvlJc w:val="left"/>
      <w:lvlText w:val="(%2)"/>
      <w:numFmt w:val="lowerLetter"/>
      <w:start w:val="1"/>
    </w:lvl>
  </w:abstractNum>
  <w:abstractNum w:abstractNumId="170">
    <w:nsid w:val="20F4BDAD"/>
    <w:multiLevelType w:val="hybridMultilevel"/>
    <w:lvl w:ilvl="0">
      <w:lvlJc w:val="left"/>
      <w:lvlText w:val="(%1)"/>
      <w:numFmt w:val="lowerLetter"/>
      <w:start w:val="35"/>
    </w:lvl>
    <w:lvl w:ilvl="1">
      <w:lvlJc w:val="left"/>
      <w:lvlText w:val="%2"/>
      <w:numFmt w:val="lowerLetter"/>
      <w:start w:val="1"/>
    </w:lvl>
  </w:abstractNum>
  <w:abstractNum w:abstractNumId="171">
    <w:nsid w:val="639DEFAC"/>
    <w:multiLevelType w:val="hybridMultilevel"/>
    <w:lvl w:ilvl="0">
      <w:lvlJc w:val="left"/>
      <w:lvlText w:val="(%1)"/>
      <w:numFmt w:val="lowerLetter"/>
      <w:start w:val="4"/>
    </w:lvl>
  </w:abstractNum>
  <w:abstractNum w:abstractNumId="172">
    <w:nsid w:val="501F9786"/>
    <w:multiLevelType w:val="hybridMultilevel"/>
    <w:lvl w:ilvl="0">
      <w:lvlJc w:val="left"/>
      <w:lvlText w:val="(%1)"/>
      <w:numFmt w:val="lowerLetter"/>
      <w:start w:val="1"/>
    </w:lvl>
  </w:abstractNum>
  <w:abstractNum w:abstractNumId="173">
    <w:nsid w:val="6B057295"/>
    <w:multiLevelType w:val="hybridMultilevel"/>
    <w:lvl w:ilvl="0">
      <w:lvlJc w:val="left"/>
      <w:lvlText w:val="(%1)"/>
      <w:numFmt w:val="lowerLetter"/>
      <w:start w:val="3"/>
    </w:lvl>
  </w:abstractNum>
  <w:abstractNum w:abstractNumId="174">
    <w:nsid w:val="2771AC80"/>
    <w:multiLevelType w:val="hybridMultilevel"/>
    <w:lvl w:ilvl="0">
      <w:lvlJc w:val="left"/>
      <w:lvlText w:val="(%1)"/>
      <w:numFmt w:val="lowerLetter"/>
      <w:start w:val="2"/>
    </w:lvl>
  </w:abstractNum>
  <w:abstractNum w:abstractNumId="175">
    <w:nsid w:val="1C4A08EC"/>
    <w:multiLevelType w:val="hybridMultilevel"/>
    <w:lvl w:ilvl="0">
      <w:lvlJc w:val="left"/>
      <w:lvlText w:val="(%1)"/>
      <w:numFmt w:val="lowerLetter"/>
      <w:start w:val="1"/>
    </w:lvl>
  </w:abstractNum>
  <w:abstractNum w:abstractNumId="176">
    <w:nsid w:val="1958BD17"/>
    <w:multiLevelType w:val="hybridMultilevel"/>
    <w:lvl w:ilvl="0">
      <w:lvlJc w:val="left"/>
      <w:lvlText w:val="(%1)"/>
      <w:numFmt w:val="lowerLetter"/>
      <w:start w:val="1"/>
    </w:lvl>
  </w:abstractNum>
  <w:abstractNum w:abstractNumId="177">
    <w:nsid w:val="4E647FE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8">
    <w:nsid w:val="E0BB88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9">
    <w:nsid w:val="565976F1"/>
    <w:multiLevelType w:val="hybridMultilevel"/>
    <w:lvl w:ilvl="0">
      <w:lvlJc w:val="left"/>
      <w:lvlText w:val="(%1)"/>
      <w:numFmt w:val="lowerRoman"/>
      <w:start w:val="3"/>
    </w:lvl>
  </w:abstractNum>
  <w:abstractNum w:abstractNumId="180">
    <w:nsid w:val="64212B8C"/>
    <w:multiLevelType w:val="hybridMultilevel"/>
    <w:lvl w:ilvl="0">
      <w:lvlJc w:val="left"/>
      <w:lvlText w:val="(%1)"/>
      <w:numFmt w:val="lowerLetter"/>
      <w:start w:val="1"/>
    </w:lvl>
  </w:abstractNum>
  <w:abstractNum w:abstractNumId="181">
    <w:nsid w:val="5C17530C"/>
    <w:multiLevelType w:val="hybridMultilevel"/>
    <w:lvl w:ilvl="0">
      <w:lvlJc w:val="left"/>
      <w:lvlText w:val="(%1)"/>
      <w:numFmt w:val="decimal"/>
      <w:start w:val="1"/>
    </w:lvl>
  </w:abstractNum>
  <w:abstractNum w:abstractNumId="182">
    <w:nsid w:val="19A52566"/>
    <w:multiLevelType w:val="hybridMultilevel"/>
    <w:lvl w:ilvl="0">
      <w:lvlJc w:val="left"/>
      <w:lvlText w:val="(%1)"/>
      <w:numFmt w:val="decimal"/>
      <w:start w:val="1"/>
    </w:lvl>
  </w:abstractNum>
  <w:abstractNum w:abstractNumId="183">
    <w:nsid w:val="335A1DF1"/>
    <w:multiLevelType w:val="hybridMultilevel"/>
    <w:lvl w:ilvl="0">
      <w:lvlJc w:val="left"/>
      <w:lvlText w:val="(%1)"/>
      <w:numFmt w:val="decimal"/>
      <w:start w:val="1"/>
    </w:lvl>
  </w:abstractNum>
  <w:abstractNum w:abstractNumId="184">
    <w:nsid w:val="28677B7C"/>
    <w:multiLevelType w:val="hybridMultilevel"/>
    <w:lvl w:ilvl="0">
      <w:lvlJc w:val="left"/>
      <w:lvlText w:val="(%1)"/>
      <w:numFmt w:val="decimal"/>
      <w:start w:val="2"/>
    </w:lvl>
  </w:abstractNum>
  <w:abstractNum w:abstractNumId="185">
    <w:nsid w:val="378D97C0"/>
    <w:multiLevelType w:val="hybridMultilevel"/>
    <w:lvl w:ilvl="0">
      <w:lvlJc w:val="left"/>
      <w:lvlText w:val="(%1)"/>
      <w:numFmt w:val="decimal"/>
      <w:start w:val="1"/>
    </w:lvl>
  </w:abstractNum>
  <w:abstractNum w:abstractNumId="186">
    <w:nsid w:val="1D91467C"/>
    <w:multiLevelType w:val="hybridMultilevel"/>
    <w:lvl w:ilvl="0">
      <w:lvlJc w:val="left"/>
      <w:lvlText w:val="(%1)"/>
      <w:numFmt w:val="decimal"/>
      <w:start w:val="1"/>
    </w:lvl>
  </w:abstractNum>
  <w:abstractNum w:abstractNumId="187">
    <w:nsid w:val="316032BB"/>
    <w:multiLevelType w:val="hybridMultilevel"/>
    <w:lvl w:ilvl="0">
      <w:lvlJc w:val="left"/>
      <w:lvlText w:val="(%1)"/>
      <w:numFmt w:val="lowerLetter"/>
      <w:start w:val="3"/>
    </w:lvl>
  </w:abstractNum>
  <w:abstractNum w:abstractNumId="188">
    <w:nsid w:val="44344C22"/>
    <w:multiLevelType w:val="hybridMultilevel"/>
    <w:lvl w:ilvl="0">
      <w:lvlJc w:val="left"/>
      <w:lvlText w:val="(%1)"/>
      <w:numFmt w:val="lowerRoman"/>
      <w:start w:val="2"/>
    </w:lvl>
  </w:abstractNum>
  <w:abstractNum w:abstractNumId="189">
    <w:nsid w:val="13CDFCFC"/>
    <w:multiLevelType w:val="hybridMultilevel"/>
    <w:lvl w:ilvl="0">
      <w:lvlJc w:val="left"/>
      <w:lvlText w:val="(%1)"/>
      <w:numFmt w:val="lowerRoman"/>
      <w:start w:val="2"/>
    </w:lvl>
  </w:abstractNum>
  <w:abstractNum w:abstractNumId="190">
    <w:nsid w:val="471745E4"/>
    <w:multiLevelType w:val="hybridMultilevel"/>
    <w:lvl w:ilvl="0">
      <w:lvlJc w:val="left"/>
      <w:lvlText w:val="%1"/>
      <w:numFmt w:val="lowerLetter"/>
      <w:start w:val="1"/>
    </w:lvl>
    <w:lvl w:ilvl="1">
      <w:lvlJc w:val="left"/>
      <w:lvlText w:val="(%2)"/>
      <w:numFmt w:val="lowerLetter"/>
      <w:start w:val="1"/>
    </w:lvl>
  </w:abstractNum>
  <w:abstractNum w:abstractNumId="191">
    <w:nsid w:val="1DDBC66"/>
    <w:multiLevelType w:val="hybridMultilevel"/>
    <w:lvl w:ilvl="0">
      <w:lvlJc w:val="left"/>
      <w:lvlText w:val="(%1)"/>
      <w:numFmt w:val="lowerLetter"/>
      <w:start w:val="35"/>
    </w:lvl>
    <w:lvl w:ilvl="1">
      <w:lvlJc w:val="left"/>
      <w:lvlText w:val="(%2)"/>
      <w:numFmt w:val="lowerLetter"/>
      <w:start w:val="4"/>
    </w:lvl>
  </w:abstractNum>
  <w:abstractNum w:abstractNumId="192">
    <w:nsid w:val="30AADFDA"/>
    <w:multiLevelType w:val="hybridMultilevel"/>
    <w:lvl w:ilvl="0">
      <w:lvlJc w:val="left"/>
      <w:lvlText w:val="(%1)"/>
      <w:numFmt w:val="lowerLetter"/>
      <w:start w:val="5"/>
    </w:lvl>
  </w:abstractNum>
  <w:abstractNum w:abstractNumId="193">
    <w:nsid w:val="30EADA61"/>
    <w:multiLevelType w:val="hybridMultilevel"/>
    <w:lvl w:ilvl="0">
      <w:lvlJc w:val="left"/>
      <w:lvlText w:val="(%1)"/>
      <w:numFmt w:val="lowerLetter"/>
      <w:start w:val="1"/>
    </w:lvl>
  </w:abstractNum>
  <w:abstractNum w:abstractNumId="194">
    <w:nsid w:val="27179C0B"/>
    <w:multiLevelType w:val="hybridMultilevel"/>
    <w:lvl w:ilvl="0">
      <w:lvlJc w:val="left"/>
      <w:lvlText w:val="(%1)"/>
      <w:numFmt w:val="decimal"/>
      <w:start w:val="1"/>
    </w:lvl>
  </w:abstractNum>
  <w:abstractNum w:abstractNumId="195">
    <w:nsid w:val="5E636063"/>
    <w:multiLevelType w:val="hybridMultilevel"/>
    <w:lvl w:ilvl="0">
      <w:lvlJc w:val="left"/>
      <w:lvlText w:val="(%1)"/>
      <w:numFmt w:val="lowerLetter"/>
      <w:start w:val="2"/>
    </w:lvl>
  </w:abstractNum>
  <w:abstractNum w:abstractNumId="196">
    <w:nsid w:val="215641AF"/>
    <w:multiLevelType w:val="hybridMultilevel"/>
    <w:lvl w:ilvl="0">
      <w:lvlJc w:val="left"/>
      <w:lvlText w:val="(%1)"/>
      <w:numFmt w:val="lowerLetter"/>
      <w:start w:val="1"/>
    </w:lvl>
  </w:abstractNum>
  <w:abstractNum w:abstractNumId="197">
    <w:nsid w:val="53280662"/>
    <w:multiLevelType w:val="hybridMultilevel"/>
    <w:lvl w:ilvl="0">
      <w:lvlJc w:val="left"/>
      <w:lvlText w:val="%1"/>
      <w:numFmt w:val="lowerLetter"/>
      <w:start w:val="1"/>
    </w:lvl>
    <w:lvl w:ilvl="1">
      <w:lvlJc w:val="left"/>
      <w:lvlText w:val="(%2)"/>
      <w:numFmt w:val="lowerLetter"/>
      <w:start w:val="2"/>
    </w:lvl>
  </w:abstractNum>
  <w:abstractNum w:abstractNumId="198">
    <w:nsid w:val="46B24DBC"/>
    <w:multiLevelType w:val="hybridMultilevel"/>
    <w:lvl w:ilvl="0">
      <w:lvlJc w:val="left"/>
      <w:lvlText w:val="(%1)"/>
      <w:numFmt w:val="lowerLetter"/>
      <w:start w:val="3"/>
    </w:lvl>
    <w:lvl w:ilvl="1">
      <w:lvlJc w:val="left"/>
      <w:lvlText w:val="%2"/>
      <w:numFmt w:val="lowerLetter"/>
      <w:start w:val="1"/>
    </w:lvl>
  </w:abstractNum>
  <w:abstractNum w:abstractNumId="199">
    <w:nsid w:val="75B52783"/>
    <w:multiLevelType w:val="hybridMultilevel"/>
    <w:lvl w:ilvl="0">
      <w:lvlJc w:val="left"/>
      <w:lvlText w:val="(%1)"/>
      <w:numFmt w:val="lowerLetter"/>
      <w:start w:val="1"/>
    </w:lvl>
  </w:abstractNum>
  <w:abstractNum w:abstractNumId="200">
    <w:nsid w:val="57CE66B4"/>
    <w:multiLevelType w:val="hybridMultilevel"/>
    <w:lvl w:ilvl="0">
      <w:lvlJc w:val="left"/>
      <w:lvlText w:val="(%1)"/>
      <w:numFmt w:val="lowerLetter"/>
      <w:start w:val="1"/>
    </w:lvl>
  </w:abstractNum>
  <w:abstractNum w:abstractNumId="201">
    <w:nsid w:val="67A70B69"/>
    <w:multiLevelType w:val="hybridMultilevel"/>
    <w:lvl w:ilvl="0">
      <w:lvlJc w:val="left"/>
      <w:lvlText w:val="(%1)"/>
      <w:numFmt w:val="lowerLetter"/>
      <w:start w:val="1"/>
    </w:lvl>
  </w:abstractNum>
  <w:abstractNum w:abstractNumId="202">
    <w:nsid w:val="5953172F"/>
    <w:multiLevelType w:val="hybridMultilevel"/>
    <w:lvl w:ilvl="0">
      <w:lvlJc w:val="left"/>
      <w:lvlText w:val="(%1)"/>
      <w:numFmt w:val="lowerLetter"/>
      <w:start w:val="2"/>
    </w:lvl>
  </w:abstractNum>
  <w:abstractNum w:abstractNumId="203">
    <w:nsid w:val="27EDFE3A"/>
    <w:multiLevelType w:val="hybridMultilevel"/>
    <w:lvl w:ilvl="0">
      <w:lvlJc w:val="left"/>
      <w:lvlText w:val="1"/>
      <w:numFmt w:val="bullet"/>
      <w:start w:val="1"/>
    </w:lvl>
  </w:abstractNum>
  <w:abstractNum w:abstractNumId="204">
    <w:nsid w:val="52AC7DFF"/>
    <w:multiLevelType w:val="hybridMultilevel"/>
    <w:lvl w:ilvl="0">
      <w:lvlJc w:val="left"/>
      <w:lvlText w:val=","/>
      <w:numFmt w:val="bullet"/>
      <w:start w:val="1"/>
    </w:lvl>
  </w:abstractNum>
  <w:abstractNum w:abstractNumId="205">
    <w:nsid w:val="C4C3AF"/>
    <w:multiLevelType w:val="hybridMultilevel"/>
    <w:lvl w:ilvl="0">
      <w:lvlJc w:val="left"/>
      <w:lvlText w:val="(%1)"/>
      <w:numFmt w:val="lowerRoman"/>
      <w:start w:val="1"/>
    </w:lvl>
  </w:abstractNum>
  <w:abstractNum w:abstractNumId="206">
    <w:nsid w:val="44380727"/>
    <w:multiLevelType w:val="hybridMultilevel"/>
    <w:lvl w:ilvl="0">
      <w:lvlJc w:val="left"/>
      <w:lvlText w:val="(%1)"/>
      <w:numFmt w:val="lowerLetter"/>
      <w:start w:val="3"/>
    </w:lvl>
  </w:abstractNum>
  <w:abstractNum w:abstractNumId="207">
    <w:nsid w:val="6C053B16"/>
    <w:multiLevelType w:val="hybridMultilevel"/>
    <w:lvl w:ilvl="0">
      <w:lvlJc w:val="left"/>
      <w:lvlText w:val="(%1)"/>
      <w:numFmt w:val="lowerRoman"/>
      <w:start w:val="2"/>
    </w:lvl>
  </w:abstractNum>
  <w:abstractNum w:abstractNumId="208">
    <w:nsid w:val="4F294393"/>
    <w:multiLevelType w:val="hybridMultilevel"/>
    <w:lvl w:ilvl="0">
      <w:lvlJc w:val="left"/>
      <w:lvlText w:val="(%1)"/>
      <w:numFmt w:val="lowerRoman"/>
      <w:start w:val="2"/>
    </w:lvl>
  </w:abstractNum>
  <w:abstractNum w:abstractNumId="209">
    <w:nsid w:val="5243BFAC"/>
    <w:multiLevelType w:val="hybridMultilevel"/>
    <w:lvl w:ilvl="0">
      <w:lvlJc w:val="left"/>
      <w:lvlText w:val="(%1)"/>
      <w:numFmt w:val="lowerLetter"/>
      <w:start w:val="1"/>
    </w:lvl>
  </w:abstractNum>
  <w:abstractNum w:abstractNumId="210">
    <w:nsid w:val="425EB207"/>
    <w:multiLevelType w:val="hybridMultilevel"/>
    <w:lvl w:ilvl="0">
      <w:lvlJc w:val="left"/>
      <w:lvlText w:val="%1"/>
      <w:numFmt w:val="lowerLetter"/>
      <w:start w:val="1"/>
    </w:lvl>
    <w:lvl w:ilvl="1">
      <w:lvlJc w:val="left"/>
      <w:lvlText w:val="(%2)"/>
      <w:numFmt w:val="lowerLetter"/>
      <w:start w:val="2"/>
    </w:lvl>
  </w:abstractNum>
  <w:abstractNum w:abstractNumId="211">
    <w:nsid w:val="334A6F1F"/>
    <w:multiLevelType w:val="hybridMultilevel"/>
    <w:lvl w:ilvl="0">
      <w:lvlJc w:val="left"/>
      <w:lvlText w:val="(%1)"/>
      <w:numFmt w:val="lowerLetter"/>
      <w:start w:val="35"/>
    </w:lvl>
    <w:lvl w:ilvl="1">
      <w:lvlJc w:val="left"/>
      <w:lvlText w:val="(%2)"/>
      <w:numFmt w:val="lowerLetter"/>
      <w:start w:val="3"/>
    </w:lvl>
  </w:abstractNum>
  <w:abstractNum w:abstractNumId="212">
    <w:nsid w:val="2E5B12B8"/>
    <w:multiLevelType w:val="hybridMultilevel"/>
    <w:lvl w:ilvl="0">
      <w:lvlJc w:val="left"/>
      <w:lvlText w:val="(%1)"/>
      <w:numFmt w:val="lowerLetter"/>
      <w:start w:val="1"/>
    </w:lvl>
  </w:abstractNum>
  <w:abstractNum w:abstractNumId="213">
    <w:nsid w:val="5C03D76D"/>
    <w:multiLevelType w:val="hybridMultilevel"/>
    <w:lvl w:ilvl="0">
      <w:lvlJc w:val="left"/>
      <w:lvlText w:val="(%1)"/>
      <w:numFmt w:val="lowerLetter"/>
      <w:start w:val="1"/>
    </w:lvl>
  </w:abstractNum>
  <w:abstractNum w:abstractNumId="214">
    <w:nsid w:val="66A48D11"/>
    <w:multiLevelType w:val="hybridMultilevel"/>
    <w:lvl w:ilvl="0">
      <w:lvlJc w:val="left"/>
      <w:lvlText w:val="(%1)"/>
      <w:numFmt w:val="lowerLetter"/>
      <w:start w:val="2"/>
    </w:lvl>
  </w:abstractNum>
  <w:abstractNum w:abstractNumId="215">
    <w:nsid w:val="56C28E34"/>
    <w:multiLevelType w:val="hybridMultilevel"/>
    <w:lvl w:ilvl="0">
      <w:lvlJc w:val="left"/>
      <w:lvlText w:val="(%1)"/>
      <w:numFmt w:val="lowerLetter"/>
      <w:start w:val="1"/>
    </w:lvl>
  </w:abstractNum>
  <w:abstractNum w:abstractNumId="216">
    <w:nsid w:val="13916F2D"/>
    <w:multiLevelType w:val="hybridMultilevel"/>
    <w:lvl w:ilvl="0">
      <w:lvlJc w:val="left"/>
      <w:lvlText w:val="(%1)"/>
      <w:numFmt w:val="lowerLetter"/>
      <w:start w:val="2"/>
    </w:lvl>
  </w:abstractNum>
  <w:abstractNum w:abstractNumId="217">
    <w:nsid w:val="435D38D"/>
    <w:multiLevelType w:val="hybridMultilevel"/>
    <w:lvl w:ilvl="0">
      <w:lvlJc w:val="left"/>
      <w:lvlText w:val=","/>
      <w:numFmt w:val="bullet"/>
      <w:start w:val="1"/>
    </w:lvl>
  </w:abstractNum>
  <w:abstractNum w:abstractNumId="218">
    <w:nsid w:val="822C0EF"/>
    <w:multiLevelType w:val="hybridMultilevel"/>
    <w:lvl w:ilvl="0">
      <w:lvlJc w:val="left"/>
      <w:lvlText w:val="(%1)"/>
      <w:numFmt w:val="lowerRoman"/>
      <w:start w:val="1"/>
    </w:lvl>
  </w:abstractNum>
  <w:abstractNum w:abstractNumId="219">
    <w:nsid w:val="57C5BB4F"/>
    <w:multiLevelType w:val="hybridMultilevel"/>
    <w:lvl w:ilvl="0">
      <w:lvlJc w:val="left"/>
      <w:lvlText w:val="%1."/>
      <w:numFmt w:val="decimal"/>
      <w:start w:val="1"/>
    </w:lvl>
    <w:lvl w:ilvl="1">
      <w:lvlJc w:val="left"/>
      <w:lvlText w:val="(%2)"/>
      <w:numFmt w:val="decimal"/>
      <w:start w:val="1"/>
    </w:lvl>
  </w:abstractNum>
  <w:abstractNum w:abstractNumId="220">
    <w:nsid w:val="1803D089"/>
    <w:multiLevelType w:val="hybridMultilevel"/>
    <w:lvl w:ilvl="0">
      <w:lvlJc w:val="left"/>
      <w:lvlText w:val="(%1)"/>
      <w:numFmt w:val="decimal"/>
      <w:start w:val="4"/>
    </w:lvl>
  </w:abstractNum>
  <w:abstractNum w:abstractNumId="221">
    <w:nsid w:val="4F3A06D4"/>
    <w:multiLevelType w:val="hybridMultilevel"/>
    <w:lvl w:ilvl="0">
      <w:lvlJc w:val="left"/>
      <w:lvlText w:val="(%1)"/>
      <w:numFmt w:val="decimal"/>
      <w:start w:val="8"/>
    </w:lvl>
  </w:abstractNum>
  <w:abstractNum w:abstractNumId="222">
    <w:nsid w:val="59A377B6"/>
    <w:multiLevelType w:val="hybridMultilevel"/>
    <w:lvl w:ilvl="0">
      <w:lvlJc w:val="left"/>
      <w:lvlText w:val="(%1)"/>
      <w:numFmt w:val="decimal"/>
      <w:start w:val="17"/>
    </w:lvl>
  </w:abstractNum>
  <w:abstractNum w:abstractNumId="223">
    <w:nsid w:val="48AEB063"/>
    <w:multiLevelType w:val="hybridMultilevel"/>
    <w:lvl w:ilvl="0">
      <w:lvlJc w:val="left"/>
      <w:lvlText w:val="(%1)"/>
      <w:numFmt w:val="decimal"/>
      <w:start w:val="1"/>
    </w:lvl>
  </w:abstractNum>
  <w:abstractNum w:abstractNumId="224">
    <w:nsid w:val="24E135"/>
    <w:multiLevelType w:val="hybridMultilevel"/>
    <w:lvl w:ilvl="0">
      <w:lvlJc w:val="left"/>
      <w:lvlText w:val="(%1)"/>
      <w:numFmt w:val="decimal"/>
      <w:start w:val="18"/>
    </w:lvl>
  </w:abstractNum>
  <w:abstractNum w:abstractNumId="225">
    <w:nsid w:val="BB13C1"/>
    <w:multiLevelType w:val="hybridMultilevel"/>
    <w:lvl w:ilvl="0">
      <w:lvlJc w:val="left"/>
      <w:lvlText w:val="%1."/>
      <w:numFmt w:val="decimal"/>
      <w:start w:val="2"/>
    </w:lvl>
  </w:abstractNum>
  <w:abstractNum w:abstractNumId="226">
    <w:nsid w:val="271210C7"/>
    <w:multiLevelType w:val="hybridMultilevel"/>
    <w:lvl w:ilvl="0">
      <w:lvlJc w:val="left"/>
      <w:lvlText w:val="%1."/>
      <w:numFmt w:val="decimal"/>
      <w:start w:val="10"/>
    </w:lvl>
  </w:abstractNum>
  <w:abstractNum w:abstractNumId="227">
    <w:nsid w:val="217B22E4"/>
    <w:multiLevelType w:val="hybridMultilevel"/>
    <w:lvl w:ilvl="0">
      <w:lvlJc w:val="left"/>
      <w:lvlText w:val=","/>
      <w:numFmt w:val="bullet"/>
      <w:start w:val="1"/>
    </w:lvl>
  </w:abstractNum>
  <w:abstractNum w:abstractNumId="228">
    <w:nsid w:val="53E31A24"/>
    <w:multiLevelType w:val="hybridMultilevel"/>
    <w:lvl w:ilvl="0">
      <w:lvlJc w:val="left"/>
      <w:lvlText w:val=","/>
      <w:numFmt w:val="bullet"/>
      <w:start w:val="1"/>
    </w:lvl>
  </w:abstractNum>
  <w:abstractNum w:abstractNumId="229">
    <w:nsid w:val="6DC45E83"/>
    <w:multiLevelType w:val="hybridMultilevel"/>
    <w:lvl w:ilvl="0">
      <w:lvlJc w:val="left"/>
      <w:lvlText w:val=","/>
      <w:numFmt w:val="bullet"/>
      <w:start w:val="1"/>
    </w:lvl>
  </w:abstractNum>
  <w:abstractNum w:abstractNumId="230">
    <w:nsid w:val="17304A67"/>
    <w:multiLevelType w:val="hybridMultilevel"/>
    <w:lvl w:ilvl="0">
      <w:lvlJc w:val="left"/>
      <w:lvlText w:val="%1."/>
      <w:numFmt w:val="decimal"/>
      <w:start w:val="1"/>
    </w:lvl>
  </w:abstractNum>
  <w:abstractNum w:abstractNumId="231">
    <w:nsid w:val="2BB180D8"/>
    <w:multiLevelType w:val="hybridMultilevel"/>
    <w:lvl w:ilvl="0">
      <w:lvlJc w:val="left"/>
      <w:lvlText w:val="(%1)"/>
      <w:numFmt w:val="lowerLetter"/>
      <w:start w:val="1"/>
    </w:lvl>
  </w:abstractNum>
  <w:abstractNum w:abstractNumId="232">
    <w:nsid w:val="556B69ED"/>
    <w:multiLevelType w:val="hybridMultilevel"/>
    <w:lvl w:ilvl="0">
      <w:lvlJc w:val="left"/>
      <w:lvlText w:val="%1."/>
      <w:numFmt w:val="decimal"/>
      <w:start w:val="5"/>
    </w:lvl>
  </w:abstractNum>
  <w:abstractNum w:abstractNumId="233">
    <w:nsid w:val="70836196"/>
    <w:multiLevelType w:val="hybridMultilevel"/>
    <w:lvl w:ilvl="0">
      <w:lvlJc w:val="left"/>
      <w:lvlText w:val="(%1)"/>
      <w:numFmt w:val="lowerLetter"/>
      <w:start w:val="1"/>
    </w:lvl>
  </w:abstractNum>
  <w:abstractNum w:abstractNumId="234">
    <w:nsid w:val="539F7F12"/>
    <w:multiLevelType w:val="hybridMultilevel"/>
    <w:lvl w:ilvl="0">
      <w:lvlJc w:val="left"/>
      <w:lvlText w:val="%1."/>
      <w:numFmt w:val="decimal"/>
      <w:start w:val="1"/>
    </w:lvl>
  </w:abstractNum>
  <w:abstractNum w:abstractNumId="235">
    <w:nsid w:val="2817E7EC"/>
    <w:multiLevelType w:val="hybridMultilevel"/>
    <w:lvl w:ilvl="0">
      <w:lvlJc w:val="left"/>
      <w:lvlText w:val="(%1)"/>
      <w:numFmt w:val="lowerLetter"/>
      <w:start w:val="1"/>
    </w:lvl>
  </w:abstractNum>
  <w:abstractNum w:abstractNumId="236">
    <w:nsid w:val="71482545"/>
    <w:multiLevelType w:val="hybridMultilevel"/>
    <w:lvl w:ilvl="0">
      <w:lvlJc w:val="left"/>
      <w:lvlText w:val="%1."/>
      <w:numFmt w:val="decimal"/>
      <w:start w:val="5"/>
    </w:lvl>
  </w:abstractNum>
  <w:abstractNum w:abstractNumId="237">
    <w:nsid w:val="17D78639"/>
    <w:multiLevelType w:val="hybridMultilevel"/>
    <w:lvl w:ilvl="0">
      <w:lvlJc w:val="left"/>
      <w:lvlText w:val="(%1)"/>
      <w:numFmt w:val="lowerLetter"/>
      <w:start w:val="1"/>
    </w:lvl>
  </w:abstractNum>
  <w:abstractNum w:abstractNumId="238">
    <w:nsid w:val="141D2302"/>
    <w:multiLevelType w:val="hybridMultilevel"/>
    <w:lvl w:ilvl="0">
      <w:lvlJc w:val="left"/>
      <w:lvlText w:val="%1."/>
      <w:numFmt w:val="decimal"/>
      <w:start w:val="1"/>
    </w:lvl>
  </w:abstractNum>
  <w:abstractNum w:abstractNumId="239">
    <w:nsid w:val="407168D8"/>
    <w:multiLevelType w:val="hybridMultilevel"/>
    <w:lvl w:ilvl="0">
      <w:lvlJc w:val="left"/>
      <w:lvlText w:val="(%1)"/>
      <w:numFmt w:val="lowerLetter"/>
      <w:start w:val="1"/>
    </w:lvl>
  </w:abstractNum>
  <w:abstractNum w:abstractNumId="240">
    <w:nsid w:val="6A1B45E5"/>
    <w:multiLevelType w:val="hybridMultilevel"/>
    <w:lvl w:ilvl="0">
      <w:lvlJc w:val="left"/>
      <w:lvlText w:val="%1."/>
      <w:numFmt w:val="decimal"/>
      <w:start w:val="5"/>
    </w:lvl>
  </w:abstractNum>
  <w:abstractNum w:abstractNumId="241">
    <w:nsid w:val="567BD50A"/>
    <w:multiLevelType w:val="hybridMultilevel"/>
    <w:lvl w:ilvl="0">
      <w:lvlJc w:val="left"/>
      <w:lvlText w:val="(%1)"/>
      <w:numFmt w:val="lowerLetter"/>
      <w:start w:val="1"/>
    </w:lvl>
  </w:abstractNum>
  <w:abstractNum w:abstractNumId="242">
    <w:nsid w:val="73BBD7F8"/>
    <w:multiLevelType w:val="hybridMultilevel"/>
    <w:lvl w:ilvl="0">
      <w:lvlJc w:val="left"/>
      <w:lvlText w:val="%1."/>
      <w:numFmt w:val="decimal"/>
      <w:start w:val="1"/>
    </w:lvl>
  </w:abstractNum>
  <w:abstractNum w:abstractNumId="243">
    <w:nsid w:val="1876589D"/>
    <w:multiLevelType w:val="hybridMultilevel"/>
    <w:lvl w:ilvl="0">
      <w:lvlJc w:val="left"/>
      <w:lvlText w:val="(%1)"/>
      <w:numFmt w:val="lowerLetter"/>
      <w:start w:val="1"/>
    </w:lvl>
  </w:abstractNum>
  <w:abstractNum w:abstractNumId="244">
    <w:nsid w:val="327FAC77"/>
    <w:multiLevelType w:val="hybridMultilevel"/>
    <w:lvl w:ilvl="0">
      <w:lvlJc w:val="left"/>
      <w:lvlText w:val="%1."/>
      <w:numFmt w:val="decimal"/>
      <w:start w:val="5"/>
    </w:lvl>
  </w:abstractNum>
  <w:abstractNum w:abstractNumId="245">
    <w:nsid w:val="5A606509"/>
    <w:multiLevelType w:val="hybridMultilevel"/>
    <w:lvl w:ilvl="0">
      <w:lvlJc w:val="left"/>
      <w:lvlText w:val="(%1)"/>
      <w:numFmt w:val="lowerLetter"/>
      <w:start w:val="1"/>
    </w:lvl>
  </w:abstractNum>
  <w:abstractNum w:abstractNumId="246">
    <w:nsid w:val="6F38E6D1"/>
    <w:multiLevelType w:val="hybridMultilevel"/>
    <w:lvl w:ilvl="0">
      <w:lvlJc w:val="left"/>
      <w:lvlText w:val="%1."/>
      <w:numFmt w:val="decimal"/>
      <w:start w:val="1"/>
    </w:lvl>
  </w:abstractNum>
  <w:abstractNum w:abstractNumId="247">
    <w:nsid w:val="46111BA5"/>
    <w:multiLevelType w:val="hybridMultilevel"/>
    <w:lvl w:ilvl="0">
      <w:lvlJc w:val="left"/>
      <w:lvlText w:val="(%1)"/>
      <w:numFmt w:val="lowerLetter"/>
      <w:start w:val="1"/>
    </w:lvl>
  </w:abstractNum>
  <w:abstractNum w:abstractNumId="248">
    <w:nsid w:val="5E963896"/>
    <w:multiLevelType w:val="hybridMultilevel"/>
    <w:lvl w:ilvl="0">
      <w:lvlJc w:val="left"/>
      <w:lvlText w:val="%1."/>
      <w:numFmt w:val="decimal"/>
      <w:start w:val="5"/>
    </w:lvl>
  </w:abstractNum>
  <w:abstractNum w:abstractNumId="249">
    <w:nsid w:val="775BA7C1"/>
    <w:multiLevelType w:val="hybridMultilevel"/>
    <w:lvl w:ilvl="0">
      <w:lvlJc w:val="left"/>
      <w:lvlText w:val="(%1)"/>
      <w:numFmt w:val="lowerLetter"/>
      <w:start w:val="1"/>
    </w:lvl>
  </w:abstractNum>
  <w:abstractNum w:abstractNumId="250">
    <w:nsid w:val="1DD6D6F4"/>
    <w:multiLevelType w:val="hybridMultilevel"/>
    <w:lvl w:ilvl="0">
      <w:lvlJc w:val="left"/>
      <w:lvlText w:val="%1."/>
      <w:numFmt w:val="decimal"/>
      <w:start w:val="1"/>
    </w:lvl>
  </w:abstractNum>
  <w:abstractNum w:abstractNumId="251">
    <w:nsid w:val="769A091F"/>
    <w:multiLevelType w:val="hybridMultilevel"/>
    <w:lvl w:ilvl="0">
      <w:lvlJc w:val="left"/>
      <w:lvlText w:val="(%1)"/>
      <w:numFmt w:val="lowerLetter"/>
      <w:start w:val="1"/>
    </w:lvl>
  </w:abstractNum>
  <w:abstractNum w:abstractNumId="252">
    <w:nsid w:val="4695AE95"/>
    <w:multiLevelType w:val="hybridMultilevel"/>
    <w:lvl w:ilvl="0">
      <w:lvlJc w:val="left"/>
      <w:lvlText w:val="%1."/>
      <w:numFmt w:val="decimal"/>
      <w:start w:val="5"/>
    </w:lvl>
  </w:abstractNum>
  <w:abstractNum w:abstractNumId="253">
    <w:nsid w:val="777A4EAA"/>
    <w:multiLevelType w:val="hybridMultilevel"/>
    <w:lvl w:ilvl="0">
      <w:lvlJc w:val="left"/>
      <w:lvlText w:val="(%1)"/>
      <w:numFmt w:val="lowerLetter"/>
      <w:start w:val="1"/>
    </w:lvl>
  </w:abstractNum>
  <w:abstractNum w:abstractNumId="254">
    <w:nsid w:val="3F48B982"/>
    <w:multiLevelType w:val="hybridMultilevel"/>
    <w:lvl w:ilvl="0">
      <w:lvlJc w:val="left"/>
      <w:lvlText w:val="%1."/>
      <w:numFmt w:val="decimal"/>
      <w:start w:val="1"/>
    </w:lvl>
  </w:abstractNum>
  <w:abstractNum w:abstractNumId="255">
    <w:nsid w:val="46BA8FCA"/>
    <w:multiLevelType w:val="hybridMultilevel"/>
    <w:lvl w:ilvl="0">
      <w:lvlJc w:val="left"/>
      <w:lvlText w:val="%1."/>
      <w:numFmt w:val="decimal"/>
      <w:start w:val="1"/>
    </w:lvl>
  </w:abstractNum>
  <w:abstractNum w:abstractNumId="256">
    <w:nsid w:val="7835626C"/>
    <w:multiLevelType w:val="hybridMultilevel"/>
    <w:lvl w:ilvl="0">
      <w:lvlJc w:val="left"/>
      <w:lvlText w:val="%1."/>
      <w:numFmt w:val="decimal"/>
      <w:start w:val="1"/>
    </w:lvl>
  </w:abstractNum>
  <w:abstractNum w:abstractNumId="257">
    <w:nsid w:val="665ACA49"/>
    <w:multiLevelType w:val="hybridMultilevel"/>
    <w:lvl w:ilvl="0">
      <w:lvlJc w:val="left"/>
      <w:lvlText w:val="%1."/>
      <w:numFmt w:val="decimal"/>
      <w:start w:val="1"/>
    </w:lvl>
  </w:abstractNum>
  <w:abstractNum w:abstractNumId="258">
    <w:nsid w:val="6835B2AE"/>
    <w:multiLevelType w:val="hybridMultilevel"/>
    <w:lvl w:ilvl="0">
      <w:lvlJc w:val="left"/>
      <w:lvlText w:val="%1."/>
      <w:numFmt w:val="decimal"/>
      <w:start w:val="1"/>
    </w:lvl>
  </w:abstractNum>
  <w:abstractNum w:abstractNumId="259">
    <w:nsid w:val="4C187C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9" Type="http://schemas.openxmlformats.org/officeDocument/2006/relationships/image" Target="media/image110.png"/><Relationship Id="rId122" Type="http://schemas.openxmlformats.org/officeDocument/2006/relationships/image" Target="media/image111.png"/><Relationship Id="rId133" Type="http://schemas.openxmlformats.org/officeDocument/2006/relationships/image" Target="media/image112.png"/><Relationship Id="rId144"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26" Type="http://schemas.openxmlformats.org/officeDocument/2006/relationships/hyperlink" Target="http://www.sec.gov/Archives/edgar/data/48732/000113031021000009/0001130310-21-000009-index.htm" TargetMode="External"/><Relationship Id="rId118" Type="http://schemas.openxmlformats.org/officeDocument/2006/relationships/hyperlink" Target="https://www.sec.gov/ix?doc=/Archives/edgar/data/1130310/000113031021000009/cnp-20201231.htm" TargetMode="External"/><Relationship Id="rId120" Type="http://schemas.openxmlformats.org/officeDocument/2006/relationships/hyperlink" Target="http://www.sec.gov/ix?doc=/Archives/edgar/data/48732/000113031020000016/cnp10k12312019.htm#s29CE5F5E2BDE5C749379199663742F59" TargetMode="External"/><Relationship Id="rId121" Type="http://schemas.openxmlformats.org/officeDocument/2006/relationships/hyperlink" Target="http://www.sec.gov/ix?doc=/Archives/edgar/data/48732/000113031020000016/cnp10k12312019.htm#s0E6A8085ACE15900BB7AB519F58ABDD3" TargetMode="External"/><Relationship Id="rId123" Type="http://schemas.openxmlformats.org/officeDocument/2006/relationships/hyperlink" Target="http://www.sec.gov/Archives/edgar/data/1130310/000119312518125804/d561804dex21.htm" TargetMode="External"/><Relationship Id="rId124" Type="http://schemas.openxmlformats.org/officeDocument/2006/relationships/hyperlink" Target="http://www.sec.gov/Archives/edgar/data/1130310/000113031020000006/exhibit21purchaseagreeme.htm" TargetMode="External"/><Relationship Id="rId125" Type="http://schemas.openxmlformats.org/officeDocument/2006/relationships/hyperlink" Target="http://www.sec.gov/Archives/edgar/data/1042773/000113031020000012/exhibit21.htm" TargetMode="External"/><Relationship Id="rId126" Type="http://schemas.openxmlformats.org/officeDocument/2006/relationships/hyperlink" Target="http://www.sec.gov/Archives/edgar/data/1130310/000113031008000004/ex3-2.htm" TargetMode="External"/><Relationship Id="rId127" Type="http://schemas.openxmlformats.org/officeDocument/2006/relationships/hyperlink" Target="http://www.sec.gov/Archives/edgar/data/48732/000113031011000048/ex3-1.htm" TargetMode="External"/><Relationship Id="rId128" Type="http://schemas.openxmlformats.org/officeDocument/2006/relationships/hyperlink" Target="http://www.sec.gov/Archives/edgar/data/1042773/0000950129-98-001585.txt" TargetMode="External"/><Relationship Id="rId129" Type="http://schemas.openxmlformats.org/officeDocument/2006/relationships/hyperlink" Target="http://www.sec.gov/Archives/edgar/data/48732/0000950129-99-001059.txt" TargetMode="External"/><Relationship Id="rId130" Type="http://schemas.openxmlformats.org/officeDocument/2006/relationships/hyperlink" Target="http://www.sec.gov/Archives/edgar/data/1042773/000095012903004183/h07971exv3wa4.txt" TargetMode="External"/><Relationship Id="rId131" Type="http://schemas.openxmlformats.org/officeDocument/2006/relationships/hyperlink" Target="http://www.sec.gov/Archives/edgar/data/1130310/000119312517056500/d354129dex31.htm" TargetMode="External"/><Relationship Id="rId132" Type="http://schemas.openxmlformats.org/officeDocument/2006/relationships/hyperlink" Target="http://www.sec.gov/Archives/edgar/data/48732/000113031011000048/ex3-2.htm" TargetMode="External"/><Relationship Id="rId134" Type="http://schemas.openxmlformats.org/officeDocument/2006/relationships/hyperlink" Target="http://www.sec.gov/Archives/edgar/data/1130310/000113031012000011/exhibit3c.htm" TargetMode="External"/><Relationship Id="rId135" Type="http://schemas.openxmlformats.org/officeDocument/2006/relationships/hyperlink" Target="http://www.sec.gov/Archives/edgar/data/1130310/000119312518256372/d601681dex31.htm" TargetMode="External"/><Relationship Id="rId136" Type="http://schemas.openxmlformats.org/officeDocument/2006/relationships/hyperlink" Target="http://www.sec.gov/Archives/edgar/data/1130310/000119312518288531/d589550dex31.htm" TargetMode="External"/><Relationship Id="rId137" Type="http://schemas.openxmlformats.org/officeDocument/2006/relationships/hyperlink" Target="http://www.sec.gov/Archives/edgar/data/1130310/000119312520135744/d926772dex31.htm" TargetMode="External"/><Relationship Id="rId138" Type="http://schemas.openxmlformats.org/officeDocument/2006/relationships/hyperlink" Target="http://www.sec.gov/Archives/edgar/data/1130310/000095012901503771/h90625a1ex4-1.txt" TargetMode="External"/><Relationship Id="rId139" Type="http://schemas.openxmlformats.org/officeDocument/2006/relationships/hyperlink" Target="http://www.sec.gov/Archives/edgar/data/1130310/000119312518256372/d601681dex41.htm" TargetMode="External"/><Relationship Id="rId140" Type="http://schemas.openxmlformats.org/officeDocument/2006/relationships/hyperlink" Target="http://www.sec.gov/Archives/edgar/data/1130310/000119312518288531/d589550dex42.htm" TargetMode="External"/><Relationship Id="rId141" Type="http://schemas.openxmlformats.org/officeDocument/2006/relationships/hyperlink" Target="http://www.sec.gov/Archives/edgar/data/48732/000119312521028999/d33923dex41.htm" TargetMode="External"/><Relationship Id="rId142" Type="http://schemas.openxmlformats.org/officeDocument/2006/relationships/hyperlink" Target="http://www.sec.gov/Archives/edgar/data/48732/000119312521028999/d33923dex42.htm" TargetMode="External"/><Relationship Id="rId143" Type="http://schemas.openxmlformats.org/officeDocument/2006/relationships/hyperlink" Target="http://www.sec.gov/Archives/edgar/data/48732/000119312521028999/d33923dex43.htm" TargetMode="External"/><Relationship Id="rId145" Type="http://schemas.openxmlformats.org/officeDocument/2006/relationships/hyperlink" Target="http://www.sec.gov/Archives/edgar/data/0001130310/000119312521028999/0001193125-21-028999-index.htm" TargetMode="External"/><Relationship Id="rId146" Type="http://schemas.openxmlformats.org/officeDocument/2006/relationships/hyperlink" Target="http://www.sec.gov/Archives/edgar/data/1130310/000119312519149468/d727379dex41.htm" TargetMode="External"/><Relationship Id="rId147" Type="http://schemas.openxmlformats.org/officeDocument/2006/relationships/hyperlink" Target="http://www.sec.gov/Archives/edgar/data/1130310/000119312520135744/d926772dex41.htm" TargetMode="External"/><Relationship Id="rId148" Type="http://schemas.openxmlformats.org/officeDocument/2006/relationships/hyperlink" Target="http://www.sec.gov/Archives/edgar/data/1130310/000119312520135744/d926772dex42.htm" TargetMode="External"/><Relationship Id="rId149" Type="http://schemas.openxmlformats.org/officeDocument/2006/relationships/hyperlink" Target="http://www.sec.gov/Archives/edgar/data/1130310/000119312520135744/d926772dex43.htm" TargetMode="External"/><Relationship Id="rId150" Type="http://schemas.openxmlformats.org/officeDocument/2006/relationships/hyperlink" Target="http://www.sec.gov/Archives/edgar/data/1130310/000119312520135744/d926772dex44.htm" TargetMode="External"/><Relationship Id="rId151" Type="http://schemas.openxmlformats.org/officeDocument/2006/relationships/hyperlink" Target="http://www.sec.gov/Archives/edgar/data/1130310/000119312520135744/d926772dex45.htm" TargetMode="External"/><Relationship Id="rId152" Type="http://schemas.openxmlformats.org/officeDocument/2006/relationships/hyperlink" Target="http://www.sec.gov/Archives/edgar/data/1042773/0000899243-98-000159.txt" TargetMode="External"/><Relationship Id="rId155" Type="http://schemas.openxmlformats.org/officeDocument/2006/relationships/hyperlink" Target="http://www.sec.gov/Archives/edgar/data/48732/000095012902005703/h01010exv4wj1.txt" TargetMode="External"/><Relationship Id="rId156" Type="http://schemas.openxmlformats.org/officeDocument/2006/relationships/hyperlink" Target="http://www.sec.gov/Archives/edgar/data/48732/000119312521074944/d133333dex44.htm" TargetMode="External"/><Relationship Id="rId157" Type="http://schemas.openxmlformats.org/officeDocument/2006/relationships/hyperlink" Target="http://www.sec.gov/Archives/edgar/data/48732/000113031021000009/cnpexhibit10q1212312020.htm" TargetMode="External"/><Relationship Id="rId158" Type="http://schemas.openxmlformats.org/officeDocument/2006/relationships/hyperlink" Target="http://www.sec.gov/Archives/edgar/data/48732/000113031021000009/cnpexhibit10q1312312020.htm" TargetMode="External"/><Relationship Id="rId159" Type="http://schemas.openxmlformats.org/officeDocument/2006/relationships/hyperlink" Target="http://www.sec.gov/Archives/edgar/data/1130310/000119312520135744/d926772dex101.htm" TargetMode="External"/><Relationship Id="rId160" Type="http://schemas.openxmlformats.org/officeDocument/2006/relationships/hyperlink" Target="http://www.sec.gov/Archives/edgar/data/1130310/000119312521046637/d56898dex101.htm" TargetMode="External"/><Relationship Id="rId161" Type="http://schemas.openxmlformats.org/officeDocument/2006/relationships/hyperlink" Target="http://www.sec.gov/Archives/edgar/data/1130310/000119312521046637/d56898dex102.htm" TargetMode="External"/><Relationship Id="rId162" Type="http://schemas.openxmlformats.org/officeDocument/2006/relationships/hyperlink" Target="http://www.sec.gov/Archives/edgar/data/1130310/000119312517151944/d372078dex101.htm" TargetMode="External"/><Relationship Id="rId163" Type="http://schemas.openxmlformats.org/officeDocument/2006/relationships/hyperlink" Target="http://www.sec.gov/Archives/edgar/data/48732/000113031021000009/cnpexhibit10t21231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2021-05-06T06:00:34Z</dcterms:created>
  <dcterms:modified xsi:type="dcterms:W3CDTF">2021-05-06T06:00:34Z</dcterms:modified>
</cp:coreProperties>
</file>