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673-2_424b2.htm"/>
        <w:bookmarkStart w:id="1" w:name="kstm26256732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Statement No. 333-295924-02</w:t>
      </w:r>
      <w:r>
        <w:rPr>
          <w:rFonts w:ascii="Times New Roman;Times;serif" w:hAnsi="Times New Roman;Times;serif"/>
          <w:b/>
          <w:i w:val="false"/>
          <w:caps w:val="false"/>
          <w:smallCaps w:val="false"/>
          <w:color w:val="000000"/>
          <w:sz w:val="20"/>
        </w:rPr>
        <w:t>​</w:t>
      </w:r>
    </w:p>
    <w:p>
      <w:pPr>
        <w:pStyle w:val="TextBody"/>
        <w:bidi w:val="0"/>
        <w:spacing w:lineRule="atLeast" w:line="240" w:before="557" w:after="437"/>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(Prospectus Dated May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6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Houston Electric,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5.40% General Mortgage Bonds, Series AS, due 2031</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3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2031 general mortgage bonds will bear interest at a rate of 5.40% per year from, and including, the date of issuance and will mature on October 15, 2031. We refer to the 2031 general mortgage bonds as the mortgage bonds. We will pay interest on the mortgage bonds on April 15 and October 15 of each year, beginning on April 15, 2027. The mortgage bonds are subject to optional redemption prior to maturity at the applicable redemption price described under the caption “Description of the General Mortgage Bonds — Optional Redemption.” We may also redeem the mortgage bonds, in whole but not in part, at a redemption price equal to 101% of the principal amount thereof if a Tax Credit Event (as defined herein) occurs. See “Description of the General Mortgage Bonds — Right to Redeem for Tax Credit Event.” </w:t>
      </w:r>
    </w:p>
    <w:p>
      <w:pPr>
        <w:pStyle w:val="TextBody"/>
        <w:bidi w:val="0"/>
        <w:spacing w:lineRule="atLeast" w:line="230" w:before="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our secured obligations under our general mortgage indenture dated October 10, 2002, as supplemented, and will be subject and junior to the prior lien of our first mortgage bond indenture.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30" w:before="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a new series of securities for which currently there is no established trading market. We do not intend to apply for the listing of the mortgage bonds on any securities exchange or for quotation of the mortgage bonds on any dealer quotation system.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0" w:after="283"/>
        <w:ind w:left="940" w:right="0" w:hanging="0"/>
        <w:jc w:val="left"/>
        <w:rPr/>
      </w:pPr>
      <w:r>
        <w:rPr>
          <w:rFonts w:ascii="Times New Roman;Times;serif" w:hAnsi="Times New Roman;Times;serif"/>
          <w:b/>
          <w:i w:val="false"/>
          <w:caps w:val="false"/>
          <w:smallCaps w:val="false"/>
          <w:color w:val="000000"/>
          <w:spacing w:val="-4"/>
          <w:sz w:val="20"/>
        </w:rPr>
        <w:t xml:space="preserve">Investing in the mortgage bonds involves risks. See “Risk Factors” on page </w:t>
      </w:r>
      <w:hyperlink w:anchor="RIFA">
        <w:r>
          <w:rPr>
            <w:rStyle w:val="InternetLink"/>
          </w:rPr>
          <w:t>S-4</w:t>
        </w:r>
      </w:hyperlink>
      <w:r>
        <w:rPr>
          <w:rFonts w:ascii="Times New Roman;Times;serif" w:hAnsi="Times New Roman;Times;serif"/>
          <w:b/>
          <w:i w:val="false"/>
          <w:caps w:val="false"/>
          <w:smallCaps w:val="false"/>
          <w:color w:val="000000"/>
          <w:spacing w:val="-4"/>
          <w:sz w:val="20"/>
        </w:rPr>
        <w:t xml:space="preserve"> of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30"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60"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supplement and the accompanying prospectus are not intended to constitute an offer to, and the mortgage bonds should not be purchased, held or otherwise acquired by, a “specified foreign entity” as defined in Section 7701(a)(51)(B) of the Internal Revenue Code of 1986, as amended. By purchasing the mortgage bonds, any investor in the mortgage bonds (including all affiliated entities that participate in such purchase) will be deemed to represent and warrant to us that it is not, and will not be, for its taxable year that includes the date of the original issuance of the mortgage bonds, a specified foreign entity.</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665" w:type="dxa"/>
        <w:jc w:val="left"/>
        <w:tblInd w:w="540" w:type="dxa"/>
        <w:tblLayout w:type="fixed"/>
        <w:tblCellMar>
          <w:top w:w="0" w:type="dxa"/>
          <w:left w:w="0" w:type="dxa"/>
          <w:bottom w:w="28" w:type="dxa"/>
          <w:right w:w="0" w:type="dxa"/>
        </w:tblCellMar>
      </w:tblPr>
      <w:tblGrid>
        <w:gridCol w:w="5983"/>
        <w:gridCol w:w="109"/>
        <w:gridCol w:w="109"/>
        <w:gridCol w:w="117"/>
        <w:gridCol w:w="117"/>
        <w:gridCol w:w="990"/>
        <w:gridCol w:w="117"/>
        <w:gridCol w:w="109"/>
        <w:gridCol w:w="109"/>
        <w:gridCol w:w="109"/>
        <w:gridCol w:w="226"/>
        <w:gridCol w:w="1306"/>
        <w:gridCol w:w="109"/>
        <w:gridCol w:w="155"/>
      </w:tblGrid>
      <w:tr>
        <w:trPr/>
        <w:tc>
          <w:tcPr>
            <w:tcW w:w="59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Mortgage</w:t>
            </w:r>
            <w:r>
              <w:rPr/>
              <w:t xml:space="preserve"> </w:t>
              <w:br/>
            </w:r>
            <w:r>
              <w:rPr>
                <w:spacing w:val="-3"/>
              </w:rPr>
              <w:t xml:space="preserve">Bond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983"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99.934%</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699,538,000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983"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90" w:type="dxa"/>
            <w:tcBorders/>
            <w:tcMar>
              <w:bottom w:w="0" w:type="dxa"/>
            </w:tcMar>
            <w:vAlign w:val="center"/>
          </w:tcPr>
          <w:p>
            <w:pPr>
              <w:pStyle w:val="TableContents"/>
              <w:bidi w:val="0"/>
              <w:spacing w:before="0" w:after="283"/>
              <w:jc w:val="right"/>
              <w:rPr/>
            </w:pPr>
            <w:r>
              <w:rPr/>
              <w:t>0.600%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4,200,000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983" w:type="dxa"/>
            <w:tcBorders/>
            <w:shd w:fill="CCEEFF" w:val="clear"/>
            <w:tcMar>
              <w:bottom w:w="0" w:type="dxa"/>
            </w:tcMar>
            <w:vAlign w:val="center"/>
          </w:tcPr>
          <w:p>
            <w:pPr>
              <w:pStyle w:val="TableContents"/>
              <w:bidi w:val="0"/>
              <w:spacing w:before="0" w:after="0"/>
              <w:jc w:val="left"/>
              <w:rPr/>
            </w:pPr>
            <w:r>
              <w:rPr>
                <w:spacing w:val="4"/>
              </w:rPr>
              <w:t>Proceeds, before expenses, to CenterPoint Energy Houston Electric, LLC</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99.334%</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695,338,000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September 24,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mortgage bonds to purchasers through the book-entry facilities of The Depository Trust Company and for the accounts of its participants, including Clearstream Banking S.A. and Euroclear Bank SA/NV, as operator of the Euroclear System, against payment in New York, New York on or about September 24,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9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8997" w:type="dxa"/>
        <w:jc w:val="left"/>
        <w:tblInd w:w="540" w:type="dxa"/>
        <w:tblLayout w:type="fixed"/>
        <w:tblCellMar>
          <w:top w:w="0" w:type="dxa"/>
          <w:left w:w="0" w:type="dxa"/>
          <w:bottom w:w="0" w:type="dxa"/>
          <w:right w:w="0" w:type="dxa"/>
        </w:tblCellMar>
      </w:tblPr>
      <w:tblGrid>
        <w:gridCol w:w="124"/>
        <w:gridCol w:w="949"/>
        <w:gridCol w:w="109"/>
        <w:gridCol w:w="109"/>
        <w:gridCol w:w="1693"/>
        <w:gridCol w:w="109"/>
        <w:gridCol w:w="109"/>
        <w:gridCol w:w="2740"/>
        <w:gridCol w:w="109"/>
        <w:gridCol w:w="109"/>
        <w:gridCol w:w="853"/>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left"/>
              <w:rPr/>
            </w:pPr>
            <w:r>
              <w:rPr>
                <w:spacing w:val="-6"/>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left"/>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left"/>
              <w:rPr/>
            </w:pPr>
            <w:r>
              <w:rPr>
                <w:spacing w:val="-6"/>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283"/>
              <w:jc w:val="left"/>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left"/>
              <w:rPr/>
            </w:pPr>
            <w:r>
              <w:rPr>
                <w:spacing w:val="-6"/>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20" w:after="283"/>
        <w:ind w:left="540"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 </w:t>
      </w:r>
    </w:p>
    <w:p>
      <w:pPr>
        <w:pStyle w:val="TextBody"/>
        <w:bidi w:val="0"/>
        <w:spacing w:lineRule="atLeast" w:line="27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Independence Point Securities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3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 dated September 21,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which should be read together. The first part is this prospectus supplement, which describes the specific terms of the mortgage bonds, the specific terms of this offering and supplements and updates information contained in the accompanying prospectus and the documents incorporated by reference into this prospectus supplement and the accompanying prospectus. The second part, the accompanying prospectus, provides more general information about the general mortgage bonds and other securities that may be offered from time to time using such prospectus, some of which general information does not apply to this offering. Generally, when we refer to the prospectus, we are referring to both parts of this document combined. You should read this prospectus supplement and the accompanying prospectus together with any written communication prepared by us or on our behalf in connection with this offering together with the additional information described in the accompanying prospectus under the heading “Where You Can Find More Information” and in this prospectus supplement under the heading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anyone to provide any information or to make any representations other than those contained or incorporated by reference in this prospectus supplement, the accompanying prospectus and any written communication prepared by us or on our behalf. We and the underwriters take no responsibility for, and can provide no assurance as to the reliability of, any other information that others may give you. We are not, and the underwriters are not, making an offer to sell the mortgage bonds and are not soliciting an offer to buy the mortgage bonds in any jurisdiction where the offer or sale is not permitted. The information we have included in this prospectus supplement or the accompanying prospectus is accurate only as of the date of this prospectus supplement or the accompanying prospectus, as the case may be, and any information we have incorporated by reference is accurate only as of the date of the document incorporated by reference. Our business, financial condition, results of operations and prospects may have changed since these respective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information contained in this prospectus supplement or the accompanying prospectus or in a document incorporated by reference in this prospectus supplement or the accompanying prospectus will be deemed to be modified or superseded to the extent that a statement contained in this prospectus supplement or in any other subsequently filed document that is also incorporated by reference in this prospectus supplement modifies or supersedes that statement. Any statement so modified or superseded will not be deemed, except as so modified or superseded, to constitute a part of the prospectus. See “Incorporation By Reference”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Trust Company, National Association, in each of its capacities referenced herein, including, but not limited to, trustee, security registrar and paying agent, has not participated in the preparation of this prospectus supplement and assumes no responsibility for its content.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43"/>
        <w:gridCol w:w="109"/>
        <w:gridCol w:w="109"/>
        <w:gridCol w:w="109"/>
        <w:gridCol w:w="109"/>
        <w:gridCol w:w="54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SUM">
              <w:r>
                <w:rPr>
                  <w:rStyle w:val="InternetLink"/>
                  <w:spacing w:val="4"/>
                </w:rPr>
                <w:t>S-1</w:t>
              </w:r>
            </w:hyperlink>
            <w:hyperlink w:anchor="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RIFA">
              <w:r>
                <w:rPr>
                  <w:rStyle w:val="InternetLink"/>
                  <w:spacing w:val="4"/>
                </w:rPr>
                <w:t>S-4</w:t>
              </w:r>
            </w:hyperlink>
            <w:hyperlink w:anchor="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UOP">
              <w:r>
                <w:rPr>
                  <w:rStyle w:val="InternetLink"/>
                  <w:spacing w:val="4"/>
                </w:rPr>
                <w:t>S-6</w:t>
              </w:r>
            </w:hyperlink>
            <w:hyperlink w:anchor="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CAP">
              <w:r>
                <w:rPr>
                  <w:rStyle w:val="InternetLink"/>
                  <w:spacing w:val="4"/>
                </w:rPr>
                <w:t xml:space="preserve">CAPITALIZATION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CAP">
              <w:r>
                <w:rPr>
                  <w:rStyle w:val="InternetLink"/>
                  <w:spacing w:val="4"/>
                </w:rPr>
                <w:t>S-7</w:t>
              </w:r>
            </w:hyperlink>
            <w:hyperlink w:anchor="C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DOTG">
              <w:r>
                <w:rPr>
                  <w:rStyle w:val="InternetLink"/>
                  <w:spacing w:val="4"/>
                </w:rPr>
                <w:t xml:space="preserve">DESCRIPTION OF THE GENERAL MORTGAGE BONDS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DOTG">
              <w:r>
                <w:rPr>
                  <w:rStyle w:val="InternetLink"/>
                  <w:spacing w:val="4"/>
                </w:rPr>
                <w:t>S-8</w:t>
              </w:r>
            </w:hyperlink>
            <w:hyperlink w:anchor="DOT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MUFI">
              <w:r>
                <w:rPr>
                  <w:rStyle w:val="InternetLink"/>
                  <w:spacing w:val="4"/>
                </w:rPr>
                <w:t>S-14</w:t>
              </w:r>
            </w:hyperlink>
            <w:hyperlink w:anchor="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UND">
              <w:r>
                <w:rPr>
                  <w:rStyle w:val="InternetLink"/>
                  <w:spacing w:val="4"/>
                </w:rPr>
                <w:t xml:space="preserve">UNDERWRITING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UND">
              <w:r>
                <w:rPr>
                  <w:rStyle w:val="InternetLink"/>
                  <w:spacing w:val="4"/>
                </w:rPr>
                <w:t>S-19</w:t>
              </w:r>
            </w:hyperlink>
            <w:hyperlink w:anchor="U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LEMA">
              <w:r>
                <w:rPr>
                  <w:rStyle w:val="InternetLink"/>
                  <w:spacing w:val="4"/>
                </w:rPr>
                <w:t>S-25</w:t>
              </w:r>
            </w:hyperlink>
            <w:hyperlink w:anchor="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EXP">
              <w:r>
                <w:rPr>
                  <w:rStyle w:val="InternetLink"/>
                  <w:spacing w:val="4"/>
                </w:rPr>
                <w:t>S-25</w:t>
              </w:r>
            </w:hyperlink>
            <w:hyperlink w:anchor="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CSRF">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CSRF">
              <w:r>
                <w:rPr>
                  <w:rStyle w:val="InternetLink"/>
                  <w:spacing w:val="4"/>
                </w:rPr>
                <w:t>S-26</w:t>
              </w:r>
            </w:hyperlink>
            <w:hyperlink w:anchor="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3" w:type="dxa"/>
            <w:tcBorders/>
            <w:shd w:fill="CCEEFF" w:val="clear"/>
            <w:vAlign w:val="center"/>
          </w:tcPr>
          <w:p>
            <w:pPr>
              <w:pStyle w:val="TableContents"/>
              <w:bidi w:val="0"/>
              <w:spacing w:before="0" w:after="0"/>
              <w:jc w:val="left"/>
              <w:rPr/>
            </w:pPr>
            <w:hyperlink w:anchor="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5" w:type="dxa"/>
            <w:tcBorders/>
            <w:shd w:fill="CCEEFF" w:val="clear"/>
            <w:vAlign w:val="center"/>
          </w:tcPr>
          <w:p>
            <w:pPr>
              <w:pStyle w:val="TableContents"/>
              <w:bidi w:val="0"/>
              <w:spacing w:before="0" w:after="283"/>
              <w:jc w:val="right"/>
              <w:rPr/>
            </w:pPr>
            <w:hyperlink w:anchor="WYCF">
              <w:r>
                <w:rPr>
                  <w:rStyle w:val="InternetLink"/>
                  <w:spacing w:val="4"/>
                </w:rPr>
                <w:t>S-30</w:t>
              </w:r>
            </w:hyperlink>
            <w:hyperlink w:anchor="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3" w:type="dxa"/>
            <w:tcBorders/>
            <w:vAlign w:val="center"/>
          </w:tcPr>
          <w:p>
            <w:pPr>
              <w:pStyle w:val="TableContents"/>
              <w:bidi w:val="0"/>
              <w:spacing w:before="0" w:after="0"/>
              <w:jc w:val="left"/>
              <w:rPr/>
            </w:pPr>
            <w:hyperlink w:anchor="IBR">
              <w:r>
                <w:rPr>
                  <w:rStyle w:val="InternetLink"/>
                  <w:spacing w:val="4"/>
                </w:rPr>
                <w:t xml:space="preserve">INCORPORATION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5" w:type="dxa"/>
            <w:tcBorders/>
            <w:vAlign w:val="center"/>
          </w:tcPr>
          <w:p>
            <w:pPr>
              <w:pStyle w:val="TableContents"/>
              <w:bidi w:val="0"/>
              <w:spacing w:before="0" w:after="283"/>
              <w:jc w:val="right"/>
              <w:rPr/>
            </w:pPr>
            <w:hyperlink w:anchor="IBR">
              <w:r>
                <w:rPr>
                  <w:rStyle w:val="InternetLink"/>
                  <w:spacing w:val="4"/>
                </w:rPr>
                <w:t>S-31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610" w:type="dxa"/>
        <w:jc w:val="left"/>
        <w:tblInd w:w="1393" w:type="dxa"/>
        <w:tblLayout w:type="fixed"/>
        <w:tblCellMar>
          <w:top w:w="0" w:type="dxa"/>
          <w:left w:w="0" w:type="dxa"/>
          <w:bottom w:w="0" w:type="dxa"/>
          <w:right w:w="0" w:type="dxa"/>
        </w:tblCellMar>
      </w:tblPr>
      <w:tblGrid>
        <w:gridCol w:w="124"/>
        <w:gridCol w:w="637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ACEH">
              <w:r>
                <w:rPr>
                  <w:rStyle w:val="InternetLink"/>
                  <w:spacing w:val="4"/>
                </w:rPr>
                <w:t xml:space="preserve">About CenterPoint Energy Houston Electric,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CEH">
              <w:r>
                <w:rPr>
                  <w:rStyle w:val="InternetLink"/>
                  <w:spacing w:val="4"/>
                </w:rPr>
                <w:t>3</w:t>
              </w:r>
            </w:hyperlink>
            <w:hyperlink w:anchor="tACE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OG">
              <w:r>
                <w:rPr>
                  <w:rStyle w:val="InternetLink"/>
                  <w:spacing w:val="4"/>
                </w:rPr>
                <w:t xml:space="preserve">Description of Our General Mortgage Bonds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G">
              <w:r>
                <w:rPr>
                  <w:rStyle w:val="InternetLink"/>
                  <w:spacing w:val="4"/>
                </w:rPr>
                <w:t>9</w:t>
              </w:r>
            </w:hyperlink>
            <w:hyperlink w:anchor="tDOO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1">
              <w:r>
                <w:rPr>
                  <w:rStyle w:val="InternetLink"/>
                  <w:spacing w:val="4"/>
                </w:rPr>
                <w:t>27</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1">
              <w:r>
                <w:rPr>
                  <w:rStyle w:val="InternetLink"/>
                  <w:spacing w:val="4"/>
                </w:rPr>
                <w:t>29</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1">
              <w:r>
                <w:rPr>
                  <w:rStyle w:val="InternetLink"/>
                  <w:spacing w:val="4"/>
                </w:rPr>
                <w:t>29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that delivery of the mortgage bonds offered hereby will be made against payment therefor on or about September 24, 2026, which will be the third business day following the date of pricing of the mortgage bonds (this settlement cycle being referred to as “T+3”). Under Rule 15c6-1 of the Securities Exchange Act of 1934, as amended (the “Exchange Act”), trades in the secondary market generally are required to settle in one business day, unless the parties to a trade expressly agree otherwise. Accordingly, purchasers who wish to trade the mortgage bonds on any date prior to the first business day before delivery of the mortgage bonds will be required, by virtue of the fact that the mortgage bonds initially will settle in T+3, to specify alternative settlement arrangements at the time of any such trade to prevent a failed settlement and should consult their own advisors.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from this prospectus supplement and the accompanying prospectus. It is not complete and may not contain all of the information that you should consider before investing in the mortgage bonds. We encourage you to read this prospectus supplement, the accompanying prospectus and the documents incorporated by reference in their entirety before making an investment decision, including the information set forth under the heading “Risk Factors.” Unless the context requires otherwise, the terms “we,” “our,” and “us” refer to CenterPoint Energy Houston Electric, LLC, and the term “CenterPoint Energy” refers to CenterPoint Energy, Inc., our indirect parent.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 “mortgage bonds” refers to the 5.40% General Mortgage Bonds, Series AS, due 2031. The term “first mortgage bond indenture” means the Mortgage and Deed of Trust, dated as of November 1, 1944, from our predecessor in interest, Houston Lighting &amp; Power Company, to The Bank of New York Mellon Trust Company, National Association (successor to South Texas Commercial National Bank of Houston), as trustee, as heretofore and hereafter amended and supplemented.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CenterPoint Energy Houston Electric, LLC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electric transmission service to transmission service customers in the Electric Reliability Council of Texas region and distribution service to retail electric providers serving approximately 2.9 million metered customers in the Texas Gulf Coast area that includes the city of Houston. We are an indirect, wholly-owned subsidiary of CenterPoint Energy, a public utility holding company. Our principal executive offices are located at 1111 Louisiana Street, Houston, Texas 77002 (telephone number: 713-207-1111).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Houston Electric, LLC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Bonds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 million aggregate principal amount of 5.40% general mortgage bonds, Series AS, due 2031.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October 15, 2031.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April 15 and October 15, commencing on April 15,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be our secured obligations under our general mortgage indenture dated October 10, 2002, as supplemented (defined in “Description of the General Mortgage Bonds” as the indenture), and will be subject and junior to the prior lien of our first mortgage bond indenture.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rank on a parity with our other general mortgage bonds. As of June 30, 2026, we had approximately $10.1 billion aggregate principal amount of general mortgage bonds outstanding, including $68 million aggregate principal amount of general mortgage bonds collateralizing debt of CenterPoint Energy which are not reflected in our financial statements because of the contingent nature of the general mortgage bond obligations.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September 15, 2031, we may redeem the mortgage bonds at our option, in whole or in part, at any time and from time to time, at a redemption price equal to the greater of: (1) the “make-whole” amount based on the U.S. treasury rate as specified in this prospectus supplement under “Description of the General Mortgage Bonds — Optional Redemption” and (2) 100% of the principal amount of the mortgage bonds to be redeemed, plus, in either case, accrued and unpaid interest thereon to, but excluding, the redemption date. On or after September 15, 2031, we may redeem the mortgage bonds, in whole or in part, at any time and from time to time, at a redemption price equal to 100% of the principal amount of the mortgage bonds being redeemed plus accrued and unpaid interest thereon, if any, to, but excluding, the redemption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Credit Event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Tax Credit Event (as defined herein) occurs, we may redeem the mortgage bonds at our option, in whole but not in part, at a redemption price equal to 101% of the principal amount of the mortgage bonds to be redeemed plus accrued and unpaid interest thereon to, but excluding, the redemption date. See “Description of the General Mortgage Bonds — Right to Redeem for Tax Credit Event.”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Lack of Public Market for the Mortgage Bonds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be a new series of securities for which currently there is no established trading market. We cannot provide any assurance about: </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liquidity of any markets that may develop for the mortgage bonds; </w:t>
      </w:r>
      <w:r>
        <mc:AlternateContent>
          <mc:Choice Requires="wps">
            <w:drawing>
              <wp:anchor behindDoc="0" distT="99060" distB="0" distL="213360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ability to sell the mortgage bonds; or </w:t>
      </w:r>
      <w:r>
        <mc:AlternateContent>
          <mc:Choice Requires="wps">
            <w:drawing>
              <wp:anchor behindDoc="0" distT="99060" distB="0" distL="213360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prices at which you will be able to sell the mortgage bonds. </w:t>
      </w:r>
      <w:r>
        <mc:AlternateContent>
          <mc:Choice Requires="wps">
            <w:drawing>
              <wp:anchor behindDoc="0" distT="99060" distB="0" distL="21336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Future trading prices of the mortgage bonds will depend on many factors, including: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prevailing interest rates; </w:t>
      </w:r>
      <w:r>
        <mc:AlternateContent>
          <mc:Choice Requires="wps">
            <w:drawing>
              <wp:anchor behindDoc="0" distT="101600" distB="0" distL="21336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operating results; </w:t>
      </w:r>
      <w:r>
        <mc:AlternateContent>
          <mc:Choice Requires="wps">
            <w:drawing>
              <wp:anchor behindDoc="0" distT="101600" distB="0" distL="21336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ratings of the mortgage bonds; and </w:t>
      </w:r>
      <w:r>
        <mc:AlternateContent>
          <mc:Choice Requires="wps">
            <w:drawing>
              <wp:anchor behindDoc="0" distT="10160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market for similar securities. </w:t>
      </w:r>
      <w:r>
        <mc:AlternateContent>
          <mc:Choice Requires="wps">
            <w:drawing>
              <wp:anchor behindDoc="0" distT="10160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intend to apply for listing of the mortgage bonds on any securities exchange or for quotation of the mortgage bonds on any dealer quotation system.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should consider carefully all the information set forth and incorporated by reference in this prospectus supplement and the accompanying prospectus and, in particular, you should evaluate the specific factors set forth under “Risk Factors” on page </w:t>
      </w:r>
      <w:hyperlink w:anchor="RIFA">
        <w:r>
          <w:rPr>
            <w:rStyle w:val="InternetLink"/>
          </w:rPr>
          <w:t>S-4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before deciding whether to invest in the mortgage bonds.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and the mortgage bonds are governed by, and construed in accordance with, the laws of the State of New York except to the extent that the law of any jurisdiction where any portion of the mortgaged property is located will govern the creation, perfection, priority or enforcement of the lien of the indenture, or the exercise of remedies with respect to such portions of the mortgaged property.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from this offering, after deducting the underwriting discounts and estimated expenses of the offering payable by us, are expected to be approximately $693.6 million. We intend to use the net proceeds from the offering for general limited liability company purposes, including capital expenditures and working capital purposes. See “Use of Proceeds”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Minimum 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mortgage bonds will be issued in minimum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Security Registrar and Paying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Bank of New York Mellon Trust Company, National Association (as successor to JPMorgan Chase Bank).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You should consider carefully the risk factors identified in Part I, Item 1A “Risk Factors” of our Annual Report on Form 10-K for the fiscal year ended December 31, 2025 (“2025 Form 10-K”), the following information about risks, as well as risks arising from any legal proceedings identified or referenced in “Legal Proceedings” in Part I, Item 3 of our 2025 Form 10-K and in Part II, Item 1 “Legal Proceedings” of our Quarterly Report on Form 10-Q for the quarters ended March 31, 2026 and June 30, 2026 (“2</w:t>
      </w:r>
      <w:r>
        <w:rPr>
          <w:rFonts w:ascii="Times New Roman;Times;serif" w:hAnsi="Times New Roman;Times;serif"/>
          <w:b w:val="false"/>
          <w:i/>
          <w:caps w:val="false"/>
          <w:smallCaps w:val="false"/>
          <w:color w:val="000000"/>
          <w:spacing w:val="3"/>
          <w:sz w:val="15"/>
        </w:rPr>
        <w:t>nd</w:t>
      </w:r>
      <w:r>
        <w:rPr>
          <w:rFonts w:ascii="Times New Roman;Times;serif" w:hAnsi="Times New Roman;Times;serif"/>
          <w:b w:val="false"/>
          <w:i/>
          <w:caps w:val="false"/>
          <w:smallCaps w:val="false"/>
          <w:color w:val="000000"/>
          <w:spacing w:val="4"/>
          <w:sz w:val="20"/>
        </w:rPr>
        <w:t xml:space="preserve"> Quarter 2026 Form 10-Q”), as they may be amended, supplemented or superseded from time to time by other reports that we subsequently file with the U.S. Securities and Exchange Commission (the “SEC”), together with the other information contained in this prospectus supplement and the accompanying prospectus, before making an investment in the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cannot assure you that an active trading market will develop for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a new series of securities for which currently there is no established trading market. We do not intend to apply for the listing of the mortgage bonds on any securities exchange or for quotation of the mortgage bonds on any dealer quotation system. We cannot assure you that a trading market will develop for the mortgage bonds. Even if a market for the mortgage bonds does develop, we cannot assure you that there will be liquidity in that market or that the mortgage bonds might not trade for less than their original value or face amount. The liquidity of any market for the mortgage bonds will depend on the number of holders of those mortgage bonds, the interest of securities dealers in making a market in the mortgage bonds and other factors. If a liquid market for the mortgage bonds does not develop, you may be unable to resell the mortgage bonds for a long period of time, if at all. This means you may not be able to readily convert your mortgage bonds into cash, and the mortgage bonds may not be accepted as collateral for a loan.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a market for the mortgage bonds develops, trading prices could be higher or lower than the initial offering price. The price of the mortgage bonds will depend on many factors, including prevailing interest rates, our operating results and the market for similar securities. Declines in the market prices for debt securities generally may also materially and adversely affect the liquidity of the mortgage bonds, independent of our financial performance.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limits the ability of security holders to bring suit, waive defaults and amend the indenture.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consent of holders of certain minimum percentages of the aggregate principal amount of mortgage bonds and additional general mortgage bonds outstanding under the indenture is required to waive certain defaults, bring suit and, with exceptions, amend the indenture. Your consent to such actions will not be effective unless consents are received from the holders of the required minimum amount of such mortgage bonds and other general mortgage bonds. Further, even if you do not consent to such actions, those actions may still be taken if consented to by the holders of the required minimum amount of such mortgage bonds and other general mortgage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or the holders of 33% or more in aggregate principal amount of mortgage bonds and additional general mortgage bonds outstanding under the indenture may declare the principal amount of the mortgage bonds and additional general mortgage bonds to be due and payable immediately if an event of default shall occur and be continuing.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Ratings of the mortgage bonds may change and affect the market prices and marketability of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debt securities are subject to periodic review by one or more independent credit rating agencies and may be subject to rating and periodic review by additional independent credit rating agencies in the future. Any such ratings are limited in scope and do not address all material risks relating to an investment in the mortgage bonds, but rather reflect only the view of the rating agency at the time the rating is issued. An explanation of the significance of such rating may be obtained from such rating agency. We cannot assure you that such credit rating will remain in effect for any given period of time or that any such rating will not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lowered, suspended or withdrawn entirely by the rating agency if, in such rating agency’s judgment, circumstances so warrant. It is also possible that any such rating may be lowered in connection with future events. Holders of the mortgage bonds will have no recourse against us or any other parties in the event of a change in or suspension or withdrawal of any such rating. Any lowering, suspension or withdrawal of such ratings may have an adverse effect on the market prices or marketability of the mortgage bonds.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 Tax Credit Event occurs, we may redeem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we may redeem at our option the mortgage bonds as described under “Description of the General Mortgage Bonds — Right to Redeem for Tax Credit Event.” A “Tax Credit Event” occurs with respect to the mortgage bonds if, in our reasonable determination, there exists a material risk, due to the mortgage bonds (considered together with other debt) having been issued, as part of an original issuance, to one or more “specified foreign entities,” as defined in 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mortgage bonds for this reason would be at a redemption price equal to 101% of the principal amount of the mortgage bonds to be redeemed plus accrued and unpaid interest thereon to, but excluding,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and your mortgage bonds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mortgage bonds that are redeemed.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the offering to be approximately $693.6 million after deducting the underwriting discounts and estimated expenses of the offering payable by us. We intend to use the net proceeds from this offering for general limited liability company purposes, including capital expenditures and working capital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application of the net proceeds from this offering for the foregoing purposes, we may invest such net proceeds in the CenterPoint Energy money pool or in various instruments which may include, but would not be limited to, short-term, interest-bearing obligations, including bank deposits and certificates of deposit with financial institutions having investment-grade ratings, U.S. government obligations or money market funds primarily invested in securities issued by the U.S. government or its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CA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short-term debt and capitalization as of June 30, 2026. No adjustments have been made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mortgage bonds in this offering or the use of proceeds therefrom, as discussed in “Use of Proceeds” above; or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our consolidated short-term debt and capitalization after June 30, 2026.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table should be read in conjunction with our consolidated financial statements and related notes thereto and the “Management’s Discussion and Analysis of Financial Condition and Results of Operations” included in our 2025 Form 10-K and our 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Quarter 2026 Form 10-Q. </w:t>
      </w:r>
    </w:p>
    <w:tbl>
      <w:tblPr>
        <w:tblW w:w="8812" w:type="dxa"/>
        <w:jc w:val="left"/>
        <w:tblInd w:w="1393" w:type="dxa"/>
        <w:tblLayout w:type="fixed"/>
        <w:tblCellMar>
          <w:top w:w="0" w:type="dxa"/>
          <w:left w:w="0" w:type="dxa"/>
          <w:bottom w:w="28" w:type="dxa"/>
          <w:right w:w="0" w:type="dxa"/>
        </w:tblCellMar>
      </w:tblPr>
      <w:tblGrid>
        <w:gridCol w:w="6036"/>
        <w:gridCol w:w="109"/>
        <w:gridCol w:w="109"/>
        <w:gridCol w:w="109"/>
        <w:gridCol w:w="226"/>
        <w:gridCol w:w="766"/>
        <w:gridCol w:w="109"/>
        <w:gridCol w:w="109"/>
        <w:gridCol w:w="109"/>
        <w:gridCol w:w="109"/>
        <w:gridCol w:w="109"/>
        <w:gridCol w:w="648"/>
        <w:gridCol w:w="109"/>
        <w:gridCol w:w="155"/>
      </w:tblGrid>
      <w:tr>
        <w:trPr/>
        <w:tc>
          <w:tcPr>
            <w:tcW w:w="6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03"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283"/>
              <w:jc w:val="left"/>
              <w:rPr>
                <w:spacing w:val="4"/>
              </w:rPr>
            </w:pPr>
            <w:r>
              <w:rPr>
                <w:spacing w:val="4"/>
              </w:rPr>
              <w:t xml:space="preserve">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ind w:left="200" w:right="0" w:hanging="0"/>
              <w:jc w:val="left"/>
              <w:rPr>
                <w:spacing w:val="4"/>
              </w:rPr>
            </w:pPr>
            <w:r>
              <w:rPr>
                <w:spacing w:val="4"/>
              </w:rPr>
              <w:t xml:space="preserve">Short-term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Current portion of Variable Interest Entity Securitization Bonds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jc w:val="left"/>
              <w:rPr>
                <w:spacing w:val="4"/>
              </w:rPr>
            </w:pPr>
            <w:r>
              <w:rPr>
                <w:spacing w:val="4"/>
              </w:rPr>
              <w:t xml:space="preserve">Current portion of General Mortgage Bonds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Notes Payable – Affiliated Companies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shd w:fill="CCEEFF" w:val="clear"/>
            <w:tcMar>
              <w:bottom w:w="50" w:type="dxa"/>
            </w:tcMar>
            <w:vAlign w:val="center"/>
          </w:tcPr>
          <w:p>
            <w:pPr>
              <w:pStyle w:val="TableContents"/>
              <w:bidi w:val="0"/>
              <w:spacing w:before="0" w:after="283"/>
              <w:jc w:val="right"/>
              <w:rPr/>
            </w:pPr>
            <w:r>
              <w:rPr/>
              <w:t>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36" w:type="dxa"/>
            <w:tcBorders>
              <w:bottom w:val="single" w:sz="2" w:space="0" w:color="FFFFFF"/>
            </w:tcBorders>
            <w:tcMar>
              <w:bottom w:w="50" w:type="dxa"/>
            </w:tcMar>
            <w:vAlign w:val="center"/>
          </w:tcPr>
          <w:p>
            <w:pPr>
              <w:pStyle w:val="TableContents"/>
              <w:bidi w:val="0"/>
              <w:spacing w:before="0" w:after="0"/>
              <w:ind w:left="600" w:right="0" w:hanging="0"/>
              <w:jc w:val="left"/>
              <w:rPr>
                <w:spacing w:val="4"/>
              </w:rPr>
            </w:pPr>
            <w:r>
              <w:rPr>
                <w:spacing w:val="4"/>
              </w:rPr>
              <w:t xml:space="preserve">Total Short-Term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706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283"/>
              <w:jc w:val="left"/>
              <w:rPr>
                <w:spacing w:val="4"/>
              </w:rPr>
            </w:pPr>
            <w:r>
              <w:rPr>
                <w:spacing w:val="4"/>
              </w:rPr>
              <w:t xml:space="preserve">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ind w:left="400" w:right="0" w:hanging="0"/>
              <w:jc w:val="left"/>
              <w:rPr/>
            </w:pPr>
            <w:r>
              <w:rPr>
                <w:spacing w:val="4"/>
              </w:rPr>
              <w:t>First Mortgage Bonds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VIE Securitization Bonds,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tcMar>
              <w:bottom w:w="0" w:type="dxa"/>
            </w:tcMar>
            <w:vAlign w:val="center"/>
          </w:tcPr>
          <w:p>
            <w:pPr>
              <w:pStyle w:val="TableContents"/>
              <w:bidi w:val="0"/>
              <w:spacing w:before="0" w:after="0"/>
              <w:ind w:left="400" w:right="0" w:hanging="0"/>
              <w:jc w:val="left"/>
              <w:rPr/>
            </w:pPr>
            <w:r>
              <w:rPr>
                <w:spacing w:val="4"/>
              </w:rPr>
              <w:t>General Mortgage Bonds, net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9,377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36"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shd w:fill="CCEEFF" w:val="clear"/>
            <w:tcMar>
              <w:bottom w:w="50" w:type="dxa"/>
            </w:tcMar>
            <w:vAlign w:val="center"/>
          </w:tcPr>
          <w:p>
            <w:pPr>
              <w:pStyle w:val="TableContents"/>
              <w:bidi w:val="0"/>
              <w:spacing w:before="0" w:after="283"/>
              <w:jc w:val="right"/>
              <w:rPr/>
            </w:pPr>
            <w:r>
              <w:rPr/>
              <w:t>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36" w:type="dxa"/>
            <w:tcBorders>
              <w:bottom w:val="single" w:sz="2" w:space="0" w:color="FFFFFF"/>
            </w:tcBorders>
            <w:tcMar>
              <w:bottom w:w="50" w:type="dxa"/>
            </w:tcMar>
            <w:vAlign w:val="center"/>
          </w:tcPr>
          <w:p>
            <w:pPr>
              <w:pStyle w:val="TableContents"/>
              <w:bidi w:val="0"/>
              <w:spacing w:before="0" w:after="0"/>
              <w:ind w:left="600" w:right="0" w:hanging="0"/>
              <w:jc w:val="left"/>
              <w:rPr>
                <w:spacing w:val="4"/>
              </w:rPr>
            </w:pPr>
            <w:r>
              <w:rPr>
                <w:spacing w:val="4"/>
              </w:rPr>
              <w:t xml:space="preserve">Total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10,837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56%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Total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3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Member’s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7,813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40%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36"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and 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19,356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double" w:sz="8"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no first mortgage bonds outstanding and have contractually agreed that we will not issue additional first mortgage bonds. We are undertaking actions to release the lien of, and terminate, our first mortgage bond indenture.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$68 million of general mortgage bonds that collateralize pollution control bonds that are obligations of CenterPoint Energy. </w:t>
      </w:r>
      <w:r>
        <mc:AlternateContent>
          <mc:Choice Requires="wps">
            <w:drawing>
              <wp:anchor behindDoc="0" distT="508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DOTG"/>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GENERAL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offered by this prospectus supplement will be issued as a new series of general mortgage bonds under the General Mortgage Indenture, dated as of October 10, 2002, between us and The Bank of New York Mellon Trust Company, National Association (successor to JPMorgan Chase Bank), as trustee (the trustee), as amended and supplemented (the indenture). The descriptions under this heading and under “Description of Our General Mortgage Bonds” in the accompanying prospectus are summaries of the material provisions of the mortgage bonds and the indenture. Such summaries do not purport to be complete and are qualified in their entirety by reference to the indenture and the mortgage bonds, forms of which have been or will be filed and incorporated by reference as exhibits to the registration statement of which this prospectus supplement and the accompanying prospectus form a part. We urge you to read the indenture because it, not this description, defines your rights as a holder of the mortgage bonds. References to article and section numbers in this prospectus supplement, unless otherwise indicated, are references to article and section numbers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supplement, general mortgage bonds have been issued and are outstanding in an aggregate principal amount equal to approximately $10.1 billion and additional general mortgage bonds may be issued under the indenture, without limitation as to aggregate principal amount, on the basis of property additions, retired bonds or cash deposited with the trustee. Please read “— Issuance of Mortgage Bonds.” The mortgage bonds, the previously issued general mortgage bonds and any additional general mortgage bonds issued under the indenture are collectively referred to as the “indenture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mortgage bonds will bear interest at the rate of 5.40% per annum. Interest on the mortgage bonds is payable semi-annually in arrears on each April 15 and October 15, commencing April 15, 2027 (each such date, an interest payment date), to the persons in whose names they are registered at the close of business on the April 1 and October 1, respectively, immediately preceding the applicable interest payment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however, that interest payable at maturity (whether at stated maturity, upon redemption or otherwise) will be payable to the registered bondholder to whom principal is payable. The mortgage bonds will be issued in minimum denominations of $2,000 principal amount and integral multiples of $1,000 principal amount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will be payable on each interest payment date for each such mortgage bond for the period commencing on the next preceding interest payment date on which interest has been paid (or if no interest has been paid thereon, commencing on the date of issuance thereof) to, but not including, such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redemption date or the date of maturity falls on a day that is not a business day, all payments to be made on such day shall be made on the next succeeding business day with the same force and effect as if made on the due date, and no additional interest shall be payable as a result of such delay in payment. Interest will be computed on the basis of a 360-day year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mature on October 15, 2031. The mortgage bonds are subject to optional redemption before their maturity as described below. The mortgage bonds are not entitled to the benefit of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initially issuable in book-entry form. Initially, Cede &amp; Co., as nominee for The Depository Trust Company, or DTC, will be the registered owner of the mortgage bonds and references herein to the bondholders, holders, owners or registered owners of the mortgage bonds shall mean Cede &amp; Co. and not the beneficial owners of the mortgage bonds. Beneficial owners of the mortgage bonds will not receive or have the right to receive bond certificates except as hereinafter provided. Please read “— Book-Entry Delivery and Settlement.”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initially being offered in the principal amount of $700,000,000. We may, without the consent of the holders of the mortgage bonds, increase the principal amount of the mortgage bonds and issue additional mortgage bonds having the same ranking, interest rate, maturity and other terms (other than the date of initial issuance, the price to public, and, in some circumstances, the initial interest accrual date and initial interest payment date) as the mortgage bonds being offered hereby, but we will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reopen a series unless the additional mortgage bonds are fungible with the previously issued mortgage bonds of that series for U.S. federal income tax purposes or such additional mortgage bonds are issued with a separate CUSIP number. Any such additional mortgage bonds would, together with the mortgage bonds being offered hereby, constitute a single series of securities under the indenture and may be treated as a single class for all purposes under the indenture, including, without limitation, voting, waivers and amendments.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supplement, “business day” means, with respect to the mortgage bonds, each Monday, Tuesday, Wednesday, Thursday and Friday which is not a day on which banking institutions in the Place of Payment (as defined in the indenture) are authorized or obligated by law or executive order to close.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September 15, 2031 (the “Par Call Date”), we may redeem the mortgage bonds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(1)(a) the sum of the present values of the remaining scheduled payments of principal and interest on the mortgage bonds to be redeemed discounted to the redemption date (assuming the mortgage bonds to be redeemed matured on the Par Call Date) on a semi-annual basis (assuming a 360-day year consisting of twelve 30-day months) at the treasury rate plus 10 basis points less (b) interest accrued to the date of redemption, and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mortgage bonds to be redeemed; plus, in either case, accrued and unpaid interest thereon to, but excluding, the redemption date.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mortgage bonds, in whole or in part, at any time and from time to time, at a redemption price equal to 100% of the principal amount of the mortgage bonds being redeemed plus accrued and unpaid interest thereon, if any, to, but excluding, the redemption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at our written direction, will send a notice of redemption to each holder of mortgage bonds to be redeemed by first-class mail (or in accordance with the procedures of The Depository Trust Company with respect to mortgage bonds registered in the name of Cede &amp; Co.) at least 10 and not more than 60 days prior to the date fixed for redemption. Unless we default on payment of the redemption price, interest will cease to accrue on the mortgage bonds or portions thereof called for redemption on the date fixed for redemption. If fewer than all of the mortgage bonds are to be redeemed, not more than 60 days prior to the redemption date, the particular mortgage bonds or portions thereof called for redemption will be selected from the outstanding mortgage bonds not previously called by lot by the trustee if the mortgage bonds are in certificated form. In the case of a partial redemption of mortgage bonds registered in the name of Cede &amp; Co, the mortgage bonds to be redeemed will be determined in accordance with the procedures of The Depository Trust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 to Redeem for Tax Credit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we may redeem the mortgage bonds, upon the sending of a notice of redemption to the holders of the mortgage bonds, at our option, in whole but not in part, at a redemption price equal to 101% of the principal amount of the mortgage bonds to be redeemed, plus accrued and unpaid interest thereon to, but excluding, the redemption date. A notice of redemption of the mortgage bonds upon the occurrence of a Tax Credit Event (i) may only be sent by the later of (a) the end of the calendar year in which the mortgage bonds were issued and (b) six months from the date of issuance of the mortgage bonds and (ii) shall be accompanied by a certificate from one of our officers stating that such Tax Credit Event has occurred.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Credit Event” occurs with respect to the mortgage bonds if, in our reasonable determination, there exists a material risk, due to the mortgage bonds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such redemption will be mailed or electronically delivered (or otherwise transmitted in accordance with the depositary’s procedures) at least 10 days but not more than 60 days prior to the redemption date to each holder of the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mortgage bonds in the form of one or more global securities in definitive, fully registered form. The global securities will be registered in the name of Cede &amp; Co., as nominee of The Depository Trust Company, and will remain in the custody of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the global securities will be represented through book-entry accounts of financial institutions acting on behalf of beneficial owners as direct and indirect participants in DTC. Investors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interests in the global securities through DTC either directly if they are participants in DTC or indirectly through organizations that are participants in DTC. DTC has advised us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securities brokers and dealers, banks, trust companies, clearing corporations and other organizations.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wholly-owned subsidiary of The Depository Trust &amp; Clearing Corporation (“DTCC”). DTCC is owned by the users of its regulated subsidiaries.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DTC system is also available to others such as securities brokers and dealers, banks and trust companies that clear through or maintain a custodial relationship with a direct participant, either directly or indirectly.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provided the description of the operations and procedures of DTC in this prospectus supplement solely as a matter of convenience. These operations and procedures are solely within the control of DTC and are subject to change by it from time to time. Neither we nor the underwriters or the trustee takes any responsibility for these operations or procedures, and you are urged to contact DTC or its participants directly to discuss these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procedures established by DTC: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securities with DTC or its custodian, DTC will credit on its internal system the accounts of direct participants designated by the underwriters with portions of the principal amounts of the global securities; and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 mortgage bonds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purchasers of securities take physical delivery of those securities in definitive form. Accordingly, the ability to transfer interests in the mortgage bonds represented by a global security to those persons may be limited. In addition, because DTC can act only on behalf of its participants, who in turn act on behalf of persons who hold interests through participants, the ability of a person having an interest in mortgage bonds represented by a global security to pledge or transfer those interests to persons or entities that do not participate in DTC’s system, or otherwise to take actions in respect of such interest, may be affected by the lack of a physical definitive security in respect of such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owner of a global security, DTC or that nominee will be considered the sole owner or holder of the mortgage bonds represented by that global security for all purposes under the indenture and under the mortgage bonds. Except as provided below, owners of beneficial interests in a global security will not be entitled to have mortgage bonds represented by that global security registered in their names, will not receive or be entitled to receive physical delivery of certificated mortgage bonds and will not be considered the owners or holders thereof under the indenture or under the mortgage bonds for any purpose, including with respect to the giving of any direction, instruction or approval to the trustee. Accordingly, each holder owning a beneficial interest in a global security must rely on the procedures of DTC and, if that holder is not a direct or indirect participant, on the procedures of the participant through which that holder owns its interest, to exercise any rights of a holder of mortgage bonds under the indenture or the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have any responsibility or liability for any aspect of the records relating to or payments made on account of mortgage bonds by DTC, or for maintaining, supervising or reviewing any records of DTC relating to the mortgage bonds.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the mortgage bonds represented by the global securities will be made to DTC or its nominee, as the case may be, as the registered owner thereof. We expect that DTC or its nominee, upon receipt of any payment on the mortgage bonds represented by a global security, will credit participants’ accounts with payments in amounts proportionate to their respective beneficial interests in the global security as shown in the records of DTC or its nominee. We also expect that payments by participants to owners of beneficial interests in the global security held through such participants will be governed by standing instructions and customary practice as is now the case with securities held for the accounts of customers registered in the names of nominees for such customers. The participants will be responsible for those payments.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settlement for the mortgage bonds will be made in immediately available funds. Secondary market trading between DTC participants will occur in the ordinary way in accordance with DTC rules and will be settled in immediately available funds. Although DTC has agreed to the foregoing procedures to facilitate transfers of the mortgage bonds among its participants, it is under no obligation to perform or continue to perform such procedures and such procedures may be changed or discontinued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Secondary market trading between Clearstream Banking S.A. (“Clearstream”) participants and/or Euroclear Bank SA/NV, as operator of the Euroclear System (“Euroclear”) participants will occur in the ordinary way in accordance with the applicable rules and operating procedures of Clearstream and Euroclear,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Certificated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mortgage bonds will be issued to each person that DTC identifies as the beneficial owner of the mortgage bonds represented by the global securities, upon surrender by DTC of the global securities, (i) if we notify the trustee in writing that DTC or any successor depositary (the “depositary”) is no longer willing or able to act as a depositary for the global securities or DTC ceases to be registered as a clearing agency under the Exchange Act, and a successor depositary is not appointed within 90 days of such notice or cessation, (ii) if we, at our option and subject to DTC procedures, notify the trustee in writing that we elect to cause the issuance of mortgage bonds in definitive form under the indenture or (iii) upon the occurrence of certain other events as provided pursuant to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aggregate principal amount of additional general mortgage bonds that could be issued was approximately $5.3 billion based on retired bonds and 70% of property additions. We have contractually agreed that we will not issue additional first mortgage bonds. We are undertaking actions to release the lien of, and terminate, our first mortgage bond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General Mortgage Bonds and Basis for the Issuance of the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outstanding approximately $10.1 billion aggregate principal amount of general mortgage bonds,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$68 million aggregate principal amount of general mortgage bonds issued to trustees under the indentures pursuant to which certain pollution control bonds were issued by various governmental authorities. These general mortgage bonds secure the obligation of CenterPoint Energy under various installment payment and bond amortization agreements to pay installments of principal and interest that support the related pollution control bonds; and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$10.1 billion aggregate principal amount of general mortgage bonds issued directly to the public.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established in the Fortieth Supplemental Indenture between us and the trustee and will be issued on the basis of property additions.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Trust Company, National Association is the trustee under the indenture and will be the principal paying agent and registrar for the mortgage bonds. As of June 30, 2026, the trustee served as trustee for approximately $10.1 billion aggregate principal amount of our debt securities (including $68 million aggregate principal amount of general mortgage bonds collateralizing debt of CenterPoint Energy). In addition, the trustee serves as trustee for debt securities of our parent company, CenterPoint Energy, and some of its subsidiaries, aggregating approximately $10.0 billion (exclusive of $828 million of CenterPoint Energy’s 2.0% Zero-Premium Exchangeable Subordinated Notes due 2029) as of June 30, 2026. CenterPoint Energy maintains brokerage relationships with the trustee and its affiliates, each of whom may maintain other relationships with CenterPoint Energy or its affiliates in the ordinary course of business in the future.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MUFI"/>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relevant to the acquisition, ownership and disposition of the mortgage bonds issued pursuant to this offering. This discussion is based upon the provisions of the Internal Revenue Code of 1986, as amended (the “Code”), applicable U.S. Treasury regulations promulgated thereunder, judicial authority and administrative interpretations, all as of the date of this offering, and all of which are subject to change, possibly with retroactive effect, or are subject to different interpretations. We cannot assure you that the Internal Revenue Service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mortgage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who purchase the mortgage bonds in this offering for cash at a price equal to the issue price of the mortgage bonds (i.e., the first price at which a substantial amount of the mortgage bonds is sold for cash other than to bond houses, brokers or similar persons or organizations acting in the capacity of underwriters, placement agents or wholesalers) and who hold the mortgage bonds as capital assets (generally, property held for investment). This discussion does not address any U.S. federal tax considerations other than U.S. federal income tax considerations (such as estate and gift tax considerations), or the tax considerations arising under the laws of any foreign, state, local or other jurisdiction or any income tax treaty. In addition, this discussion does not address all tax considerations that may be important to a particular holder in light of the holder’s circumstances, or to certain categories of investors that may be subject to special rules, such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in securities or currencies;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have elected the mark-to-market method of accounting for their securities;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mortgage bonds as part of a hedge, straddle, conversion or other “synthetic security” or integrated transaction;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U.S. citizens or long-term residents of the United States;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that are tax-exempt for U.S. federal income tax purposes;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required to accelerate the recognition of any item of gross income with respect to the mortgage bonds as a result of such income being recognized on an “applicable financial statement” ​(within the meaning of Section 451(b) of the Code); and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and other pass-through entities or arrangements and holders of interests therein.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mortgage bonds, the U.S. federal income tax treatment of a partner of the partnership generally will depend upon the status of the partner and the activities of the partnership and upon certain determinations made at the partner level. If you are a partner of a partnership considering an investment in the mortgage bonds, you are urged to consult your own tax advisor about the U.S. federal income tax consequences of acquiring, owning and disposing of the mortgage bonds.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CONSIDERING THE PURCHASE OF MORTGAGE BONDS ARE URGED TO CONSULT THEIR OWN TAX ADVISORS REGARDING THE APPLICATION OF THE U.S. FEDERAL INCOME TAX LAWS TO THEIR PARTICULAR SITUATIONS AS WELL AS ANY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CONSEQUENCES OF THE ACQUISITION, OWNERSHIP AND DISPOSITION OF THE MORTGAGE BONDS UNDER OTHER U.S. FEDERAL TAX LAWS OR UNDER THE LAWS OF ANY STATE, LOCAL OR FOREIGN JURISDICTION OR UNDER ANY APPLICABLE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the General Mortgage Bonds — Optional Redemption”) and “Description of the General Mortgage Bonds — Right to Redeem for Tax Credit Event”, we may be obligated to pay amounts with respect to the mortgage bonds that are in excess of stated interest on or principal of the mortgage bonds and/or pay amounts in redemption of the mortgage bonds prior to their stated maturity. We intend to take the position that the likelihood that we will be required to make such payments is remote as of the issue date of the mortgage bonds and therefore that these provisions do not cause the mortgage bonds to be treated as “contingent payment debt instruments” within the meaning of the applicable U.S. Treasury Regulations. However, additional income will be recognized to a holder of mortgage bonds if any such additional payment is made. Our position that the contingencies described above are remote is binding on a holder, unless the holder discloses in the proper manner to the IRS that it is taking a different position. If the IRS successfully challenged our position, then the mortgage bonds could be treated as contingent payment debt instruments, in which case holders could be required to accrue interest income at a rate higher than the stated interest rate on the mortgage bonds and to treat as ordinary income, rather than capital gain, any gain recognized on a sale, exchange, retirement or redemption of a mortgage bond. The remainder of this discussion assumes that the mortgage bonds will not be treated as contingent payment debt instruments. You should consult your own tax advisor regarding the possible application of the contingent payment debt instrument rules to the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will apply to you if you are a U.S. holder of the mortgage bonds. You are a “U.S. holder” for purposes of this discussion if you are a beneficial owner of a mortgage bond and you are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U.S. citizen or U.S. resident alien;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that was created or organized in or under the laws of the United States, any state thereof or the District of Columbia;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generally will be taxable to you as ordinary income at the time it is received or accrued in accordance with your regular method of tax accounting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generally recognize capital gain or loss on the sale, redemption, exchange, retirement or other taxable disposition of a mortgage bond equal to the difference, if any, between the proceeds you receive (excluding any proceeds attributable to accrued but unpaid interest, which will be taxable as ordinary interest income to the extent you have not previously included such amounts in income) and your adjusted tax basis in the mortgage bond. The proceeds you receive will include the amount of any cash and the fair market value of any other property received for the mortgage bond. Your adjusted tax basis in the mortgage bond will generally equal the amount you paid for the mortgage bond. Any gain or loss will be long-term capital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or loss if you held the mortgage bond for more than one year at the time of the sale, redemption, exchange, retirement or other taxable disposition. Long-term capital gains of individuals, estates and trusts currently are eligible for reduced rates of U.S. federal income tax.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on, and the proceeds of the sale or other disposition (including a redemption, exchange or retirement) of, mortgage bonds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additional 3.8% tax is imposed on the “net investment income” of certain United States citizens and resident aliens, and on the undistributed “net investment income” of certain estates and trusts, in each case, subject to certain thresholds. Among other items, “net investment income” generally includes gross income from interest and net gain from the disposition of property, such as the mortgage bonds, less certain deductions. You are encouraged to consult your tax advisor with respect to this additional tax and its applicability in your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will apply to you if you are a non-U.S. holder of mortgage bonds. You are a “non-U.S. holder” for purposes of this discussion if you are a beneficial owner of mortgage bonds that is, for U.S. federal income tax purposes, an individual, corporation, estate or trust that is not a 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withholding below, payments to you of interest on the mortgage bonds generally will not be subject to U.S. federal income tax and will be exempt from withholding of U.S. federal income tax under the “portfolio interest” exemption if you properly certify as to your foreign status, as described below,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the total combined voting power of all classes of our equity entitled to vote;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mortgage bonds is in connection with an extension of credit made pursuant to a loan agreement entered into in the ordinary course of your trade or business; and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is not effectively connected with your conduct of a U.S. trade or business.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generally applies only if you also appropriately certify as to your foreign status. You can generally meet the certification requirement by providing a properly executed IRS Form W-8BEN or IRS Form W-8BEN-E (or other applicable or successor form) to the applicable withholding agent. If you hold the mortgage bonds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to the applicable withholding agent. In addition, special rules apply to qualified intermediaries that enter into withholding agreements with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or successor form) claiming an exemption from (or a reduction of) withholding under an income tax treaty, or (ii) the payments of such interest are effectively connected with your conduct of a trade or business in the United States (and, if required by an applicable income tax treaty, are attributable to a permanent establishment maintained by you in the United States) and you meet the certification requirements described below. (See “— Income or Gain Effectively Connected with a U.S. Trade or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and below must be provided to the applicable withholding agent prior to the payment of interest and must be updated periodically. If you do not timely provide the applicable withholding agent with the required certification, but you qualify for a reduced rate under an applicable income tax treaty, you may obtain a refund of any excess amounts withheld if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Mortgage Bonds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below, you generally will not be subject to U.S. federal income tax on any gain (excluding any amount attributable to accrued and unpaid interest, which generally will be treated as interest and may be subject to the rules discussed above in “— Interest on the Mortgage Bonds”) realized on the sale, redemption, exchange, retirement or other taxable disposition of a mortgage bond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by you of a U.S. trade or business (and, if required by an applicable income tax treaty, you maintain a permanent establishment in the United States to which such gain is attributable); or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non-resident alien individual who has been present in the United States for 183 days or more in the taxable year of disposition and certain other requirements are met.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gain is described in the first bullet point above, you generally will be subject to U.S. federal income tax in the manner described under “— Income or Gain Effectively Connected with a U.S. Trade or Business.” If you are a non-U.S. holder described in the second bullet point above, you will be subject to a flat 30% (or lower applicable income tax treaty rate) U.S. federal income tax on the gain derived from the sale or other disposition, which may be offset by certain U.S. source capital losses.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or Gain Effectively Connected with a U.S. Trade or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on the mortgage bonds or gain from the sale, redemption, exchange, retirement or other taxable disposition of the mortgage bonds is effectively connected with a U.S. trade or business conducted by you (and, if required by an applicable income tax treaty, you maintain a permanent establishment in the United States to which such interest or gain is attributable), then the interest income or gain will be subject to U.S. federal income tax at regular graduated income tax rates generally in the same manner as if you were a U.S. holder.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mortgage bond and gain recognized on the disposition of a mortgage bond will be included in earnings and profits if the interest or gain is effectively connected with the conduct by you of a U.S. trade or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to you of interest on a mortgage bond, and amounts withheld from such payments, if any, generally will be required to be reported to the IRS and to you. Copies of the information returns reporting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interest payments and withholding may also be made available to the tax authorities of the country in which you reside or are established under the provisions of a specific treaty or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to you of interest on a mortgage bond if the certification described in “— Tax Consequences to Non-U.S. Holders — Interest on the Mortgage Bonds” is duly provided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Proceeds from the disposition of a mortgage bond effected by the U.S. office of a U.S. or foreign broker will be subject to information reporting requirements and backup withholding unless you properly certify under penalties of perjury as to your foreign status on IRS Form W-8BEN or IRS Form W-8BEN-E (or other applicable or successor form) and certain other conditions are met or you otherwise establish an exemption. Information reporting requirements and backup withholding generally will not apply to any proceeds from the disposition of a mortgage bond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mortgage bond effected outside the United States by such a broker if it has certain relationships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Withholding on Payments to Certain Foreign Entities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(referred to as “FATCA”) impose a 30% U.S. federal withholding tax on “withholdable payments” ​(as defined in the Code), including payments of interest on the mortgage bonds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mortgage bond on or after January 1, 2019, proposed U.S. Treasury Regulations provide that such payments of gross proceeds (other than amounts treated as interest) do not constitute withholdable payments. Taxpayers may generally rely on these proposed U.S. Treasury Regulations until they are revoked or final U.S.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financial institutions located in jurisdictions that have an intergovernmental agreement with the United States with respect to these rules may be subject to different rules. Under certain circumstances, a beneficial owner of mortgage bonds might be eligible for refunds or credits of such taxes. You are urged to consult your tax advisor regarding the effects of FATCA on your investment in the mortgage bonds.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PRECEDING DISCUSSION OF MATERIAL U.S. FEDERAL INCOME TAX CONSEQUENCES IS FOR GENERAL INFORMATION ONLY AND IS NOT TAX ADVICE. WE URGE YOU TO CONSULT YOUR OWN TAX ADVISOR REGARDING THE PARTICULAR U.S. FEDERAL, STATE, LOCAL AND FOREIGN TAX CONSEQUENCES OF ACQUIRING, OWNING AND DISPOSING OF THE MORTGAGE BONDS, INCLUDING THE CONSEQUENCES OF ANY PROPOSED CHANGE IN APPLICABLE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UN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an underwriting agreement between us and the underwriters named below for the mortgage bonds, for whom Barclays Capital Inc., BNP Paribas Securities Corp., Goldman Sachs &amp; Co. LLC, MUFG Securities Americas Inc. and Truist Securities are acting as representatives, we have agreed to sell to each of the underwriters, and each of the underwriters has severally, and not jointly, agreed to purchase from us, the principal amount of mortgage bonds set forth opposite its name below. </w:t>
      </w:r>
    </w:p>
    <w:tbl>
      <w:tblPr>
        <w:tblW w:w="5842" w:type="dxa"/>
        <w:jc w:val="left"/>
        <w:tblInd w:w="1393" w:type="dxa"/>
        <w:tblLayout w:type="fixed"/>
        <w:tblCellMar>
          <w:top w:w="0" w:type="dxa"/>
          <w:left w:w="0" w:type="dxa"/>
          <w:bottom w:w="43" w:type="dxa"/>
          <w:right w:w="0" w:type="dxa"/>
        </w:tblCellMar>
      </w:tblPr>
      <w:tblGrid>
        <w:gridCol w:w="3660"/>
        <w:gridCol w:w="109"/>
        <w:gridCol w:w="109"/>
        <w:gridCol w:w="109"/>
        <w:gridCol w:w="226"/>
        <w:gridCol w:w="1366"/>
        <w:gridCol w:w="109"/>
        <w:gridCol w:w="154"/>
      </w:tblGrid>
      <w:tr>
        <w:trPr/>
        <w:tc>
          <w:tcPr>
            <w:tcW w:w="3660"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Mortgage Bonds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127,400,000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127,400,000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127,400,000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127,400,000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127,400,000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49,000,000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Independence Point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ind w:left="200" w:right="0" w:hanging="0"/>
              <w:jc w:val="left"/>
              <w:rPr>
                <w:b/>
              </w:rPr>
            </w:pPr>
            <w:r>
              <w:rPr>
                <w:b/>
                <w:spacing w:val="-4"/>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tcMar>
              <w:bottom w:w="50" w:type="dxa"/>
            </w:tcMar>
            <w:vAlign w:val="center"/>
          </w:tcPr>
          <w:p>
            <w:pPr>
              <w:pStyle w:val="TableContents"/>
              <w:bidi w:val="0"/>
              <w:spacing w:before="0" w:after="283"/>
              <w:jc w:val="right"/>
              <w:rPr/>
            </w:pPr>
            <w:r>
              <w:rPr/>
              <w:t>700,000,000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mortgage bonds, subject to prior sale, when, as and if issued to and accepted by them, subject to approval of legal matters by counsel, including the validity of the mortgage bonds,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initially offer the mortgage bonds to the public at the offering price appearing on the cover page of this prospectus supplement and may also offer the mortgage bonds to dealers at a price that represents a concession not in excess of 0.35% of the principal amount of the mortgage bonds. Any underwriter may allow, and any of these dealers may re-allow, a concession not in excess of 0.25% of the principal amount of the mortgage bonds. After the initial offering of the mortgage bonds, the underwriters may from time to time vary the offering pricing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underwriters, including their agreement to purchase the mortgage bonds from us, are several and not joint. The underwriting agreement provides that the obligations of the underwriters are subject to certain conditions and that the underwriters will be obligated to purchase all of the mortgage bonds if any are purchased. The underwriting agreement also provides that if an underwriter defaults, the purchase commitments of the non-defaulting underwriters under the agreement may be increased or the offering of mortgage bonds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will be a new series of securities for which currently there is no established trading market. We do not intend to apply for listing of the mortgage bonds on any securities exchange or for quotation of the mortgage bonds on any dealer quotation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intend to make a market in the mortgage bonds after the offering, although they are under no obligation to do so. The underwriters may discontinue any market-making activities at any time without any notice. We can give no assurance as to the liquidity of the trading market for the mortgage bonds or that a public trading market for the mortgage bonds will develop.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mortgage bonds, the underwriters may engage in transactions that stabilize, maintain or otherwise affect the price of the mortgage bonds. Specifically, the underwriters may overallot in connection with the offering of the mortgage bonds, creating a syndicate short position. In addition, the underwriters may bid for, and purchase, the mortgage bonds in the open market to cover short positions or to stabilize the price of the mortgage bonds. Finally, the underwriters may reclaim selling concessions allowed for distributing the mortgage bonds in the offering, if the underwriters repurchase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distributed mortgage bonds in transactions to cover short positions, in stabilization transactions or otherwise. Any of these activities may stabilize or maintain the market prices of the mortgage bonds above independent market levels. The underwriters are not required to engage in any of these activities, and may end any of them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 will be approximately $1.8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or contribute to payments that the underwriters may be required to make in respect of, certain liabilities, including liabilities under the Securities Act of 1933, as amended.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Extended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mortgage bonds offered hereby will be made against payment therefor on or about September 24, 2026, which will be the third business day following the date of pricing of the mortgage bonds (this settlement cycle being referred to as “T+3”). Under Rule 15c6-1 of the Exchange Act, trades in the secondary market generally are required to settle in one business day, unless the parties to a trade expressly agree otherwise. Accordingly, purchasers who wish to trade the mortgage bonds on any date prior to the first business day before delivery of the mortgage bonds will be required, by virtue of the fact that the mortgage bonds initially will settle in T+3, to specify alternative settlement arrangements at the time of any such trade to prevent a failed settlement and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underwriters and/or their affiliates have engaged, and may in the future engage, in commercial banking, investment banking, trust or investment management transactions with us and our affiliates for which they have received, and will in the future receive, customary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and their affiliates has a lending relationship with us, certain of these underwriters or their affiliates routinely hedge and certain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mortgage bonds offered hereby. Any credit default swaps or short positions could adversely affect future trading prices of the mortgage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the “MiFID II”); (ii) a customer within the meaning of Directive (EU) 2016/97 (as amended), where that customer would not qualify as a professional client as defined in point (10) of Article 4(1) of MiFID II; or (iii) not a qualified investor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defined in Regulation (EU) 2017/1129 (as amended, the “Prospectus Regulation”). Consequently, no key information document required by Regulation (EU) No 1286/2014 (as amended or superseded, the “PRIIPs Regulation”) for offering or selling the mortgage bonds or otherwise making them available to retail investors in the EEA has been prepared, and therefore offering or selling the mortgage bonds or otherwise making them available to any retail investor in the EEA may be unlawful under the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any offer of the mortgage bonds in any member state of the EEA will be made pursuant to an exemption under the Prospectus Regulation from the requirement to publish a prospectus for offers of securities. This prospectus supplement and the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Public Offers and Admissions to Trading Regulations 2024 (“POATRs”). Consequently, no key information document required by Regulation (EU) No 1286/2014 as it forms part of domestic law by virtue of the EUWA (the “UK PRIIPs Regulation”) and no disclosure document required by the UK Financial Conduct Authority’s Product Disclosure Sourcebook (“DISC”) for offering, selling or distributing the mortgage bonds or otherwise making them available to retail investors in the UK has been prepared and therefore offering, selling or distributing the mortgage bonds or otherwise making them available to any retail investor in the UK may be unlawful under the UK PRIIPs Regulation or the DISC and the Consumer Composite Investments (Designated Activities) Regulations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the offering of the mortgage bonds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mortgage bonds in the United Kingdom is made pursuant to an exemption under the POATRs or the FSMA.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United Kingdom. Any investment or investment activity to which this prospectus supplement and the accompanying prospectus relate is available only to and will be engaged in only with relevant persons. Any person in the United Kingdom who is not a relevant person should not act or rely on this prospectus supplement and the accompanying prospectus or any of their contents.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(the “ASIC”) in relation to the offering. This prospectus supplement and the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mortgage bonds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mortgage bonds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Any person acquiring the mortgage bonds must observe such Australian on-sale restrictions.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mortgage bonds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mortgage bonds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may not be publicly offered in Switzerland and will not be listed on the SIX Swiss Exchange (the “SIX”) or on any other stock exchange or regulated trading facility in Switzerland. Neither this prospectus supplement and the accompanying prospectus nor any other offering or marketing material relating to the mortgage bonds constitutes a prospectus as such term is understood pursuant to article 652a or article 1156 of the Swiss Code of Obligations or a listing prospectus within the meaning of the listing rules of the SIX or any other regulated trading facility in Switzerland, and neither this prospectus supplement and the accompanying prospectus nor any other offering or marketing material relating to the mortgage bonds or the offering may be publicly distributed or otherwise made publicly available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neither this prospectus supplement and the accompanying prospectus nor any other offering or marketing material relating to the offering, the Company or the mortgage bonds have been or will be filed with or approved by any Swiss regulatory authority. In particular, this prospectus supplement and the accompanying prospectus will not be filed with, and the offer of mortgage bonds will not be supervised by, the Swiss Financial Market Supervisory Authority, and the offer of the mortgage bonds has not been and will not be authorized under the Swiss Federal Act on Collective Investment Schemes (the “CISA”). The investor protection afforded to acquirers of interests in collective investment schemes under the CISA does not extend to acquirers of the mortgage bonds.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of the mortgage bonds has not been and will not be registered pursuant to Article 4, Paragraph 1 of the Financial Instruments and Exchange Act of Japan (Act No. 25 of April 13, 1948, as amended; the “FIEA”). Accordingly, the mortgage bonds may not be offered or sold, directly or indirectly, in Japan or to, or for the account or benefit of, any “resident” of Japan (which term as used herein means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 resident in Japan, including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registered as a prospectus with the Monetary Authority of Singapore. Accordingly, this prospectus and any other document or material in connection with the offer or sale, or invitation for subscription or purchase, of the mortgage bonds may not be circulated or distributed, nor may the mortgage bonds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or (iii) otherwise pursuant to, and in accordance with the conditions of, any other applicable provision of the SFA.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mortgage bonds are subscribed or purchased pursuant to an offer made in reliance on Section 275 of the SFA by a relevant person which is: </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10922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10922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 based derivative contracts (each term as defined in Section 2(1) of the SFA) of that corporation or the beneficiaries’ rights and interest (howsoever described) in that trust shall not be transferred within six months after that corporation or that trust has acquired the mortgage bonds pursuant to an offer made under Section 275 of the SFA except: </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pursuant to Section 274 of the SFA or to a relevant person (as defined in Section 275(2) of the SFA) pursuant to Section 275(1) of the SFA, or to any person pursuant to Section 275(1A) and in accordance with the conditions specified in Section 275 of the SFA; </w:t>
      </w:r>
      <w:r>
        <mc:AlternateContent>
          <mc:Choice Requires="wps">
            <w:drawing>
              <wp:anchor behindDoc="0" distT="10922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corporation) where the transfer arises from an offer referred to in Section 276(3)(c)(ii) of the SFA or (in the case of a trust) where the transfer arises from an offer referred to in Section 276(4)(c)(ii) of the SFA; </w:t>
      </w:r>
      <w:r>
        <mc:AlternateContent>
          <mc:Choice Requires="wps">
            <w:drawing>
              <wp:anchor behindDoc="0" distT="10922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922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or </w:t>
      </w:r>
      <w:r>
        <mc:AlternateContent>
          <mc:Choice Requires="wps">
            <w:drawing>
              <wp:anchor behindDoc="0" distT="10922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10922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Solely for the purposes of our obligations pursuant to Section 309B of the SFA and the Securities and Futures (Capital Markets Products) Regulations 2018 of Singapore (the “CMP Regulations 2018”), we have determined, and hereby notify all relevant persons (as defined in Section 309A(1) of the SFA) that the mortgage bonds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sell, distribute or otherwise intermediate the offering of the mortgage bonds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may not be offered, sold and delivered directly or indirectly, or offered or sold to any person for reoffering or resale, directly or indirectly, in the Republic of Korea or to any resident of the Republic of Korea except pursuant to the applicable laws and regulations of the Republic of Korea, including, without limitation, the Financial Investment Services and Capital Markets Act and the Foreign Exchange Transaction Law and the decrees and regulations thereunder. The mortgage bonds have not been and will not be registered with the Financial Services Commission of Korea for public offering in the Republic of Korea. Furthermore, the mortgage bonds may not be resold to residents of the Republic of Korea unless the purchaser of the mortgage bonds complies with all applicable regulatory requirements (including but not limited to government approval requirements under the Foreign Exchange Transaction Law and its subordinate decrees and regulations) in connection with the purchase of the mortgage bonds.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and the Abu Dhabi Global Market) governing the issue, offering and sale of securities. Further, this prospectus supplement and the accompanying prospectus do not constitute a public offer of securities in the United Arab Emirates (including the Dubai International Financial Centre and the Abu Dhabi Global Market) and is not intended to be a public offer. The prospectus supplement and the accompanying prospectus have not been approved by or filed with the Central Bank of the United Arab Emirates, the Securities and Commodities Authority, the Dubai Financial Services Authority or the Abu Dhabi Global Market’s Financial Services Regulatory Authority (FSRA).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LEMA"/>
      <w:bookmarkEnd w:id="11"/>
      <w:r>
        <w:rPr>
          <w:rFonts w:ascii="calibri;arial;sans-serif" w:hAnsi="calibri;arial;sans-serif"/>
          <w:b w:val="false"/>
          <w:i w:val="false"/>
          <w:caps w:val="false"/>
          <w:smallCaps w:val="false"/>
          <w:color w:val="000000"/>
          <w:sz w:val="16"/>
        </w:rPr>
        <w:t>​</w:t>
      </w:r>
      <w:bookmarkStart w:id="12" w:name="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Baker Botts L.L.P., Houston, Texas will pass on the validity of the mortgage bonds offered in this prospectus supplement. Monica Karuturi, Esq., our Executive Vice President and General Counsel, may pass on other legal matters for us. Hunton Andrews Kurth LLP, New York, New York will pass on certain legal matters for the underwriters. From time to time, Hunton Andrews Kurth LLP acts as counsel to CenterPoint Energy and its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Houston Electric, LLC as of December 31, 2025 and 2024, and for each of the three years in the period ended December 31, 2025, incorporated by reference in this prospectus supplement by reference to CenterPoint Energy Houston Electric, LLC’s </w:t>
      </w:r>
      <w:hyperlink r:id="rId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CSR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which we cannot assure will have the anticipated benefits to us;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territory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(including the receipt of timely large-load interconnection regulatory approvals) as well as obtain the anticipated benefits, including relating to customer affordability, associated with such demand;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gigawatts projected to be connected to the Houston Electric system and the timing of such additional large-load customer connections and associated energization;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CenterPoint Energy’s 10-year capital plan;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CenterPoint Energy’s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our applicable TEEEF leases and restoration costs relating to, among other things, Hurricane Beryl, and requested or favorable adjustments to rates and approval of other requested items as part of base rate proceedings or interim rate mechanisms;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our release of our large TEEEF units to the San Antonio area, proposed removal of our medium TEEEF units, reduction of our TEEEF fleet capacity and reduction of rates to reflect the removal of the large and medium TEEEF units from our TEEEF fleet, as well as our ability to complete one or more other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transactions involving the large and medium TEEEF units on acceptable terms and conditions within the anticipated timeframe;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(also known as Winter Storm Uri) resulting in electricity generation supply shortages, including in Texas, and natural gas supply shortages and increased wholesale prices of natural gas in the United States, primarily due to prolonged freezing temperatures (the “February 2021 Winter Storm Event”), the May 2024 Storm Events and Hurricane Beryl;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retail electric providers, to satisfy their obligations to CenterPoint Energy and us, and the negative impact on such ability related to adverse economic conditions and severe weather events;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we charged by our regulated business and actions relating to base rate proceedings or interim rate mechanisms (including the required timing thereof);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CenterPoint Energy’s strategy and 10-year capital plan, and otherwise impact the affordability of our rates for our customers;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 that our customers, investors, legislators, regulators, creditors, rating agencies or other stakeholders may have or develop, which could result from a variety of factors, including actual or perceived failures in system reliability and safety, the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speed of our response to service interruptions, rates and customer affordability, our ability to successfully execute CenterPoint Energy’s capital plan, media coverage and actions by third parties;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territory, and losses in excess of insurance liability coverage; </w:t>
      </w:r>
      <w:r>
        <mc:AlternateContent>
          <mc:Choice Requires="wps">
            <w:drawing>
              <wp:anchor behindDoc="0" distT="8001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Bill Act of 2025,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8001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800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800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and wastewater discharges that could impact operations and CenterPoint Energy’s energy transition goals; </w:t>
      </w:r>
      <w:r>
        <mc:AlternateContent>
          <mc:Choice Requires="wps">
            <w:drawing>
              <wp:anchor behindDoc="0" distT="8001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800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8001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CenterPoint Energy’s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800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CenterPoint Energy’s pension benefit obligation;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w:t>
      </w:r>
      <w:r>
        <mc:AlternateContent>
          <mc:Choice Requires="wps">
            <w:drawing>
              <wp:anchor behindDoc="0" distT="787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Energy’s ability to execute on its strategy, initiatives, targets and goals, including energy transition goals and operations and maintenance expenditure goals; </w:t>
      </w:r>
      <w:r>
        <mc:AlternateContent>
          <mc:Choice Requires="wps">
            <w:drawing>
              <wp:anchor behindDoc="0" distT="0" distB="0" distL="254000" distR="0" simplePos="0" locked="0" layoutInCell="1" allowOverlap="1" relativeHeight="92">
                <wp:simplePos x="0" y="0"/>
                <wp:positionH relativeFrom="column">
                  <wp:align>left</wp:align>
                </wp:positionH>
                <wp:positionV relativeFrom="line">
                  <wp:posOffset>635</wp:posOffset>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we discuss in “Risk Factors” beginning on page </w:t>
      </w:r>
      <w:hyperlink w:anchor="RIFA">
        <w:r>
          <w:rPr>
            <w:rStyle w:val="InternetLink"/>
          </w:rPr>
          <w:t>S-4</w:t>
        </w:r>
      </w:hyperlink>
      <w:r>
        <w:rPr>
          <w:rFonts w:ascii="Times New Roman;Times;serif" w:hAnsi="Times New Roman;Times;serif"/>
          <w:b w:val="false"/>
          <w:i w:val="false"/>
          <w:caps w:val="false"/>
          <w:smallCaps w:val="false"/>
          <w:color w:val="000000"/>
          <w:spacing w:val="4"/>
          <w:sz w:val="20"/>
        </w:rPr>
        <w:t xml:space="preserve"> of this prospectus supplement, under “Risk Factors” in Part I, Item 1A of our 2025 Form 10-K, which are incorporated herein by reference, and in other reports we file from time to time with the SEC that are incorporated herein by reference.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other than as required under securities laws, we undertake no obligation to update or revise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other information with the SEC. The SEC maintains a website that contains information we filed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website is located at </w:t>
      </w:r>
      <w:r>
        <w:rPr>
          <w:rFonts w:ascii="Times New Roman;Times;serif" w:hAnsi="Times New Roman;Times;serif"/>
          <w:b w:val="false"/>
          <w:i/>
          <w:caps w:val="false"/>
          <w:smallCaps w:val="false"/>
          <w:color w:val="000000"/>
          <w:spacing w:val="4"/>
          <w:sz w:val="20"/>
        </w:rPr>
        <w:t>http://investors.centerpointenergy.com</w:t>
      </w:r>
      <w:r>
        <w:rPr>
          <w:rFonts w:ascii="Times New Roman;Times;serif" w:hAnsi="Times New Roman;Times;serif"/>
          <w:b w:val="false"/>
          <w:i w:val="false"/>
          <w:caps w:val="false"/>
          <w:smallCaps w:val="false"/>
          <w:color w:val="000000"/>
          <w:spacing w:val="4"/>
          <w:sz w:val="20"/>
        </w:rPr>
        <w:t xml:space="preserve">.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supplement and does not constitute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which includes information incorporated by reference (see “Incorporation by Reference” below), is part of a registration statement we have filed with the SEC relating to the mortgage bonds we may offer. As permitted by SEC rules, this prospectus supplement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IB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certain information we file with the SEC. This means we are disclosing important information to you by referring you to the documents containing the information. The information we incorporate by reference is considered to be part of this prospectus supplement. Information that we file later with the SEC that is deemed incorporated by reference into this prospectus supplement (which does not include information deemed pursuant to the SEC’s rules to be furnished to and not filed with the SEC) will automatically update and supersede information previously included.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the documents listed below and any subsequent filings we make with the SEC under Sections 13(a), 13(c), 14 or 15(d) of the Exchange Act (excluding information deemed pursuant to the SEC’s rules to be furnished and not filed with the SEC) until all the mortgage bonds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w:t>
      </w:r>
      <w:hyperlink r:id="rId3">
        <w:r>
          <w:rPr>
            <w:rStyle w:val="InternetLink"/>
          </w:rPr>
          <w:t>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4">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6">
        <w:r>
          <w:rPr>
            <w:rStyle w:val="InternetLink"/>
          </w:rPr>
          <w:t>February 19,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September 9,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September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CenterPoint Energy and CenterPoint Energy Resources Corp. file combined reports with the SEC. We do not intend to incorporate by reference into this prospectus supplement information relating to CenterPoint Energy and its subsidiaries (other than us and our consolidated subsidiaries), and we make no representations as to the information relating to CenterPoint Energy and its subsidiaries (other than us and our consolidated subsidiaries) contained in such combined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CenterPoint Energy Houston Electric,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P.O. Box 4567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77210-4567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(713) 207-6500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CenterPoint Energy Houston Electric, LLC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1111 Louisiana Street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Houston, Texas 77002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(713) 207-1111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HOUSTON ELECTRIC,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GENERAL MORTGAGE BONDS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general mortgage bonds that we may offer from time to time. We will provide additional terms of the general mortgage bonds in one or more supplements to this prospectus. You should read this prospectus and the related prospectus supplement carefully before you invest in the general mortgage bonds. No person may use this prospectus to offer and sell the general mortgage bonds unless a prospectus supplement accompanies this 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 general mortgage bonds involves risks. See “Risk Factors” on page </w:t>
      </w:r>
      <w:hyperlink w:anchor="tRIFA1">
        <w:r>
          <w:rPr>
            <w:rStyle w:val="InternetLink"/>
          </w:rPr>
          <w:t>4</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May 15,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610" w:type="dxa"/>
        <w:jc w:val="left"/>
        <w:tblInd w:w="1393" w:type="dxa"/>
        <w:tblLayout w:type="fixed"/>
        <w:tblCellMar>
          <w:top w:w="0" w:type="dxa"/>
          <w:left w:w="0" w:type="dxa"/>
          <w:bottom w:w="0" w:type="dxa"/>
          <w:right w:w="0" w:type="dxa"/>
        </w:tblCellMar>
      </w:tblPr>
      <w:tblGrid>
        <w:gridCol w:w="124"/>
        <w:gridCol w:w="637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ACEH">
              <w:r>
                <w:rPr>
                  <w:rStyle w:val="InternetLink"/>
                  <w:spacing w:val="4"/>
                </w:rPr>
                <w:t xml:space="preserve">About CenterPoint Energy Houston Electric,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CEH">
              <w:r>
                <w:rPr>
                  <w:rStyle w:val="InternetLink"/>
                  <w:spacing w:val="4"/>
                </w:rPr>
                <w:t>3</w:t>
              </w:r>
            </w:hyperlink>
            <w:hyperlink w:anchor="tACE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OG">
              <w:r>
                <w:rPr>
                  <w:rStyle w:val="InternetLink"/>
                  <w:spacing w:val="4"/>
                </w:rPr>
                <w:t xml:space="preserve">Description of Our General Mortgage Bonds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G">
              <w:r>
                <w:rPr>
                  <w:rStyle w:val="InternetLink"/>
                  <w:spacing w:val="4"/>
                </w:rPr>
                <w:t>9</w:t>
              </w:r>
            </w:hyperlink>
            <w:hyperlink w:anchor="tDOO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1">
              <w:r>
                <w:rPr>
                  <w:rStyle w:val="InternetLink"/>
                  <w:spacing w:val="4"/>
                </w:rPr>
                <w:t>27</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1">
              <w:r>
                <w:rPr>
                  <w:rStyle w:val="InternetLink"/>
                  <w:spacing w:val="4"/>
                </w:rPr>
                <w:t>29</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1">
              <w:r>
                <w:rPr>
                  <w:rStyle w:val="InternetLink"/>
                  <w:spacing w:val="4"/>
                </w:rPr>
                <w:t>29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1"/>
      <w:bookmarkEnd w:id="17"/>
      <w:r>
        <w:rPr>
          <w:rFonts w:ascii="calibri;arial;sans-serif" w:hAnsi="calibri;arial;sans-serif"/>
          <w:b w:val="false"/>
          <w:i w:val="false"/>
          <w:caps w:val="false"/>
          <w:smallCaps w:val="false"/>
          <w:color w:val="000000"/>
          <w:sz w:val="16"/>
        </w:rPr>
        <w:t>​</w:t>
      </w:r>
      <w:bookmarkStart w:id="18" w:name="tWYCF1"/>
      <w:bookmarkEnd w:id="18"/>
      <w:r>
        <w:rPr>
          <w:rFonts w:ascii="calibri;arial;sans-serif" w:hAnsi="calibri;arial;sans-serif"/>
          <w:b w:val="false"/>
          <w:i w:val="false"/>
          <w:caps w:val="false"/>
          <w:smallCaps w:val="false"/>
          <w:color w:val="000000"/>
          <w:sz w:val="16"/>
        </w:rPr>
        <w:t>​</w:t>
      </w:r>
      <w:bookmarkStart w:id="19" w:name="tIBR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U.S. Securities and Exchange Commission (the “SEC”) using a “shelf” registration process. Using this process, we may offer the general mortgage bonds (“mortgage bonds”) described in this prospectus in one or more offerings. Each time we use this prospectus to offer mortgage bonds, we will file a supplement to this prospectus with the SEC that will describe the specific terms of the offering and the mortgage bonds.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“we,” “us,” “our” or other similar terms mean CenterPoint Energy Houston Electric, LLC and its subsidiaries, and references to “CenterPoint Energy” mean our indirect parent, CenterPoint Energy, Inc., unless the context clearly indicates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National Association, in its capacity as trustee for the mortgage bonds, has not participated in the preparation of this prospectus and assumes no responsibility for its content.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other information with the SEC. The SEC maintains a website that contains information we filed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website is located at </w:t>
      </w:r>
      <w:r>
        <w:rPr>
          <w:rFonts w:ascii="Times New Roman;Times;serif" w:hAnsi="Times New Roman;Times;serif"/>
          <w:b w:val="false"/>
          <w:i/>
          <w:caps w:val="false"/>
          <w:smallCaps w:val="false"/>
          <w:color w:val="000000"/>
          <w:spacing w:val="4"/>
          <w:sz w:val="20"/>
        </w:rPr>
        <w:t>http://investors.centerpointenergy.com</w:t>
      </w:r>
      <w:r>
        <w:rPr>
          <w:rFonts w:ascii="Times New Roman;Times;serif" w:hAnsi="Times New Roman;Times;serif"/>
          <w:b w:val="false"/>
          <w:i w:val="false"/>
          <w:caps w:val="false"/>
          <w:smallCaps w:val="false"/>
          <w:color w:val="000000"/>
          <w:spacing w:val="4"/>
          <w:sz w:val="20"/>
        </w:rPr>
        <w:t xml:space="preserve">.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includes information incorporated by reference (see “Incorporation by Reference” below), is part of a registration statement we have filed with the SEC relating to the mortgage bonds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the documents listed below and any subsequent filings we make with the SEC under Sections 13(a), 13(c), 14 or 15(d) of the Securities Exchange Act of 1934,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amended, (excluding information deemed pursuant to the SEC’s rules to be furnished and not filed with the SEC) until all the mortgage bonds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12">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fiscal year ended December 31, 2025;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w:t>
      </w:r>
      <w:hyperlink r:id="rId13">
        <w:r>
          <w:rPr>
            <w:rStyle w:val="InternetLink"/>
          </w:rPr>
          <w:t>Form 10-Q</w:t>
        </w:r>
      </w:hyperlink>
      <w:r>
        <w:rPr>
          <w:rFonts w:ascii="Times New Roman;Times;serif" w:hAnsi="Times New Roman;Times;serif"/>
          <w:b w:val="false"/>
          <w:i w:val="false"/>
          <w:caps w:val="false"/>
          <w:smallCaps w:val="false"/>
          <w:color w:val="000000"/>
          <w:spacing w:val="4"/>
          <w:sz w:val="20"/>
        </w:rPr>
        <w:t xml:space="preserve"> for the quarter ended March 31, 2026; and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4">
        <w:r>
          <w:rPr>
            <w:rStyle w:val="InternetLink"/>
          </w:rPr>
          <w:t>February 19,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and </w:t>
      </w:r>
      <w:hyperlink r:id="rId17">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CenterPoint Energy and CenterPoint Energy Resources Corp. file combined reports with the SEC. We do not intend to incorporate by reference into this prospectus information relating to CenterPoint Energy and its subsidiaries (other than us and our consolidated subsidiaries), and we make no representations as to the information relating to CenterPoint Energy and its subsidiaries (other than us and our consolidated subsidiaries) contained in such combined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CenterPoint Energy Houston Electric,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CenterPoint Energy,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77210-4567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207-6500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CEH"/>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CENTERPOINT ENERGY HOUSTON ELECTRIC,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electric transmission service to transmission service customers in the Electric Reliability Council of Texas region and distribution service to retail electric providers (“REPs”) serving approximately 2.9 million metered customers in the Texas Gulf Coast area that includes the city of Houston. We are an indirect, wholly-owned subsidiary of CenterPoint Energy, Inc. (“CenterPoint Energy”), a public utility holding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principal executive offices are located at 1111 Louisiana Street, Houston, Texas 77002 (telephone number: (713) 207-1111).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1"/>
      <w:bookmarkEnd w:id="21"/>
      <w:r>
        <w:rPr>
          <w:rFonts w:ascii="calibri;arial;sans-serif" w:hAnsi="calibri;arial;sans-serif"/>
          <w:b w:val="false"/>
          <w:i w:val="false"/>
          <w:caps w:val="false"/>
          <w:smallCaps w:val="false"/>
          <w:color w:val="000000"/>
          <w:sz w:val="16"/>
        </w:rPr>
        <w:t>​</w:t>
      </w:r>
      <w:bookmarkStart w:id="22" w:name="tCSRF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which we cannot assure will have the anticipated benefits to us;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CenterPoint Energy’s 10-year capital plan;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CenterPoint Energy’s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our applicable TEEEF leases and restoration costs relating to, among other things, Hurricane Beryl, and requested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favorable adjustments to rates and approval of other requested items as part of base rate proceedings or interim rate mechanisms;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our release of our large TEEEF units to the San Antonio area, proposed removal of our medium TEEEF units, reduction of our TEEEF fleet capacity and reduction of rates to reflect the removal of the large and medium TEEEF units from our TEEEF fleet, as well as our ability to complete one or more other future transactions involving the large and medium TEEEF units on acceptable terms and conditions within the anticipated timeframe;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our electric delivery system and Hurricane Beryl;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REPs, to satisfy their obligations to us and CenterPoint Energy, and the negative impact on such ability related to adverse economic conditions and severe weather events;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CenterPoint Energy’s strategy and 10-year capital plan, and otherwise impact the affordability of our rates for our customers;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leaks, floods, droughts, hurricanes, tornadoes, derecho events, ice storms and other severe weather events, wildfires, pandemic health events, geopolitical conflict, civil unrest or other occurrences;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territories, and losses in excess of insurance liability coverage;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wastewater discharges that could impact operations and CenterPoint Energy’s energy transition goals;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CenterPoint Energy’s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CenterPoint Energy’s pension benefit obligation;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0" distB="0" distL="254000" distR="0" simplePos="0" locked="0" layoutInCell="1" allowOverlap="1" relativeHeight="136">
                <wp:simplePos x="0" y="0"/>
                <wp:positionH relativeFrom="column">
                  <wp:align>left</wp:align>
                </wp:positionH>
                <wp:positionV relativeFrom="line">
                  <wp:posOffset>635</wp:posOffset>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Energy’s ability to execute on its strategy, initiatives, targets and goals, including energy transition goals and operations and maintenance expenditure goals;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discussed in “Risk Factors” in Item 1A of Part I of our </w:t>
      </w:r>
      <w:hyperlink r:id="rId18">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which are incorporated herein by reference, and in other reports we file from time to time with the SEC that are incorporated by reference.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we undertake no obligation to update or revise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anticipate using any net proceeds from the sale of the mortgage bonds offered by this prospectus for general limited liability company purposes. These purposes may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expenditures,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acquisitions, and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repayment or refinancing of debt.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Pending any specific application, we may initially invest funds, loan funds to affiliates or apply them to the reduction of short-term indebtedness or debt under our revolving credit facility.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OG"/>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GENERAL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bonds that we may offer from time to time by this prospectus will be issued under our General Mortgage Indenture, dated as of October 10, 2002, as amended and supplemented (the “mortgage indenture”), with The Bank of New York Mellon Trust Company, National Association (successor to JPMorgan Chase Bank), as trustee. The lien of the mortgage indenture will be junior, subject and subordinate to the prior lien of our first mortgage indenture. The term “first mortgage indenture” means the Mortgage and Deed of Trust, dated as of November 1, 1944, from our predecessor in interest, Houston Lighting &amp; Power Company, to The Bank of New York Mellon Trust Company, National Association (successor to South Texas Commercial National Bank of Houston), as trustee, as heretofore and hereafter amended and supplemented, and “first mortgage bonds” means the first mortgage bonds issued thereunder.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incorporated by reference the mortgage indenture and the first mortgage indenture as exhibits to the registration statement of which this prospectus is a part. We have summarized selected provisions of the mortgage indenture, the mortgage bonds and the first mortgage indenture below. This summary is not complete and is qualified in its entirety by reference to the mortgage indenture and the first mortgage indenture. References to article and section numbers in this prospectus, unless otherwise indicated, are references to article and section numbers of the mortgage indenture. For purposes of this summary, the terms “we,” “our,” “ours,” and “us” refer only to CenterPoint Energy Houston Electric, LLC and not to any of our subsidiaries.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mortgage bonds from time to time in one or more series under the mortgage indenture. We will describe the particular terms of each series of the mortgage bonds we offer in a supplement to this prospectus. The terms of the mortgage bonds will include those set forth in the mortgage indenture and those made a part of the mortgage indenture by the Trust Indenture Act of 1939, as amended (the “Trust Indenture Act”). You should carefully read the summary below, the applicable prospectus supplement and the provisions of the mortgage indenture that may be important to you before investing in our mortgage bonds.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mortgage bonds have been issued and are outstanding in an aggregate principal amount equal to approximately $10.1 billion and additional mortgage bonds may be issued under the mortgage indenture, without limitation as to aggregate principal amount, on the basis of property additions, retired bonds or cash deposited with the trustee. Please read “— Issuance of Mortgage Bonds.”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mortgage bonds will be payable on each interest payment date for each such mortgage bond for the period commencing on the next preceding interest payment date on which interest has been paid (or if no interest has been paid thereon, commencing on the date of issuance thereof) to, but not including, such interest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or the date of maturity falls on a day that is not a business day, all payments to be made on such day shall be made on the next succeeding business day with the same force and effect as if made on the due date, and no additional interest shall be payable as a result of such delay in payment. Interest will be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payable on any interest payment date other than maturity and not so punctually paid or duly provided for will cease to be payable to the person in whose name the mortgage bond is registered at the close of business on the applicable regular record date and will instead be payable to the person in whose name the mortgage bond (or one or more predecessor mortgage bonds) is registered at the close of business on a special record date for the payment of such interest to be fixed by the trustee, notice of which will be given to the registered holder of the mortgage bond (or one or more predecessor mortgage bonds) not less than 10 days prior to such special record date. (Section 307)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of Mortgage Bonds; Transfers; Exchanges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Interest, if any, on each mortgage bond payable on each interest payment date will be paid to the person in whose name such mortgage bond is registered (the registered holder of any mortgage bond being hereinafter called a holder) as of the close of business on the regular record date relating to such interest payment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interest payable at maturity will be paid to the person to whom principal is paid. However, if there has been a default in the payment of interest on any mortgage bond, such defaulted interest may be payable to the holder of such mortgage bond as of the close of business on a date selected by the trustee which is not more than 15 days or less than 10 days prior to the date proposed by us for payment of such defaulted interest and not less than 10 days after the receipt by the trustee of the notice of the proposed payment or in any other lawful manner not inconsistent with the requirements of any securities exchange on which such mortgage bond may be listed, if the trustee deems such manner of payment practicable. (Section 307)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and interest on the mortgage bonds at maturity will be payable upon presentation of the mortgage bonds at the corporate trust office of The Bank of New York Mellon Trust Company, National Association in New York, New York as paying agent for us. We may change the place of payment on the mortgage bonds, may appoint one or more additional paying agents (including us) and may remove any paying agent, all at our discretion. (Section 602)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mortgage bonds may be registered, and mortgage bonds may be exchanged for other mortgage bonds of the same series, of authorized denominations and of like tenor and aggregate principal amount, at the corporate trust office of The Bank of New York Mellon Trust Company, National Association in New York, New York, as bond registrar for the mortgage bonds. We may change the place for registration of transfer and exchange of the mortgage bonds, and may designate one or more additional places for such registration and exchange, all at our discretion. (Sections 602 and 305) No service charge will be made for any registration of transfer or exchange of the mortgage bonds; however, we may require payment of a sum sufficient to cover any tax or other governmental charge that may be imposed in connection with any registration of transfer or exchange of mortgage bonds. We will not be required to execute or to provide for the registration of transfer of or the exchange of: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mortgage bond during a period of 15 days prior to giving any notice of redemption; or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mortgage bond selected for redemption, in whole or in part, except the unredeemed portion of any mortgage bond being redeemed in part. (Section 305)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moneys paid by us to a paying agent or the trustee (or held by us in trust) for the payment of the principal of or any premium or interest on a mortgage bond which remain unclaimed at the end of two years after such principal, premium or interest has become due and payable will be repaid to us at our request, and the holder of such mortgage bond thereafter may, as an unsecured general creditor, look only to us for payment thereof, and all liability of the paying agent, the trustee and us (as trustee) with respect thereto shall thereupon cease. (Section 603)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mortgage bonds in the form of one or more global debt securities that would be deposited with a depositary or its nominee identified in the prospectus supplement. We may issue mortgage bonds in either temporary or permanent form. We will describe in the prospectus supplement the terms of any depositary arrangement and the rights and limitations of owners of beneficial interests in any global debt security.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contemplated below under this heading and subject to the exceptions specifically discussed under “— Release of Property” and “— Defeasance,” all outstanding mortgage bonds will be secured, equally and ratably, by the lien of the mortgage indenture on substantially all properties owned by us (and not excepted or released from the lien thereof), and improvements, extensions and additions to, and renewals and replacements of, such properties (the “mortgaged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lien of the mortgage indenture will be junior, subject and subordinate to the prior lien of our first mortgage indenture. We currently have no first mortgage bonds outstanding and have contractually agreed that we will not issue additional first mortgage bonds. We are undertaking actions to release the lien of, and terminate, our first mortgage bond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indenture provides that until the first mortgage collateralization date (as defined below), we will not issue any additional first mortgage bonds under the first mortgage indenture, except: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mortgage bonds in place of, and in substitution for, or to refund, other first mortgage bonds, if (a) the aggregate principal amount of such new first mortgage bonds shall not exceed the aggregate principal amount of such other first mortgage bonds, and (b) the final stated maturity date of such new first mortgage bonds shall be a date not later than the final stated maturity date of such other first mortgage bonds;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necessary to replace any mutilated, lost or destroyed first mortgage bonds or to effect exchanges and transfers of first mortgage bonds; and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first mortgage bonds are issued pursuant to the first bullet point above, additional first mortgage bonds in an aggregate principal amount of up to $118 million for the purpose of satisfying the requirement under the indentures pursuant to which certain pollution control bonds were issued by various governmental authorities (which indentures provide that, if we issue first mortgage bonds in certain circumstances, we also are required to issue first mortgage bonds to secure such pollution control bonds on an equal and ratable basis). (Section 611)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any time, in our discretion, we may issue and deliver to the trustee as security under the mortgage indenture, first mortgage bonds in an aggregate principal amount equal to the aggregate principal amount of mortgage bonds then outstanding;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first mortgage bonds (the “first mortgage collateral bonds”) shall: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terms of payment equivalent to those of such mortgage bonds;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payments by us in respect of principal, premium, if any, or interest due under the mortgage bonds will offset our equivalent payment obligations under the first mortgage collateral bonds; and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mandatory redemption of the first mortgage collateral bonds upon acceleration of the maturity of such mortgage bonds unless acceleration is deemed to have been waived and the declaration and consequences of the acceleration are deemed to have been rescinded and annulled in accordance with the mortgage indenture. (Section 701)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such first mortgage collateral bonds are delivered to the trustee is referred to herein as the “first mortgage collateralization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mortgage indenture constitutes a first mortgage lien on all of our present properties (except as stated below), subject to excepted encumbrances. There are excepted from the lien of the first mortgage indenture all of the following: cash and securities; equipment, materials or supplies acquired for consumption in the operation of our properties or for resale in the ordinary course of our business; timber, minerals, mineral rights and royalties; and accounts receivable, contracts, leases and operating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mortgage indenture contains provisions for subjecting certain after-acquired property to the lien thereof, subject to any preexisting liens and to certain limitations in the case of our consolidation or merger or the sale of substantially all of our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mortgage indenture provides that the trustee thereunder will have a lien upon the mortgaged property, prior to the first mortgage bonds, for the payment of its reasonable compensation and expenses for indemnity against certain liabilities.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Lien of the Mortgage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The mortgage indenture constitutes a lien on substantially all our real property and tangible personal property, other than property excepted from such lien and such property as may be released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lien in accordance with the terms of the mortgage indenture, subject to no liens prior to the lien of the mortgage indenture other than the lien of the first mortgage indenture (so long as the first mortgage indenture remains in effect) and other liens permitted to exist.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Permitted Liens and Certain Other Liens Permitted to Exist.</w:t>
      </w:r>
      <w:r>
        <w:rPr>
          <w:rFonts w:ascii="Times New Roman;Times;serif" w:hAnsi="Times New Roman;Times;serif"/>
          <w:b w:val="false"/>
          <w:i w:val="false"/>
          <w:caps w:val="false"/>
          <w:smallCaps w:val="false"/>
          <w:color w:val="000000"/>
          <w:spacing w:val="4"/>
          <w:sz w:val="20"/>
        </w:rPr>
        <w:t xml:space="preserve">   The mortgage indenture provides that after-acquired property (other than excepted property) will be subject to the lien of the mortgage indenture;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in the case of our consolidation or merger into another entity or transfer of the mortgaged property as or substantially as an entirety, the mortgage indenture will not be required to be a lien upon any of the properties then owned or thereafter acquired by the successor entity except properties acquired from us in or as a result of such transaction, and improvements, extensions and additions to such properties and renewals, replacements and substitutions of or for any part or parts thereof and that in the case of a consolidation or merger with respect to which we are the surviving entity, the mortgage indenture will not be required to be a lien on any properties acquired by us in or as a result of such transaction or any improvements, extensions or additions to such properties or any renewals, replacements or substitutions of or for any part or parts thereof. (Article Thirteen) Please read “— Consolidation, Merger, Etc.” below. In addition, after-acquired property may be subject to liens existing or placed thereon at the time of acquisition thereof, including, but not limited to, purchase money liens.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the holders, we and the trustee may enter into supplemental indentures in order to subject to the lien of the mortgage indenture additional property (including property which would otherwise be excepted from such lien). (Section 1401) Such property would thereupon constitute property additions (so long as it would otherwise qualify as property additions as described below) and be available as a basis for the issuance of additional mortgage bonds. Please read “— Issuance of Mortgage Bonds.”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Excepted Property.</w:t>
      </w:r>
      <w:r>
        <w:rPr>
          <w:rFonts w:ascii="Times New Roman;Times;serif" w:hAnsi="Times New Roman;Times;serif"/>
          <w:b w:val="false"/>
          <w:i w:val="false"/>
          <w:caps w:val="false"/>
          <w:smallCaps w:val="false"/>
          <w:color w:val="000000"/>
          <w:spacing w:val="4"/>
          <w:sz w:val="20"/>
        </w:rPr>
        <w:t xml:space="preserve">   There are excepted from the lien of the mortgage indenture,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deposit accounts, shares of stock, interests in general or limited partnerships, securities not deposited with or held by the trustee;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leases and other agreements of all kinds;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rights, bills, notes and other instruments and chattel paper;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revenues, income and earnings, all accounts, accounts receivable and unbilled revenues, and all rents, tolls, issues, product and profits, claims, credits, demands and judgments;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and other licenses, permits, franchises, consents and allowances (except to the extent that any of the same constitute rights or interests relating to the occupancy or use of real property);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intellectual property rights, domain names and other general intangibles including, but not limited to, computer software;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vehicles, movable equipment, vessels and aircraft and supplies used in connection with the foregoing; and all personal property of such character that the perfection of a security interest therein or other lien thereon is not governed by the Uniform Commercial Code as in effect in the jurisdiction in which such property is located;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goods, stock in trade, wares, merchandise and inventory held for sale or lease in the ordinary course of business;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materials, supplies, inventory and other personal property consumable in the operation of the mortgaged property;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fuel;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portable tools and equipment;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furniture and furnishings;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 and data processing, data storage, data transmission, telecommunications and certain other facilities and equipment used primarily for administrative or clerical purposes or not otherwise necessary for the operation or maintenance of facilities and equipment for the generation, transmission and distribution of electric energy and our other buildings and improvements;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coal, ore, gas, oil and other minerals and timber, and all rights and interests in any of the foregoing;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right"/>
                <wp:docPr id="166"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electric energy, gas (natural or artificial), steam, water and other products generated, produced, manufactured, purchased or otherwise acquired by us;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7"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gas wells, pipelines, and other facilities or property used or to be used for the production, gathering, transmission, storage or distribution of natural gas, crude oil or other hydrocarbons or minerals;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leasehold interests held by us as lessee;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facilities and equipment for the storage, transmission and distribution of water; and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property excepted from or released from the lien of the first mortgage indenture prior to the date of the mortgage indenture. (See “Excepted Property” under “Granting Clauses” in the mortgage indenture and “Granting Clauses” in the first mortgage indenture.)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The lien of the mortgage indenture is subject to permitted liens and certain other liens permitted to exist. Under the mortgage indenture, permitted liens include the following, among other, liens: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and other governmental charges which are not delinquent or are being contested in good faith or which secure charges that do not exceed $5 million;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mechanics’, workmen’s and similar liens and certain other liens arising in the ordinary course of business for charges or requirements which are not delinquent or which are being contested in good faith and by appropriate proceedings;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respect of judgments: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amount not exceeding the greater of $10 million and 3% of the sum of the then outstanding aggregate principal amount of mortgage bonds and first mortgage bonds other than first mortgage collateral bonds then outstanding; or </w:t>
      </w:r>
      <w:r>
        <mc:AlternateContent>
          <mc:Choice Requires="wps">
            <w:drawing>
              <wp:anchor behindDoc="0" distT="73660" distB="0" distL="508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which we shall in good faith be prosecuting an appeal and with respect to which we have secured a stay of execution pending such appeal or shall have the right to prosecute an appeal; </w:t>
      </w:r>
      <w:r>
        <mc:AlternateContent>
          <mc:Choice Requires="wps">
            <w:drawing>
              <wp:anchor behindDoc="0" distT="73660" distB="0" distL="508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leases or other rights of others in, and defects in title to, the mortgaged property which do not in the aggregate materially impair the use by us of the mortgaged property considered as a whole;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defects, irregularities and limitations in title to real property subject to rights-of-way in our favor or used primarily for right-of-way purposes or property held by us under lease, easement, license or similar right;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we have obtained from the apparent owner of such property a sufficient right, by the terms of the instrument granting such right-of-way, lease, easement, license or similar right, to the use thereof for the purposes for which we acquired the same, (ii) we have power under eminent domain or similar statutes to remove such defects, irregularities or limitations or (iii) such defects, irregularities and limitations may be otherwise remedied without undue effort or expense; and defects, irregularities and limitations in title to flood lands, flooding rights and/or water rights;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indebtedness and other obligations of others upon real property existing at the date of the mortgage indenture or at the time of our acquisition of such property;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existing at the date of the mortgage indenture and subsequent leases for not more than 15 years or which do not materially impair our use of the property subject thereto;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lessors or licensors for amounts due which are not delinquent or are being contested in good faith;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controls, restrictions or obligations imposed by governmental authorities upon the mortgaged property or the operation thereof; </w:t>
      </w:r>
      <w:r>
        <mc:AlternateContent>
          <mc:Choice Requires="wps">
            <w:drawing>
              <wp:anchor behindDoc="0" distT="7493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governmental authorities to purchase or designate a purchaser of the mortgaged property;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required by law or governmental regulation as a condition to the transaction of any business or the exercise of any privilege or license, or to enable us to maintain self-insurance or to participate in any funds established to cover insurance risks or in connection with workmen’s compensation, unemployment insurance, social security or any pension or welfare benefit plan or program; </w:t>
      </w:r>
      <w:r>
        <mc:AlternateContent>
          <mc:Choice Requires="wps">
            <w:drawing>
              <wp:anchor behindDoc="0" distT="0" distB="0" distL="254000" distR="0" simplePos="0" locked="0" layoutInCell="1" allowOverlap="1" relativeHeight="185">
                <wp:simplePos x="0" y="0"/>
                <wp:positionH relativeFrom="column">
                  <wp:align>left</wp:align>
                </wp:positionH>
                <wp:positionV relativeFrom="line">
                  <wp:posOffset>635</wp:posOffset>
                </wp:positionV>
                <wp:extent cx="127000" cy="350520"/>
                <wp:effectExtent l="0" t="0" r="0" b="0"/>
                <wp:wrapSquare wrapText="right"/>
                <wp:docPr id="184"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the performance of duties or public or statutory, bid or performance obligations or to secure, or serve in lieu of, surety, stay or appeal bonds; </w:t>
      </w:r>
      <w:r>
        <mc:AlternateContent>
          <mc:Choice Requires="wps">
            <w:drawing>
              <wp:anchor behindDoc="0" distT="7239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others to take minerals, timber, electric energy, gas, water, steam or other products produced by us or by others on our property; </w:t>
      </w:r>
      <w:r>
        <mc:AlternateContent>
          <mc:Choice Requires="wps">
            <w:drawing>
              <wp:anchor behindDoc="0" distT="7239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and interests of persons other than us arising out of agreements to which we are a party relating to the common ownership or joint use of property, and liens on the interests of such persons in such property if and to the extent that the enforcement of such liens would not adversely affect our interests in such property; </w:t>
      </w:r>
      <w:r>
        <mc:AlternateContent>
          <mc:Choice Requires="wps">
            <w:drawing>
              <wp:anchor behindDoc="0" distT="7239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assignment and/or requirements of any assignee to qualify as a permitted assignee and/or public utility or public service company; </w:t>
      </w:r>
      <w:r>
        <mc:AlternateContent>
          <mc:Choice Requires="wps">
            <w:drawing>
              <wp:anchor behindDoc="0" distT="7239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which have been bonded for the full amount in dispute or for the payment of which other security arrangements have been made; </w:t>
      </w:r>
      <w:r>
        <mc:AlternateContent>
          <mc:Choice Requires="wps">
            <w:drawing>
              <wp:anchor behindDoc="0" distT="7239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ground leases or rights-of-way on or across our property for the purpose of roads, pipelines, transmission or distribution lines, communication lines, railways and other similar purposes, provided that the same do not materially impair the use by us of such property or rights-of-way; </w:t>
      </w:r>
      <w:r>
        <mc:AlternateContent>
          <mc:Choice Requires="wps">
            <w:drawing>
              <wp:anchor behindDoc="0" distT="7239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our air or water pollution control, sewage or solid waste disposal or other similar facilities in connection with the issuance of pollution control revenue bonds, in connection with financing the cost of, or construction, acquisition, improvement, repair or maintenance of, such facilities; </w:t>
      </w:r>
      <w:r>
        <mc:AlternateContent>
          <mc:Choice Requires="wps">
            <w:drawing>
              <wp:anchor behindDoc="0" distT="7239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trustee’s lien specified below; </w:t>
      </w:r>
      <w:r>
        <mc:AlternateContent>
          <mc:Choice Requires="wps">
            <w:drawing>
              <wp:anchor behindDoc="0" distT="7239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prepaid liens; and </w:t>
      </w:r>
      <w:r>
        <mc:AlternateContent>
          <mc:Choice Requires="wps">
            <w:drawing>
              <wp:anchor behindDoc="0" distT="7239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lien of the first mortgage indenture. (Granting Clauses and Section 101) </w:t>
      </w:r>
      <w:r>
        <mc:AlternateContent>
          <mc:Choice Requires="wps">
            <w:drawing>
              <wp:anchor behindDoc="0" distT="7239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Prepaid lien” means any lien securing indebtedness for the payment, prepayment or redemption of which there shall have been irrevocably deposited in trust with the trustee or other holder of such lien moneys and/or investment securities which (together with the interest reasonably expected to be earned from the investment and reinvestment in investment securities of the moneys and/or the principal of and interest on the investment securities so deposited) shall be sufficient for such purpose;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such indebtedness is to be redeemed or otherwise prepaid prior to the stated maturity thereof, any notice requisite to such redemption or prepayment shall have been given in accordance with the instrument creating such lien or irrevocable instructions to give such notice shall have been given to such trustee or other holder;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the first mortgage indenture shall not be deemed to be a prepaid lien unless it shall have been satisfied and discharged and all first mortgage bonds issued thereunder shall be deemed to have been paid, all in accordance with the provisions thereof. (Section 101)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Trustee’s Lien.</w:t>
      </w:r>
      <w:r>
        <w:rPr>
          <w:rFonts w:ascii="Times New Roman;Times;serif" w:hAnsi="Times New Roman;Times;serif"/>
          <w:b w:val="false"/>
          <w:i w:val="false"/>
          <w:caps w:val="false"/>
          <w:smallCaps w:val="false"/>
          <w:color w:val="000000"/>
          <w:spacing w:val="4"/>
          <w:sz w:val="20"/>
        </w:rPr>
        <w:t xml:space="preserve">   The mortgage indenture provides that the trustee will have a lien, prior to the lien on behalf of the holders of mortgage bonds, upon the mortgaged property for the payment of its reasonable compensation and expenses and for indemnity against certain liabilities. (Section 1107)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mortgage bonds that may be authenticated and delivered under the mortgage indenture is unlimited. (Section 301). Additional mortgage bonds of any series may be issued from time to time, provided that the first mortgage collateralization date has not occurred, on the basis of property additions, retired bonds (as such terms are defined below) and cash deposited with the trustee, and in an aggregate principal amount not exceeding: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70% of the cost (as defined below) or fair value (as defined below) (whichever is less) of property additions (as described below) that do not constitute funded property (as defined below) after certain deductions and additions, primarily including adjustments to offset property retirements;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retired bonds; and </w:t>
      </w:r>
      <w:r>
        <mc:AlternateContent>
          <mc:Choice Requires="wps">
            <w:drawing>
              <wp:anchor behindDoc="0" distT="0" distB="0" distL="254000" distR="0" simplePos="0" locked="0" layoutInCell="1" allowOverlap="1" relativeHeight="197">
                <wp:simplePos x="0" y="0"/>
                <wp:positionH relativeFrom="column">
                  <wp:align>left</wp:align>
                </wp:positionH>
                <wp:positionV relativeFrom="line">
                  <wp:posOffset>635</wp:posOffset>
                </wp:positionV>
                <wp:extent cx="127000" cy="350520"/>
                <wp:effectExtent l="0" t="0" r="0" b="0"/>
                <wp:wrapSquare wrapText="right"/>
                <wp:docPr id="196"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of cash deposited with the trustee. (Article Four)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the aggregate principal amount of additional mortgage bonds that could be issued was approximately $4.8 billion based on retired bonds and 70% of property additions.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issuance of additional mortgage bonds after March 31, 2003, other than any issuance on the basis of retired bonds having an applicable interest rate not less than the interest rate applicable to the additional mortgage bonds to be issued, requires that we provide a net earnings certificate demonstrating that the adjusted net earnings (as defined below) for the specified 12-month period are not less than 200% of the annual interest requirements (as defined below) for the specified 12-month period.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net earnings” means the amount for a period of 12 consecutive calendar months within the 18 calendar months immediately preceding the first day of the month in which we intend to issue additional mortgage bonds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revenues for such period; minus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expenses, excluding: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for taxes on income or profits; </w:t>
      </w:r>
      <w:r>
        <mc:AlternateContent>
          <mc:Choice Requires="wps">
            <w:drawing>
              <wp:anchor behindDoc="0" distT="74930" distB="0" distL="508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reserves for renewals, replacements, depreciation, depletion or retirement of property or provisions for amortization of property; </w:t>
      </w:r>
      <w:r>
        <mc:AlternateContent>
          <mc:Choice Requires="wps">
            <w:drawing>
              <wp:anchor behindDoc="0" distT="74930" distB="0" distL="508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including the amortization of debt discount, premium, expense or loss on reacquired debt, for any maintenance and replacement, improvement or sinking fund or other device for the retirement or amortization of any indebtedness; </w:t>
      </w:r>
      <w:r>
        <mc:AlternateContent>
          <mc:Choice Requires="wps">
            <w:drawing>
              <wp:anchor behindDoc="0" distT="74930" distB="0" distL="508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non-recurring charges or expenses; and </w:t>
      </w:r>
      <w:r>
        <mc:AlternateContent>
          <mc:Choice Requires="wps">
            <w:drawing>
              <wp:anchor behindDoc="0" distT="74930" distB="0" distL="508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any refund of our revenues previously collected or accrued; plus </w:t>
      </w:r>
      <w:r>
        <mc:AlternateContent>
          <mc:Choice Requires="wps">
            <w:drawing>
              <wp:anchor behindDoc="0" distT="74930" distB="0" distL="508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income, net of related expenses (excluding expenses or provisions for any non-recurring charges).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Annual interest requirements” means the interest requirements for one year, at the respective stated interest rates, if any, borne before maturity, upon: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mortgage bonds, except any for the payment or redemption of which mortgage bonds applied for are to be issued;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mortgage bonds then applied for in pending applications for the original issuance of mortgage bonds, including the application in connection with which the net earnings certificate is made;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first mortgage bonds, except any for the payment or redemption of which the mortgage bonds applied for are to be issued; and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all other indebtedness, except: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mortgage collateral bonds; </w:t>
      </w:r>
      <w:r>
        <mc:AlternateContent>
          <mc:Choice Requires="wps">
            <w:drawing>
              <wp:anchor behindDoc="0" distT="74930" distB="0" distL="508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indebtedness, the repayment of which supports or is supported by other indebtedness included in annual interest requirements pursuant to one of the other clauses of this definition; </w:t>
      </w:r>
      <w:r>
        <mc:AlternateContent>
          <mc:Choice Requires="wps">
            <w:drawing>
              <wp:anchor behindDoc="0" distT="74930" distB="0" distL="508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for the payment of which the mortgage bonds applied for are to be issued; and </w:t>
      </w:r>
      <w:r>
        <mc:AlternateContent>
          <mc:Choice Requires="wps">
            <w:drawing>
              <wp:anchor behindDoc="0" distT="74930" distB="0" distL="508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secured by a prepaid lien prior to the lien of the mortgage indenture upon property subject to the lien of the mortgage indenture; </w:t>
      </w:r>
      <w:r>
        <mc:AlternateContent>
          <mc:Choice Requires="wps">
            <w:drawing>
              <wp:anchor behindDoc="0" distT="74930" distB="0" distL="508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on the date of such computation and secured by a lien on a parity with or prior to the lien of the mortgage indenture upon property subject to the lien of the mortgage indenture, if such indebtedness has been issued, assumed or guaranteed by us or if we customarily pay the interest upon the principal thereof or collections from our customers are applied to, or pledged as security for the payment of such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any such indebtedness bears interest at a variable rate, then the interest requirement on such indebtedness shall be determined by reference to the rate in effect on the day immediately preceding the date of such computation in the case of outstanding indebtedness and by reference to the rate in effect at issuance in the case of indebtedness to be issued;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any amounts collected by others to be applied to debt service on our indebtedness, and not otherwise treated on our books as revenue, shall be added to our operating revenues when determining adjusted net earnings.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Cost” with respect to property additions generally means the sum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cash paid in the acquisition of such property;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equivalent to the fair market value in cash of any securities or other property paid in the acquisition of such property;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obligations secured by prior lien (other than the lien of the first mortgage indenture) upon such property additions outstanding at the time of the acquisition thereof;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any other obligations incurred or assumed in connection with the payment for such property additions or for the acquisition thereof; and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amounts which, in accordance with generally accepted accounting principles, are properly charged or chargeable to our plant or other property accounts with respect to such property additions as part of the cost of construction or acquisition thereof, including, but not limited to any allowance for funds used during construction or any similar or analogous amount;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property additions owned by our successor immediately prior to the time it shall have become such successor or acquired by our successor in or as a result of an acquisition, consolidation or merger (excluding property additions owned by us), cost shall mean the amount or amounts at which such property additions are recorded in the plant or other property accounts of such successor, or the predecessor from which such property additions are acquired, as the case may be, immediately prior to such consolidation or merger;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9"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property additions which shall have been acquired (otherwise than by construction) by us without any consideration consisting of cash, securities or other property or the incurring or assumption of indebtedness or other obligation, no determination of cost shall be required and, wherever provision is made for cost or fair value, cost with respect to such property additions shall mean an amount equal to the fair value to us thereof or, if greater, the aggregate amount reflected in our books of account with respect thereto upon the acquisition thereof; and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20"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shall the cost of property additions be required to reflect any depreciation or amortization in respect of such property additions, or any adjustment to the amount or amounts at which such property additions are recorded in plant or other property accounts due to the non-recoverability of investment or otherwise.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1"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property additions include property which has been used or operated by third parties in a business similar to that in which it has been or is to be used or operated by us, the cost thereof need not be reduced by any amount in respect of any goodwill, going concern value rights and/or intangible property simultaneously acquired and in such case the term property additions as defined herein may include such goodwill, going concern value rights and intangible property.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Fair value,” with respect to property, generally means the fair value of such property as may reasonably be determined by reference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which would be likely to be obtained in an arm’s-length transaction with respect to such property between an informed and willing buyer and an informed and willing seller, under no compulsion, respectively, to buy or sell;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2"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investment with respect to such property which, together with a reasonable return thereon, would be likely to be recovered through ordinary business operations or otherwise; </w:t>
      </w:r>
      <w:r>
        <mc:AlternateContent>
          <mc:Choice Requires="wps">
            <w:drawing>
              <wp:anchor behindDoc="0" distT="749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3"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accumulated depreciation and replacement cost with respect to such property; and/or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4"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relevant factors; </w:t>
      </w:r>
      <w:r>
        <mc:AlternateContent>
          <mc:Choice Requires="wps">
            <w:drawing>
              <wp:anchor behindDoc="0" distT="0" distB="0" distL="254000" distR="0" simplePos="0" locked="0" layoutInCell="1" allowOverlap="1" relativeHeight="226">
                <wp:simplePos x="0" y="0"/>
                <wp:positionH relativeFrom="column">
                  <wp:align>left</wp:align>
                </wp:positionH>
                <wp:positionV relativeFrom="line">
                  <wp:posOffset>635</wp:posOffset>
                </wp:positionV>
                <wp:extent cx="127000" cy="350520"/>
                <wp:effectExtent l="0" t="0" r="0" b="0"/>
                <wp:wrapSquare wrapText="right"/>
                <wp:docPr id="225"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property shall generally be determined without deduction for any liens on such property prior to the lien of the mortgage indenture; and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6"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property additions shall not reflect any reduction relating to the fact that such property additions may be of less value to a person which is not the owner or operator of the mortgaged property or any portion thereof than to the owner or operator. </w:t>
      </w:r>
      <w:r>
        <mc:AlternateContent>
          <mc:Choice Requires="wps">
            <w:drawing>
              <wp:anchor behindDoc="0" distT="635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7"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may be determined, in the discretion of the expert certifying the same, without physical inspection, by the use of accounting and/or engineering records and/or other data maintained by us or otherwise available to such expert.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Funded property” generally includes property additions which have been designated funded property in an expert’s certificate, made the basis of the authentication and delivery of mortgage bonds, made the basis for the release of mortgaged property, made the basis for the withdrawal of cash, substituted for retired funded property or used for other specified purposes under the mortgage indenture. (See Section 102)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Property additions” generally include any property which is owned by us and is subject to the lien of the mortgage indenture except (with certain exceptions) goodwill, going concern value rights or intangible property, or any property the cost of acquisition or construction of which is properly chargeable to one of our operating expense accounts. (See Section 103)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Retired bonds” means, generally: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 bonds which are no longer outstanding under the mortgage indenture, which have not been retired by the application of funded cash and which have not been used as the basis for the authentication and delivery of mortgage bonds, the release of property or the withdrawal of cash; and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8"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first mortgage bonds issued under the first mortgage indenture which could be used as a basis for the authentication and delivery of additional first mortgage bonds under the first mortgage indenture and have been retired after the initial issuance of mortgage bonds under the mortgage indenture; </w:t>
      </w:r>
      <w:r>
        <mc:AlternateContent>
          <mc:Choice Requires="wps">
            <w:drawing>
              <wp:anchor behindDoc="0" distT="635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9"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first mortgage bond may be used as the basis for the authentication and delivery of both additional mortgage bonds and additional first mortgage bonds. (See Section 101)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Mortgage Bonds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have outstanding approximately $10.1 billion aggregate principal amount of mortgage bonds,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$68 million aggregate principal amount of mortgage bonds issued to trustees under the indentures pursuant to which certain pollution control bonds were issued by various governmental authorities. These mortgage bonds secure the obligation of CenterPoint Energy under various installment payment and bond amortization agreements to pay installments of principal and interest that support the related pollution control bonds; and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0"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$10.1 billion aggregate principal amount of mortgage bonds issued directly to the public. </w:t>
      </w:r>
      <w:r>
        <mc:AlternateContent>
          <mc:Choice Requires="wps">
            <w:drawing>
              <wp:anchor behindDoc="0" distT="635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1"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Release of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 event of default (as defined below) has occurred and is continuing, we may obtain the release from the lien of the mortgage indenture of any funded property upon delivery to the trustee of certain certificates and an amount in cash equal to the amount, if any, by which 70% of the cost of the property to be released (or, if less at that time, the fair value of such property at the time it became funded property) exceeds the aggregate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70% of the aggregate principal amount of obligations secured by purchase money liens delivered to the trustee, subject to certain limitations described below;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2"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70% of the cost or fair value (whichever is less) of certified property additions not constituting funded property after certain deductions and additions, primarily including adjustments to offset property retirements (except that such adjustments need not be made if such property additions were acquired or made within the 90-day period preceding the release); </w:t>
      </w:r>
      <w:r>
        <mc:AlternateContent>
          <mc:Choice Requires="wps">
            <w:drawing>
              <wp:anchor behindDoc="0" distT="0" distB="0" distL="254000" distR="0" simplePos="0" locked="0" layoutInCell="1" allowOverlap="1" relativeHeight="234">
                <wp:simplePos x="0" y="0"/>
                <wp:positionH relativeFrom="column">
                  <wp:align>left</wp:align>
                </wp:positionH>
                <wp:positionV relativeFrom="line">
                  <wp:posOffset>635</wp:posOffset>
                </wp:positionV>
                <wp:extent cx="127000" cy="350520"/>
                <wp:effectExtent l="0" t="0" r="0" b="0"/>
                <wp:wrapSquare wrapText="right"/>
                <wp:docPr id="233"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additional mortgage bonds we would be entitled to issue on the basis of retired bonds (with such entitlement being waived by operation of such release);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4"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 of cash and/or an amount equal to 70% of the aggregate principal amount of obligations secured by purchase money liens upon the property released delivered to the trustee or other holder of a lien prior to the lien of the mortgage indenture, subject to certain limitations described below;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5"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first mortgage collateralization date, the aggregate principal amount of first mortgage bonds delivered to the trustee to be held as first mortgage collateral bonds;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outstanding mortgage bonds delivered to the trustee (with such mortgage bonds to be canceled by the trustee); and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and expenses incidental to any sale, exchange, dedication or other disposition of the property to be released. (Section 803)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mortgage indenture, the term “purchase money lien” means, generally, a lien on the property being acquired, disposed of by us or being released from the lien of the mortgage indenture, which is taken or retained by the transferor of such property to secure all or part of the purchase price thereof or granted to one or more other persons (other than the transferor) who by making advances or incurring an obligation, give value to enable the grantor of the lien to acquire rights in such property, or granted to another person in connection with the release of property from the lien of the mortgage indenture on the basis of a deposit with the trustee or other holder of a lien prior to the lien of the mortgage indenture of obligations secured by such lien on such property, or held by a trustee or agent for the benefit of any such persons, and may include liens which cover property in addition to the property being released and/or which secure indebtedness in addition to indebtedness to the transferor of such property or which otherwise constitutes a purchase money lien under applicable law. (Section 101) Generally, the principal amount of obligations secured by purchase money liens used as the basis for the release of property may not exceed 75% of the fair value of such property unless no additional obligations are outstanding, or are permitted to be issued, under such purchase money lien. (Section 803)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that is not funded property may generally be released from the lien of the mortgage indenture without depositing any cash or property with the trustee as long as: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of cost or fair value (whichever is less) of all property additions which do not constitute funded property (excluding the property to be released) after certain deductions and additions, primarily including adjustments to offset property retirements, is not less than zero; or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or fair value (whichever is less) of property to be released does not exceed the aggregate amount of the cost or fair value (whichever is less) of property additions acquired, made or constructed within the 90-day period preceding the request of such release. (Section 804)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mortgage indenture provides simplified procedures for the release of minor properties and property taken by eminent domain, and provides for dispositions of certain obsolete property and grants or surrender of certain rights without any release or consent by the trustee. (Sections 802, 805, 807 and 808)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retain any interest in any property released from the lien of the mortgage indenture, the mortgage indenture will not become a lien on such property or such interest therein or any improvements, extensions or additions to such property or renewals, replacements or substitutions of or for such property or any part or parts thereof unless we execute a supplemental indenture containing a grant, conveyance, transfer and mortgage thereof. (Section 809)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 event of default has occurred and is continuing and subject to certain limitations, cash held by the trustee may, generally: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withdrawn by us: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of an amount equal to 70% of the cost or fair value to us (whichever is less) of property additions not constituting funded property, after certain deductions and additions, primarily including adjustments to offset retirements (except that such adjustments need not be made if such property additions were acquired or made within the 90-day period preceding the withdrawal); </w:t>
      </w:r>
      <w:r>
        <mc:AlternateContent>
          <mc:Choice Requires="wps">
            <w:drawing>
              <wp:anchor behindDoc="0" distT="77470" distB="0" distL="508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amount equal to the aggregate principal amount of additional mortgage bonds that we would be entitled to issue on the basis of retired bonds (with the entitlement to such issuance being waived by operation of such withdrawal); </w:t>
      </w:r>
      <w:r>
        <mc:AlternateContent>
          <mc:Choice Requires="wps">
            <w:drawing>
              <wp:anchor behindDoc="0" distT="77470" distB="0" distL="508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first mortgage collateralization date, in an amount equal to the aggregate principal amount of first mortgage bonds delivered to the trustee to be held as first mortgage collateral bonds; </w:t>
      </w:r>
      <w:r>
        <mc:AlternateContent>
          <mc:Choice Requires="wps">
            <w:drawing>
              <wp:anchor behindDoc="0" distT="76200" distB="0" distL="508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amount equal to the aggregate principal amount of outstanding mortgage bonds delivered to the trustee; or </w:t>
      </w:r>
      <w:r>
        <mc:AlternateContent>
          <mc:Choice Requires="wps">
            <w:drawing>
              <wp:anchor behindDoc="0" distT="76200" distB="0" distL="508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request, be applied to the purchase of mortgage bonds or the payment (or provision therefor) at stated maturity of any mortgage bonds or the redemption (or provision therefor) of any mortgage bonds which are redeemable. (Section 806)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Etc.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into any other entity or convey, transfer or lease, subject to the lien of this mortgage indenture, the mortgaged property as or substantially as an entirety to any entity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entity formed by such consolidation or into which we are merged or the entity which acquires by conveyance or transfer, or which leases, the mortgaged property as or substantially as an entirety is an entity organized and existing under the laws of the United States, or any State or Territory thereof or the District of Columbia; and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entity executes and delivers to the trustee a supplemental indenture that: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consolidation, merger, conveyance or other transfer, or in the case of a lease if the term thereof extends beyond the last stated maturity of the mortgage bonds then outstanding, contains an express assumption by such entity of the due and punctual payment of the principal of and premium, if any, and interest, if any, on the mortgage bonds and the performance of all of our covenants and conditions under the mortgage indenture; and </w:t>
      </w:r>
      <w:r>
        <mc:AlternateContent>
          <mc:Choice Requires="wps">
            <w:drawing>
              <wp:anchor behindDoc="0" distT="76200" distB="0" distL="508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consolidation, merger, conveyance or other transfer, contains a grant, conveyance, transfer and mortgage by such entity: </w:t>
      </w:r>
      <w:r>
        <mc:AlternateContent>
          <mc:Choice Requires="wps">
            <w:drawing>
              <wp:anchor behindDoc="0" distT="76200" distB="0" distL="508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confirming the lien of the mortgage indenture on the mortgaged property; and </w:t>
      </w:r>
      <w:r>
        <mc:AlternateContent>
          <mc:Choice Requires="wps">
            <w:drawing>
              <wp:anchor behindDoc="0" distT="76200" distB="0" distL="762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subjecting to such lien all property thereafter acquired by such entity that shall constitute an improvement, extension or addition to the mortgaged property or renewal, replacement or substitution of or for any part thereof and, at the election of such entity, subjecting to the lien of the mortgage indenture such other property then owned or thereafter acquired by such entity as such entity shall specify; and </w:t>
      </w:r>
      <w:r>
        <mc:AlternateContent>
          <mc:Choice Requires="wps">
            <w:drawing>
              <wp:anchor behindDoc="0" distT="76200" distB="0" distL="762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lease, such lease is made expressly subject to termination by us or by the trustee at any time during the continuance of an event of default; and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and no event which, with notice or lapse of time or both, would become an event of default shall have occurred and be continuing. (Section 1301)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conveyance or other transfer of the mortgaged property as or substantially as an entirety to any other entity, upon the satisfaction of all the conditions described above, we would be released and discharged from all obligations under the mortgage indenture and on the mortgage bonds then outstanding unless we elect to waive such release and discharge. (Section 1304) For purposes of this section, “entity” means an individual, corporation, limited liability company, company, association, joint stock company, partnership, limited liability partnership, joint venture, trust, unincorporated organization or governmental authority.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Mortgage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Modifications without Consent.</w:t>
      </w:r>
      <w:r>
        <w:rPr>
          <w:rFonts w:ascii="Times New Roman;Times;serif" w:hAnsi="Times New Roman;Times;serif"/>
          <w:b w:val="false"/>
          <w:i w:val="false"/>
          <w:caps w:val="false"/>
          <w:smallCaps w:val="false"/>
          <w:color w:val="000000"/>
          <w:spacing w:val="4"/>
          <w:sz w:val="20"/>
        </w:rPr>
        <w:t xml:space="preserve">   Without the consent of any holders, we and the trustee may enter into one or more supplemental indentures for any of the following purposes,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entity to us and the assumption by any such successor of our covenants and agreements in the mortgage indenture and in the mortgage bonds; or </w:t>
      </w:r>
      <w:r>
        <mc:AlternateContent>
          <mc:Choice Requires="wps">
            <w:drawing>
              <wp:anchor behindDoc="0" distT="7366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one or more covenants or other provisions for the benefit of all holders or for the benefit of the holders of, or to remain in effect only so long as there shall be outstanding, mortgage bonds of one or more specified series (for the purposes of this subsection, “series” includes tranches thereof), or to surrender any right or power conferred upon us by the mortgage indenture; or </w:t>
      </w:r>
      <w:r>
        <mc:AlternateContent>
          <mc:Choice Requires="wps">
            <w:drawing>
              <wp:anchor behindDoc="0" distT="7366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correct or amplify the description of any property at any time subject to the lien of the mortgage indenture; or better to assure, convey and confirm to the trustee any property subject or required to be subjected to the lien of the mortgage indenture; or to subject to the lien of the mortgage indenture additional property (including property of others); to specify any additional permitted liens with respect to such additional property and to modify the provisions in the mortgage indenture for dispositions of certain types of property without release in order to specify any additional items with respect to such additional property; or </w:t>
      </w:r>
      <w:r>
        <mc:AlternateContent>
          <mc:Choice Requires="wps">
            <w:drawing>
              <wp:anchor behindDoc="0" distT="7366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additional mortgage bonds of any series as permitted by the mortgage indenture; or </w:t>
      </w:r>
      <w:r>
        <mc:AlternateContent>
          <mc:Choice Requires="wps">
            <w:drawing>
              <wp:anchor behindDoc="0" distT="7366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trustee or by a co-trustee; or </w:t>
      </w:r>
      <w:r>
        <mc:AlternateContent>
          <mc:Choice Requires="wps">
            <w:drawing>
              <wp:anchor behindDoc="0" distT="7366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procedures required to permit the utilization of a non-certificated system of registration for all, or any series of, the mortgage bonds; or </w:t>
      </w:r>
      <w:r>
        <mc:AlternateContent>
          <mc:Choice Requires="wps">
            <w:drawing>
              <wp:anchor behindDoc="0" distT="7366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change any place or places where: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and interest, if any, on all or any series of mortgage bonds will be payable; </w:t>
      </w:r>
      <w:r>
        <mc:AlternateContent>
          <mc:Choice Requires="wps">
            <w:drawing>
              <wp:anchor behindDoc="0" distT="73660" distB="0" distL="508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 any series of mortgage bonds may be surrendered for registration of transfer; </w:t>
      </w:r>
      <w:r>
        <mc:AlternateContent>
          <mc:Choice Requires="wps">
            <w:drawing>
              <wp:anchor behindDoc="0" distT="73660" distB="0" distL="508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 any series of mortgage bonds may be surrendered for exchange; and </w:t>
      </w:r>
      <w:r>
        <mc:AlternateContent>
          <mc:Choice Requires="wps">
            <w:drawing>
              <wp:anchor behindDoc="0" distT="73660" distB="0" distL="508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and demands to or upon us in respect of all or any series of mortgage bonds and the mortgage indenture may be served; or </w:t>
      </w:r>
      <w:r>
        <mc:AlternateContent>
          <mc:Choice Requires="wps">
            <w:drawing>
              <wp:anchor behindDoc="0" distT="73660" distB="0" distL="508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authentication and delivery of bearer bonds and coupons appertaining thereto representing interest, if any, thereon and for the procedures for the registration, exchange and replacement thereof and for the giving of notice to, and the solicitation of the vote or consent of, the holders thereof, and for any and all other matters incidental thereto; or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rules of any securities exchange on which any series of mortgage bonds may be listed; or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the mortgage indenture to comply with the Trust Indenture Act, or any similar federal statute, and to add such provisions as may be expressly permitted by such act, subject to certain exceptions; or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to correct or supplement any provision therein which may be defective or inconsistent with any other provision therein, or to make any other additions to, deletions from or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changes to the provisions thereof; provided that such additions, deletions and/or other changes do not adversely affect the interests of the holders of mortgage bonds of any series in any material respect. (Section 1401)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generality of the foregoing, if the Trust Indenture Act is amended after the date of the mortgage indenture in such a way as to require changes to the mortgage indenture or the incorporation therein of additional provisions, the mortgage indenture will be deemed to have been amended so as to conform to such amendment or to effect such changes or elimination, and we and the trustee may, without the consent of any holders, enter into one or more supplemental indentures to evidence or effect such amendment. (Section 1401)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Modifications Requiring Consent.</w:t>
      </w:r>
      <w:r>
        <w:rPr>
          <w:rFonts w:ascii="Times New Roman;Times;serif" w:hAnsi="Times New Roman;Times;serif"/>
          <w:b w:val="false"/>
          <w:i w:val="false"/>
          <w:caps w:val="false"/>
          <w:smallCaps w:val="false"/>
          <w:color w:val="000000"/>
          <w:spacing w:val="4"/>
          <w:sz w:val="20"/>
        </w:rPr>
        <w:t xml:space="preserve">   Except as provided above, the consent of the holders of not less than a majority in aggregate principal amount of the mortgage bonds of all series then outstanding, considered as one class, is required for the purpose of adding any provisions to, or changing in any manner, or eliminating any of the provisions of, the mortgage indenture pursuant to one or more supplemental indentures;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less than all of the series of mortgage bonds outstanding are directly affected by a proposed supplemental indenture, then the consent only of the holders of a majority in aggregate principal amount of outstanding mortgage bonds of all series so directly affected, considered as one class, will be required;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if the mortgage bonds of any series have been issued in more than one tranche and if the proposed supplemental indenture directly affects the rights of the holders of one or more, but less than all such tranches, then the consent only of the holders of a majority in aggregate principal amount of the outstanding mortgage bonds of all such tranches so directly affected, considered as one class, will be required;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no such amendment or modification may: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of or interest on, any mortgage bond, or reduce the principal amount thereof or the rate of interest thereon (or the amount of any installment of interest thereon) or change the method of calculating such rate or any premium payable upon the redemption thereof, or reduce the amount of the principal of any discount bond or other mortgage bond that would be due and payable upon a declaration of acceleration of maturity or change the coin or currency in which any mortgage bond or any premium or the interest thereon is payable, or impair the right to institute suit for the enforcement of any such payment on or after the stated maturity of any mortgage bond (or, in the case of redemption, on or after the redemption date) without, in any such case, the consent of the holder of such mortgage bond; </w:t>
      </w:r>
      <w:r>
        <mc:AlternateContent>
          <mc:Choice Requires="wps">
            <w:drawing>
              <wp:anchor behindDoc="0" distT="7747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the creation of any lien (not otherwise permitted by the mortgage indenture) ranking prior to the lien of the mortgage indenture with respect to all or substantially all of the mortgaged property or terminate the lien of the mortgage indenture on all or substantially all of the mortgaged property or deprive the holders of the benefit of the lien of the mortgage indenture, without, in any such case, the consent of the holders of all mortgage bonds then outstanding; </w:t>
      </w:r>
      <w:r>
        <mc:AlternateContent>
          <mc:Choice Requires="wps">
            <w:drawing>
              <wp:anchor behindDoc="0" distT="7747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the outstanding mortgage bonds of any series, or tranche thereof, the consent of the holders of which is required for any such supplemental indenture, or the consent of the holders of which is required for any waiver of compliance with any provision of the mortgage indenture or of any default thereunder and its consequences, or reduce the requirements for quorum or voting, without, in any such case, the consent of the holder of each outstanding mortgage bond of such series; or </w:t>
      </w:r>
      <w:r>
        <mc:AlternateContent>
          <mc:Choice Requires="wps">
            <w:drawing>
              <wp:anchor behindDoc="0" distT="7747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provisions (with certain exceptions) of the mortgage indenture relating to supplemental indentures, waivers of certain covenants and waivers of past defaults with respect to the mortgage bonds without the consent of the holder of each outstanding mortgage bond affected thereby. </w:t>
      </w:r>
      <w:r>
        <mc:AlternateContent>
          <mc:Choice Requires="wps">
            <w:drawing>
              <wp:anchor behindDoc="0" distT="7747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supplemental indenture that changes or eliminates any covenant or other provision of the mortgage indenture that has expressly been included solely for the benefit of the holders of, or that is to remain in effect only so long as there shall be outstanding, mortgage bonds of one or more specified series or modifies the rights of the holders of mortgage bonds of such series with respect to such covenant or other provision, will be deemed not to affect the rights under the mortgage indenture of the holders of the mortgage bonds of any other series. (Section 1402)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aggregate principal amount of all mortgage bonds may waive our obligations to comply with certain covenants, including the covenants to maintain our corporate or other legal existence and properties, pay taxes and discharge liens and maintain certain insurance and our covenant with respect to merger, consolidation or the transfer or lease of the mortgaged property as or substantially as an entirety, described above, provided that such waiver occurs before the time such compliance is required. The holders of at least a majority of the aggregate principal amount of outstanding mortgage bonds of all affected series or tranches, considered as one class, may waive, before the time for such compliance, compliance with any covenant specified with respect to mortgage bonds of such series or tranches thereof. (Section 609) The holders of at least a majority in aggregate principal amount of all mortgage bonds outstanding may waive past defaults, not including defaults in the payment of principal, premium or interest or defaults with respect to provisions that cannot be modified without the consent of each holder affected thereby, under the mortgage indenture. (Section 1017)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events constitutes an event of default under the mortgage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any mortgage bond within 30 days after the same becomes due and payable; </w:t>
      </w:r>
      <w:r>
        <mc:AlternateContent>
          <mc:Choice Requires="wps">
            <w:drawing>
              <wp:anchor behindDoc="0" distT="6985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of or premium, if any, on any mortgage bond when it becomes due and payable; </w:t>
      </w:r>
      <w:r>
        <mc:AlternateContent>
          <mc:Choice Requires="wps">
            <w:drawing>
              <wp:anchor behindDoc="0" distT="6477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failure to perform or breach of any of our covenants or warranties in the mortgage indenture (other than a covenant or warranty a default in the performance of which or breach of which is dealt with elsewhere under this paragraph) for a period of 90 days after there has been given to us by the trustee, or to us and the trustee by the holders of at least 33% in principal amount of outstanding mortgage bonds, a written notice specifying such default or breach and requiring it to be remedied and stating that such notice is a “notice of default,” unless the trustee, or the trustee and the holders of a principal amount of mortgage bonds not less than the principal amount of mortgage bonds the holders of which gave such notice, as the case may be, agree in writing to an extension of such period prior to its expiration;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trustee, or the trustee and such holders, as the case may be, will be deemed to have agreed to an extension of such period if corrective action has been initiated by us within such period and is being diligently pursued; </w:t>
      </w:r>
      <w:r>
        <mc:AlternateContent>
          <mc:Choice Requires="wps">
            <w:drawing>
              <wp:anchor behindDoc="0" distT="6477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relating to reorganization, bankruptcy and insolvency of us or appointment of a receiver, trustee or other similar official for our property; and </w:t>
      </w:r>
      <w:r>
        <mc:AlternateContent>
          <mc:Choice Requires="wps">
            <w:drawing>
              <wp:anchor behindDoc="0" distT="647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occurrence of any default or any other event under the first mortgage indenture, and the expiration of the applicable grace period, if any, specified in the first mortgage indenture, if the effect of such default or other event is to accelerate, or to permit the acceleration of, the maturity of any amount due under the first mortgage indenture;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waiver or cure of such event of default under the first mortgage indenture shall constitute a cure of such default. (Section 1001) </w:t>
      </w:r>
      <w:r>
        <mc:AlternateContent>
          <mc:Choice Requires="wps">
            <w:drawing>
              <wp:anchor behindDoc="0" distT="647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events constitutes an event of default under the first mortgage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when due; </w:t>
      </w:r>
      <w:r>
        <mc:AlternateContent>
          <mc:Choice Requires="wps">
            <w:drawing>
              <wp:anchor behindDoc="0" distT="6985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installment, continued for 60 days; </w:t>
      </w:r>
      <w:r>
        <mc:AlternateContent>
          <mc:Choice Requires="wps">
            <w:drawing>
              <wp:anchor behindDoc="0" distT="647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80"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installment of any fund established under the first mortgage indenture for the purchase or redemption of any first mortgage bonds, continued for 60 days; </w:t>
      </w:r>
      <w:r>
        <mc:AlternateContent>
          <mc:Choice Requires="wps">
            <w:drawing>
              <wp:anchor behindDoc="0" distT="635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1"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covenant of the company, continued for 90 days after written notice; and </w:t>
      </w:r>
      <w:r>
        <mc:AlternateContent>
          <mc:Choice Requires="wps">
            <w:drawing>
              <wp:anchor behindDoc="0" distT="635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2"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in bankruptcy, reorganization or insolvency. </w:t>
      </w:r>
      <w:r>
        <mc:AlternateContent>
          <mc:Choice Requires="wps">
            <w:drawing>
              <wp:anchor behindDoc="0" distT="635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Acceleration of Maturity.</w:t>
      </w:r>
      <w:r>
        <w:rPr>
          <w:rFonts w:ascii="Times New Roman;Times;serif" w:hAnsi="Times New Roman;Times;serif"/>
          <w:b w:val="false"/>
          <w:i w:val="false"/>
          <w:caps w:val="false"/>
          <w:smallCaps w:val="false"/>
          <w:color w:val="000000"/>
          <w:spacing w:val="4"/>
          <w:sz w:val="20"/>
        </w:rPr>
        <w:t xml:space="preserve">   If an event of default occurs and is continuing, then the trustee or the holders of not less than 33% in principal amount of mortgage bonds then outstanding may declare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(or if the mortgage bonds are discount bonds, such portion of the principal amount as may be provided for such discount bonds pursuant to the terms of the mortgage indenture) of all of the mortgage bonds then outstanding, together with premium, if any, and accrued interest, if any, thereon to be immediately due and payable. At any time after such declaration of acceleration of the mortgage bonds then outstanding, but before the sale of any of the mortgaged property and before a judgment or decree for payment of money shall have been obtained by the trustee as provided in the mortgage indenture, the event or events of default giving rise to such declaration of acceleration will, without further act, be deemed to have been waived, and such declaration and its consequences will, without further act, be deemed to have been rescinded and annulled, if: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deposited with the trustee a sum sufficient to pay: </w:t>
      </w:r>
      <w:r>
        <mc:AlternateContent>
          <mc:Choice Requires="wps">
            <w:drawing>
              <wp:anchor behindDoc="0" distT="6985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overdue interest, if any, on all mortgage bonds then outstanding; </w:t>
      </w:r>
      <w:r>
        <mc:AlternateContent>
          <mc:Choice Requires="wps">
            <w:drawing>
              <wp:anchor behindDoc="0" distT="69850" distB="0" distL="508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on any mortgage bonds then outstanding which have become due otherwise than by such declaration of acceleration and interest thereon at the rate prescribed therefor in such mortgage bonds; and </w:t>
      </w:r>
      <w:r>
        <mc:AlternateContent>
          <mc:Choice Requires="wps">
            <w:drawing>
              <wp:anchor behindDoc="0" distT="69850" distB="0" distL="508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due to the trustee as compensation and reimbursement as provided in the mortgage indenture; and </w:t>
      </w:r>
      <w:r>
        <mc:AlternateContent>
          <mc:Choice Requires="wps">
            <w:drawing>
              <wp:anchor behindDoc="0" distT="69850" distB="0" distL="508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5pt;mso-wrap-distance-bottom:0pt;margin-top:5.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or events of default, other than the non-payment of the principal of mortgage bonds that shall have become due solely by such declaration of acceleration, shall have been cured or waived as provided in the mortgage indenture. (Section 1002) </w:t>
      </w:r>
      <w:r>
        <mc:AlternateContent>
          <mc:Choice Requires="wps">
            <w:drawing>
              <wp:anchor behindDoc="0" distT="7112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Possession of Mortgaged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and to the extent permitted by law, if an event of default occurs and is continuing, the trustee has the power to take possession of, and to hold, operate and manage, the mortgaged property, or with or without entry, sell the mortgaged property. If the mortgaged property is sold, whether by the trustee or pursuant to judicial proceedings, the principal of the outstanding mortgage bonds (or if the mortgage bonds are discount bonds, such portion of the principal amount as may be provided for such discount bonds pursuant to the terms of the mortgage indenture), if not previously due, will become immediately due and payable, together with premium, if any, and any accrued interest. (Sections 1003, 1004 and 1005)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 to Direct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the holders of a majority in principal amount of the mortgage bonds then outstanding will have the right to direct the time, method and place of conducting any proceedings for any remedy available to the trustee or exercising any trust or power conferred on the trustee, provided that such direction does not conflict with any rule of law or with the mortgage indenture, and the trustee may take any other action deemed proper by it which is not inconsistent with such direction and the trustee may decline to follow such direction if it shall determine in good faith that the proceeding would involve it in personal liability. (Section 1016)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Right to Institute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mortgage bond will have any right to institute any proceeding, judicial or otherwise, with respect to the mortgage indenture or for the appointment of a receiver or for any other remedy thereunder unless: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to the trustee written notice of a continuing event of default; </w:t>
      </w:r>
      <w:r>
        <mc:AlternateContent>
          <mc:Choice Requires="wps">
            <w:drawing>
              <wp:anchor behindDoc="0" distT="7112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9"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a majority in aggregate principal amount of the mortgage bonds then outstanding have made written request to the trustee to institute proceedings in respect of such event of default and have offered the trustee reasonable indemnity against costs and liabilities to be incurred in complying with such request; and </w:t>
      </w:r>
      <w:r>
        <mc:AlternateContent>
          <mc:Choice Requires="wps">
            <w:drawing>
              <wp:anchor behindDoc="0" distT="7112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90"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60 days after receipt of such notice, the trustee has failed to institute any such proceeding and no direction inconsistent with such request has been given to the trustee during such 60-day period by the holders of a majority in aggregate principal amount of mortgage bonds then outstanding. </w:t>
      </w:r>
      <w:r>
        <mc:AlternateContent>
          <mc:Choice Requires="wps">
            <w:drawing>
              <wp:anchor behindDoc="0" distT="7112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1"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no holder will be entitled to institute any such action if and to the extent that such action would disturb or prejudice the rights of other holders. (Section 1011)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Impairment of Right to Receive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that the right of a holder to institute a proceeding with respect to the mortgage indenture is subject to certain conditions precedent, each holder of a mortgage bond has the absolute and unconditional right to receive payment of the principal of and premium, if any, and interest, if any, on such mortgage bond when due and to institute suit for the enforcement of any such payment, and such rights may not be impaired without the consent of such holder. (Section 1012)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is required to give the holders notice of any default under the mortgage indenture to the extent required by the Trust Indenture Act, unless such default shall have been cured or waived, except that no such notice to holders of a default of the character described in the third bullet point under “Events of Default” may be given until at least 75 days after the occurrence thereof. (Section 1102) The Trust Indenture Act currently permits the trustee to withhold notices of default (except for certain payment defaults) if the trustee in good faith determines the withholding of such notice to be in the interests of the holders.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precedent to certain actions by the trustee in the enforcement of the lien of the mortgage indenture and institution of action on the mortgage bonds, the trustee may require adequate indemnity against costs, expenses and liabilities to be incurred in connection therewith. (Sections 1011, 1101 and 1103)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Limited By State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any jurisdiction where the mortgaged property is located may limit or deny the ability of the trustee or bondholders to enforce certain rights and remedies provided in the mortgage indenture in accordance with their terms.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mortgage bonds, or any portion of the principal amount thereof, will be deemed to have been paid for all purposes of the mortgage indenture, and the entirety of our indebtedness in respect thereof will be deemed to have been satisfied and discharged, if there has been irrevocably deposited with the trustee or any paying agent (other than us), in trust: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money (including funded cash not otherwise applied pursuant to the mortgage indenture) in an amount which will be sufficient; </w:t>
      </w:r>
      <w:r>
        <mc:AlternateContent>
          <mc:Choice Requires="wps">
            <w:drawing>
              <wp:anchor behindDoc="0" distT="8255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2"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deposit made prior to the date on which principal is due, eligible obligations (as described below), which do not contain provisions permitting the redemption or other prepayment thereof at the option of the issuer thereof, the principal of and the interest on which when due, without any regard to reinvestment thereof, will provide monies which, together with the money, if any, deposited with or held by the trustee or such paying agent, will be sufficient; or </w:t>
      </w:r>
      <w:r>
        <mc:AlternateContent>
          <mc:Choice Requires="wps">
            <w:drawing>
              <wp:anchor behindDoc="0" distT="1016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3"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options in the preceding bullet points which will be sufficient; </w:t>
      </w:r>
      <w:r>
        <mc:AlternateContent>
          <mc:Choice Requires="wps">
            <w:drawing>
              <wp:anchor behindDoc="0" distT="1016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4"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pay when due the principal of and premium, if any, and interest, if any, due and to become due on such mortgage bonds or portions thereof. (Section 901) For this purpose, eligible obligations include direct obligations of, or obligations unconditionally guaranteed by, the United States of America, entitled to the benefit of the full faith and credit thereof, and certificates, depositary receipts or other instruments that evidence a direct ownership interest in such obligations or in any specific interest or principal payments due in respect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no mortgage bond shall be deemed to have been paid as aforesaid unless we shall have delivered to the trustee either: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opinion of counsel in the United States reasonably acceptable to the trustee confirming that (i) we have received from, or there has been published by, the Internal Revenue Service a ruling or (ii) since the date of the mortgage indenture, there has been a change in the applicable federal income tax law, in either case to the effect that, and based thereon such opinion of counsel shall confirm that, the holders of the outstanding mortgage bonds will not recognize income, gain or loss for federal income tax purposes as a result of such defeasance and will be subject to federal income tax on the same amounts, in the same manner and at the same times as would have been the case if such defeasance had not occurred; or </w:t>
      </w:r>
      <w:r>
        <mc:AlternateContent>
          <mc:Choice Requires="wps">
            <w:drawing>
              <wp:anchor behindDoc="0" distT="6858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5"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 instrument wherein we, notwithstanding the satisfaction and discharge of our indebtedness in respect of mortgage bonds, shall assume the obligation (which shall be absolute and unconditional) to irrevocably deposit with the trustee such additional sums of money, if any, or additional government obligations, if any, or any combination thereof, at such time or times, as shall be necessary, together with the money and/or government obligations theretofore so deposited, to pay when due the principal of and premium, if any, and interest due and to become due on such mortgage bonds or portions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such instrument may state that our obligation to make additional deposits as aforesaid shall be subject to the delivery to us by the trustee of (i) a notice asserting the deficiency accompanied by an opinion of an independent public accountant of nationally recognized standing showing the calculation thereof and (ii) an opinion of tax counsel in the United States reasonably acceptable to the trustee to the effect that the holders of the outstanding mortgage bonds will not recognize income, gain or loss for federal income tax purposes as a result of such defeasance and will be subject to federal income tax on the same amounts, in the same manner and at the same times as would have been the case if such defeasance had not occurred. </w:t>
      </w:r>
      <w:r>
        <mc:AlternateContent>
          <mc:Choice Requires="wps">
            <w:drawing>
              <wp:anchor behindDoc="0" distT="6858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6"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Duties of the Trustee; Resignation; Removal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and will be subject to, all the duties and responsibilities specified with respect to an indenture trustee under the Trust Indenture Act. Subject to such provisions, the trustee will be under no obligation to exercise any of the powers vested in it by the mortgage indenture at the request of any holder of mortgage bonds, unless offered reasonable indemnity by such holder against the costs, expenses and liabilities which might be incurred thereby. (Section 1103) The trustee will not be required to expend or risk its own funds or otherwise incur financial liability in the performance of its duties if the trustee reasonably believes that repayment or adequate indemnity is not reasonably assured to it. (Section 1101)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at any time by giving written notice thereof to us or may be removed at any time by the holders of a majority in principal amount of mortgage bonds then outstanding delivered to the trustee and us. No resignation or removal of the trustee and no appointment of a successor trustee will become effective until the acceptance of appointment by a successor trustee in accordance with the requirements of the mortgage indenture. So long as no event of default or event which, after notice or lapse of time, or both, would become an event of default has occurred and is continuing, if we have delivered to the trustee a resolution of our board of directors appointing a successor trustee and such successor has accepted such appointment in accordance with the terms of the mortgage indenture, the trustee will be deemed to have resigned and the successor will be deemed to have been appointed as trustee in accordance with the mortgage indenture. (Section 1110)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Evidence to Be Furnished to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mortgage indenture provisions is evidenced by written statements of our officers or persons selected or paid by us. In certain cases, opinions of counsel and certification of an engineer, accountant, appraiser or other expert (who in some cases must be independent) must be furnished. In addition, the mortgage indenture requires that we give the trustee, not less often than annually, a brief statement as to our compliance with the conditions and covenants under the mortgage indenture.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York law governs the mortgage indenture and the mortgage bonds, except to the extent that the law of any jurisdiction where any portion of the mortgaged property is located will govern the creation,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perfection, priority or enforcement of the lien of the mortgage indenture, or the exercise of remedies with respect to such portions of the mortgaged property. (Section 115)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National Association is the trustee under the mortgage indenture and will be the principal paying agent and registrar for the mortgage bonds. As of March 31, 2026, the trustee served as trustee for approximately $10.1 billion aggregate principal amount of our debt securities and pollution control bonds issued on our behalf. In addition, the trustee serves as trustee for debt securities of our parent company, CenterPoint Energy, and some of its subsidiaries, aggregating approximately $11.4 billion as of March 31, 2026. CenterPoint Energy maintains brokerage relationships with the trustee and its affiliates, each of whom may maintain other relationships with CenterPoint Energy or its affiliates in the ordinary course of business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OD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mortgage bonds in and outside the United States: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874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7"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our affiliates, </w:t>
      </w:r>
      <w:r>
        <mc:AlternateContent>
          <mc:Choice Requires="wps">
            <w:drawing>
              <wp:anchor behindDoc="0" distT="8255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8"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8255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9"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8255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300"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874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1"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8255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2"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8255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3"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mortgage bonds, </w:t>
      </w:r>
      <w:r>
        <mc:AlternateContent>
          <mc:Choice Requires="wps">
            <w:drawing>
              <wp:anchor behindDoc="0" distT="8255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4"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the mortgage bonds, </w:t>
      </w:r>
      <w:r>
        <mc:AlternateContent>
          <mc:Choice Requires="wps">
            <w:drawing>
              <wp:anchor behindDoc="0" distT="8255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5"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8255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8255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initial public offering price, </w:t>
      </w:r>
      <w:r>
        <mc:AlternateContent>
          <mc:Choice Requires="wps">
            <w:drawing>
              <wp:anchor behindDoc="0" distT="8255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8"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8255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9"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w:t>
      </w:r>
      <w:r>
        <mc:AlternateContent>
          <mc:Choice Requires="wps">
            <w:drawing>
              <wp:anchor behindDoc="0" distT="8255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0"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in the sale, the underwriters will acquire the mortgage bonds for their own account. The underwriters may resell the mortgage bonds from time to time in one or more transactions, including negotiated transactions, at a fixed public offering price or at varying prices determined at the time of sale. Underwriters may offer mortgage bonds to the public either through underwriting syndicates represented by one or more managing underwriters or directly by one or more firms acting as underwriters. Unless we inform you otherwise in the prospectus supplement, the obligations of the underwriters to purchase the mortgage bonds will be subject to certain conditions, and the underwriters will be obligated to purchase all the offered mortgage bonds if they purchase any of them. The underwriters may change from time to time any initial public offering price and any discounts or concessions allowed or reallowed or paid to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mortgage bonds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mortgage bonds sold for their account may be reclaimed by the syndicate if the offered mortgage bonds are repurchased by the syndicate in stabilizing or covering transactions. These activities may stabilize, maintain or otherwise affect the market price of the offered mortgage bonds, which may be higher than the price that might otherwise prevail in the open market. If commenced, the underwriters may discontinue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dealers in the sale of mortgage bonds, we may sell the mortgage bonds to them as principals. They may then resell those mortgage bonds to the public at varying prices determined by the dealers at the time of resale. The dealers participating in any sale of the mortgage bonds may be deemed to be underwriters within the meaning of the Securities Act of 1933, as amended (the “Securities Act”), with respect to any sale of these mortgage bonds. We will include in the prospectus supplement the names of the dealers and the terms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mortgage bonds directly. In that event, no underwriters or agents would be involved. We may also sell the mortgage bonds through agents we designate from time to time. In the prospectus supplement, we will name any agent involved in the offer or sale of the offered mortgage bonds, and we will describe any commissions payable by us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mortgage bonds directly to institutional investors or others who may be deemed to be underwriters within the meaning of the Securities Act with respect to any sale of those mortgage bonds. We will describe the terms of any such sales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mortgage bonds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any of the offered mortgage bonds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mortgage bonds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particular plan of distribution. The place and time of delivery for the mortgage bonds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offered mortgage bonds will be a new issue and will have no established trading market. We may elect to list any series of offered mortgage bonds on an exchange, but we are not obligated to do so. It is possible that one or more underwriters may make a market in a series of offered mortgage bonds.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EMA1"/>
      <w:bookmarkEnd w:id="26"/>
      <w:r>
        <w:rPr>
          <w:rFonts w:ascii="calibri;arial;sans-serif" w:hAnsi="calibri;arial;sans-serif"/>
          <w:b w:val="false"/>
          <w:i w:val="false"/>
          <w:caps w:val="false"/>
          <w:smallCaps w:val="false"/>
          <w:color w:val="000000"/>
          <w:sz w:val="16"/>
        </w:rPr>
        <w:t>​</w:t>
      </w:r>
      <w:bookmarkStart w:id="27" w:name="tEXP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they will not be obligated to do so and may discontinue market making at any time without notice. We cannot assure you that a liquid trading market for any of our offered mortgage bonds will develop.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mortgage bonds described in this prospectus will be passed upon for us by Baker Botts L.L.P., Houston, Texas. Monica Karuturi, Esq., our Executive Vice President and General Counsel, may pass upon other legal matters for us. Ms. Karuturi is the beneficial owner of less than 1% of CenterPoint Energy’s common stock. Any underwriters will be advised regarding issues relating to any offering by Hunton Andrews Kurth LLP, New York, New York. From time to time, Hunton Andrews Kurth LLP acts as counsel to CenterPoint Energy and its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Houston Electric, LLC as of December 31, 2025 and 2024, and for each of the three years in the period ended December 31, 2025, incorporated by reference in this Prospectus by reference to CenterPoint Energy Houston Electric, LLC’s </w:t>
      </w:r>
      <w:hyperlink r:id="rId1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90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60" w:before="4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HOUSTON ELECTRIC,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5.40% General Mortgage Bonds, Series AS, due 2031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4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44"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Barclays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BNP PARIBAS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Goldman Sachs &amp; Co. LLC</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MUFG</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Truist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PNC Capital Markets LLC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Independence Point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9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21, 2026 </w:t>
      </w:r>
    </w:p>
    <w:p>
      <w:pPr>
        <w:pStyle w:val="TextBody"/>
        <w:bidi w:val="0"/>
        <w:spacing w:before="1912"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8" w:name="tm2625673d2_ex-filingfees.htm"/>
      <w:bookmarkStart w:id="29" w:name="kstm2625673d2_exfilingfees"/>
      <w:bookmarkStart w:id="30" w:name="tm2625673d2_ex-filingfees.htm"/>
      <w:bookmarkStart w:id="31" w:name="kstm2625673d2_exfilingfees"/>
      <w:bookmarkEnd w:id="30"/>
      <w:bookmarkEnd w:id="31"/>
      <w:r>
        <w:br w:type="page"/>
      </w:r>
    </w:p>
    <w:tbl>
      <w:tblPr>
        <w:tblW w:w="6425" w:type="dxa"/>
        <w:jc w:val="left"/>
        <w:tblInd w:w="0" w:type="dxa"/>
        <w:tblLayout w:type="fixed"/>
        <w:tblCellMar>
          <w:top w:w="28" w:type="dxa"/>
          <w:left w:w="28" w:type="dxa"/>
          <w:bottom w:w="28" w:type="dxa"/>
          <w:right w:w="28" w:type="dxa"/>
        </w:tblCellMar>
      </w:tblPr>
      <w:tblGrid>
        <w:gridCol w:w="6271"/>
        <w:gridCol w:w="154"/>
      </w:tblGrid>
      <w:tr>
        <w:trPr/>
        <w:tc>
          <w:tcPr>
            <w:tcW w:w="642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627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6271" w:type="dxa"/>
            <w:tcBorders/>
            <w:vAlign w:val="center"/>
          </w:tcPr>
          <w:p>
            <w:pPr>
              <w:pStyle w:val="TableContents"/>
              <w:bidi w:val="0"/>
              <w:spacing w:before="0" w:after="283"/>
              <w:jc w:val="left"/>
              <w:rPr>
                <w:b/>
              </w:rPr>
            </w:pPr>
            <w:r>
              <w:rPr>
                <w:b/>
              </w:rPr>
              <w:t xml:space="preserve">CENTERPOINT ENERGY HOUSTON ELECTRIC LLC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02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5.40% General Mortgage Bonds, Series AS,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700,000,000 </w:t>
            </w:r>
          </w:p>
        </w:tc>
        <w:tc>
          <w:tcPr>
            <w:tcW w:w="1156" w:type="dxa"/>
            <w:tcBorders/>
            <w:shd w:fill="E7E7E2" w:val="clear"/>
            <w:vAlign w:val="center"/>
          </w:tcPr>
          <w:p>
            <w:pPr>
              <w:pStyle w:val="TableContents"/>
              <w:bidi w:val="0"/>
              <w:spacing w:before="0" w:after="283"/>
              <w:jc w:val="right"/>
              <w:rPr/>
            </w:pPr>
            <w:r>
              <w:rPr/>
              <w:t xml:space="preserve">$ 0.99934 </w:t>
            </w:r>
          </w:p>
        </w:tc>
        <w:tc>
          <w:tcPr>
            <w:tcW w:w="1786" w:type="dxa"/>
            <w:tcBorders/>
            <w:shd w:fill="E7E7E2" w:val="clear"/>
            <w:vAlign w:val="center"/>
          </w:tcPr>
          <w:p>
            <w:pPr>
              <w:pStyle w:val="TableContents"/>
              <w:bidi w:val="0"/>
              <w:spacing w:before="0" w:after="283"/>
              <w:jc w:val="right"/>
              <w:rPr/>
            </w:pPr>
            <w:r>
              <w:rPr/>
              <w:t xml:space="preserve">$ 699,538,000.00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$ 96,606.20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$ 699,538,000.00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$ 96,606.20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$ 96,606.20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
        <w:gridCol w:w="1293"/>
        <w:gridCol w:w="8695"/>
      </w:tblGrid>
      <w:tr>
        <w:trPr/>
        <w:tc>
          <w:tcPr>
            <w:tcW w:w="21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8"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333-295924-02) in accordance with Rules 456(b) and 457(r) under the Securities Act of 1933, as amended. </w:t>
            </w:r>
          </w:p>
        </w:tc>
      </w:tr>
      <w:tr>
        <w:trPr/>
        <w:tc>
          <w:tcPr>
            <w:tcW w:w="1510" w:type="dxa"/>
            <w:gridSpan w:val="2"/>
            <w:tcBorders/>
            <w:vAlign w:val="center"/>
          </w:tcPr>
          <w:p>
            <w:pPr>
              <w:pStyle w:val="HorizontalLine"/>
              <w:pBdr>
                <w:bottom w:val="double" w:sz="2" w:space="0" w:color="808080"/>
              </w:pBdr>
              <w:bidi w:val="0"/>
              <w:spacing w:before="0" w:after="283"/>
              <w:jc w:val="left"/>
              <w:rPr/>
            </w:pPr>
            <w:r>
              <w:rPr/>
            </w:r>
          </w:p>
        </w:tc>
        <w:tc>
          <w:tcPr>
            <w:tcW w:w="869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$699,538,000.00.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8732/000113031026000008/cnp-20251231.htm" TargetMode="External"/><Relationship Id="rId3" Type="http://schemas.openxmlformats.org/officeDocument/2006/relationships/hyperlink" Target="https://www.sec.gov/ix?doc=/Archives/edgar/data/48732/000113031026000008/cnp-20251231.htm" TargetMode="External"/><Relationship Id="rId4" Type="http://schemas.openxmlformats.org/officeDocument/2006/relationships/hyperlink" Target="https://www.sec.gov/ix?doc=/Archives/edgar/data/48732/000113031026000028/cnp-20260331.htm" TargetMode="External"/><Relationship Id="rId5" Type="http://schemas.openxmlformats.org/officeDocument/2006/relationships/hyperlink" Target="https://www.sec.gov/ix?doc=/Archives/edgar/data/48732/000113031026000041/cnp-20260630.htm" TargetMode="External"/><Relationship Id="rId6" Type="http://schemas.openxmlformats.org/officeDocument/2006/relationships/hyperlink" Target="https://www.sec.gov/ix?doc=/Archives/edgar/data/48732/000110465926017609/tm2530970d9_8k.htm" TargetMode="External"/><Relationship Id="rId7" Type="http://schemas.openxmlformats.org/officeDocument/2006/relationships/hyperlink" Target="https://www.sec.gov/ix?doc=/Archives/edgar/data/48732/000113031026000013/cnp-20260218.htm" TargetMode="External"/><Relationship Id="rId8" Type="http://schemas.openxmlformats.org/officeDocument/2006/relationships/hyperlink" Target="https://www.sec.gov/ix?doc=/Archives/edgar/data/48732/000110465926019763/tm267005d4_8k.htm" TargetMode="External"/><Relationship Id="rId9" Type="http://schemas.openxmlformats.org/officeDocument/2006/relationships/hyperlink" Target="https://www.sec.gov/ix?doc=/Archives/edgar/data/48732/000110465926020633/tm267408d1_8k.htm" TargetMode="External"/><Relationship Id="rId10" Type="http://schemas.openxmlformats.org/officeDocument/2006/relationships/hyperlink" Target="https://www.sec.gov/ix?doc=/Archives/edgar/data/48732/000110465926106356/tm2625073d1_8k.htm" TargetMode="External"/><Relationship Id="rId11" Type="http://schemas.openxmlformats.org/officeDocument/2006/relationships/hyperlink" Target="https://www.sec.gov/ix?doc=/Archives/edgar/data/48732/000110465926107560/tm2625326d1_8k.htm" TargetMode="External"/><Relationship Id="rId12" Type="http://schemas.openxmlformats.org/officeDocument/2006/relationships/hyperlink" Target="https://www.sec.gov/ix?doc=/Archives/edgar/data/0000048732/000113031026000008/cnp-20251231.htm" TargetMode="External"/><Relationship Id="rId13" Type="http://schemas.openxmlformats.org/officeDocument/2006/relationships/hyperlink" Target="https://www.sec.gov/ix?doc=/Archives/edgar/data/48732/000113031026000028/cnp-20260331.htm" TargetMode="External"/><Relationship Id="rId14" Type="http://schemas.openxmlformats.org/officeDocument/2006/relationships/hyperlink" Target="https://www.sec.gov/ix?doc=/Archives/edgar/data/48732/000110465926017609/tm2530970d9_8k.htm" TargetMode="External"/><Relationship Id="rId15" Type="http://schemas.openxmlformats.org/officeDocument/2006/relationships/hyperlink" Target="https://www.sec.gov/ix?doc=/Archives/edgar/data/48732/000113031026000013/cnp-20260218.htm" TargetMode="External"/><Relationship Id="rId16" Type="http://schemas.openxmlformats.org/officeDocument/2006/relationships/hyperlink" Target="https://www.sec.gov/ix?doc=/Archives/edgar/data/48732/000110465926019763/tm267005d4_8k.htm" TargetMode="External"/><Relationship Id="rId17" Type="http://schemas.openxmlformats.org/officeDocument/2006/relationships/hyperlink" Target="https://www.sec.gov/ix?doc=/Archives/edgar/data/48732/000110465926020633/tm267408d1_8k.htm" TargetMode="External"/><Relationship Id="rId18" Type="http://schemas.openxmlformats.org/officeDocument/2006/relationships/hyperlink" Target="https://www.sec.gov/ix?doc=/Archives/edgar/data/0000048732/000113031026000008/cnp-20251231.htm" TargetMode="External"/><Relationship Id="rId19" Type="http://schemas.openxmlformats.org/officeDocument/2006/relationships/hyperlink" Target="https://www.sec.gov/ix?doc=/Archives/edgar/data/0000048732/000113031026000008/cnp-2025123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34918</Words>
  <Characters>185565</Characters>
  <CharactersWithSpaces>221942</CharactersWithSpaces>
  <Paragraphs>2386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