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__________________</w:t>
      </w:r>
    </w:p>
    <w:p>
      <w:pPr>
        <w:spacing w:after="0" w:line="7"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10-Q</w:t>
      </w:r>
    </w:p>
    <w:p>
      <w:pPr>
        <w:spacing w:after="0" w:line="15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08" w:lineRule="exact"/>
        <w:rPr>
          <w:sz w:val="24"/>
          <w:szCs w:val="24"/>
          <w:color w:val="auto"/>
        </w:rPr>
      </w:pPr>
    </w:p>
    <w:p>
      <w:pPr>
        <w:ind w:left="460" w:right="2219" w:hanging="290"/>
        <w:spacing w:after="0" w:line="245" w:lineRule="auto"/>
        <w:tabs>
          <w:tab w:leader="none" w:pos="568"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2020</w:t>
      </w:r>
    </w:p>
    <w:p>
      <w:pPr>
        <w:spacing w:after="0" w:line="1" w:lineRule="exact"/>
        <w:rPr>
          <w:sz w:val="24"/>
          <w:szCs w:val="24"/>
          <w:color w:val="auto"/>
        </w:rPr>
      </w:pPr>
    </w:p>
    <w:p>
      <w:pPr>
        <w:ind w:left="5480"/>
        <w:spacing w:after="0"/>
        <w:rPr>
          <w:sz w:val="20"/>
          <w:szCs w:val="20"/>
          <w:color w:val="auto"/>
        </w:rPr>
      </w:pPr>
      <w:r>
        <w:rPr>
          <w:rFonts w:ascii="Arial" w:cs="Arial" w:eastAsia="Arial" w:hAnsi="Arial"/>
          <w:sz w:val="14"/>
          <w:szCs w:val="14"/>
          <w:b w:val="1"/>
          <w:bCs w:val="1"/>
          <w:color w:val="auto"/>
        </w:rPr>
        <w:t>OR</w:t>
      </w:r>
    </w:p>
    <w:p>
      <w:pPr>
        <w:spacing w:after="0" w:line="215" w:lineRule="exact"/>
        <w:rPr>
          <w:sz w:val="24"/>
          <w:szCs w:val="24"/>
          <w:color w:val="auto"/>
        </w:rPr>
      </w:pPr>
    </w:p>
    <w:p>
      <w:pPr>
        <w:ind w:left="560" w:right="2219" w:hanging="390"/>
        <w:spacing w:after="0" w:line="304" w:lineRule="auto"/>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__________________ TO __________________</w:t>
      </w:r>
    </w:p>
    <w:p>
      <w:pPr>
        <w:spacing w:after="0" w:line="179"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Commission file number 1-31447</w:t>
      </w:r>
    </w:p>
    <w:p>
      <w:pPr>
        <w:spacing w:after="0" w:line="54" w:lineRule="exact"/>
        <w:rPr>
          <w:sz w:val="24"/>
          <w:szCs w:val="24"/>
          <w:color w:val="auto"/>
        </w:rPr>
      </w:pPr>
    </w:p>
    <w:p>
      <w:pPr>
        <w:jc w:val="center"/>
        <w:ind w:right="-1060"/>
        <w:spacing w:after="0"/>
        <w:rPr>
          <w:sz w:val="20"/>
          <w:szCs w:val="20"/>
          <w:color w:val="auto"/>
        </w:rPr>
      </w:pPr>
      <w:r>
        <w:rPr>
          <w:rFonts w:ascii="Arial" w:cs="Arial" w:eastAsia="Arial" w:hAnsi="Arial"/>
          <w:sz w:val="29"/>
          <w:szCs w:val="29"/>
          <w:b w:val="1"/>
          <w:bCs w:val="1"/>
          <w:color w:val="auto"/>
        </w:rPr>
        <w:t>CenterPoint Energy, Inc.</w:t>
      </w:r>
    </w:p>
    <w:p>
      <w:pPr>
        <w:spacing w:after="0" w:line="63"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94" w:lineRule="exact"/>
        <w:rPr>
          <w:sz w:val="24"/>
          <w:szCs w:val="24"/>
          <w:color w:val="auto"/>
        </w:rPr>
      </w:pPr>
    </w:p>
    <w:tbl>
      <w:tblPr>
        <w:tblLayout w:type="fixed"/>
        <w:tblInd w:w="480" w:type="dxa"/>
        <w:tblCellMar>
          <w:top w:w="0" w:type="dxa"/>
          <w:left w:w="0" w:type="dxa"/>
          <w:bottom w:w="0" w:type="dxa"/>
          <w:right w:w="0" w:type="dxa"/>
        </w:tblCellMar>
      </w:tblPr>
      <w:tr>
        <w:trPr>
          <w:trHeight w:val="210"/>
        </w:trPr>
        <w:tc>
          <w:tcPr>
            <w:tcW w:w="3540" w:type="dxa"/>
            <w:vAlign w:val="bottom"/>
          </w:tcPr>
          <w:p>
            <w:pPr>
              <w:jc w:val="center"/>
              <w:ind w:right="35"/>
              <w:spacing w:after="0"/>
              <w:rPr>
                <w:sz w:val="20"/>
                <w:szCs w:val="20"/>
                <w:color w:val="auto"/>
              </w:rPr>
            </w:pPr>
            <w:r>
              <w:rPr>
                <w:rFonts w:ascii="Arial" w:cs="Arial" w:eastAsia="Arial" w:hAnsi="Arial"/>
                <w:sz w:val="16"/>
                <w:szCs w:val="16"/>
                <w:b w:val="1"/>
                <w:bCs w:val="1"/>
                <w:color w:val="auto"/>
                <w:w w:val="83"/>
              </w:rPr>
              <w:t>Texas</w:t>
            </w:r>
          </w:p>
        </w:tc>
        <w:tc>
          <w:tcPr>
            <w:tcW w:w="14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80" w:type="dxa"/>
            <w:vAlign w:val="bottom"/>
          </w:tcPr>
          <w:p>
            <w:pPr>
              <w:jc w:val="right"/>
              <w:ind w:right="604"/>
              <w:spacing w:after="0"/>
              <w:rPr>
                <w:sz w:val="20"/>
                <w:szCs w:val="20"/>
                <w:color w:val="auto"/>
              </w:rPr>
            </w:pPr>
            <w:r>
              <w:rPr>
                <w:rFonts w:ascii="Arial" w:cs="Arial" w:eastAsia="Arial" w:hAnsi="Arial"/>
                <w:sz w:val="16"/>
                <w:szCs w:val="16"/>
                <w:b w:val="1"/>
                <w:bCs w:val="1"/>
                <w:color w:val="auto"/>
              </w:rPr>
              <w:t>74-0694415</w:t>
            </w:r>
          </w:p>
        </w:tc>
        <w:tc>
          <w:tcPr>
            <w:tcW w:w="0" w:type="dxa"/>
            <w:vAlign w:val="bottom"/>
          </w:tcPr>
          <w:p>
            <w:pPr>
              <w:spacing w:after="0"/>
              <w:rPr>
                <w:sz w:val="1"/>
                <w:szCs w:val="1"/>
                <w:color w:val="auto"/>
              </w:rPr>
            </w:pPr>
          </w:p>
        </w:tc>
      </w:tr>
      <w:tr>
        <w:trPr>
          <w:trHeight w:val="237"/>
        </w:trPr>
        <w:tc>
          <w:tcPr>
            <w:tcW w:w="3540" w:type="dxa"/>
            <w:vAlign w:val="bottom"/>
            <w:vMerge w:val="restart"/>
          </w:tcPr>
          <w:p>
            <w:pPr>
              <w:jc w:val="center"/>
              <w:ind w:right="35"/>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80" w:type="dxa"/>
            <w:vAlign w:val="bottom"/>
          </w:tcPr>
          <w:p>
            <w:pPr>
              <w:jc w:val="center"/>
              <w:ind w:left="124"/>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54"/>
        </w:trPr>
        <w:tc>
          <w:tcPr>
            <w:tcW w:w="35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3540" w:type="dxa"/>
            <w:vAlign w:val="bottom"/>
          </w:tcPr>
          <w:p>
            <w:pPr>
              <w:jc w:val="center"/>
              <w:ind w:right="35"/>
              <w:spacing w:after="0"/>
              <w:rPr>
                <w:sz w:val="20"/>
                <w:szCs w:val="20"/>
                <w:color w:val="auto"/>
              </w:rPr>
            </w:pPr>
            <w:r>
              <w:rPr>
                <w:rFonts w:ascii="Arial" w:cs="Arial" w:eastAsia="Arial" w:hAnsi="Arial"/>
                <w:sz w:val="16"/>
                <w:szCs w:val="16"/>
                <w:b w:val="1"/>
                <w:bCs w:val="1"/>
                <w:color w:val="auto"/>
                <w:w w:val="88"/>
              </w:rPr>
              <w:t>1111 Louisiana</w:t>
            </w:r>
          </w:p>
        </w:tc>
        <w:tc>
          <w:tcPr>
            <w:tcW w:w="1400" w:type="dxa"/>
            <w:vAlign w:val="bottom"/>
          </w:tcPr>
          <w:p>
            <w:pPr>
              <w:ind w:left="540"/>
              <w:spacing w:after="0"/>
              <w:rPr>
                <w:sz w:val="20"/>
                <w:szCs w:val="20"/>
                <w:color w:val="auto"/>
              </w:rPr>
            </w:pPr>
            <w:r>
              <w:rPr>
                <w:rFonts w:ascii="Arial" w:cs="Arial" w:eastAsia="Arial" w:hAnsi="Arial"/>
                <w:sz w:val="16"/>
                <w:szCs w:val="16"/>
                <w:b w:val="1"/>
                <w:bCs w:val="1"/>
                <w:color w:val="auto"/>
              </w:rPr>
              <w:t>Houston</w:t>
            </w:r>
          </w:p>
        </w:tc>
        <w:tc>
          <w:tcPr>
            <w:tcW w:w="2160" w:type="dxa"/>
            <w:vAlign w:val="bottom"/>
          </w:tcPr>
          <w:p>
            <w:pPr>
              <w:ind w:left="260"/>
              <w:spacing w:after="0"/>
              <w:rPr>
                <w:sz w:val="20"/>
                <w:szCs w:val="20"/>
                <w:color w:val="auto"/>
              </w:rPr>
            </w:pPr>
            <w:r>
              <w:rPr>
                <w:rFonts w:ascii="Arial" w:cs="Arial" w:eastAsia="Arial" w:hAnsi="Arial"/>
                <w:sz w:val="16"/>
                <w:szCs w:val="16"/>
                <w:b w:val="1"/>
                <w:bCs w:val="1"/>
                <w:color w:val="auto"/>
              </w:rPr>
              <w:t>Texas</w:t>
            </w:r>
          </w:p>
        </w:tc>
        <w:tc>
          <w:tcPr>
            <w:tcW w:w="2280" w:type="dxa"/>
            <w:vAlign w:val="bottom"/>
          </w:tcPr>
          <w:p>
            <w:pPr>
              <w:jc w:val="center"/>
              <w:ind w:left="124"/>
              <w:spacing w:after="0"/>
              <w:rPr>
                <w:sz w:val="20"/>
                <w:szCs w:val="20"/>
                <w:color w:val="auto"/>
              </w:rPr>
            </w:pPr>
            <w:r>
              <w:rPr>
                <w:rFonts w:ascii="Arial" w:cs="Arial" w:eastAsia="Arial" w:hAnsi="Arial"/>
                <w:sz w:val="16"/>
                <w:szCs w:val="16"/>
                <w:b w:val="1"/>
                <w:bCs w:val="1"/>
                <w:color w:val="auto"/>
                <w:w w:val="89"/>
              </w:rPr>
              <w:t>77002</w:t>
            </w:r>
          </w:p>
        </w:tc>
        <w:tc>
          <w:tcPr>
            <w:tcW w:w="0" w:type="dxa"/>
            <w:vAlign w:val="bottom"/>
          </w:tcPr>
          <w:p>
            <w:pPr>
              <w:spacing w:after="0"/>
              <w:rPr>
                <w:sz w:val="1"/>
                <w:szCs w:val="1"/>
                <w:color w:val="auto"/>
              </w:rPr>
            </w:pPr>
          </w:p>
        </w:tc>
      </w:tr>
      <w:tr>
        <w:trPr>
          <w:trHeight w:val="291"/>
        </w:trPr>
        <w:tc>
          <w:tcPr>
            <w:tcW w:w="3540" w:type="dxa"/>
            <w:vAlign w:val="bottom"/>
          </w:tcPr>
          <w:p>
            <w:pPr>
              <w:jc w:val="center"/>
              <w:ind w:right="35"/>
              <w:spacing w:after="0"/>
              <w:rPr>
                <w:sz w:val="20"/>
                <w:szCs w:val="20"/>
                <w:color w:val="auto"/>
              </w:rPr>
            </w:pPr>
            <w:r>
              <w:rPr>
                <w:rFonts w:ascii="Arial" w:cs="Arial" w:eastAsia="Arial" w:hAnsi="Arial"/>
                <w:sz w:val="14"/>
                <w:szCs w:val="14"/>
                <w:color w:val="auto"/>
                <w:w w:val="95"/>
              </w:rPr>
              <w:t>(Address of Principal Executive Offices)</w:t>
            </w: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jc w:val="center"/>
              <w:ind w:left="124"/>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36"/>
        </w:trPr>
        <w:tc>
          <w:tcPr>
            <w:tcW w:w="3540" w:type="dxa"/>
            <w:vAlign w:val="bottom"/>
          </w:tcPr>
          <w:p>
            <w:pPr>
              <w:spacing w:after="0"/>
              <w:rPr>
                <w:sz w:val="20"/>
                <w:szCs w:val="20"/>
                <w:color w:val="auto"/>
              </w:rPr>
            </w:pPr>
          </w:p>
        </w:tc>
        <w:tc>
          <w:tcPr>
            <w:tcW w:w="356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89"/>
              </w:rPr>
              <w:t>(713) 207-1111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3560" w:type="dxa"/>
            <w:vAlign w:val="bottom"/>
            <w:gridSpan w:val="2"/>
          </w:tcPr>
          <w:p>
            <w:pPr>
              <w:jc w:val="center"/>
              <w:ind w:right="339"/>
              <w:spacing w:after="0"/>
              <w:rPr>
                <w:sz w:val="20"/>
                <w:szCs w:val="20"/>
                <w:color w:val="auto"/>
              </w:rPr>
            </w:pPr>
            <w:r>
              <w:rPr>
                <w:rFonts w:ascii="Arial" w:cs="Arial" w:eastAsia="Arial" w:hAnsi="Arial"/>
                <w:sz w:val="14"/>
                <w:szCs w:val="14"/>
                <w:color w:val="auto"/>
                <w:w w:val="92"/>
              </w:rPr>
              <w:t>Registrant's telephone number, including area code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3540" w:type="dxa"/>
            <w:vAlign w:val="bottom"/>
          </w:tcPr>
          <w:p>
            <w:pPr>
              <w:spacing w:after="0"/>
              <w:rPr>
                <w:sz w:val="24"/>
                <w:szCs w:val="24"/>
                <w:color w:val="auto"/>
              </w:rPr>
            </w:pPr>
          </w:p>
        </w:tc>
        <w:tc>
          <w:tcPr>
            <w:tcW w:w="3560" w:type="dxa"/>
            <w:vAlign w:val="bottom"/>
            <w:gridSpan w:val="2"/>
          </w:tcPr>
          <w:p>
            <w:pPr>
              <w:jc w:val="center"/>
              <w:ind w:right="359"/>
              <w:spacing w:after="0"/>
              <w:rPr>
                <w:sz w:val="20"/>
                <w:szCs w:val="20"/>
                <w:color w:val="auto"/>
              </w:rPr>
            </w:pPr>
            <w:r>
              <w:rPr>
                <w:rFonts w:ascii="Arial" w:cs="Arial" w:eastAsia="Arial" w:hAnsi="Arial"/>
                <w:sz w:val="16"/>
                <w:szCs w:val="16"/>
                <w:b w:val="1"/>
                <w:bCs w:val="1"/>
                <w:color w:val="auto"/>
                <w:w w:val="91"/>
              </w:rPr>
              <w:t>Commission file number 1-3187</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9380" w:type="dxa"/>
            <w:vAlign w:val="bottom"/>
            <w:gridSpan w:val="4"/>
          </w:tcPr>
          <w:p>
            <w:pPr>
              <w:jc w:val="center"/>
              <w:ind w:left="735"/>
              <w:spacing w:after="0"/>
              <w:rPr>
                <w:sz w:val="20"/>
                <w:szCs w:val="20"/>
                <w:color w:val="auto"/>
              </w:rPr>
            </w:pPr>
            <w:r>
              <w:rPr>
                <w:rFonts w:ascii="Arial" w:cs="Arial" w:eastAsia="Arial" w:hAnsi="Arial"/>
                <w:sz w:val="29"/>
                <w:szCs w:val="29"/>
                <w:b w:val="1"/>
                <w:bCs w:val="1"/>
                <w:color w:val="auto"/>
                <w:w w:val="92"/>
              </w:rPr>
              <w:t>CenterPoint Energy Houston Electric, LLC</w:t>
            </w:r>
          </w:p>
        </w:tc>
        <w:tc>
          <w:tcPr>
            <w:tcW w:w="0" w:type="dxa"/>
            <w:vAlign w:val="bottom"/>
          </w:tcPr>
          <w:p>
            <w:pPr>
              <w:spacing w:after="0"/>
              <w:rPr>
                <w:sz w:val="1"/>
                <w:szCs w:val="1"/>
                <w:color w:val="auto"/>
              </w:rPr>
            </w:pPr>
          </w:p>
        </w:tc>
      </w:tr>
      <w:tr>
        <w:trPr>
          <w:trHeight w:val="232"/>
        </w:trPr>
        <w:tc>
          <w:tcPr>
            <w:tcW w:w="7100" w:type="dxa"/>
            <w:vAlign w:val="bottom"/>
            <w:gridSpan w:val="3"/>
          </w:tcPr>
          <w:p>
            <w:pPr>
              <w:jc w:val="center"/>
              <w:ind w:left="3035"/>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40" w:type="dxa"/>
            <w:vAlign w:val="bottom"/>
          </w:tcPr>
          <w:p>
            <w:pPr>
              <w:jc w:val="center"/>
              <w:ind w:right="35"/>
              <w:spacing w:after="0"/>
              <w:rPr>
                <w:sz w:val="20"/>
                <w:szCs w:val="20"/>
                <w:color w:val="auto"/>
              </w:rPr>
            </w:pPr>
            <w:r>
              <w:rPr>
                <w:rFonts w:ascii="Arial" w:cs="Arial" w:eastAsia="Arial" w:hAnsi="Arial"/>
                <w:sz w:val="16"/>
                <w:szCs w:val="16"/>
                <w:b w:val="1"/>
                <w:bCs w:val="1"/>
                <w:color w:val="auto"/>
                <w:w w:val="83"/>
              </w:rPr>
              <w:t>Texas</w:t>
            </w: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jc w:val="right"/>
              <w:ind w:right="604"/>
              <w:spacing w:after="0"/>
              <w:rPr>
                <w:sz w:val="20"/>
                <w:szCs w:val="20"/>
                <w:color w:val="auto"/>
              </w:rPr>
            </w:pPr>
            <w:r>
              <w:rPr>
                <w:rFonts w:ascii="Arial" w:cs="Arial" w:eastAsia="Arial" w:hAnsi="Arial"/>
                <w:sz w:val="16"/>
                <w:szCs w:val="16"/>
                <w:b w:val="1"/>
                <w:bCs w:val="1"/>
                <w:color w:val="auto"/>
              </w:rPr>
              <w:t>22-3865106</w:t>
            </w:r>
          </w:p>
        </w:tc>
        <w:tc>
          <w:tcPr>
            <w:tcW w:w="0" w:type="dxa"/>
            <w:vAlign w:val="bottom"/>
          </w:tcPr>
          <w:p>
            <w:pPr>
              <w:spacing w:after="0"/>
              <w:rPr>
                <w:sz w:val="1"/>
                <w:szCs w:val="1"/>
                <w:color w:val="auto"/>
              </w:rPr>
            </w:pPr>
          </w:p>
        </w:tc>
      </w:tr>
      <w:tr>
        <w:trPr>
          <w:trHeight w:val="237"/>
        </w:trPr>
        <w:tc>
          <w:tcPr>
            <w:tcW w:w="3540" w:type="dxa"/>
            <w:vAlign w:val="bottom"/>
            <w:vMerge w:val="restart"/>
          </w:tcPr>
          <w:p>
            <w:pPr>
              <w:jc w:val="center"/>
              <w:ind w:right="35"/>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80" w:type="dxa"/>
            <w:vAlign w:val="bottom"/>
          </w:tcPr>
          <w:p>
            <w:pPr>
              <w:jc w:val="center"/>
              <w:ind w:left="124"/>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54"/>
        </w:trPr>
        <w:tc>
          <w:tcPr>
            <w:tcW w:w="35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3540" w:type="dxa"/>
            <w:vAlign w:val="bottom"/>
          </w:tcPr>
          <w:p>
            <w:pPr>
              <w:jc w:val="center"/>
              <w:ind w:right="35"/>
              <w:spacing w:after="0"/>
              <w:rPr>
                <w:sz w:val="20"/>
                <w:szCs w:val="20"/>
                <w:color w:val="auto"/>
              </w:rPr>
            </w:pPr>
            <w:r>
              <w:rPr>
                <w:rFonts w:ascii="Arial" w:cs="Arial" w:eastAsia="Arial" w:hAnsi="Arial"/>
                <w:sz w:val="16"/>
                <w:szCs w:val="16"/>
                <w:b w:val="1"/>
                <w:bCs w:val="1"/>
                <w:color w:val="auto"/>
                <w:w w:val="88"/>
              </w:rPr>
              <w:t>1111 Louisiana</w:t>
            </w:r>
          </w:p>
        </w:tc>
        <w:tc>
          <w:tcPr>
            <w:tcW w:w="1400" w:type="dxa"/>
            <w:vAlign w:val="bottom"/>
          </w:tcPr>
          <w:p>
            <w:pPr>
              <w:ind w:left="540"/>
              <w:spacing w:after="0"/>
              <w:rPr>
                <w:sz w:val="20"/>
                <w:szCs w:val="20"/>
                <w:color w:val="auto"/>
              </w:rPr>
            </w:pPr>
            <w:r>
              <w:rPr>
                <w:rFonts w:ascii="Arial" w:cs="Arial" w:eastAsia="Arial" w:hAnsi="Arial"/>
                <w:sz w:val="16"/>
                <w:szCs w:val="16"/>
                <w:b w:val="1"/>
                <w:bCs w:val="1"/>
                <w:color w:val="auto"/>
              </w:rPr>
              <w:t>Houston</w:t>
            </w:r>
          </w:p>
        </w:tc>
        <w:tc>
          <w:tcPr>
            <w:tcW w:w="2160" w:type="dxa"/>
            <w:vAlign w:val="bottom"/>
          </w:tcPr>
          <w:p>
            <w:pPr>
              <w:ind w:left="260"/>
              <w:spacing w:after="0"/>
              <w:rPr>
                <w:sz w:val="20"/>
                <w:szCs w:val="20"/>
                <w:color w:val="auto"/>
              </w:rPr>
            </w:pPr>
            <w:r>
              <w:rPr>
                <w:rFonts w:ascii="Arial" w:cs="Arial" w:eastAsia="Arial" w:hAnsi="Arial"/>
                <w:sz w:val="16"/>
                <w:szCs w:val="16"/>
                <w:b w:val="1"/>
                <w:bCs w:val="1"/>
                <w:color w:val="auto"/>
              </w:rPr>
              <w:t>Texas</w:t>
            </w:r>
          </w:p>
        </w:tc>
        <w:tc>
          <w:tcPr>
            <w:tcW w:w="2280" w:type="dxa"/>
            <w:vAlign w:val="bottom"/>
          </w:tcPr>
          <w:p>
            <w:pPr>
              <w:jc w:val="center"/>
              <w:ind w:left="124"/>
              <w:spacing w:after="0"/>
              <w:rPr>
                <w:sz w:val="20"/>
                <w:szCs w:val="20"/>
                <w:color w:val="auto"/>
              </w:rPr>
            </w:pPr>
            <w:r>
              <w:rPr>
                <w:rFonts w:ascii="Arial" w:cs="Arial" w:eastAsia="Arial" w:hAnsi="Arial"/>
                <w:sz w:val="16"/>
                <w:szCs w:val="16"/>
                <w:b w:val="1"/>
                <w:bCs w:val="1"/>
                <w:color w:val="auto"/>
                <w:w w:val="89"/>
              </w:rPr>
              <w:t>77002</w:t>
            </w:r>
          </w:p>
        </w:tc>
        <w:tc>
          <w:tcPr>
            <w:tcW w:w="0" w:type="dxa"/>
            <w:vAlign w:val="bottom"/>
          </w:tcPr>
          <w:p>
            <w:pPr>
              <w:spacing w:after="0"/>
              <w:rPr>
                <w:sz w:val="1"/>
                <w:szCs w:val="1"/>
                <w:color w:val="auto"/>
              </w:rPr>
            </w:pPr>
          </w:p>
        </w:tc>
      </w:tr>
      <w:tr>
        <w:trPr>
          <w:trHeight w:val="291"/>
        </w:trPr>
        <w:tc>
          <w:tcPr>
            <w:tcW w:w="3540" w:type="dxa"/>
            <w:vAlign w:val="bottom"/>
          </w:tcPr>
          <w:p>
            <w:pPr>
              <w:jc w:val="center"/>
              <w:ind w:right="35"/>
              <w:spacing w:after="0"/>
              <w:rPr>
                <w:sz w:val="20"/>
                <w:szCs w:val="20"/>
                <w:color w:val="auto"/>
              </w:rPr>
            </w:pPr>
            <w:r>
              <w:rPr>
                <w:rFonts w:ascii="Arial" w:cs="Arial" w:eastAsia="Arial" w:hAnsi="Arial"/>
                <w:sz w:val="14"/>
                <w:szCs w:val="14"/>
                <w:color w:val="auto"/>
                <w:w w:val="95"/>
              </w:rPr>
              <w:t>(Address of Principal Executive Offices)</w:t>
            </w: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jc w:val="center"/>
              <w:ind w:left="124"/>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356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89"/>
              </w:rPr>
              <w:t>(713) 207-1111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3560" w:type="dxa"/>
            <w:vAlign w:val="bottom"/>
            <w:gridSpan w:val="2"/>
          </w:tcPr>
          <w:p>
            <w:pPr>
              <w:jc w:val="center"/>
              <w:ind w:right="339"/>
              <w:spacing w:after="0"/>
              <w:rPr>
                <w:sz w:val="20"/>
                <w:szCs w:val="20"/>
                <w:color w:val="auto"/>
              </w:rPr>
            </w:pPr>
            <w:r>
              <w:rPr>
                <w:rFonts w:ascii="Arial" w:cs="Arial" w:eastAsia="Arial" w:hAnsi="Arial"/>
                <w:sz w:val="14"/>
                <w:szCs w:val="14"/>
                <w:color w:val="auto"/>
                <w:w w:val="92"/>
              </w:rPr>
              <w:t>Registrant's telephone number, including area code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3540" w:type="dxa"/>
            <w:vAlign w:val="bottom"/>
          </w:tcPr>
          <w:p>
            <w:pPr>
              <w:spacing w:after="0"/>
              <w:rPr>
                <w:sz w:val="24"/>
                <w:szCs w:val="24"/>
                <w:color w:val="auto"/>
              </w:rPr>
            </w:pPr>
          </w:p>
        </w:tc>
        <w:tc>
          <w:tcPr>
            <w:tcW w:w="3560" w:type="dxa"/>
            <w:vAlign w:val="bottom"/>
            <w:gridSpan w:val="2"/>
          </w:tcPr>
          <w:p>
            <w:pPr>
              <w:jc w:val="center"/>
              <w:ind w:right="359"/>
              <w:spacing w:after="0"/>
              <w:rPr>
                <w:sz w:val="20"/>
                <w:szCs w:val="20"/>
                <w:color w:val="auto"/>
              </w:rPr>
            </w:pPr>
            <w:r>
              <w:rPr>
                <w:rFonts w:ascii="Arial" w:cs="Arial" w:eastAsia="Arial" w:hAnsi="Arial"/>
                <w:sz w:val="16"/>
                <w:szCs w:val="16"/>
                <w:b w:val="1"/>
                <w:bCs w:val="1"/>
                <w:color w:val="auto"/>
                <w:w w:val="91"/>
              </w:rPr>
              <w:t>Commission file number 1-13265</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9380" w:type="dxa"/>
            <w:vAlign w:val="bottom"/>
            <w:gridSpan w:val="4"/>
          </w:tcPr>
          <w:p>
            <w:pPr>
              <w:jc w:val="center"/>
              <w:ind w:left="735"/>
              <w:spacing w:after="0"/>
              <w:rPr>
                <w:sz w:val="20"/>
                <w:szCs w:val="20"/>
                <w:color w:val="auto"/>
              </w:rPr>
            </w:pPr>
            <w:r>
              <w:rPr>
                <w:rFonts w:ascii="Arial" w:cs="Arial" w:eastAsia="Arial" w:hAnsi="Arial"/>
                <w:sz w:val="29"/>
                <w:szCs w:val="29"/>
                <w:b w:val="1"/>
                <w:bCs w:val="1"/>
                <w:color w:val="auto"/>
                <w:w w:val="89"/>
              </w:rPr>
              <w:t>CenterPoint Energy Resources Corp.</w:t>
            </w:r>
          </w:p>
        </w:tc>
        <w:tc>
          <w:tcPr>
            <w:tcW w:w="0" w:type="dxa"/>
            <w:vAlign w:val="bottom"/>
          </w:tcPr>
          <w:p>
            <w:pPr>
              <w:spacing w:after="0"/>
              <w:rPr>
                <w:sz w:val="1"/>
                <w:szCs w:val="1"/>
                <w:color w:val="auto"/>
              </w:rPr>
            </w:pPr>
          </w:p>
        </w:tc>
      </w:tr>
      <w:tr>
        <w:trPr>
          <w:trHeight w:val="232"/>
        </w:trPr>
        <w:tc>
          <w:tcPr>
            <w:tcW w:w="7100" w:type="dxa"/>
            <w:vAlign w:val="bottom"/>
            <w:gridSpan w:val="3"/>
          </w:tcPr>
          <w:p>
            <w:pPr>
              <w:jc w:val="center"/>
              <w:ind w:left="3035"/>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40" w:type="dxa"/>
            <w:vAlign w:val="bottom"/>
          </w:tcPr>
          <w:p>
            <w:pPr>
              <w:jc w:val="center"/>
              <w:ind w:right="35"/>
              <w:spacing w:after="0"/>
              <w:rPr>
                <w:sz w:val="20"/>
                <w:szCs w:val="20"/>
                <w:color w:val="auto"/>
              </w:rPr>
            </w:pPr>
            <w:r>
              <w:rPr>
                <w:rFonts w:ascii="Arial" w:cs="Arial" w:eastAsia="Arial" w:hAnsi="Arial"/>
                <w:sz w:val="16"/>
                <w:szCs w:val="16"/>
                <w:b w:val="1"/>
                <w:bCs w:val="1"/>
                <w:color w:val="auto"/>
                <w:w w:val="93"/>
              </w:rPr>
              <w:t>Delaware</w:t>
            </w: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jc w:val="right"/>
              <w:ind w:right="604"/>
              <w:spacing w:after="0"/>
              <w:rPr>
                <w:sz w:val="20"/>
                <w:szCs w:val="20"/>
                <w:color w:val="auto"/>
              </w:rPr>
            </w:pPr>
            <w:r>
              <w:rPr>
                <w:rFonts w:ascii="Arial" w:cs="Arial" w:eastAsia="Arial" w:hAnsi="Arial"/>
                <w:sz w:val="16"/>
                <w:szCs w:val="16"/>
                <w:b w:val="1"/>
                <w:bCs w:val="1"/>
                <w:color w:val="auto"/>
              </w:rPr>
              <w:t>76-0511406</w:t>
            </w:r>
          </w:p>
        </w:tc>
        <w:tc>
          <w:tcPr>
            <w:tcW w:w="0" w:type="dxa"/>
            <w:vAlign w:val="bottom"/>
          </w:tcPr>
          <w:p>
            <w:pPr>
              <w:spacing w:after="0"/>
              <w:rPr>
                <w:sz w:val="1"/>
                <w:szCs w:val="1"/>
                <w:color w:val="auto"/>
              </w:rPr>
            </w:pPr>
          </w:p>
        </w:tc>
      </w:tr>
      <w:tr>
        <w:trPr>
          <w:trHeight w:val="237"/>
        </w:trPr>
        <w:tc>
          <w:tcPr>
            <w:tcW w:w="3540" w:type="dxa"/>
            <w:vAlign w:val="bottom"/>
            <w:vMerge w:val="restart"/>
          </w:tcPr>
          <w:p>
            <w:pPr>
              <w:jc w:val="center"/>
              <w:ind w:right="35"/>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80" w:type="dxa"/>
            <w:vAlign w:val="bottom"/>
          </w:tcPr>
          <w:p>
            <w:pPr>
              <w:jc w:val="center"/>
              <w:ind w:left="124"/>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54"/>
        </w:trPr>
        <w:tc>
          <w:tcPr>
            <w:tcW w:w="35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3540" w:type="dxa"/>
            <w:vAlign w:val="bottom"/>
          </w:tcPr>
          <w:p>
            <w:pPr>
              <w:jc w:val="center"/>
              <w:ind w:right="35"/>
              <w:spacing w:after="0"/>
              <w:rPr>
                <w:sz w:val="20"/>
                <w:szCs w:val="20"/>
                <w:color w:val="auto"/>
              </w:rPr>
            </w:pPr>
            <w:r>
              <w:rPr>
                <w:rFonts w:ascii="Arial" w:cs="Arial" w:eastAsia="Arial" w:hAnsi="Arial"/>
                <w:sz w:val="16"/>
                <w:szCs w:val="16"/>
                <w:b w:val="1"/>
                <w:bCs w:val="1"/>
                <w:color w:val="auto"/>
                <w:w w:val="88"/>
              </w:rPr>
              <w:t>1111 Louisiana</w:t>
            </w:r>
          </w:p>
        </w:tc>
        <w:tc>
          <w:tcPr>
            <w:tcW w:w="1400" w:type="dxa"/>
            <w:vAlign w:val="bottom"/>
          </w:tcPr>
          <w:p>
            <w:pPr>
              <w:ind w:left="540"/>
              <w:spacing w:after="0"/>
              <w:rPr>
                <w:sz w:val="20"/>
                <w:szCs w:val="20"/>
                <w:color w:val="auto"/>
              </w:rPr>
            </w:pPr>
            <w:r>
              <w:rPr>
                <w:rFonts w:ascii="Arial" w:cs="Arial" w:eastAsia="Arial" w:hAnsi="Arial"/>
                <w:sz w:val="16"/>
                <w:szCs w:val="16"/>
                <w:b w:val="1"/>
                <w:bCs w:val="1"/>
                <w:color w:val="auto"/>
              </w:rPr>
              <w:t>Houston</w:t>
            </w:r>
          </w:p>
        </w:tc>
        <w:tc>
          <w:tcPr>
            <w:tcW w:w="2160" w:type="dxa"/>
            <w:vAlign w:val="bottom"/>
          </w:tcPr>
          <w:p>
            <w:pPr>
              <w:ind w:left="260"/>
              <w:spacing w:after="0"/>
              <w:rPr>
                <w:sz w:val="20"/>
                <w:szCs w:val="20"/>
                <w:color w:val="auto"/>
              </w:rPr>
            </w:pPr>
            <w:r>
              <w:rPr>
                <w:rFonts w:ascii="Arial" w:cs="Arial" w:eastAsia="Arial" w:hAnsi="Arial"/>
                <w:sz w:val="16"/>
                <w:szCs w:val="16"/>
                <w:b w:val="1"/>
                <w:bCs w:val="1"/>
                <w:color w:val="auto"/>
              </w:rPr>
              <w:t>Texas</w:t>
            </w:r>
          </w:p>
        </w:tc>
        <w:tc>
          <w:tcPr>
            <w:tcW w:w="2280" w:type="dxa"/>
            <w:vAlign w:val="bottom"/>
          </w:tcPr>
          <w:p>
            <w:pPr>
              <w:jc w:val="center"/>
              <w:ind w:left="124"/>
              <w:spacing w:after="0"/>
              <w:rPr>
                <w:sz w:val="20"/>
                <w:szCs w:val="20"/>
                <w:color w:val="auto"/>
              </w:rPr>
            </w:pPr>
            <w:r>
              <w:rPr>
                <w:rFonts w:ascii="Arial" w:cs="Arial" w:eastAsia="Arial" w:hAnsi="Arial"/>
                <w:sz w:val="16"/>
                <w:szCs w:val="16"/>
                <w:b w:val="1"/>
                <w:bCs w:val="1"/>
                <w:color w:val="auto"/>
                <w:w w:val="89"/>
              </w:rPr>
              <w:t>77002</w:t>
            </w:r>
          </w:p>
        </w:tc>
        <w:tc>
          <w:tcPr>
            <w:tcW w:w="0" w:type="dxa"/>
            <w:vAlign w:val="bottom"/>
          </w:tcPr>
          <w:p>
            <w:pPr>
              <w:spacing w:after="0"/>
              <w:rPr>
                <w:sz w:val="1"/>
                <w:szCs w:val="1"/>
                <w:color w:val="auto"/>
              </w:rPr>
            </w:pPr>
          </w:p>
        </w:tc>
      </w:tr>
      <w:tr>
        <w:trPr>
          <w:trHeight w:val="291"/>
        </w:trPr>
        <w:tc>
          <w:tcPr>
            <w:tcW w:w="3540" w:type="dxa"/>
            <w:vAlign w:val="bottom"/>
          </w:tcPr>
          <w:p>
            <w:pPr>
              <w:jc w:val="center"/>
              <w:ind w:right="35"/>
              <w:spacing w:after="0"/>
              <w:rPr>
                <w:sz w:val="20"/>
                <w:szCs w:val="20"/>
                <w:color w:val="auto"/>
              </w:rPr>
            </w:pPr>
            <w:r>
              <w:rPr>
                <w:rFonts w:ascii="Arial" w:cs="Arial" w:eastAsia="Arial" w:hAnsi="Arial"/>
                <w:sz w:val="14"/>
                <w:szCs w:val="14"/>
                <w:color w:val="auto"/>
                <w:w w:val="95"/>
              </w:rPr>
              <w:t>(Address of Principal Executive Offices)</w:t>
            </w: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jc w:val="center"/>
              <w:ind w:left="124"/>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356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89"/>
              </w:rPr>
              <w:t>(713) 207-1111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3560" w:type="dxa"/>
            <w:vAlign w:val="bottom"/>
            <w:gridSpan w:val="2"/>
          </w:tcPr>
          <w:p>
            <w:pPr>
              <w:jc w:val="center"/>
              <w:ind w:right="339"/>
              <w:spacing w:after="0"/>
              <w:rPr>
                <w:sz w:val="20"/>
                <w:szCs w:val="20"/>
                <w:color w:val="auto"/>
              </w:rPr>
            </w:pPr>
            <w:r>
              <w:rPr>
                <w:rFonts w:ascii="Arial" w:cs="Arial" w:eastAsia="Arial" w:hAnsi="Arial"/>
                <w:sz w:val="14"/>
                <w:szCs w:val="14"/>
                <w:color w:val="auto"/>
                <w:w w:val="92"/>
              </w:rPr>
              <w:t>Registrant's telephone number, including area code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499"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8" w:lineRule="exact"/>
        <w:rPr>
          <w:sz w:val="20"/>
          <w:szCs w:val="20"/>
          <w:color w:val="auto"/>
        </w:rPr>
      </w:pPr>
    </w:p>
    <w:tbl>
      <w:tblPr>
        <w:tblLayout w:type="fixed"/>
        <w:tblInd w:w="500" w:type="dxa"/>
        <w:tblCellMar>
          <w:top w:w="0" w:type="dxa"/>
          <w:left w:w="0" w:type="dxa"/>
          <w:bottom w:w="0" w:type="dxa"/>
          <w:right w:w="0" w:type="dxa"/>
        </w:tblCellMar>
      </w:tblPr>
      <w:tr>
        <w:trPr>
          <w:trHeight w:val="126"/>
        </w:trPr>
        <w:tc>
          <w:tcPr>
            <w:tcW w:w="100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1"/>
              </w:rPr>
              <w:t>Registrant</w:t>
            </w:r>
          </w:p>
        </w:tc>
        <w:tc>
          <w:tcPr>
            <w:tcW w:w="13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86"/>
              </w:rPr>
              <w:t>Title of each class</w:t>
            </w: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1"/>
                <w:szCs w:val="11"/>
                <w:b w:val="1"/>
                <w:bCs w:val="1"/>
                <w:color w:val="auto"/>
                <w:w w:val="89"/>
              </w:rPr>
              <w:t>Trading Symbol(s)</w:t>
            </w:r>
          </w:p>
        </w:tc>
        <w:tc>
          <w:tcPr>
            <w:tcW w:w="2020" w:type="dxa"/>
            <w:vAlign w:val="bottom"/>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211"/>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CenterPoint Energy, Inc.</w:t>
            </w:r>
          </w:p>
        </w:tc>
        <w:tc>
          <w:tcPr>
            <w:tcW w:w="3900" w:type="dxa"/>
            <w:vAlign w:val="bottom"/>
            <w:gridSpan w:val="3"/>
          </w:tcPr>
          <w:p>
            <w:pPr>
              <w:jc w:val="center"/>
              <w:ind w:left="48"/>
              <w:spacing w:after="0"/>
              <w:rPr>
                <w:sz w:val="20"/>
                <w:szCs w:val="20"/>
                <w:color w:val="auto"/>
              </w:rPr>
            </w:pPr>
            <w:r>
              <w:rPr>
                <w:rFonts w:ascii="Arial" w:cs="Arial" w:eastAsia="Arial" w:hAnsi="Arial"/>
                <w:sz w:val="14"/>
                <w:szCs w:val="14"/>
                <w:color w:val="auto"/>
                <w:w w:val="92"/>
              </w:rPr>
              <w:t>Common Stock, $0.01 par value</w:t>
            </w:r>
          </w:p>
        </w:tc>
        <w:tc>
          <w:tcPr>
            <w:tcW w:w="260" w:type="dxa"/>
            <w:vAlign w:val="bottom"/>
          </w:tcPr>
          <w:p>
            <w:pPr>
              <w:spacing w:after="0"/>
              <w:rPr>
                <w:sz w:val="18"/>
                <w:szCs w:val="18"/>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color w:val="auto"/>
                <w:w w:val="94"/>
              </w:rPr>
              <w:t>CNP</w:t>
            </w: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203"/>
        </w:trPr>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Chicago Stock Exchange, Inc.</w:t>
            </w:r>
          </w:p>
        </w:tc>
      </w:tr>
      <w:tr>
        <w:trPr>
          <w:trHeight w:val="236"/>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CenterPoint Energy, Inc.</w:t>
            </w:r>
          </w:p>
        </w:tc>
        <w:tc>
          <w:tcPr>
            <w:tcW w:w="3900" w:type="dxa"/>
            <w:vAlign w:val="bottom"/>
            <w:gridSpan w:val="3"/>
          </w:tcPr>
          <w:p>
            <w:pPr>
              <w:jc w:val="center"/>
              <w:ind w:left="48"/>
              <w:spacing w:after="0"/>
              <w:rPr>
                <w:sz w:val="20"/>
                <w:szCs w:val="20"/>
                <w:color w:val="auto"/>
              </w:rPr>
            </w:pPr>
            <w:r>
              <w:rPr>
                <w:rFonts w:ascii="Arial" w:cs="Arial" w:eastAsia="Arial" w:hAnsi="Arial"/>
                <w:sz w:val="14"/>
                <w:szCs w:val="14"/>
                <w:color w:val="auto"/>
                <w:w w:val="93"/>
              </w:rPr>
              <w:t>Depositary Shares for 1/20 of 7.00% Series B Mandatory</w:t>
            </w:r>
          </w:p>
        </w:tc>
        <w:tc>
          <w:tcPr>
            <w:tcW w:w="260" w:type="dxa"/>
            <w:vAlign w:val="bottom"/>
          </w:tcPr>
          <w:p>
            <w:pPr>
              <w:spacing w:after="0"/>
              <w:rPr>
                <w:sz w:val="20"/>
                <w:szCs w:val="20"/>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color w:val="auto"/>
                <w:w w:val="95"/>
              </w:rPr>
              <w:t>CNP/PB</w:t>
            </w: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900" w:type="dxa"/>
            <w:vAlign w:val="bottom"/>
            <w:gridSpan w:val="3"/>
          </w:tcPr>
          <w:p>
            <w:pPr>
              <w:jc w:val="center"/>
              <w:ind w:left="48"/>
              <w:spacing w:after="0"/>
              <w:rPr>
                <w:sz w:val="20"/>
                <w:szCs w:val="20"/>
                <w:color w:val="auto"/>
              </w:rPr>
            </w:pPr>
            <w:r>
              <w:rPr>
                <w:rFonts w:ascii="Arial" w:cs="Arial" w:eastAsia="Arial" w:hAnsi="Arial"/>
                <w:sz w:val="14"/>
                <w:szCs w:val="14"/>
                <w:color w:val="auto"/>
                <w:w w:val="93"/>
              </w:rPr>
              <w:t>Convertible Preferred Stock, $0.01 par value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03"/>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5"/>
              </w:rPr>
              <w:t>CenterPoint Energy Houston Electric, LLC</w:t>
            </w:r>
          </w:p>
        </w:tc>
        <w:tc>
          <w:tcPr>
            <w:tcW w:w="3900" w:type="dxa"/>
            <w:vAlign w:val="bottom"/>
            <w:gridSpan w:val="3"/>
          </w:tcPr>
          <w:p>
            <w:pPr>
              <w:jc w:val="center"/>
              <w:ind w:left="28"/>
              <w:spacing w:after="0"/>
              <w:rPr>
                <w:sz w:val="20"/>
                <w:szCs w:val="20"/>
                <w:color w:val="auto"/>
              </w:rPr>
            </w:pPr>
            <w:r>
              <w:rPr>
                <w:rFonts w:ascii="Arial" w:cs="Arial" w:eastAsia="Arial" w:hAnsi="Arial"/>
                <w:sz w:val="14"/>
                <w:szCs w:val="14"/>
                <w:color w:val="auto"/>
                <w:w w:val="93"/>
              </w:rPr>
              <w:t>9.15% First Mortgage Bonds due 2021</w:t>
            </w:r>
          </w:p>
        </w:tc>
        <w:tc>
          <w:tcPr>
            <w:tcW w:w="260" w:type="dxa"/>
            <w:vAlign w:val="bottom"/>
          </w:tcPr>
          <w:p>
            <w:pPr>
              <w:spacing w:after="0"/>
              <w:rPr>
                <w:sz w:val="17"/>
                <w:szCs w:val="17"/>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color w:val="auto"/>
                <w:w w:val="92"/>
              </w:rPr>
              <w:t>n/a</w:t>
            </w: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203"/>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5"/>
              </w:rPr>
              <w:t>CenterPoint Energy Houston Electric, LLC</w:t>
            </w:r>
          </w:p>
        </w:tc>
        <w:tc>
          <w:tcPr>
            <w:tcW w:w="3900" w:type="dxa"/>
            <w:vAlign w:val="bottom"/>
            <w:gridSpan w:val="3"/>
          </w:tcPr>
          <w:p>
            <w:pPr>
              <w:jc w:val="center"/>
              <w:ind w:left="48"/>
              <w:spacing w:after="0"/>
              <w:rPr>
                <w:sz w:val="20"/>
                <w:szCs w:val="20"/>
                <w:color w:val="auto"/>
              </w:rPr>
            </w:pPr>
            <w:r>
              <w:rPr>
                <w:rFonts w:ascii="Arial" w:cs="Arial" w:eastAsia="Arial" w:hAnsi="Arial"/>
                <w:sz w:val="14"/>
                <w:szCs w:val="14"/>
                <w:color w:val="auto"/>
                <w:w w:val="92"/>
              </w:rPr>
              <w:t>6.95% General Mortgage Bonds due 2033</w:t>
            </w:r>
          </w:p>
        </w:tc>
        <w:tc>
          <w:tcPr>
            <w:tcW w:w="260" w:type="dxa"/>
            <w:vAlign w:val="bottom"/>
          </w:tcPr>
          <w:p>
            <w:pPr>
              <w:spacing w:after="0"/>
              <w:rPr>
                <w:sz w:val="17"/>
                <w:szCs w:val="17"/>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color w:val="auto"/>
                <w:w w:val="92"/>
              </w:rPr>
              <w:t>n/a</w:t>
            </w: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203"/>
        </w:trPr>
        <w:tc>
          <w:tcPr>
            <w:tcW w:w="2840" w:type="dxa"/>
            <w:vAlign w:val="bottom"/>
            <w:gridSpan w:val="3"/>
          </w:tcPr>
          <w:p>
            <w:pPr>
              <w:jc w:val="center"/>
              <w:ind w:right="340"/>
              <w:spacing w:after="0"/>
              <w:rPr>
                <w:sz w:val="20"/>
                <w:szCs w:val="20"/>
                <w:color w:val="auto"/>
              </w:rPr>
            </w:pPr>
            <w:r>
              <w:rPr>
                <w:rFonts w:ascii="Arial" w:cs="Arial" w:eastAsia="Arial" w:hAnsi="Arial"/>
                <w:sz w:val="14"/>
                <w:szCs w:val="14"/>
                <w:color w:val="auto"/>
                <w:w w:val="92"/>
              </w:rPr>
              <w:t>CenterPoint Energy Resources Corp.</w:t>
            </w:r>
          </w:p>
        </w:tc>
        <w:tc>
          <w:tcPr>
            <w:tcW w:w="3900" w:type="dxa"/>
            <w:vAlign w:val="bottom"/>
            <w:gridSpan w:val="3"/>
          </w:tcPr>
          <w:p>
            <w:pPr>
              <w:jc w:val="center"/>
              <w:ind w:left="48"/>
              <w:spacing w:after="0"/>
              <w:rPr>
                <w:sz w:val="20"/>
                <w:szCs w:val="20"/>
                <w:color w:val="auto"/>
              </w:rPr>
            </w:pPr>
            <w:r>
              <w:rPr>
                <w:rFonts w:ascii="Arial" w:cs="Arial" w:eastAsia="Arial" w:hAnsi="Arial"/>
                <w:sz w:val="14"/>
                <w:szCs w:val="14"/>
                <w:color w:val="auto"/>
                <w:w w:val="91"/>
              </w:rPr>
              <w:t>6.625% Senior Notes due 2037</w:t>
            </w:r>
          </w:p>
        </w:tc>
        <w:tc>
          <w:tcPr>
            <w:tcW w:w="260" w:type="dxa"/>
            <w:vAlign w:val="bottom"/>
          </w:tcPr>
          <w:p>
            <w:pPr>
              <w:spacing w:after="0"/>
              <w:rPr>
                <w:sz w:val="17"/>
                <w:szCs w:val="17"/>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color w:val="auto"/>
                <w:w w:val="92"/>
              </w:rPr>
              <w:t>n/a</w:t>
            </w: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The New York Stock Exchange</w:t>
            </w:r>
          </w:p>
        </w:tc>
      </w:tr>
    </w:tbl>
    <w:p>
      <w:pPr>
        <w:spacing w:after="0" w:line="164"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0" w:lineRule="exact"/>
        <w:rPr>
          <w:sz w:val="20"/>
          <w:szCs w:val="20"/>
          <w:color w:val="auto"/>
        </w:rPr>
      </w:pPr>
    </w:p>
    <w:tbl>
      <w:tblPr>
        <w:tblLayout w:type="fixed"/>
        <w:tblInd w:w="800" w:type="dxa"/>
        <w:tblCellMar>
          <w:top w:w="0" w:type="dxa"/>
          <w:left w:w="0" w:type="dxa"/>
          <w:bottom w:w="0" w:type="dxa"/>
          <w:right w:w="0" w:type="dxa"/>
        </w:tblCellMar>
      </w:tblPr>
      <w:tr>
        <w:trPr>
          <w:trHeight w:val="226"/>
        </w:trPr>
        <w:tc>
          <w:tcPr>
            <w:tcW w:w="464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620" w:type="dxa"/>
            <w:vAlign w:val="bottom"/>
          </w:tcPr>
          <w:p>
            <w:pPr>
              <w:ind w:left="2140"/>
              <w:spacing w:after="0"/>
              <w:rPr>
                <w:sz w:val="20"/>
                <w:szCs w:val="20"/>
                <w:color w:val="auto"/>
              </w:rPr>
            </w:pPr>
            <w:r>
              <w:rPr>
                <w:rFonts w:ascii="Arial" w:cs="Arial" w:eastAsia="Arial" w:hAnsi="Arial"/>
                <w:sz w:val="14"/>
                <w:szCs w:val="14"/>
                <w:color w:val="auto"/>
              </w:rPr>
              <w:t>Yes</w:t>
            </w:r>
          </w:p>
        </w:tc>
        <w:tc>
          <w:tcPr>
            <w:tcW w:w="8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No</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o</w:t>
            </w:r>
          </w:p>
        </w:tc>
      </w:tr>
      <w:tr>
        <w:trPr>
          <w:trHeight w:val="270"/>
        </w:trPr>
        <w:tc>
          <w:tcPr>
            <w:tcW w:w="464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620" w:type="dxa"/>
            <w:vAlign w:val="bottom"/>
          </w:tcPr>
          <w:p>
            <w:pPr>
              <w:ind w:left="2140"/>
              <w:spacing w:after="0"/>
              <w:rPr>
                <w:sz w:val="20"/>
                <w:szCs w:val="20"/>
                <w:color w:val="auto"/>
              </w:rPr>
            </w:pPr>
            <w:r>
              <w:rPr>
                <w:rFonts w:ascii="Arial" w:cs="Arial" w:eastAsia="Arial" w:hAnsi="Arial"/>
                <w:sz w:val="14"/>
                <w:szCs w:val="14"/>
                <w:color w:val="auto"/>
              </w:rPr>
              <w:t>Yes</w:t>
            </w:r>
          </w:p>
        </w:tc>
        <w:tc>
          <w:tcPr>
            <w:tcW w:w="8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No</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o</w:t>
            </w:r>
          </w:p>
        </w:tc>
      </w:tr>
      <w:tr>
        <w:trPr>
          <w:trHeight w:val="270"/>
        </w:trPr>
        <w:tc>
          <w:tcPr>
            <w:tcW w:w="464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620" w:type="dxa"/>
            <w:vAlign w:val="bottom"/>
          </w:tcPr>
          <w:p>
            <w:pPr>
              <w:ind w:left="2140"/>
              <w:spacing w:after="0"/>
              <w:rPr>
                <w:sz w:val="20"/>
                <w:szCs w:val="20"/>
                <w:color w:val="auto"/>
              </w:rPr>
            </w:pPr>
            <w:r>
              <w:rPr>
                <w:rFonts w:ascii="Arial" w:cs="Arial" w:eastAsia="Arial" w:hAnsi="Arial"/>
                <w:sz w:val="14"/>
                <w:szCs w:val="14"/>
                <w:color w:val="auto"/>
              </w:rPr>
              <w:t>Yes</w:t>
            </w:r>
          </w:p>
        </w:tc>
        <w:tc>
          <w:tcPr>
            <w:tcW w:w="8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No</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o</w:t>
            </w:r>
          </w:p>
        </w:tc>
      </w:tr>
    </w:tbl>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464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620" w:type="dxa"/>
            <w:vAlign w:val="bottom"/>
          </w:tcPr>
          <w:p>
            <w:pPr>
              <w:ind w:left="2140"/>
              <w:spacing w:after="0"/>
              <w:rPr>
                <w:sz w:val="20"/>
                <w:szCs w:val="20"/>
                <w:color w:val="auto"/>
              </w:rPr>
            </w:pPr>
            <w:r>
              <w:rPr>
                <w:rFonts w:ascii="Arial" w:cs="Arial" w:eastAsia="Arial" w:hAnsi="Arial"/>
                <w:sz w:val="14"/>
                <w:szCs w:val="14"/>
                <w:color w:val="auto"/>
              </w:rPr>
              <w:t>Yes</w:t>
            </w:r>
          </w:p>
        </w:tc>
        <w:tc>
          <w:tcPr>
            <w:tcW w:w="8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No</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o</w:t>
            </w:r>
          </w:p>
        </w:tc>
      </w:tr>
      <w:tr>
        <w:trPr>
          <w:trHeight w:val="270"/>
        </w:trPr>
        <w:tc>
          <w:tcPr>
            <w:tcW w:w="464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620" w:type="dxa"/>
            <w:vAlign w:val="bottom"/>
          </w:tcPr>
          <w:p>
            <w:pPr>
              <w:ind w:left="2140"/>
              <w:spacing w:after="0"/>
              <w:rPr>
                <w:sz w:val="20"/>
                <w:szCs w:val="20"/>
                <w:color w:val="auto"/>
              </w:rPr>
            </w:pPr>
            <w:r>
              <w:rPr>
                <w:rFonts w:ascii="Arial" w:cs="Arial" w:eastAsia="Arial" w:hAnsi="Arial"/>
                <w:sz w:val="14"/>
                <w:szCs w:val="14"/>
                <w:color w:val="auto"/>
              </w:rPr>
              <w:t>Yes</w:t>
            </w:r>
          </w:p>
        </w:tc>
        <w:tc>
          <w:tcPr>
            <w:tcW w:w="8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No</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o</w:t>
            </w:r>
          </w:p>
        </w:tc>
      </w:tr>
      <w:tr>
        <w:trPr>
          <w:trHeight w:val="270"/>
        </w:trPr>
        <w:tc>
          <w:tcPr>
            <w:tcW w:w="464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620" w:type="dxa"/>
            <w:vAlign w:val="bottom"/>
          </w:tcPr>
          <w:p>
            <w:pPr>
              <w:ind w:left="2140"/>
              <w:spacing w:after="0"/>
              <w:rPr>
                <w:sz w:val="20"/>
                <w:szCs w:val="20"/>
                <w:color w:val="auto"/>
              </w:rPr>
            </w:pPr>
            <w:r>
              <w:rPr>
                <w:rFonts w:ascii="Arial" w:cs="Arial" w:eastAsia="Arial" w:hAnsi="Arial"/>
                <w:sz w:val="14"/>
                <w:szCs w:val="14"/>
                <w:color w:val="auto"/>
              </w:rPr>
              <w:t>Yes</w:t>
            </w:r>
          </w:p>
        </w:tc>
        <w:tc>
          <w:tcPr>
            <w:tcW w:w="8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No</w:t>
            </w:r>
          </w:p>
        </w:tc>
        <w:tc>
          <w:tcPr>
            <w:tcW w:w="360" w:type="dxa"/>
            <w:vAlign w:val="bottom"/>
          </w:tcPr>
          <w:p>
            <w:pPr>
              <w:ind w:left="300"/>
              <w:spacing w:after="0"/>
              <w:rPr>
                <w:sz w:val="20"/>
                <w:szCs w:val="20"/>
                <w:color w:val="auto"/>
              </w:rPr>
            </w:pPr>
            <w:r>
              <w:rPr>
                <w:rFonts w:ascii="Arial" w:cs="Arial" w:eastAsia="Arial" w:hAnsi="Arial"/>
                <w:sz w:val="10"/>
                <w:szCs w:val="10"/>
                <w:color w:val="auto"/>
                <w:w w:val="71"/>
              </w:rPr>
              <w:t>o</w:t>
            </w:r>
          </w:p>
        </w:tc>
      </w:tr>
    </w:tbl>
    <w:p>
      <w:pPr>
        <w:spacing w:after="0" w:line="189"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500" w:type="dxa"/>
            <w:vAlign w:val="bottom"/>
          </w:tcPr>
          <w:p>
            <w:pPr>
              <w:jc w:val="center"/>
              <w:ind w:left="1128"/>
              <w:spacing w:after="0"/>
              <w:rPr>
                <w:sz w:val="20"/>
                <w:szCs w:val="20"/>
                <w:color w:val="auto"/>
              </w:rPr>
            </w:pPr>
            <w:r>
              <w:rPr>
                <w:rFonts w:ascii="Arial" w:cs="Arial" w:eastAsia="Arial" w:hAnsi="Arial"/>
                <w:sz w:val="14"/>
                <w:szCs w:val="14"/>
                <w:b w:val="1"/>
                <w:bCs w:val="1"/>
                <w:color w:val="auto"/>
                <w:w w:val="92"/>
              </w:rPr>
              <w:t>Large accelerated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Accelerated filer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Non-accelerated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Smaller reporting</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Emerging growth</w:t>
            </w: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2500" w:type="dxa"/>
            <w:vAlign w:val="bottom"/>
          </w:tcPr>
          <w:p>
            <w:pPr>
              <w:jc w:val="center"/>
              <w:ind w:left="1128"/>
              <w:spacing w:after="0"/>
              <w:rPr>
                <w:sz w:val="20"/>
                <w:szCs w:val="20"/>
                <w:color w:val="auto"/>
              </w:rPr>
            </w:pPr>
            <w:r>
              <w:rPr>
                <w:rFonts w:ascii="Arial" w:cs="Arial" w:eastAsia="Arial" w:hAnsi="Arial"/>
                <w:sz w:val="14"/>
                <w:szCs w:val="14"/>
                <w:b w:val="1"/>
                <w:bCs w:val="1"/>
                <w:color w:val="auto"/>
              </w:rPr>
              <w:t>filer</w:t>
            </w:r>
          </w:p>
        </w:tc>
        <w:tc>
          <w:tcPr>
            <w:tcW w:w="122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filer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company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company</w:t>
            </w:r>
          </w:p>
        </w:tc>
        <w:tc>
          <w:tcPr>
            <w:tcW w:w="0" w:type="dxa"/>
            <w:vAlign w:val="bottom"/>
          </w:tcPr>
          <w:p>
            <w:pPr>
              <w:spacing w:after="0"/>
              <w:rPr>
                <w:sz w:val="1"/>
                <w:szCs w:val="1"/>
                <w:color w:val="auto"/>
              </w:rPr>
            </w:pPr>
          </w:p>
        </w:tc>
      </w:tr>
      <w:tr>
        <w:trPr>
          <w:trHeight w:val="340"/>
        </w:trPr>
        <w:tc>
          <w:tcPr>
            <w:tcW w:w="380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00" w:type="dxa"/>
            <w:vAlign w:val="bottom"/>
          </w:tcPr>
          <w:p>
            <w:pPr>
              <w:jc w:val="center"/>
              <w:ind w:left="1128"/>
              <w:spacing w:after="0" w:line="141" w:lineRule="exact"/>
              <w:rPr>
                <w:sz w:val="20"/>
                <w:szCs w:val="20"/>
                <w:color w:val="auto"/>
              </w:rPr>
            </w:pPr>
            <w:r>
              <w:rPr>
                <w:rFonts w:ascii="MS PGothic" w:cs="MS PGothic" w:eastAsia="MS PGothic" w:hAnsi="MS PGothic"/>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120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1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38"/>
        </w:trPr>
        <w:tc>
          <w:tcPr>
            <w:tcW w:w="380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00" w:type="dxa"/>
            <w:vAlign w:val="bottom"/>
          </w:tcPr>
          <w:p>
            <w:pPr>
              <w:jc w:val="center"/>
              <w:ind w:left="1128"/>
              <w:spacing w:after="0"/>
              <w:rPr>
                <w:sz w:val="20"/>
                <w:szCs w:val="20"/>
                <w:color w:val="auto"/>
              </w:rPr>
            </w:pPr>
            <w:r>
              <w:rPr>
                <w:rFonts w:ascii="Arial" w:cs="Arial" w:eastAsia="Arial" w:hAnsi="Arial"/>
                <w:sz w:val="14"/>
                <w:szCs w:val="14"/>
                <w:color w:val="auto"/>
                <w:w w:val="76"/>
              </w:rPr>
              <w:t>o</w:t>
            </w:r>
          </w:p>
        </w:tc>
        <w:tc>
          <w:tcPr>
            <w:tcW w:w="122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12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38"/>
        </w:trPr>
        <w:tc>
          <w:tcPr>
            <w:tcW w:w="380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00" w:type="dxa"/>
            <w:vAlign w:val="bottom"/>
          </w:tcPr>
          <w:p>
            <w:pPr>
              <w:jc w:val="center"/>
              <w:ind w:left="1128"/>
              <w:spacing w:after="0"/>
              <w:rPr>
                <w:sz w:val="20"/>
                <w:szCs w:val="20"/>
                <w:color w:val="auto"/>
              </w:rPr>
            </w:pPr>
            <w:r>
              <w:rPr>
                <w:rFonts w:ascii="Arial" w:cs="Arial" w:eastAsia="Arial" w:hAnsi="Arial"/>
                <w:sz w:val="14"/>
                <w:szCs w:val="14"/>
                <w:color w:val="auto"/>
                <w:w w:val="76"/>
              </w:rPr>
              <w:t>o</w:t>
            </w:r>
          </w:p>
        </w:tc>
        <w:tc>
          <w:tcPr>
            <w:tcW w:w="122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12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240"/>
          </w:cols>
          <w:pgMar w:left="320" w:top="504" w:right="339" w:bottom="1440" w:gutter="0" w:footer="0" w:header="0"/>
        </w:sectPr>
      </w:pP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49" w:lineRule="exact"/>
        <w:rPr>
          <w:sz w:val="20"/>
          <w:szCs w:val="20"/>
          <w:color w:val="auto"/>
        </w:rPr>
      </w:pPr>
    </w:p>
    <w:p>
      <w:pPr>
        <w:ind w:left="40"/>
        <w:spacing w:after="0"/>
        <w:tabs>
          <w:tab w:leader="none" w:pos="6840" w:val="left"/>
        </w:tabs>
        <w:rPr>
          <w:sz w:val="20"/>
          <w:szCs w:val="20"/>
          <w:color w:val="auto"/>
        </w:rPr>
      </w:pPr>
      <w:r>
        <w:rPr>
          <w:rFonts w:ascii="Arial" w:cs="Arial" w:eastAsia="Arial" w:hAnsi="Arial"/>
          <w:sz w:val="14"/>
          <w:szCs w:val="14"/>
          <w:color w:val="auto"/>
        </w:rPr>
        <w:t>CenterPoint Energy, Inc.</w:t>
      </w:r>
      <w:r>
        <w:rPr>
          <w:sz w:val="20"/>
          <w:szCs w:val="20"/>
          <w:color w:val="auto"/>
        </w:rPr>
        <w:tab/>
      </w:r>
      <w:r>
        <w:rPr>
          <w:rFonts w:ascii="Arial" w:cs="Arial" w:eastAsia="Arial" w:hAnsi="Arial"/>
          <w:sz w:val="12"/>
          <w:szCs w:val="12"/>
          <w:color w:val="auto"/>
        </w:rPr>
        <w:t>Yes</w:t>
      </w:r>
    </w:p>
    <w:p>
      <w:pPr>
        <w:spacing w:after="0" w:line="109" w:lineRule="exact"/>
        <w:rPr>
          <w:sz w:val="20"/>
          <w:szCs w:val="20"/>
          <w:color w:val="auto"/>
        </w:rPr>
      </w:pPr>
    </w:p>
    <w:p>
      <w:pPr>
        <w:ind w:left="40"/>
        <w:spacing w:after="0"/>
        <w:tabs>
          <w:tab w:leader="none" w:pos="6840" w:val="left"/>
        </w:tabs>
        <w:rPr>
          <w:sz w:val="20"/>
          <w:szCs w:val="20"/>
          <w:color w:val="auto"/>
        </w:rPr>
      </w:pPr>
      <w:r>
        <w:rPr>
          <w:rFonts w:ascii="Arial" w:cs="Arial" w:eastAsia="Arial" w:hAnsi="Arial"/>
          <w:sz w:val="14"/>
          <w:szCs w:val="14"/>
          <w:color w:val="auto"/>
        </w:rPr>
        <w:t>CenterPoint Energy Houston Electric, LLC</w:t>
      </w:r>
      <w:r>
        <w:rPr>
          <w:sz w:val="20"/>
          <w:szCs w:val="20"/>
          <w:color w:val="auto"/>
        </w:rPr>
        <w:tab/>
      </w:r>
      <w:r>
        <w:rPr>
          <w:rFonts w:ascii="Arial" w:cs="Arial" w:eastAsia="Arial" w:hAnsi="Arial"/>
          <w:sz w:val="12"/>
          <w:szCs w:val="12"/>
          <w:color w:val="auto"/>
        </w:rPr>
        <w:t>Yes</w:t>
      </w:r>
    </w:p>
    <w:p>
      <w:pPr>
        <w:spacing w:after="0" w:line="109" w:lineRule="exact"/>
        <w:rPr>
          <w:sz w:val="20"/>
          <w:szCs w:val="20"/>
          <w:color w:val="auto"/>
        </w:rPr>
      </w:pPr>
    </w:p>
    <w:p>
      <w:pPr>
        <w:ind w:left="40"/>
        <w:spacing w:after="0"/>
        <w:tabs>
          <w:tab w:leader="none" w:pos="6840" w:val="left"/>
        </w:tabs>
        <w:rPr>
          <w:sz w:val="20"/>
          <w:szCs w:val="20"/>
          <w:color w:val="auto"/>
        </w:rPr>
      </w:pPr>
      <w:r>
        <w:rPr>
          <w:rFonts w:ascii="Arial" w:cs="Arial" w:eastAsia="Arial" w:hAnsi="Arial"/>
          <w:sz w:val="14"/>
          <w:szCs w:val="14"/>
          <w:color w:val="auto"/>
        </w:rPr>
        <w:t>CenterPoint Energy Resources Corp.</w:t>
      </w:r>
      <w:r>
        <w:rPr>
          <w:sz w:val="20"/>
          <w:szCs w:val="20"/>
          <w:color w:val="auto"/>
        </w:rPr>
        <w:tab/>
      </w:r>
      <w:r>
        <w:rPr>
          <w:rFonts w:ascii="Arial" w:cs="Arial" w:eastAsia="Arial" w:hAnsi="Arial"/>
          <w:sz w:val="12"/>
          <w:szCs w:val="12"/>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line="168" w:lineRule="exact"/>
        <w:tabs>
          <w:tab w:leader="none" w:pos="940" w:val="left"/>
          <w:tab w:leader="none" w:pos="16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103" w:lineRule="exact"/>
        <w:rPr>
          <w:sz w:val="20"/>
          <w:szCs w:val="20"/>
          <w:color w:val="auto"/>
        </w:rPr>
      </w:pPr>
    </w:p>
    <w:p>
      <w:pPr>
        <w:spacing w:after="0" w:line="168" w:lineRule="exact"/>
        <w:tabs>
          <w:tab w:leader="none" w:pos="940" w:val="left"/>
          <w:tab w:leader="none" w:pos="16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103" w:lineRule="exact"/>
        <w:rPr>
          <w:sz w:val="20"/>
          <w:szCs w:val="20"/>
          <w:color w:val="auto"/>
        </w:rPr>
      </w:pPr>
    </w:p>
    <w:p>
      <w:pPr>
        <w:spacing w:after="0" w:line="168" w:lineRule="exact"/>
        <w:tabs>
          <w:tab w:leader="none" w:pos="940" w:val="left"/>
          <w:tab w:leader="none" w:pos="16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268" w:lineRule="exact"/>
        <w:rPr>
          <w:sz w:val="20"/>
          <w:szCs w:val="20"/>
          <w:color w:val="auto"/>
        </w:rPr>
      </w:pPr>
    </w:p>
    <w:p>
      <w:pPr>
        <w:sectPr>
          <w:pgSz w:w="11900" w:h="16838" w:orient="portrait"/>
          <w:cols w:equalWidth="0" w:num="2">
            <w:col w:w="7360" w:space="240"/>
            <w:col w:w="3640"/>
          </w:cols>
          <w:pgMar w:left="320" w:top="504"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July 24, 2020:</w:t>
      </w:r>
    </w:p>
    <w:p>
      <w:pPr>
        <w:spacing w:after="0" w:line="181" w:lineRule="exact"/>
        <w:rPr>
          <w:sz w:val="20"/>
          <w:szCs w:val="20"/>
          <w:color w:val="auto"/>
        </w:rPr>
      </w:pPr>
    </w:p>
    <w:p>
      <w:pPr>
        <w:ind w:left="40"/>
        <w:spacing w:after="0"/>
        <w:tabs>
          <w:tab w:leader="none" w:pos="3800" w:val="left"/>
          <w:tab w:leader="none" w:pos="4960" w:val="left"/>
        </w:tabs>
        <w:rPr>
          <w:sz w:val="20"/>
          <w:szCs w:val="20"/>
          <w:color w:val="auto"/>
        </w:rPr>
      </w:pPr>
      <w:r>
        <w:rPr>
          <w:rFonts w:ascii="Arial" w:cs="Arial" w:eastAsia="Arial" w:hAnsi="Arial"/>
          <w:sz w:val="16"/>
          <w:szCs w:val="16"/>
          <w:color w:val="auto"/>
        </w:rPr>
        <w:t>CenterPoint Energy, Inc.</w:t>
      </w:r>
      <w:r>
        <w:rPr>
          <w:sz w:val="20"/>
          <w:szCs w:val="20"/>
          <w:color w:val="auto"/>
        </w:rPr>
        <w:tab/>
      </w:r>
      <w:r>
        <w:rPr>
          <w:rFonts w:ascii="Arial" w:cs="Arial" w:eastAsia="Arial" w:hAnsi="Arial"/>
          <w:sz w:val="16"/>
          <w:szCs w:val="16"/>
          <w:color w:val="auto"/>
        </w:rPr>
        <w:t>544,818,974</w:t>
      </w:r>
      <w:r>
        <w:rPr>
          <w:sz w:val="20"/>
          <w:szCs w:val="20"/>
          <w:color w:val="auto"/>
        </w:rPr>
        <w:tab/>
      </w:r>
      <w:r>
        <w:rPr>
          <w:rFonts w:ascii="Arial" w:cs="Arial" w:eastAsia="Arial" w:hAnsi="Arial"/>
          <w:sz w:val="14"/>
          <w:szCs w:val="14"/>
          <w:color w:val="auto"/>
        </w:rPr>
        <w:t>shares of common stock outstanding, excluding 166 shares held as treasury stock</w:t>
      </w:r>
    </w:p>
    <w:p>
      <w:pPr>
        <w:spacing w:after="0" w:line="73" w:lineRule="exact"/>
        <w:rPr>
          <w:sz w:val="20"/>
          <w:szCs w:val="20"/>
          <w:color w:val="auto"/>
        </w:rPr>
      </w:pPr>
    </w:p>
    <w:p>
      <w:pPr>
        <w:ind w:left="4980"/>
        <w:spacing w:after="0"/>
        <w:rPr>
          <w:sz w:val="20"/>
          <w:szCs w:val="20"/>
          <w:color w:val="auto"/>
        </w:rPr>
      </w:pPr>
      <w:r>
        <w:rPr>
          <w:rFonts w:ascii="Arial" w:cs="Arial" w:eastAsia="Arial" w:hAnsi="Arial"/>
          <w:sz w:val="15"/>
          <w:szCs w:val="15"/>
          <w:color w:val="auto"/>
        </w:rPr>
        <w:t>common shares outstanding, all held by Utility Holding, LLC, a wholly-owned subsidiary of</w:t>
      </w:r>
    </w:p>
    <w:p>
      <w:pPr>
        <w:spacing w:after="0" w:line="34" w:lineRule="exact"/>
        <w:rPr>
          <w:sz w:val="20"/>
          <w:szCs w:val="20"/>
          <w:color w:val="auto"/>
        </w:rPr>
      </w:pPr>
    </w:p>
    <w:p>
      <w:pPr>
        <w:ind w:left="40"/>
        <w:spacing w:after="0"/>
        <w:tabs>
          <w:tab w:leader="none" w:pos="4040" w:val="left"/>
          <w:tab w:leader="none" w:pos="4960" w:val="left"/>
        </w:tabs>
        <w:rPr>
          <w:sz w:val="20"/>
          <w:szCs w:val="20"/>
          <w:color w:val="auto"/>
        </w:rPr>
      </w:pPr>
      <w:r>
        <w:rPr>
          <w:rFonts w:ascii="Arial" w:cs="Arial" w:eastAsia="Arial" w:hAnsi="Arial"/>
          <w:sz w:val="16"/>
          <w:szCs w:val="16"/>
          <w:color w:val="auto"/>
        </w:rPr>
        <w:t>CenterPoint Energy Houston Electric, LLC</w:t>
      </w:r>
      <w:r>
        <w:rPr>
          <w:sz w:val="20"/>
          <w:szCs w:val="20"/>
          <w:color w:val="auto"/>
        </w:rPr>
        <w:tab/>
      </w:r>
      <w:r>
        <w:rPr>
          <w:rFonts w:ascii="Arial" w:cs="Arial" w:eastAsia="Arial" w:hAnsi="Arial"/>
          <w:sz w:val="16"/>
          <w:szCs w:val="16"/>
          <w:color w:val="auto"/>
        </w:rPr>
        <w:t>1,000</w:t>
      </w:r>
      <w:r>
        <w:rPr>
          <w:sz w:val="20"/>
          <w:szCs w:val="20"/>
          <w:color w:val="auto"/>
        </w:rPr>
        <w:tab/>
      </w:r>
      <w:r>
        <w:rPr>
          <w:rFonts w:ascii="Arial" w:cs="Arial" w:eastAsia="Arial" w:hAnsi="Arial"/>
          <w:sz w:val="14"/>
          <w:szCs w:val="14"/>
          <w:color w:val="auto"/>
        </w:rPr>
        <w:t>CenterPoint Energy, Inc.</w:t>
      </w:r>
    </w:p>
    <w:p>
      <w:pPr>
        <w:spacing w:after="0" w:line="69"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shares of common stock outstanding, all held by Utility Holding, LLC, a wholly-owned</w:t>
      </w:r>
    </w:p>
    <w:p>
      <w:pPr>
        <w:spacing w:after="0" w:line="22" w:lineRule="exact"/>
        <w:rPr>
          <w:sz w:val="20"/>
          <w:szCs w:val="20"/>
          <w:color w:val="auto"/>
        </w:rPr>
      </w:pPr>
    </w:p>
    <w:p>
      <w:pPr>
        <w:ind w:left="40"/>
        <w:spacing w:after="0"/>
        <w:tabs>
          <w:tab w:leader="none" w:pos="4040" w:val="left"/>
          <w:tab w:leader="none" w:pos="4960" w:val="left"/>
        </w:tabs>
        <w:rPr>
          <w:sz w:val="20"/>
          <w:szCs w:val="20"/>
          <w:color w:val="auto"/>
        </w:rPr>
      </w:pPr>
      <w:r>
        <w:rPr>
          <w:rFonts w:ascii="Arial" w:cs="Arial" w:eastAsia="Arial" w:hAnsi="Arial"/>
          <w:sz w:val="16"/>
          <w:szCs w:val="16"/>
          <w:color w:val="auto"/>
        </w:rPr>
        <w:t>CenterPoint Energy Resources Corp.</w:t>
      </w:r>
      <w:r>
        <w:rPr>
          <w:sz w:val="20"/>
          <w:szCs w:val="20"/>
          <w:color w:val="auto"/>
        </w:rPr>
        <w:tab/>
      </w:r>
      <w:r>
        <w:rPr>
          <w:rFonts w:ascii="Arial" w:cs="Arial" w:eastAsia="Arial" w:hAnsi="Arial"/>
          <w:sz w:val="16"/>
          <w:szCs w:val="16"/>
          <w:color w:val="auto"/>
        </w:rPr>
        <w:t>1,000</w:t>
      </w:r>
      <w:r>
        <w:rPr>
          <w:sz w:val="20"/>
          <w:szCs w:val="20"/>
          <w:color w:val="auto"/>
        </w:rPr>
        <w:tab/>
      </w:r>
      <w:r>
        <w:rPr>
          <w:rFonts w:ascii="Arial" w:cs="Arial" w:eastAsia="Arial" w:hAnsi="Arial"/>
          <w:sz w:val="14"/>
          <w:szCs w:val="14"/>
          <w:color w:val="auto"/>
        </w:rPr>
        <w:t>subsidiary of CenterPoint Energy, Inc.</w:t>
      </w:r>
    </w:p>
    <w:p>
      <w:pPr>
        <w:spacing w:after="0" w:line="200" w:lineRule="exact"/>
        <w:rPr>
          <w:sz w:val="20"/>
          <w:szCs w:val="20"/>
          <w:color w:val="auto"/>
        </w:rPr>
      </w:pPr>
    </w:p>
    <w:p>
      <w:pPr>
        <w:spacing w:after="0" w:line="22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60" w:type="dxa"/>
            <w:vAlign w:val="bottom"/>
          </w:tcPr>
          <w:p>
            <w:pPr>
              <w:ind w:left="282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0"/>
                <w:szCs w:val="20"/>
                <w:color w:val="auto"/>
              </w:rPr>
            </w:pPr>
          </w:p>
        </w:tc>
      </w:tr>
      <w:tr>
        <w:trPr>
          <w:trHeight w:val="594"/>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PART I.</w:t>
            </w:r>
          </w:p>
        </w:tc>
        <w:tc>
          <w:tcPr>
            <w:tcW w:w="818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INFORMATION</w:t>
            </w:r>
          </w:p>
        </w:tc>
        <w:tc>
          <w:tcPr>
            <w:tcW w:w="1920" w:type="dxa"/>
            <w:vAlign w:val="bottom"/>
          </w:tcPr>
          <w:p>
            <w:pPr>
              <w:spacing w:after="0"/>
              <w:rPr>
                <w:sz w:val="24"/>
                <w:szCs w:val="24"/>
                <w:color w:val="auto"/>
              </w:rPr>
            </w:pPr>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Item 1.</w:t>
            </w:r>
          </w:p>
        </w:tc>
        <w:tc>
          <w:tcPr>
            <w:tcW w:w="8180" w:type="dxa"/>
            <w:vAlign w:val="bottom"/>
            <w:tcBorders>
              <w:bottom w:val="single" w:sz="8" w:color="CCEEFF"/>
            </w:tcBorders>
            <w:gridSpan w:val="3"/>
            <w:shd w:val="clear" w:color="auto" w:fill="CCEEFF"/>
          </w:tcPr>
          <w:p>
            <w:pPr>
              <w:ind w:left="1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Financial Statements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99"/>
              </w:rPr>
            </w:pPr>
            <w:hyperlink w:anchor="page11">
              <w:r>
                <w:rPr>
                  <w:rFonts w:ascii="Arial" w:cs="Arial" w:eastAsia="Arial" w:hAnsi="Arial"/>
                  <w:sz w:val="18"/>
                  <w:szCs w:val="18"/>
                  <w:u w:val="single" w:color="auto"/>
                  <w:color w:val="0000EE"/>
                  <w:w w:val="99"/>
                </w:rPr>
                <w:t>1</w:t>
              </w:r>
            </w:hyperlink>
          </w:p>
        </w:tc>
      </w:tr>
      <w:tr>
        <w:trPr>
          <w:trHeight w:val="243"/>
        </w:trPr>
        <w:tc>
          <w:tcPr>
            <w:tcW w:w="1120" w:type="dxa"/>
            <w:vAlign w:val="bottom"/>
          </w:tcPr>
          <w:p>
            <w:pPr>
              <w:spacing w:after="0"/>
              <w:rPr>
                <w:sz w:val="21"/>
                <w:szCs w:val="21"/>
                <w:color w:val="auto"/>
              </w:rPr>
            </w:pPr>
          </w:p>
        </w:tc>
        <w:tc>
          <w:tcPr>
            <w:tcW w:w="8180" w:type="dxa"/>
            <w:vAlign w:val="bottom"/>
            <w:gridSpan w:val="3"/>
          </w:tcPr>
          <w:p>
            <w:pPr>
              <w:ind w:left="160"/>
              <w:spacing w:after="0"/>
              <w:rPr>
                <w:rFonts w:ascii="Arial" w:cs="Arial" w:eastAsia="Arial" w:hAnsi="Arial"/>
                <w:sz w:val="18"/>
                <w:szCs w:val="18"/>
                <w:color w:val="0000EE"/>
              </w:rPr>
            </w:pPr>
            <w:hyperlink w:anchor="page11">
              <w:r>
                <w:rPr>
                  <w:rFonts w:ascii="Arial" w:cs="Arial" w:eastAsia="Arial" w:hAnsi="Arial"/>
                  <w:sz w:val="18"/>
                  <w:szCs w:val="18"/>
                  <w:u w:val="single" w:color="auto"/>
                  <w:color w:val="0000EE"/>
                </w:rPr>
                <w:t>CenterPoint Energy, Inc. Financial Statements</w:t>
              </w:r>
              <w:r>
                <w:rPr>
                  <w:rFonts w:ascii="Arial" w:cs="Arial" w:eastAsia="Arial" w:hAnsi="Arial"/>
                  <w:sz w:val="18"/>
                  <w:szCs w:val="18"/>
                  <w:color w:val="0000EE"/>
                </w:rPr>
                <w:t xml:space="preserve"> </w:t>
              </w:r>
            </w:hyperlink>
            <w:r>
              <w:rPr>
                <w:rFonts w:ascii="Arial" w:cs="Arial" w:eastAsia="Arial" w:hAnsi="Arial"/>
                <w:sz w:val="18"/>
                <w:szCs w:val="18"/>
                <w:color w:val="000000"/>
              </w:rPr>
              <w:t>(unaudited)</w:t>
            </w:r>
          </w:p>
        </w:tc>
        <w:tc>
          <w:tcPr>
            <w:tcW w:w="1920" w:type="dxa"/>
            <w:vAlign w:val="bottom"/>
          </w:tcPr>
          <w:p>
            <w:pPr>
              <w:jc w:val="center"/>
              <w:ind w:left="1370"/>
              <w:spacing w:after="0"/>
              <w:rPr>
                <w:rFonts w:ascii="Arial" w:cs="Arial" w:eastAsia="Arial" w:hAnsi="Arial"/>
                <w:sz w:val="18"/>
                <w:szCs w:val="18"/>
                <w:u w:val="single" w:color="auto"/>
                <w:color w:val="0000EE"/>
                <w:w w:val="99"/>
              </w:rPr>
            </w:pPr>
            <w:hyperlink w:anchor="page11">
              <w:r>
                <w:rPr>
                  <w:rFonts w:ascii="Arial" w:cs="Arial" w:eastAsia="Arial" w:hAnsi="Arial"/>
                  <w:sz w:val="18"/>
                  <w:szCs w:val="18"/>
                  <w:u w:val="single" w:color="auto"/>
                  <w:color w:val="0000EE"/>
                  <w:w w:val="99"/>
                </w:rPr>
                <w:t>1</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ind w:left="160"/>
              <w:spacing w:after="0"/>
              <w:rPr>
                <w:rFonts w:ascii="Arial" w:cs="Arial" w:eastAsia="Arial" w:hAnsi="Arial"/>
                <w:sz w:val="18"/>
                <w:szCs w:val="18"/>
                <w:color w:val="0000EE"/>
              </w:rPr>
            </w:pPr>
            <w:hyperlink w:anchor="page18">
              <w:r>
                <w:rPr>
                  <w:rFonts w:ascii="Arial" w:cs="Arial" w:eastAsia="Arial" w:hAnsi="Arial"/>
                  <w:sz w:val="18"/>
                  <w:szCs w:val="18"/>
                  <w:u w:val="single" w:color="auto"/>
                  <w:color w:val="0000EE"/>
                </w:rPr>
                <w:t>CenterPoint Energy Houston Electric, LLC Financial Statements</w:t>
              </w:r>
              <w:r>
                <w:rPr>
                  <w:rFonts w:ascii="Arial" w:cs="Arial" w:eastAsia="Arial" w:hAnsi="Arial"/>
                  <w:sz w:val="18"/>
                  <w:szCs w:val="18"/>
                  <w:color w:val="0000EE"/>
                </w:rPr>
                <w:t xml:space="preserve"> </w:t>
              </w:r>
            </w:hyperlink>
            <w:r>
              <w:rPr>
                <w:rFonts w:ascii="Arial" w:cs="Arial" w:eastAsia="Arial" w:hAnsi="Arial"/>
                <w:sz w:val="18"/>
                <w:szCs w:val="18"/>
                <w:color w:val="000000"/>
              </w:rPr>
              <w:t>(unaudited)</w:t>
            </w:r>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99"/>
              </w:rPr>
            </w:pPr>
            <w:hyperlink w:anchor="page18">
              <w:r>
                <w:rPr>
                  <w:rFonts w:ascii="Arial" w:cs="Arial" w:eastAsia="Arial" w:hAnsi="Arial"/>
                  <w:sz w:val="18"/>
                  <w:szCs w:val="18"/>
                  <w:u w:val="single" w:color="auto"/>
                  <w:color w:val="0000EE"/>
                  <w:w w:val="99"/>
                </w:rPr>
                <w:t>7</w:t>
              </w:r>
            </w:hyperlink>
          </w:p>
        </w:tc>
      </w:tr>
      <w:tr>
        <w:trPr>
          <w:trHeight w:val="243"/>
        </w:trPr>
        <w:tc>
          <w:tcPr>
            <w:tcW w:w="1120" w:type="dxa"/>
            <w:vAlign w:val="bottom"/>
          </w:tcPr>
          <w:p>
            <w:pPr>
              <w:spacing w:after="0"/>
              <w:rPr>
                <w:sz w:val="21"/>
                <w:szCs w:val="21"/>
                <w:color w:val="auto"/>
              </w:rPr>
            </w:pPr>
          </w:p>
        </w:tc>
        <w:tc>
          <w:tcPr>
            <w:tcW w:w="8180" w:type="dxa"/>
            <w:vAlign w:val="bottom"/>
            <w:gridSpan w:val="3"/>
          </w:tcPr>
          <w:p>
            <w:pPr>
              <w:ind w:left="160"/>
              <w:spacing w:after="0"/>
              <w:rPr>
                <w:rFonts w:ascii="Arial" w:cs="Arial" w:eastAsia="Arial" w:hAnsi="Arial"/>
                <w:sz w:val="18"/>
                <w:szCs w:val="18"/>
                <w:color w:val="0000EE"/>
              </w:rPr>
            </w:pPr>
            <w:hyperlink w:anchor="page24">
              <w:r>
                <w:rPr>
                  <w:rFonts w:ascii="Arial" w:cs="Arial" w:eastAsia="Arial" w:hAnsi="Arial"/>
                  <w:sz w:val="18"/>
                  <w:szCs w:val="18"/>
                  <w:u w:val="single" w:color="auto"/>
                  <w:color w:val="0000EE"/>
                </w:rPr>
                <w:t>CenterPoint Energy Resources Corp. Financial Statements</w:t>
              </w:r>
              <w:r>
                <w:rPr>
                  <w:rFonts w:ascii="Arial" w:cs="Arial" w:eastAsia="Arial" w:hAnsi="Arial"/>
                  <w:sz w:val="18"/>
                  <w:szCs w:val="18"/>
                  <w:color w:val="0000EE"/>
                </w:rPr>
                <w:t xml:space="preserve"> </w:t>
              </w:r>
            </w:hyperlink>
            <w:r>
              <w:rPr>
                <w:rFonts w:ascii="Arial" w:cs="Arial" w:eastAsia="Arial" w:hAnsi="Arial"/>
                <w:sz w:val="18"/>
                <w:szCs w:val="18"/>
                <w:color w:val="000000"/>
              </w:rPr>
              <w:t>(unaudited)</w:t>
            </w:r>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24">
              <w:r>
                <w:rPr>
                  <w:rFonts w:ascii="Arial" w:cs="Arial" w:eastAsia="Arial" w:hAnsi="Arial"/>
                  <w:sz w:val="18"/>
                  <w:szCs w:val="18"/>
                  <w:u w:val="single" w:color="auto"/>
                  <w:color w:val="0000EE"/>
                  <w:w w:val="89"/>
                </w:rPr>
                <w:t>13</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ind w:left="160"/>
              <w:spacing w:after="0"/>
              <w:rPr>
                <w:rFonts w:ascii="Arial" w:cs="Arial" w:eastAsia="Arial" w:hAnsi="Arial"/>
                <w:sz w:val="18"/>
                <w:szCs w:val="18"/>
                <w:color w:val="0000EE"/>
              </w:rPr>
            </w:pPr>
            <w:hyperlink w:anchor="page30">
              <w:r>
                <w:rPr>
                  <w:rFonts w:ascii="Arial" w:cs="Arial" w:eastAsia="Arial" w:hAnsi="Arial"/>
                  <w:sz w:val="18"/>
                  <w:szCs w:val="18"/>
                  <w:u w:val="single" w:color="auto"/>
                  <w:color w:val="0000EE"/>
                </w:rPr>
                <w:t>Combined Notes to Unaudited Condensed Consolidated Financial Statements</w:t>
              </w:r>
              <w:r>
                <w:rPr>
                  <w:rFonts w:ascii="Arial" w:cs="Arial" w:eastAsia="Arial" w:hAnsi="Arial"/>
                  <w:sz w:val="18"/>
                  <w:szCs w:val="18"/>
                  <w:color w:val="0000EE"/>
                </w:rPr>
                <w:t xml:space="preserve"> </w:t>
              </w:r>
            </w:hyperlink>
            <w:r>
              <w:rPr>
                <w:rFonts w:ascii="Arial" w:cs="Arial" w:eastAsia="Arial" w:hAnsi="Arial"/>
                <w:sz w:val="18"/>
                <w:szCs w:val="18"/>
                <w:color w:val="000000"/>
              </w:rPr>
              <w:t>(unaudited)</w:t>
            </w:r>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19</w:t>
              </w:r>
            </w:hyperlink>
          </w:p>
        </w:tc>
      </w:tr>
      <w:tr>
        <w:trPr>
          <w:trHeight w:val="243"/>
        </w:trPr>
        <w:tc>
          <w:tcPr>
            <w:tcW w:w="1120" w:type="dxa"/>
            <w:vAlign w:val="bottom"/>
          </w:tcPr>
          <w:p>
            <w:pPr>
              <w:spacing w:after="0"/>
              <w:rPr>
                <w:sz w:val="21"/>
                <w:szCs w:val="21"/>
                <w:color w:val="auto"/>
              </w:rPr>
            </w:pPr>
          </w:p>
        </w:tc>
        <w:tc>
          <w:tcPr>
            <w:tcW w:w="640" w:type="dxa"/>
            <w:vAlign w:val="bottom"/>
          </w:tcPr>
          <w:p>
            <w:pPr>
              <w:ind w:left="400"/>
              <w:spacing w:after="0"/>
              <w:rPr>
                <w:rFonts w:ascii="Arial" w:cs="Arial" w:eastAsia="Arial" w:hAnsi="Arial"/>
                <w:sz w:val="18"/>
                <w:szCs w:val="18"/>
                <w:u w:val="single" w:color="auto"/>
                <w:color w:val="0000EE"/>
                <w:w w:val="99"/>
              </w:rPr>
            </w:pPr>
            <w:hyperlink w:anchor="page30">
              <w:r>
                <w:rPr>
                  <w:rFonts w:ascii="Arial" w:cs="Arial" w:eastAsia="Arial" w:hAnsi="Arial"/>
                  <w:sz w:val="18"/>
                  <w:szCs w:val="18"/>
                  <w:u w:val="single" w:color="auto"/>
                  <w:color w:val="0000EE"/>
                  <w:w w:val="99"/>
                </w:rPr>
                <w:t>(1)</w:t>
              </w:r>
            </w:hyperlink>
          </w:p>
        </w:tc>
        <w:tc>
          <w:tcPr>
            <w:tcW w:w="7540" w:type="dxa"/>
            <w:vAlign w:val="bottom"/>
            <w:gridSpan w:val="2"/>
          </w:tcPr>
          <w:p>
            <w:pPr>
              <w:ind w:lef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Background and Basis of Presentation</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30">
              <w:r>
                <w:rPr>
                  <w:rFonts w:ascii="Arial" w:cs="Arial" w:eastAsia="Arial" w:hAnsi="Arial"/>
                  <w:sz w:val="18"/>
                  <w:szCs w:val="18"/>
                  <w:u w:val="single" w:color="auto"/>
                  <w:color w:val="0000EE"/>
                  <w:w w:val="89"/>
                </w:rPr>
                <w:t>19</w:t>
              </w:r>
            </w:hyperlink>
          </w:p>
        </w:tc>
      </w:tr>
      <w:tr>
        <w:trPr>
          <w:trHeight w:val="27"/>
        </w:trPr>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54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0"/>
              <w:spacing w:after="0"/>
              <w:rPr>
                <w:rFonts w:ascii="Arial" w:cs="Arial" w:eastAsia="Arial" w:hAnsi="Arial"/>
                <w:sz w:val="18"/>
                <w:szCs w:val="18"/>
                <w:u w:val="single" w:color="auto"/>
                <w:color w:val="0000EE"/>
                <w:w w:val="99"/>
              </w:rPr>
            </w:pPr>
            <w:hyperlink w:anchor="page32">
              <w:r>
                <w:rPr>
                  <w:rFonts w:ascii="Arial" w:cs="Arial" w:eastAsia="Arial" w:hAnsi="Arial"/>
                  <w:sz w:val="18"/>
                  <w:szCs w:val="18"/>
                  <w:u w:val="single" w:color="auto"/>
                  <w:color w:val="0000EE"/>
                  <w:w w:val="99"/>
                </w:rPr>
                <w:t>(2)</w:t>
              </w:r>
            </w:hyperlink>
          </w:p>
        </w:tc>
        <w:tc>
          <w:tcPr>
            <w:tcW w:w="7540" w:type="dxa"/>
            <w:vAlign w:val="bottom"/>
            <w:tcBorders>
              <w:bottom w:val="single" w:sz="8" w:color="CCEEFF"/>
            </w:tcBorders>
            <w:gridSpan w:val="2"/>
            <w:shd w:val="clear" w:color="auto" w:fill="CCEEFF"/>
          </w:tcPr>
          <w:p>
            <w:pPr>
              <w:ind w:lef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New Accounting Pronouncements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21</w:t>
              </w:r>
            </w:hyperlink>
          </w:p>
        </w:tc>
      </w:tr>
      <w:tr>
        <w:trPr>
          <w:trHeight w:val="243"/>
        </w:trPr>
        <w:tc>
          <w:tcPr>
            <w:tcW w:w="1120" w:type="dxa"/>
            <w:vAlign w:val="bottom"/>
          </w:tcPr>
          <w:p>
            <w:pPr>
              <w:spacing w:after="0"/>
              <w:rPr>
                <w:sz w:val="21"/>
                <w:szCs w:val="21"/>
                <w:color w:val="auto"/>
              </w:rPr>
            </w:pPr>
          </w:p>
        </w:tc>
        <w:tc>
          <w:tcPr>
            <w:tcW w:w="640" w:type="dxa"/>
            <w:vAlign w:val="bottom"/>
          </w:tcPr>
          <w:p>
            <w:pPr>
              <w:ind w:left="400"/>
              <w:spacing w:after="0"/>
              <w:rPr>
                <w:rFonts w:ascii="Arial" w:cs="Arial" w:eastAsia="Arial" w:hAnsi="Arial"/>
                <w:sz w:val="18"/>
                <w:szCs w:val="18"/>
                <w:u w:val="single" w:color="auto"/>
                <w:color w:val="0000EE"/>
                <w:w w:val="99"/>
              </w:rPr>
            </w:pPr>
            <w:hyperlink w:anchor="page32">
              <w:r>
                <w:rPr>
                  <w:rFonts w:ascii="Arial" w:cs="Arial" w:eastAsia="Arial" w:hAnsi="Arial"/>
                  <w:sz w:val="18"/>
                  <w:szCs w:val="18"/>
                  <w:u w:val="single" w:color="auto"/>
                  <w:color w:val="0000EE"/>
                  <w:w w:val="99"/>
                </w:rPr>
                <w:t>(3)</w:t>
              </w:r>
            </w:hyperlink>
          </w:p>
        </w:tc>
        <w:tc>
          <w:tcPr>
            <w:tcW w:w="7540" w:type="dxa"/>
            <w:vAlign w:val="bottom"/>
            <w:gridSpan w:val="2"/>
          </w:tcPr>
          <w:p>
            <w:pPr>
              <w:ind w:left="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Divestitures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21</w:t>
              </w:r>
            </w:hyperlink>
          </w:p>
        </w:tc>
      </w:tr>
      <w:tr>
        <w:trPr>
          <w:trHeight w:val="27"/>
        </w:trPr>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54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0"/>
              <w:spacing w:after="0"/>
              <w:rPr>
                <w:rFonts w:ascii="Arial" w:cs="Arial" w:eastAsia="Arial" w:hAnsi="Arial"/>
                <w:sz w:val="18"/>
                <w:szCs w:val="18"/>
                <w:u w:val="single" w:color="auto"/>
                <w:color w:val="0000EE"/>
                <w:w w:val="99"/>
              </w:rPr>
            </w:pPr>
            <w:hyperlink w:anchor="page37">
              <w:r>
                <w:rPr>
                  <w:rFonts w:ascii="Arial" w:cs="Arial" w:eastAsia="Arial" w:hAnsi="Arial"/>
                  <w:sz w:val="18"/>
                  <w:szCs w:val="18"/>
                  <w:u w:val="single" w:color="auto"/>
                  <w:color w:val="0000EE"/>
                  <w:w w:val="99"/>
                </w:rPr>
                <w:t>(4)</w:t>
              </w:r>
            </w:hyperlink>
          </w:p>
        </w:tc>
        <w:tc>
          <w:tcPr>
            <w:tcW w:w="7540" w:type="dxa"/>
            <w:vAlign w:val="bottom"/>
            <w:tcBorders>
              <w:bottom w:val="single" w:sz="8" w:color="CCEEFF"/>
            </w:tcBorders>
            <w:gridSpan w:val="2"/>
            <w:shd w:val="clear" w:color="auto" w:fill="CCEEFF"/>
          </w:tcPr>
          <w:p>
            <w:pPr>
              <w:ind w:left="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Revenue Recognition</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37">
              <w:r>
                <w:rPr>
                  <w:rFonts w:ascii="Arial" w:cs="Arial" w:eastAsia="Arial" w:hAnsi="Arial"/>
                  <w:sz w:val="18"/>
                  <w:szCs w:val="18"/>
                  <w:u w:val="single" w:color="auto"/>
                  <w:color w:val="0000EE"/>
                  <w:w w:val="89"/>
                </w:rPr>
                <w:t>26</w:t>
              </w:r>
            </w:hyperlink>
          </w:p>
        </w:tc>
      </w:tr>
      <w:tr>
        <w:trPr>
          <w:trHeight w:val="243"/>
        </w:trPr>
        <w:tc>
          <w:tcPr>
            <w:tcW w:w="1120" w:type="dxa"/>
            <w:vAlign w:val="bottom"/>
          </w:tcPr>
          <w:p>
            <w:pPr>
              <w:spacing w:after="0"/>
              <w:rPr>
                <w:sz w:val="21"/>
                <w:szCs w:val="21"/>
                <w:color w:val="auto"/>
              </w:rPr>
            </w:pPr>
          </w:p>
        </w:tc>
        <w:tc>
          <w:tcPr>
            <w:tcW w:w="640" w:type="dxa"/>
            <w:vAlign w:val="bottom"/>
          </w:tcPr>
          <w:p>
            <w:pPr>
              <w:ind w:left="400"/>
              <w:spacing w:after="0"/>
              <w:rPr>
                <w:rFonts w:ascii="Arial" w:cs="Arial" w:eastAsia="Arial" w:hAnsi="Arial"/>
                <w:sz w:val="18"/>
                <w:szCs w:val="18"/>
                <w:u w:val="single" w:color="auto"/>
                <w:color w:val="0000EE"/>
                <w:w w:val="99"/>
              </w:rPr>
            </w:pPr>
            <w:hyperlink w:anchor="page41">
              <w:r>
                <w:rPr>
                  <w:rFonts w:ascii="Arial" w:cs="Arial" w:eastAsia="Arial" w:hAnsi="Arial"/>
                  <w:sz w:val="18"/>
                  <w:szCs w:val="18"/>
                  <w:u w:val="single" w:color="auto"/>
                  <w:color w:val="0000EE"/>
                  <w:w w:val="99"/>
                </w:rPr>
                <w:t>(5)</w:t>
              </w:r>
            </w:hyperlink>
          </w:p>
        </w:tc>
        <w:tc>
          <w:tcPr>
            <w:tcW w:w="7540" w:type="dxa"/>
            <w:vAlign w:val="bottom"/>
            <w:gridSpan w:val="2"/>
          </w:tcPr>
          <w:p>
            <w:pPr>
              <w:ind w:left="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Employee Benefit Plans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30</w:t>
              </w:r>
            </w:hyperlink>
          </w:p>
        </w:tc>
      </w:tr>
      <w:tr>
        <w:trPr>
          <w:trHeight w:val="27"/>
        </w:trPr>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54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0"/>
              <w:spacing w:after="0"/>
              <w:rPr>
                <w:rFonts w:ascii="Arial" w:cs="Arial" w:eastAsia="Arial" w:hAnsi="Arial"/>
                <w:sz w:val="18"/>
                <w:szCs w:val="18"/>
                <w:u w:val="single" w:color="auto"/>
                <w:color w:val="0000EE"/>
                <w:w w:val="99"/>
              </w:rPr>
            </w:pPr>
            <w:hyperlink w:anchor="page43">
              <w:r>
                <w:rPr>
                  <w:rFonts w:ascii="Arial" w:cs="Arial" w:eastAsia="Arial" w:hAnsi="Arial"/>
                  <w:sz w:val="18"/>
                  <w:szCs w:val="18"/>
                  <w:u w:val="single" w:color="auto"/>
                  <w:color w:val="0000EE"/>
                  <w:w w:val="99"/>
                </w:rPr>
                <w:t>(6)</w:t>
              </w:r>
            </w:hyperlink>
          </w:p>
        </w:tc>
        <w:tc>
          <w:tcPr>
            <w:tcW w:w="7540" w:type="dxa"/>
            <w:vAlign w:val="bottom"/>
            <w:tcBorders>
              <w:bottom w:val="single" w:sz="8" w:color="CCEEFF"/>
            </w:tcBorders>
            <w:gridSpan w:val="2"/>
            <w:shd w:val="clear" w:color="auto" w:fill="CCEEFF"/>
          </w:tcPr>
          <w:p>
            <w:pPr>
              <w:ind w:left="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Regulatory Accounting</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43">
              <w:r>
                <w:rPr>
                  <w:rFonts w:ascii="Arial" w:cs="Arial" w:eastAsia="Arial" w:hAnsi="Arial"/>
                  <w:sz w:val="18"/>
                  <w:szCs w:val="18"/>
                  <w:u w:val="single" w:color="auto"/>
                  <w:color w:val="0000EE"/>
                  <w:w w:val="89"/>
                </w:rPr>
                <w:t>32</w:t>
              </w:r>
            </w:hyperlink>
          </w:p>
        </w:tc>
      </w:tr>
      <w:tr>
        <w:trPr>
          <w:trHeight w:val="243"/>
        </w:trPr>
        <w:tc>
          <w:tcPr>
            <w:tcW w:w="1120" w:type="dxa"/>
            <w:vAlign w:val="bottom"/>
          </w:tcPr>
          <w:p>
            <w:pPr>
              <w:spacing w:after="0"/>
              <w:rPr>
                <w:sz w:val="21"/>
                <w:szCs w:val="21"/>
                <w:color w:val="auto"/>
              </w:rPr>
            </w:pPr>
          </w:p>
        </w:tc>
        <w:tc>
          <w:tcPr>
            <w:tcW w:w="640" w:type="dxa"/>
            <w:vAlign w:val="bottom"/>
          </w:tcPr>
          <w:p>
            <w:pPr>
              <w:ind w:left="400"/>
              <w:spacing w:after="0"/>
              <w:rPr>
                <w:rFonts w:ascii="Arial" w:cs="Arial" w:eastAsia="Arial" w:hAnsi="Arial"/>
                <w:sz w:val="18"/>
                <w:szCs w:val="18"/>
                <w:u w:val="single" w:color="auto"/>
                <w:color w:val="0000EE"/>
                <w:w w:val="99"/>
              </w:rPr>
            </w:pPr>
            <w:hyperlink w:anchor="page44">
              <w:r>
                <w:rPr>
                  <w:rFonts w:ascii="Arial" w:cs="Arial" w:eastAsia="Arial" w:hAnsi="Arial"/>
                  <w:sz w:val="18"/>
                  <w:szCs w:val="18"/>
                  <w:u w:val="single" w:color="auto"/>
                  <w:color w:val="0000EE"/>
                  <w:w w:val="99"/>
                </w:rPr>
                <w:t>(7)</w:t>
              </w:r>
            </w:hyperlink>
          </w:p>
        </w:tc>
        <w:tc>
          <w:tcPr>
            <w:tcW w:w="7540" w:type="dxa"/>
            <w:vAlign w:val="bottom"/>
            <w:gridSpan w:val="2"/>
          </w:tcPr>
          <w:p>
            <w:pPr>
              <w:ind w:left="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Derivative Instruments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33</w:t>
              </w:r>
            </w:hyperlink>
          </w:p>
        </w:tc>
      </w:tr>
      <w:tr>
        <w:trPr>
          <w:trHeight w:val="27"/>
        </w:trPr>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54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0"/>
              <w:spacing w:after="0"/>
              <w:rPr>
                <w:rFonts w:ascii="Arial" w:cs="Arial" w:eastAsia="Arial" w:hAnsi="Arial"/>
                <w:sz w:val="18"/>
                <w:szCs w:val="18"/>
                <w:u w:val="single" w:color="auto"/>
                <w:color w:val="0000EE"/>
                <w:w w:val="99"/>
              </w:rPr>
            </w:pPr>
            <w:hyperlink w:anchor="page46">
              <w:r>
                <w:rPr>
                  <w:rFonts w:ascii="Arial" w:cs="Arial" w:eastAsia="Arial" w:hAnsi="Arial"/>
                  <w:sz w:val="18"/>
                  <w:szCs w:val="18"/>
                  <w:u w:val="single" w:color="auto"/>
                  <w:color w:val="0000EE"/>
                  <w:w w:val="99"/>
                </w:rPr>
                <w:t>(8)</w:t>
              </w:r>
            </w:hyperlink>
          </w:p>
        </w:tc>
        <w:tc>
          <w:tcPr>
            <w:tcW w:w="7540" w:type="dxa"/>
            <w:vAlign w:val="bottom"/>
            <w:tcBorders>
              <w:bottom w:val="single" w:sz="8" w:color="CCEEFF"/>
            </w:tcBorders>
            <w:gridSpan w:val="2"/>
            <w:shd w:val="clear" w:color="auto" w:fill="CCEEFF"/>
          </w:tcPr>
          <w:p>
            <w:pPr>
              <w:ind w:left="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Fair Value Measurements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46">
              <w:r>
                <w:rPr>
                  <w:rFonts w:ascii="Arial" w:cs="Arial" w:eastAsia="Arial" w:hAnsi="Arial"/>
                  <w:sz w:val="18"/>
                  <w:szCs w:val="18"/>
                  <w:u w:val="single" w:color="auto"/>
                  <w:color w:val="0000EE"/>
                  <w:w w:val="89"/>
                </w:rPr>
                <w:t>35</w:t>
              </w:r>
            </w:hyperlink>
          </w:p>
        </w:tc>
      </w:tr>
      <w:tr>
        <w:trPr>
          <w:trHeight w:val="243"/>
        </w:trPr>
        <w:tc>
          <w:tcPr>
            <w:tcW w:w="1120" w:type="dxa"/>
            <w:vAlign w:val="bottom"/>
          </w:tcPr>
          <w:p>
            <w:pPr>
              <w:spacing w:after="0"/>
              <w:rPr>
                <w:sz w:val="21"/>
                <w:szCs w:val="21"/>
                <w:color w:val="auto"/>
              </w:rPr>
            </w:pPr>
          </w:p>
        </w:tc>
        <w:tc>
          <w:tcPr>
            <w:tcW w:w="640" w:type="dxa"/>
            <w:vAlign w:val="bottom"/>
          </w:tcPr>
          <w:p>
            <w:pPr>
              <w:ind w:left="400"/>
              <w:spacing w:after="0"/>
              <w:rPr>
                <w:rFonts w:ascii="Arial" w:cs="Arial" w:eastAsia="Arial" w:hAnsi="Arial"/>
                <w:sz w:val="18"/>
                <w:szCs w:val="18"/>
                <w:u w:val="single" w:color="auto"/>
                <w:color w:val="0000EE"/>
                <w:w w:val="99"/>
              </w:rPr>
            </w:pPr>
            <w:hyperlink w:anchor="page48">
              <w:r>
                <w:rPr>
                  <w:rFonts w:ascii="Arial" w:cs="Arial" w:eastAsia="Arial" w:hAnsi="Arial"/>
                  <w:sz w:val="18"/>
                  <w:szCs w:val="18"/>
                  <w:u w:val="single" w:color="auto"/>
                  <w:color w:val="0000EE"/>
                  <w:w w:val="99"/>
                </w:rPr>
                <w:t>(9)</w:t>
              </w:r>
            </w:hyperlink>
          </w:p>
        </w:tc>
        <w:tc>
          <w:tcPr>
            <w:tcW w:w="7540" w:type="dxa"/>
            <w:vAlign w:val="bottom"/>
            <w:gridSpan w:val="2"/>
          </w:tcPr>
          <w:p>
            <w:pPr>
              <w:ind w:left="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Unconsolidated Affiliates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37</w:t>
              </w:r>
            </w:hyperlink>
          </w:p>
        </w:tc>
      </w:tr>
      <w:tr>
        <w:trPr>
          <w:trHeight w:val="27"/>
        </w:trPr>
        <w:tc>
          <w:tcPr>
            <w:tcW w:w="1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00"/>
              <w:spacing w:after="0"/>
              <w:rPr>
                <w:rFonts w:ascii="Arial" w:cs="Arial" w:eastAsia="Arial" w:hAnsi="Arial"/>
                <w:sz w:val="18"/>
                <w:szCs w:val="18"/>
                <w:u w:val="single" w:color="auto"/>
                <w:color w:val="0000EE"/>
                <w:w w:val="93"/>
              </w:rPr>
            </w:pPr>
            <w:hyperlink w:anchor="page51">
              <w:r>
                <w:rPr>
                  <w:rFonts w:ascii="Arial" w:cs="Arial" w:eastAsia="Arial" w:hAnsi="Arial"/>
                  <w:sz w:val="18"/>
                  <w:szCs w:val="18"/>
                  <w:u w:val="single" w:color="auto"/>
                  <w:color w:val="0000EE"/>
                  <w:w w:val="93"/>
                </w:rPr>
                <w:t>(10)</w:t>
              </w:r>
            </w:hyperlink>
          </w:p>
        </w:tc>
        <w:tc>
          <w:tcPr>
            <w:tcW w:w="74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Goodwill and Other Intangibles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51">
              <w:r>
                <w:rPr>
                  <w:rFonts w:ascii="Arial" w:cs="Arial" w:eastAsia="Arial" w:hAnsi="Arial"/>
                  <w:sz w:val="18"/>
                  <w:szCs w:val="18"/>
                  <w:u w:val="single" w:color="auto"/>
                  <w:color w:val="0000EE"/>
                  <w:w w:val="89"/>
                </w:rPr>
                <w:t>40</w:t>
              </w:r>
            </w:hyperlink>
          </w:p>
        </w:tc>
      </w:tr>
      <w:tr>
        <w:trPr>
          <w:trHeight w:val="243"/>
        </w:trPr>
        <w:tc>
          <w:tcPr>
            <w:tcW w:w="1120" w:type="dxa"/>
            <w:vAlign w:val="bottom"/>
          </w:tcPr>
          <w:p>
            <w:pPr>
              <w:spacing w:after="0"/>
              <w:rPr>
                <w:sz w:val="21"/>
                <w:szCs w:val="21"/>
                <w:color w:val="auto"/>
              </w:rPr>
            </w:pPr>
          </w:p>
        </w:tc>
        <w:tc>
          <w:tcPr>
            <w:tcW w:w="8180" w:type="dxa"/>
            <w:vAlign w:val="bottom"/>
            <w:gridSpan w:val="3"/>
          </w:tcPr>
          <w:p>
            <w:pPr>
              <w:ind w:left="40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(11) Indexed Debt Securities (ZENS) and Securities Related to ZENS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43</w:t>
              </w:r>
            </w:hyperlink>
          </w:p>
        </w:tc>
      </w:tr>
      <w:tr>
        <w:trPr>
          <w:trHeight w:val="27"/>
        </w:trPr>
        <w:tc>
          <w:tcPr>
            <w:tcW w:w="1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00"/>
              <w:spacing w:after="0"/>
              <w:rPr>
                <w:rFonts w:ascii="Arial" w:cs="Arial" w:eastAsia="Arial" w:hAnsi="Arial"/>
                <w:sz w:val="18"/>
                <w:szCs w:val="18"/>
                <w:u w:val="single" w:color="auto"/>
                <w:color w:val="0000EE"/>
                <w:w w:val="93"/>
              </w:rPr>
            </w:pPr>
            <w:hyperlink w:anchor="page54">
              <w:r>
                <w:rPr>
                  <w:rFonts w:ascii="Arial" w:cs="Arial" w:eastAsia="Arial" w:hAnsi="Arial"/>
                  <w:sz w:val="18"/>
                  <w:szCs w:val="18"/>
                  <w:u w:val="single" w:color="auto"/>
                  <w:color w:val="0000EE"/>
                  <w:w w:val="93"/>
                </w:rPr>
                <w:t>(12)</w:t>
              </w:r>
            </w:hyperlink>
          </w:p>
        </w:tc>
        <w:tc>
          <w:tcPr>
            <w:tcW w:w="74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Long-term Debt</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43</w:t>
              </w:r>
            </w:hyperlink>
          </w:p>
        </w:tc>
      </w:tr>
      <w:tr>
        <w:trPr>
          <w:trHeight w:val="243"/>
        </w:trPr>
        <w:tc>
          <w:tcPr>
            <w:tcW w:w="1120" w:type="dxa"/>
            <w:vAlign w:val="bottom"/>
          </w:tcPr>
          <w:p>
            <w:pPr>
              <w:spacing w:after="0"/>
              <w:rPr>
                <w:sz w:val="21"/>
                <w:szCs w:val="21"/>
                <w:color w:val="auto"/>
              </w:rPr>
            </w:pPr>
          </w:p>
        </w:tc>
        <w:tc>
          <w:tcPr>
            <w:tcW w:w="720" w:type="dxa"/>
            <w:vAlign w:val="bottom"/>
            <w:gridSpan w:val="2"/>
          </w:tcPr>
          <w:p>
            <w:pPr>
              <w:ind w:left="400"/>
              <w:spacing w:after="0"/>
              <w:rPr>
                <w:rFonts w:ascii="Arial" w:cs="Arial" w:eastAsia="Arial" w:hAnsi="Arial"/>
                <w:sz w:val="18"/>
                <w:szCs w:val="18"/>
                <w:u w:val="single" w:color="auto"/>
                <w:color w:val="0000EE"/>
                <w:w w:val="93"/>
              </w:rPr>
            </w:pPr>
            <w:hyperlink w:anchor="page56">
              <w:r>
                <w:rPr>
                  <w:rFonts w:ascii="Arial" w:cs="Arial" w:eastAsia="Arial" w:hAnsi="Arial"/>
                  <w:sz w:val="18"/>
                  <w:szCs w:val="18"/>
                  <w:u w:val="single" w:color="auto"/>
                  <w:color w:val="0000EE"/>
                  <w:w w:val="93"/>
                </w:rPr>
                <w:t>(13)</w:t>
              </w:r>
            </w:hyperlink>
          </w:p>
        </w:tc>
        <w:tc>
          <w:tcPr>
            <w:tcW w:w="7460" w:type="dxa"/>
            <w:vAlign w:val="bottom"/>
          </w:tcPr>
          <w:p>
            <w:pPr>
              <w:ind w:left="2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Income Taxes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56">
              <w:r>
                <w:rPr>
                  <w:rFonts w:ascii="Arial" w:cs="Arial" w:eastAsia="Arial" w:hAnsi="Arial"/>
                  <w:sz w:val="18"/>
                  <w:szCs w:val="18"/>
                  <w:u w:val="single" w:color="auto"/>
                  <w:color w:val="0000EE"/>
                  <w:w w:val="89"/>
                </w:rPr>
                <w:t>45</w:t>
              </w:r>
            </w:hyperlink>
          </w:p>
        </w:tc>
      </w:tr>
      <w:tr>
        <w:trPr>
          <w:trHeight w:val="27"/>
        </w:trPr>
        <w:tc>
          <w:tcPr>
            <w:tcW w:w="1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00"/>
              <w:spacing w:after="0"/>
              <w:rPr>
                <w:rFonts w:ascii="Arial" w:cs="Arial" w:eastAsia="Arial" w:hAnsi="Arial"/>
                <w:sz w:val="18"/>
                <w:szCs w:val="18"/>
                <w:u w:val="single" w:color="auto"/>
                <w:color w:val="0000EE"/>
                <w:w w:val="93"/>
              </w:rPr>
            </w:pPr>
            <w:hyperlink w:anchor="page57">
              <w:r>
                <w:rPr>
                  <w:rFonts w:ascii="Arial" w:cs="Arial" w:eastAsia="Arial" w:hAnsi="Arial"/>
                  <w:sz w:val="18"/>
                  <w:szCs w:val="18"/>
                  <w:u w:val="single" w:color="auto"/>
                  <w:color w:val="0000EE"/>
                  <w:w w:val="93"/>
                </w:rPr>
                <w:t>(14)</w:t>
              </w:r>
            </w:hyperlink>
          </w:p>
        </w:tc>
        <w:tc>
          <w:tcPr>
            <w:tcW w:w="74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Commitments and Contingencies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57">
              <w:r>
                <w:rPr>
                  <w:rFonts w:ascii="Arial" w:cs="Arial" w:eastAsia="Arial" w:hAnsi="Arial"/>
                  <w:sz w:val="18"/>
                  <w:szCs w:val="18"/>
                  <w:u w:val="single" w:color="auto"/>
                  <w:color w:val="0000EE"/>
                  <w:w w:val="89"/>
                </w:rPr>
                <w:t>46</w:t>
              </w:r>
            </w:hyperlink>
          </w:p>
        </w:tc>
      </w:tr>
      <w:tr>
        <w:trPr>
          <w:trHeight w:val="243"/>
        </w:trPr>
        <w:tc>
          <w:tcPr>
            <w:tcW w:w="1120" w:type="dxa"/>
            <w:vAlign w:val="bottom"/>
          </w:tcPr>
          <w:p>
            <w:pPr>
              <w:spacing w:after="0"/>
              <w:rPr>
                <w:sz w:val="21"/>
                <w:szCs w:val="21"/>
                <w:color w:val="auto"/>
              </w:rPr>
            </w:pPr>
          </w:p>
        </w:tc>
        <w:tc>
          <w:tcPr>
            <w:tcW w:w="720" w:type="dxa"/>
            <w:vAlign w:val="bottom"/>
            <w:gridSpan w:val="2"/>
          </w:tcPr>
          <w:p>
            <w:pPr>
              <w:ind w:left="400"/>
              <w:spacing w:after="0"/>
              <w:rPr>
                <w:rFonts w:ascii="Arial" w:cs="Arial" w:eastAsia="Arial" w:hAnsi="Arial"/>
                <w:sz w:val="18"/>
                <w:szCs w:val="18"/>
                <w:u w:val="single" w:color="auto"/>
                <w:color w:val="0000EE"/>
                <w:w w:val="93"/>
              </w:rPr>
            </w:pPr>
            <w:hyperlink w:anchor="page61">
              <w:r>
                <w:rPr>
                  <w:rFonts w:ascii="Arial" w:cs="Arial" w:eastAsia="Arial" w:hAnsi="Arial"/>
                  <w:sz w:val="18"/>
                  <w:szCs w:val="18"/>
                  <w:u w:val="single" w:color="auto"/>
                  <w:color w:val="0000EE"/>
                  <w:w w:val="93"/>
                </w:rPr>
                <w:t>(15)</w:t>
              </w:r>
            </w:hyperlink>
          </w:p>
        </w:tc>
        <w:tc>
          <w:tcPr>
            <w:tcW w:w="7460" w:type="dxa"/>
            <w:vAlign w:val="bottom"/>
          </w:tcPr>
          <w:p>
            <w:pPr>
              <w:ind w:left="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Earnings Per Share</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61">
              <w:r>
                <w:rPr>
                  <w:rFonts w:ascii="Arial" w:cs="Arial" w:eastAsia="Arial" w:hAnsi="Arial"/>
                  <w:sz w:val="18"/>
                  <w:szCs w:val="18"/>
                  <w:u w:val="single" w:color="auto"/>
                  <w:color w:val="0000EE"/>
                  <w:w w:val="89"/>
                </w:rPr>
                <w:t>50</w:t>
              </w:r>
            </w:hyperlink>
          </w:p>
        </w:tc>
      </w:tr>
      <w:tr>
        <w:trPr>
          <w:trHeight w:val="27"/>
        </w:trPr>
        <w:tc>
          <w:tcPr>
            <w:tcW w:w="1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00"/>
              <w:spacing w:after="0"/>
              <w:rPr>
                <w:rFonts w:ascii="Arial" w:cs="Arial" w:eastAsia="Arial" w:hAnsi="Arial"/>
                <w:sz w:val="18"/>
                <w:szCs w:val="18"/>
                <w:u w:val="single" w:color="auto"/>
                <w:color w:val="0000EE"/>
                <w:w w:val="93"/>
              </w:rPr>
            </w:pPr>
            <w:hyperlink w:anchor="page64">
              <w:r>
                <w:rPr>
                  <w:rFonts w:ascii="Arial" w:cs="Arial" w:eastAsia="Arial" w:hAnsi="Arial"/>
                  <w:sz w:val="18"/>
                  <w:szCs w:val="18"/>
                  <w:u w:val="single" w:color="auto"/>
                  <w:color w:val="0000EE"/>
                  <w:w w:val="93"/>
                </w:rPr>
                <w:t>(16)</w:t>
              </w:r>
            </w:hyperlink>
          </w:p>
        </w:tc>
        <w:tc>
          <w:tcPr>
            <w:tcW w:w="74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Reportable Segments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64">
              <w:r>
                <w:rPr>
                  <w:rFonts w:ascii="Arial" w:cs="Arial" w:eastAsia="Arial" w:hAnsi="Arial"/>
                  <w:sz w:val="18"/>
                  <w:szCs w:val="18"/>
                  <w:u w:val="single" w:color="auto"/>
                  <w:color w:val="0000EE"/>
                  <w:w w:val="89"/>
                </w:rPr>
                <w:t>53</w:t>
              </w:r>
            </w:hyperlink>
          </w:p>
        </w:tc>
      </w:tr>
      <w:tr>
        <w:trPr>
          <w:trHeight w:val="243"/>
        </w:trPr>
        <w:tc>
          <w:tcPr>
            <w:tcW w:w="1120" w:type="dxa"/>
            <w:vAlign w:val="bottom"/>
          </w:tcPr>
          <w:p>
            <w:pPr>
              <w:spacing w:after="0"/>
              <w:rPr>
                <w:sz w:val="21"/>
                <w:szCs w:val="21"/>
                <w:color w:val="auto"/>
              </w:rPr>
            </w:pPr>
          </w:p>
        </w:tc>
        <w:tc>
          <w:tcPr>
            <w:tcW w:w="720" w:type="dxa"/>
            <w:vAlign w:val="bottom"/>
            <w:gridSpan w:val="2"/>
          </w:tcPr>
          <w:p>
            <w:pPr>
              <w:ind w:left="400"/>
              <w:spacing w:after="0"/>
              <w:rPr>
                <w:rFonts w:ascii="Arial" w:cs="Arial" w:eastAsia="Arial" w:hAnsi="Arial"/>
                <w:sz w:val="18"/>
                <w:szCs w:val="18"/>
                <w:u w:val="single" w:color="auto"/>
                <w:color w:val="0000EE"/>
                <w:w w:val="93"/>
              </w:rPr>
            </w:pPr>
            <w:hyperlink w:anchor="page68">
              <w:r>
                <w:rPr>
                  <w:rFonts w:ascii="Arial" w:cs="Arial" w:eastAsia="Arial" w:hAnsi="Arial"/>
                  <w:sz w:val="18"/>
                  <w:szCs w:val="18"/>
                  <w:u w:val="single" w:color="auto"/>
                  <w:color w:val="0000EE"/>
                  <w:w w:val="93"/>
                </w:rPr>
                <w:t>(17)</w:t>
              </w:r>
            </w:hyperlink>
          </w:p>
        </w:tc>
        <w:tc>
          <w:tcPr>
            <w:tcW w:w="7460" w:type="dxa"/>
            <w:vAlign w:val="bottom"/>
          </w:tcPr>
          <w:p>
            <w:pPr>
              <w:ind w:left="2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Supplemental Disclosure of Cash Flow Information</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68">
              <w:r>
                <w:rPr>
                  <w:rFonts w:ascii="Arial" w:cs="Arial" w:eastAsia="Arial" w:hAnsi="Arial"/>
                  <w:sz w:val="18"/>
                  <w:szCs w:val="18"/>
                  <w:u w:val="single" w:color="auto"/>
                  <w:color w:val="0000EE"/>
                  <w:w w:val="89"/>
                </w:rPr>
                <w:t>57</w:t>
              </w:r>
            </w:hyperlink>
          </w:p>
        </w:tc>
      </w:tr>
      <w:tr>
        <w:trPr>
          <w:trHeight w:val="27"/>
        </w:trPr>
        <w:tc>
          <w:tcPr>
            <w:tcW w:w="1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00"/>
              <w:spacing w:after="0"/>
              <w:rPr>
                <w:rFonts w:ascii="Arial" w:cs="Arial" w:eastAsia="Arial" w:hAnsi="Arial"/>
                <w:sz w:val="18"/>
                <w:szCs w:val="18"/>
                <w:u w:val="single" w:color="auto"/>
                <w:color w:val="0000EE"/>
                <w:w w:val="93"/>
              </w:rPr>
            </w:pPr>
            <w:hyperlink w:anchor="page68">
              <w:r>
                <w:rPr>
                  <w:rFonts w:ascii="Arial" w:cs="Arial" w:eastAsia="Arial" w:hAnsi="Arial"/>
                  <w:sz w:val="18"/>
                  <w:szCs w:val="18"/>
                  <w:u w:val="single" w:color="auto"/>
                  <w:color w:val="0000EE"/>
                  <w:w w:val="93"/>
                </w:rPr>
                <w:t>(18)</w:t>
              </w:r>
            </w:hyperlink>
          </w:p>
        </w:tc>
        <w:tc>
          <w:tcPr>
            <w:tcW w:w="74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Related Party Transactions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68">
              <w:r>
                <w:rPr>
                  <w:rFonts w:ascii="Arial" w:cs="Arial" w:eastAsia="Arial" w:hAnsi="Arial"/>
                  <w:sz w:val="18"/>
                  <w:szCs w:val="18"/>
                  <w:u w:val="single" w:color="auto"/>
                  <w:color w:val="0000EE"/>
                  <w:w w:val="89"/>
                </w:rPr>
                <w:t>57</w:t>
              </w:r>
            </w:hyperlink>
          </w:p>
        </w:tc>
      </w:tr>
      <w:tr>
        <w:trPr>
          <w:trHeight w:val="243"/>
        </w:trPr>
        <w:tc>
          <w:tcPr>
            <w:tcW w:w="1120" w:type="dxa"/>
            <w:vAlign w:val="bottom"/>
          </w:tcPr>
          <w:p>
            <w:pPr>
              <w:spacing w:after="0"/>
              <w:rPr>
                <w:sz w:val="21"/>
                <w:szCs w:val="21"/>
                <w:color w:val="auto"/>
              </w:rPr>
            </w:pPr>
          </w:p>
        </w:tc>
        <w:tc>
          <w:tcPr>
            <w:tcW w:w="720" w:type="dxa"/>
            <w:vAlign w:val="bottom"/>
            <w:gridSpan w:val="2"/>
          </w:tcPr>
          <w:p>
            <w:pPr>
              <w:ind w:left="400"/>
              <w:spacing w:after="0"/>
              <w:rPr>
                <w:rFonts w:ascii="Arial" w:cs="Arial" w:eastAsia="Arial" w:hAnsi="Arial"/>
                <w:sz w:val="18"/>
                <w:szCs w:val="18"/>
                <w:u w:val="single" w:color="auto"/>
                <w:color w:val="0000EE"/>
                <w:w w:val="93"/>
              </w:rPr>
            </w:pPr>
            <w:hyperlink w:anchor="page70">
              <w:r>
                <w:rPr>
                  <w:rFonts w:ascii="Arial" w:cs="Arial" w:eastAsia="Arial" w:hAnsi="Arial"/>
                  <w:sz w:val="18"/>
                  <w:szCs w:val="18"/>
                  <w:u w:val="single" w:color="auto"/>
                  <w:color w:val="0000EE"/>
                  <w:w w:val="93"/>
                </w:rPr>
                <w:t>(19)</w:t>
              </w:r>
            </w:hyperlink>
          </w:p>
        </w:tc>
        <w:tc>
          <w:tcPr>
            <w:tcW w:w="7460" w:type="dxa"/>
            <w:vAlign w:val="bottom"/>
          </w:tcPr>
          <w:p>
            <w:pPr>
              <w:ind w:left="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Equity</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70">
              <w:r>
                <w:rPr>
                  <w:rFonts w:ascii="Arial" w:cs="Arial" w:eastAsia="Arial" w:hAnsi="Arial"/>
                  <w:sz w:val="18"/>
                  <w:szCs w:val="18"/>
                  <w:u w:val="single" w:color="auto"/>
                  <w:color w:val="0000EE"/>
                  <w:w w:val="89"/>
                </w:rPr>
                <w:t>59</w:t>
              </w:r>
            </w:hyperlink>
          </w:p>
        </w:tc>
      </w:tr>
      <w:tr>
        <w:trPr>
          <w:trHeight w:val="27"/>
        </w:trPr>
        <w:tc>
          <w:tcPr>
            <w:tcW w:w="1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00"/>
              <w:spacing w:after="0"/>
              <w:rPr>
                <w:rFonts w:ascii="Arial" w:cs="Arial" w:eastAsia="Arial" w:hAnsi="Arial"/>
                <w:sz w:val="18"/>
                <w:szCs w:val="18"/>
                <w:u w:val="single" w:color="auto"/>
                <w:color w:val="0000EE"/>
                <w:w w:val="93"/>
              </w:rPr>
            </w:pPr>
            <w:hyperlink w:anchor="page73">
              <w:r>
                <w:rPr>
                  <w:rFonts w:ascii="Arial" w:cs="Arial" w:eastAsia="Arial" w:hAnsi="Arial"/>
                  <w:sz w:val="18"/>
                  <w:szCs w:val="18"/>
                  <w:u w:val="single" w:color="auto"/>
                  <w:color w:val="0000EE"/>
                  <w:w w:val="93"/>
                </w:rPr>
                <w:t>(20)</w:t>
              </w:r>
            </w:hyperlink>
          </w:p>
        </w:tc>
        <w:tc>
          <w:tcPr>
            <w:tcW w:w="74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Subsequent Events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73">
              <w:r>
                <w:rPr>
                  <w:rFonts w:ascii="Arial" w:cs="Arial" w:eastAsia="Arial" w:hAnsi="Arial"/>
                  <w:sz w:val="18"/>
                  <w:szCs w:val="18"/>
                  <w:u w:val="single" w:color="auto"/>
                  <w:color w:val="0000EE"/>
                  <w:w w:val="89"/>
                </w:rPr>
                <w:t>62</w:t>
              </w:r>
            </w:hyperlink>
          </w:p>
        </w:tc>
      </w:tr>
      <w:tr>
        <w:trPr>
          <w:trHeight w:val="243"/>
        </w:trPr>
        <w:tc>
          <w:tcPr>
            <w:tcW w:w="1120" w:type="dxa"/>
            <w:vAlign w:val="bottom"/>
          </w:tcPr>
          <w:p>
            <w:pPr>
              <w:ind w:left="320"/>
              <w:spacing w:after="0"/>
              <w:rPr>
                <w:sz w:val="20"/>
                <w:szCs w:val="20"/>
                <w:color w:val="auto"/>
              </w:rPr>
            </w:pPr>
            <w:r>
              <w:rPr>
                <w:rFonts w:ascii="Arial" w:cs="Arial" w:eastAsia="Arial" w:hAnsi="Arial"/>
                <w:sz w:val="18"/>
                <w:szCs w:val="18"/>
                <w:color w:val="auto"/>
              </w:rPr>
              <w:t>Item 2.</w:t>
            </w:r>
          </w:p>
        </w:tc>
        <w:tc>
          <w:tcPr>
            <w:tcW w:w="8180" w:type="dxa"/>
            <w:vAlign w:val="bottom"/>
            <w:gridSpan w:val="3"/>
          </w:tcPr>
          <w:p>
            <w:pPr>
              <w:ind w:left="16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Management’s Discussion and Analysis of Financial Condition and Results of Operations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74">
              <w:r>
                <w:rPr>
                  <w:rFonts w:ascii="Arial" w:cs="Arial" w:eastAsia="Arial" w:hAnsi="Arial"/>
                  <w:sz w:val="18"/>
                  <w:szCs w:val="18"/>
                  <w:u w:val="single" w:color="auto"/>
                  <w:color w:val="0000EE"/>
                  <w:w w:val="89"/>
                </w:rPr>
                <w:t>63</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ind w:left="40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Recent Events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74">
              <w:r>
                <w:rPr>
                  <w:rFonts w:ascii="Arial" w:cs="Arial" w:eastAsia="Arial" w:hAnsi="Arial"/>
                  <w:sz w:val="18"/>
                  <w:szCs w:val="18"/>
                  <w:u w:val="single" w:color="auto"/>
                  <w:color w:val="0000EE"/>
                  <w:w w:val="89"/>
                </w:rPr>
                <w:t>63</w:t>
              </w:r>
            </w:hyperlink>
          </w:p>
        </w:tc>
      </w:tr>
      <w:tr>
        <w:trPr>
          <w:trHeight w:val="243"/>
        </w:trPr>
        <w:tc>
          <w:tcPr>
            <w:tcW w:w="1120" w:type="dxa"/>
            <w:vAlign w:val="bottom"/>
          </w:tcPr>
          <w:p>
            <w:pPr>
              <w:spacing w:after="0"/>
              <w:rPr>
                <w:sz w:val="21"/>
                <w:szCs w:val="21"/>
                <w:color w:val="auto"/>
              </w:rPr>
            </w:pPr>
          </w:p>
        </w:tc>
        <w:tc>
          <w:tcPr>
            <w:tcW w:w="8180" w:type="dxa"/>
            <w:vAlign w:val="bottom"/>
            <w:gridSpan w:val="3"/>
          </w:tcPr>
          <w:p>
            <w:pPr>
              <w:ind w:left="40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Consolidated Results of Operations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77">
              <w:r>
                <w:rPr>
                  <w:rFonts w:ascii="Arial" w:cs="Arial" w:eastAsia="Arial" w:hAnsi="Arial"/>
                  <w:sz w:val="18"/>
                  <w:szCs w:val="18"/>
                  <w:u w:val="single" w:color="auto"/>
                  <w:color w:val="0000EE"/>
                  <w:w w:val="89"/>
                </w:rPr>
                <w:t>66</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ind w:left="40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Results of Operations by Reportable Segment</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81">
              <w:r>
                <w:rPr>
                  <w:rFonts w:ascii="Arial" w:cs="Arial" w:eastAsia="Arial" w:hAnsi="Arial"/>
                  <w:sz w:val="18"/>
                  <w:szCs w:val="18"/>
                  <w:u w:val="single" w:color="auto"/>
                  <w:color w:val="0000EE"/>
                  <w:w w:val="89"/>
                </w:rPr>
                <w:t>70</w:t>
              </w:r>
            </w:hyperlink>
          </w:p>
        </w:tc>
      </w:tr>
      <w:tr>
        <w:trPr>
          <w:trHeight w:val="243"/>
        </w:trPr>
        <w:tc>
          <w:tcPr>
            <w:tcW w:w="1120" w:type="dxa"/>
            <w:vAlign w:val="bottom"/>
          </w:tcPr>
          <w:p>
            <w:pPr>
              <w:spacing w:after="0"/>
              <w:rPr>
                <w:sz w:val="21"/>
                <w:szCs w:val="21"/>
                <w:color w:val="auto"/>
              </w:rPr>
            </w:pPr>
          </w:p>
        </w:tc>
        <w:tc>
          <w:tcPr>
            <w:tcW w:w="8180" w:type="dxa"/>
            <w:vAlign w:val="bottom"/>
            <w:gridSpan w:val="3"/>
          </w:tcPr>
          <w:p>
            <w:pPr>
              <w:ind w:left="40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Certain Factors Affecting Future Earnings</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94">
              <w:r>
                <w:rPr>
                  <w:rFonts w:ascii="Arial" w:cs="Arial" w:eastAsia="Arial" w:hAnsi="Arial"/>
                  <w:sz w:val="18"/>
                  <w:szCs w:val="18"/>
                  <w:u w:val="single" w:color="auto"/>
                  <w:color w:val="0000EE"/>
                  <w:w w:val="89"/>
                </w:rPr>
                <w:t>83</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ind w:left="40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Liquidity and Capital Resources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9"/>
              </w:rPr>
            </w:pPr>
            <w:hyperlink w:anchor="page95">
              <w:r>
                <w:rPr>
                  <w:rFonts w:ascii="Arial" w:cs="Arial" w:eastAsia="Arial" w:hAnsi="Arial"/>
                  <w:sz w:val="18"/>
                  <w:szCs w:val="18"/>
                  <w:u w:val="single" w:color="auto"/>
                  <w:color w:val="0000EE"/>
                  <w:w w:val="89"/>
                </w:rPr>
                <w:t>84</w:t>
              </w:r>
            </w:hyperlink>
          </w:p>
        </w:tc>
      </w:tr>
      <w:tr>
        <w:trPr>
          <w:trHeight w:val="243"/>
        </w:trPr>
        <w:tc>
          <w:tcPr>
            <w:tcW w:w="1120" w:type="dxa"/>
            <w:vAlign w:val="bottom"/>
          </w:tcPr>
          <w:p>
            <w:pPr>
              <w:ind w:left="320"/>
              <w:spacing w:after="0"/>
              <w:rPr>
                <w:sz w:val="20"/>
                <w:szCs w:val="20"/>
                <w:color w:val="auto"/>
              </w:rPr>
            </w:pPr>
            <w:r>
              <w:rPr>
                <w:rFonts w:ascii="Arial" w:cs="Arial" w:eastAsia="Arial" w:hAnsi="Arial"/>
                <w:sz w:val="18"/>
                <w:szCs w:val="18"/>
                <w:color w:val="auto"/>
              </w:rPr>
              <w:t>Item 3.</w:t>
            </w:r>
          </w:p>
        </w:tc>
        <w:tc>
          <w:tcPr>
            <w:tcW w:w="8180" w:type="dxa"/>
            <w:vAlign w:val="bottom"/>
            <w:gridSpan w:val="3"/>
          </w:tcPr>
          <w:p>
            <w:pPr>
              <w:ind w:left="16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Quantitative and Qualitative Disclosures about Market Risk</w:t>
              </w:r>
            </w:hyperlink>
          </w:p>
        </w:tc>
        <w:tc>
          <w:tcPr>
            <w:tcW w:w="1920" w:type="dxa"/>
            <w:vAlign w:val="bottom"/>
          </w:tcPr>
          <w:p>
            <w:pPr>
              <w:jc w:val="center"/>
              <w:ind w:left="1370"/>
              <w:spacing w:after="0"/>
              <w:rPr>
                <w:rFonts w:ascii="Arial" w:cs="Arial" w:eastAsia="Arial" w:hAnsi="Arial"/>
                <w:sz w:val="18"/>
                <w:szCs w:val="18"/>
                <w:u w:val="single" w:color="auto"/>
                <w:color w:val="0000EE"/>
                <w:w w:val="89"/>
              </w:rPr>
            </w:pPr>
            <w:hyperlink w:anchor="page110">
              <w:r>
                <w:rPr>
                  <w:rFonts w:ascii="Arial" w:cs="Arial" w:eastAsia="Arial" w:hAnsi="Arial"/>
                  <w:sz w:val="18"/>
                  <w:szCs w:val="18"/>
                  <w:u w:val="single" w:color="auto"/>
                  <w:color w:val="0000EE"/>
                  <w:w w:val="89"/>
                </w:rPr>
                <w:t>99</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Item 4.</w:t>
            </w:r>
          </w:p>
        </w:tc>
        <w:tc>
          <w:tcPr>
            <w:tcW w:w="8180" w:type="dxa"/>
            <w:vAlign w:val="bottom"/>
            <w:tcBorders>
              <w:bottom w:val="single" w:sz="8" w:color="CCEEFF"/>
            </w:tcBorders>
            <w:gridSpan w:val="3"/>
            <w:shd w:val="clear" w:color="auto" w:fill="CCEEFF"/>
          </w:tcPr>
          <w:p>
            <w:pPr>
              <w:ind w:left="16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Controls and Procedures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6"/>
              </w:rPr>
            </w:pPr>
            <w:hyperlink w:anchor="page111">
              <w:r>
                <w:rPr>
                  <w:rFonts w:ascii="Arial" w:cs="Arial" w:eastAsia="Arial" w:hAnsi="Arial"/>
                  <w:sz w:val="18"/>
                  <w:szCs w:val="18"/>
                  <w:u w:val="single" w:color="auto"/>
                  <w:color w:val="0000EE"/>
                  <w:w w:val="86"/>
                </w:rPr>
                <w:t>100</w:t>
              </w:r>
            </w:hyperlink>
          </w:p>
        </w:tc>
      </w:tr>
      <w:tr>
        <w:trPr>
          <w:trHeight w:val="270"/>
        </w:trPr>
        <w:tc>
          <w:tcPr>
            <w:tcW w:w="1120" w:type="dxa"/>
            <w:vAlign w:val="bottom"/>
          </w:tcPr>
          <w:p>
            <w:pPr>
              <w:spacing w:after="0"/>
              <w:rPr>
                <w:sz w:val="23"/>
                <w:szCs w:val="23"/>
                <w:color w:val="auto"/>
              </w:rPr>
            </w:pPr>
          </w:p>
        </w:tc>
        <w:tc>
          <w:tcPr>
            <w:tcW w:w="8180" w:type="dxa"/>
            <w:vAlign w:val="bottom"/>
            <w:gridSpan w:val="3"/>
          </w:tcPr>
          <w:p>
            <w:pPr>
              <w:spacing w:after="0"/>
              <w:rPr>
                <w:sz w:val="23"/>
                <w:szCs w:val="23"/>
                <w:color w:val="auto"/>
              </w:rPr>
            </w:pPr>
          </w:p>
        </w:tc>
        <w:tc>
          <w:tcPr>
            <w:tcW w:w="1920" w:type="dxa"/>
            <w:vAlign w:val="bottom"/>
          </w:tcPr>
          <w:p>
            <w:pPr>
              <w:spacing w:after="0"/>
              <w:rPr>
                <w:sz w:val="23"/>
                <w:szCs w:val="23"/>
                <w:color w:val="auto"/>
              </w:rPr>
            </w:pPr>
          </w:p>
        </w:tc>
      </w:tr>
      <w:tr>
        <w:trPr>
          <w:trHeight w:val="250"/>
        </w:trPr>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 II.</w:t>
            </w:r>
          </w:p>
        </w:tc>
        <w:tc>
          <w:tcPr>
            <w:tcW w:w="81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OTHER INFORMATION</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1120" w:type="dxa"/>
            <w:vAlign w:val="bottom"/>
          </w:tcPr>
          <w:p>
            <w:pPr>
              <w:ind w:left="320"/>
              <w:spacing w:after="0"/>
              <w:rPr>
                <w:sz w:val="20"/>
                <w:szCs w:val="20"/>
                <w:color w:val="auto"/>
              </w:rPr>
            </w:pPr>
            <w:r>
              <w:rPr>
                <w:rFonts w:ascii="Arial" w:cs="Arial" w:eastAsia="Arial" w:hAnsi="Arial"/>
                <w:sz w:val="18"/>
                <w:szCs w:val="18"/>
                <w:color w:val="auto"/>
              </w:rPr>
              <w:t>Item 1.</w:t>
            </w:r>
          </w:p>
        </w:tc>
        <w:tc>
          <w:tcPr>
            <w:tcW w:w="8180" w:type="dxa"/>
            <w:vAlign w:val="bottom"/>
            <w:gridSpan w:val="3"/>
          </w:tcPr>
          <w:p>
            <w:pPr>
              <w:ind w:left="16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Legal Proceedings</w:t>
              </w:r>
            </w:hyperlink>
          </w:p>
        </w:tc>
        <w:tc>
          <w:tcPr>
            <w:tcW w:w="1920" w:type="dxa"/>
            <w:vAlign w:val="bottom"/>
          </w:tcPr>
          <w:p>
            <w:pPr>
              <w:jc w:val="center"/>
              <w:ind w:left="1370"/>
              <w:spacing w:after="0"/>
              <w:rPr>
                <w:rFonts w:ascii="Arial" w:cs="Arial" w:eastAsia="Arial" w:hAnsi="Arial"/>
                <w:sz w:val="18"/>
                <w:szCs w:val="18"/>
                <w:u w:val="single" w:color="auto"/>
                <w:color w:val="0000EE"/>
                <w:w w:val="86"/>
              </w:rPr>
            </w:pPr>
            <w:hyperlink w:anchor="page112">
              <w:r>
                <w:rPr>
                  <w:rFonts w:ascii="Arial" w:cs="Arial" w:eastAsia="Arial" w:hAnsi="Arial"/>
                  <w:sz w:val="18"/>
                  <w:szCs w:val="18"/>
                  <w:u w:val="single" w:color="auto"/>
                  <w:color w:val="0000EE"/>
                  <w:w w:val="86"/>
                </w:rPr>
                <w:t>101</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Item 1A.</w:t>
            </w:r>
          </w:p>
        </w:tc>
        <w:tc>
          <w:tcPr>
            <w:tcW w:w="8180" w:type="dxa"/>
            <w:vAlign w:val="bottom"/>
            <w:tcBorders>
              <w:bottom w:val="single" w:sz="8" w:color="CCEEFF"/>
            </w:tcBorders>
            <w:gridSpan w:val="3"/>
            <w:shd w:val="clear" w:color="auto" w:fill="CCEEFF"/>
          </w:tcPr>
          <w:p>
            <w:pPr>
              <w:ind w:left="16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Risk Factors</w:t>
              </w:r>
            </w:hyperlink>
          </w:p>
        </w:tc>
        <w:tc>
          <w:tcPr>
            <w:tcW w:w="1920" w:type="dxa"/>
            <w:vAlign w:val="bottom"/>
            <w:tcBorders>
              <w:bottom w:val="single" w:sz="8" w:color="CCEEFF"/>
            </w:tcBorders>
            <w:shd w:val="clear" w:color="auto" w:fill="CCEEFF"/>
          </w:tcPr>
          <w:p>
            <w:pPr>
              <w:jc w:val="center"/>
              <w:ind w:left="1370"/>
              <w:spacing w:after="0"/>
              <w:rPr>
                <w:rFonts w:ascii="Arial" w:cs="Arial" w:eastAsia="Arial" w:hAnsi="Arial"/>
                <w:sz w:val="18"/>
                <w:szCs w:val="18"/>
                <w:u w:val="single" w:color="auto"/>
                <w:color w:val="0000EE"/>
                <w:w w:val="86"/>
              </w:rPr>
            </w:pPr>
            <w:hyperlink w:anchor="page112">
              <w:r>
                <w:rPr>
                  <w:rFonts w:ascii="Arial" w:cs="Arial" w:eastAsia="Arial" w:hAnsi="Arial"/>
                  <w:sz w:val="18"/>
                  <w:szCs w:val="18"/>
                  <w:u w:val="single" w:color="auto"/>
                  <w:color w:val="0000EE"/>
                  <w:w w:val="86"/>
                </w:rPr>
                <w:t>101</w:t>
              </w:r>
            </w:hyperlink>
          </w:p>
        </w:tc>
      </w:tr>
      <w:tr>
        <w:trPr>
          <w:trHeight w:val="243"/>
        </w:trPr>
        <w:tc>
          <w:tcPr>
            <w:tcW w:w="1120" w:type="dxa"/>
            <w:vAlign w:val="bottom"/>
          </w:tcPr>
          <w:p>
            <w:pPr>
              <w:ind w:left="320"/>
              <w:spacing w:after="0"/>
              <w:rPr>
                <w:sz w:val="20"/>
                <w:szCs w:val="20"/>
                <w:color w:val="auto"/>
              </w:rPr>
            </w:pPr>
            <w:r>
              <w:rPr>
                <w:rFonts w:ascii="Arial" w:cs="Arial" w:eastAsia="Arial" w:hAnsi="Arial"/>
                <w:sz w:val="18"/>
                <w:szCs w:val="18"/>
                <w:color w:val="auto"/>
              </w:rPr>
              <w:t>Item 6.</w:t>
            </w:r>
          </w:p>
        </w:tc>
        <w:tc>
          <w:tcPr>
            <w:tcW w:w="8180" w:type="dxa"/>
            <w:vAlign w:val="bottom"/>
            <w:gridSpan w:val="3"/>
          </w:tcPr>
          <w:p>
            <w:pPr>
              <w:ind w:left="16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Exhibits</w:t>
              </w:r>
            </w:hyperlink>
          </w:p>
        </w:tc>
        <w:tc>
          <w:tcPr>
            <w:tcW w:w="1920" w:type="dxa"/>
            <w:vAlign w:val="bottom"/>
          </w:tcPr>
          <w:p>
            <w:pPr>
              <w:jc w:val="center"/>
              <w:ind w:left="1370"/>
              <w:spacing w:after="0"/>
              <w:rPr>
                <w:rFonts w:ascii="Arial" w:cs="Arial" w:eastAsia="Arial" w:hAnsi="Arial"/>
                <w:sz w:val="18"/>
                <w:szCs w:val="18"/>
                <w:u w:val="single" w:color="auto"/>
                <w:color w:val="0000EE"/>
                <w:w w:val="86"/>
              </w:rPr>
            </w:pPr>
            <w:hyperlink w:anchor="page114">
              <w:r>
                <w:rPr>
                  <w:rFonts w:ascii="Arial" w:cs="Arial" w:eastAsia="Arial" w:hAnsi="Arial"/>
                  <w:sz w:val="18"/>
                  <w:szCs w:val="18"/>
                  <w:u w:val="single" w:color="auto"/>
                  <w:color w:val="0000EE"/>
                  <w:w w:val="86"/>
                </w:rPr>
                <w:t>103</w:t>
              </w:r>
            </w:hyperlink>
          </w:p>
        </w:tc>
      </w:tr>
      <w:tr>
        <w:trPr>
          <w:trHeight w:val="27"/>
        </w:trPr>
        <w:tc>
          <w:tcPr>
            <w:tcW w:w="1120" w:type="dxa"/>
            <w:vAlign w:val="bottom"/>
          </w:tcPr>
          <w:p>
            <w:pPr>
              <w:spacing w:after="0"/>
              <w:rPr>
                <w:sz w:val="2"/>
                <w:szCs w:val="2"/>
                <w:color w:val="auto"/>
              </w:rPr>
            </w:pPr>
          </w:p>
        </w:tc>
        <w:tc>
          <w:tcPr>
            <w:tcW w:w="8180" w:type="dxa"/>
            <w:vAlign w:val="bottom"/>
            <w:gridSpan w:val="3"/>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1120" w:type="dxa"/>
            <w:vAlign w:val="bottom"/>
            <w:shd w:val="clear" w:color="auto" w:fill="CCEEFF"/>
          </w:tcPr>
          <w:p>
            <w:pPr>
              <w:spacing w:after="0"/>
              <w:rPr>
                <w:sz w:val="21"/>
                <w:szCs w:val="21"/>
                <w:color w:val="auto"/>
              </w:rPr>
            </w:pPr>
          </w:p>
        </w:tc>
        <w:tc>
          <w:tcPr>
            <w:tcW w:w="8180" w:type="dxa"/>
            <w:vAlign w:val="bottom"/>
            <w:gridSpan w:val="3"/>
            <w:shd w:val="clear" w:color="auto" w:fill="CCEEFF"/>
          </w:tcPr>
          <w:p>
            <w:pPr>
              <w:ind w:left="160"/>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Signatures</w:t>
              </w:r>
            </w:hyperlink>
          </w:p>
        </w:tc>
        <w:tc>
          <w:tcPr>
            <w:tcW w:w="1920" w:type="dxa"/>
            <w:vAlign w:val="bottom"/>
            <w:shd w:val="clear" w:color="auto" w:fill="CCEEFF"/>
          </w:tcPr>
          <w:p>
            <w:pPr>
              <w:jc w:val="center"/>
              <w:ind w:left="1370"/>
              <w:spacing w:after="0"/>
              <w:rPr>
                <w:rFonts w:ascii="Arial" w:cs="Arial" w:eastAsia="Arial" w:hAnsi="Arial"/>
                <w:sz w:val="18"/>
                <w:szCs w:val="18"/>
                <w:u w:val="single" w:color="auto"/>
                <w:color w:val="0000EE"/>
                <w:w w:val="86"/>
              </w:rPr>
            </w:pPr>
            <w:hyperlink w:anchor="page119">
              <w:r>
                <w:rPr>
                  <w:rFonts w:ascii="Arial" w:cs="Arial" w:eastAsia="Arial" w:hAnsi="Arial"/>
                  <w:sz w:val="18"/>
                  <w:szCs w:val="18"/>
                  <w:u w:val="single" w:color="auto"/>
                  <w:color w:val="0000EE"/>
                  <w:w w:val="86"/>
                </w:rPr>
                <w:t>108</w:t>
              </w:r>
            </w:hyperlink>
          </w:p>
        </w:tc>
      </w:tr>
      <w:tr>
        <w:trPr>
          <w:trHeight w:val="27"/>
        </w:trPr>
        <w:tc>
          <w:tcPr>
            <w:tcW w:w="1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337"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7760" w:type="dxa"/>
            <w:vAlign w:val="bottom"/>
          </w:tcPr>
          <w:p>
            <w:pPr>
              <w:ind w:left="1700"/>
              <w:spacing w:after="0"/>
              <w:rPr>
                <w:sz w:val="20"/>
                <w:szCs w:val="20"/>
                <w:color w:val="auto"/>
              </w:rPr>
            </w:pPr>
            <w:r>
              <w:rPr>
                <w:rFonts w:ascii="Arial" w:cs="Arial" w:eastAsia="Arial" w:hAnsi="Arial"/>
                <w:sz w:val="18"/>
                <w:szCs w:val="18"/>
                <w:b w:val="1"/>
                <w:bCs w:val="1"/>
                <w:i w:val="1"/>
                <w:iCs w:val="1"/>
                <w:color w:val="auto"/>
              </w:rPr>
              <w:t>GLOSSARY</w:t>
            </w:r>
          </w:p>
        </w:tc>
      </w:tr>
      <w:tr>
        <w:trPr>
          <w:trHeight w:val="27"/>
        </w:trPr>
        <w:tc>
          <w:tcPr>
            <w:tcW w:w="342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r>
      <w:tr>
        <w:trPr>
          <w:trHeight w:val="243"/>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ACE</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Affordable Clean Energy</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ADFIT</w:t>
            </w:r>
          </w:p>
        </w:tc>
        <w:tc>
          <w:tcPr>
            <w:tcW w:w="7760" w:type="dxa"/>
            <w:vAlign w:val="bottom"/>
          </w:tcPr>
          <w:p>
            <w:pPr>
              <w:ind w:left="1200"/>
              <w:spacing w:after="0"/>
              <w:rPr>
                <w:sz w:val="20"/>
                <w:szCs w:val="20"/>
                <w:color w:val="auto"/>
              </w:rPr>
            </w:pPr>
            <w:r>
              <w:rPr>
                <w:rFonts w:ascii="Arial" w:cs="Arial" w:eastAsia="Arial" w:hAnsi="Arial"/>
                <w:sz w:val="18"/>
                <w:szCs w:val="18"/>
                <w:color w:val="auto"/>
              </w:rPr>
              <w:t>Accumulated deferred federal income taxes</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AMA</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Asset Management Agreement</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AMS</w:t>
            </w:r>
          </w:p>
        </w:tc>
        <w:tc>
          <w:tcPr>
            <w:tcW w:w="7760" w:type="dxa"/>
            <w:vAlign w:val="bottom"/>
          </w:tcPr>
          <w:p>
            <w:pPr>
              <w:ind w:left="1200"/>
              <w:spacing w:after="0"/>
              <w:rPr>
                <w:sz w:val="20"/>
                <w:szCs w:val="20"/>
                <w:color w:val="auto"/>
              </w:rPr>
            </w:pPr>
            <w:r>
              <w:rPr>
                <w:rFonts w:ascii="Arial" w:cs="Arial" w:eastAsia="Arial" w:hAnsi="Arial"/>
                <w:sz w:val="18"/>
                <w:szCs w:val="18"/>
                <w:color w:val="auto"/>
              </w:rPr>
              <w:t>Advanced Metering System</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APSC</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Arkansas Public Service Commission</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ARAM</w:t>
            </w:r>
          </w:p>
        </w:tc>
        <w:tc>
          <w:tcPr>
            <w:tcW w:w="7760" w:type="dxa"/>
            <w:vAlign w:val="bottom"/>
          </w:tcPr>
          <w:p>
            <w:pPr>
              <w:ind w:left="1200"/>
              <w:spacing w:after="0"/>
              <w:rPr>
                <w:sz w:val="20"/>
                <w:szCs w:val="20"/>
                <w:color w:val="auto"/>
              </w:rPr>
            </w:pPr>
            <w:r>
              <w:rPr>
                <w:rFonts w:ascii="Arial" w:cs="Arial" w:eastAsia="Arial" w:hAnsi="Arial"/>
                <w:sz w:val="18"/>
                <w:szCs w:val="18"/>
                <w:color w:val="auto"/>
              </w:rPr>
              <w:t>Average rate assumption method</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ARO</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Asset retirement obligation</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ARP</w:t>
            </w:r>
          </w:p>
        </w:tc>
        <w:tc>
          <w:tcPr>
            <w:tcW w:w="7760" w:type="dxa"/>
            <w:vAlign w:val="bottom"/>
          </w:tcPr>
          <w:p>
            <w:pPr>
              <w:ind w:left="1200"/>
              <w:spacing w:after="0"/>
              <w:rPr>
                <w:sz w:val="20"/>
                <w:szCs w:val="20"/>
                <w:color w:val="auto"/>
              </w:rPr>
            </w:pPr>
            <w:r>
              <w:rPr>
                <w:rFonts w:ascii="Arial" w:cs="Arial" w:eastAsia="Arial" w:hAnsi="Arial"/>
                <w:sz w:val="18"/>
                <w:szCs w:val="18"/>
                <w:color w:val="auto"/>
              </w:rPr>
              <w:t>Alternative revenue program</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ASC</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Accounting Standards Codification</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ASU</w:t>
            </w:r>
          </w:p>
        </w:tc>
        <w:tc>
          <w:tcPr>
            <w:tcW w:w="7760" w:type="dxa"/>
            <w:vAlign w:val="bottom"/>
          </w:tcPr>
          <w:p>
            <w:pPr>
              <w:ind w:left="1200"/>
              <w:spacing w:after="0"/>
              <w:rPr>
                <w:sz w:val="20"/>
                <w:szCs w:val="20"/>
                <w:color w:val="auto"/>
              </w:rPr>
            </w:pPr>
            <w:r>
              <w:rPr>
                <w:rFonts w:ascii="Arial" w:cs="Arial" w:eastAsia="Arial" w:hAnsi="Arial"/>
                <w:sz w:val="18"/>
                <w:szCs w:val="18"/>
                <w:color w:val="auto"/>
              </w:rPr>
              <w:t>Accounting Standards Update</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AT&amp;T Common</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AT&amp;T Inc. common stock</w:t>
            </w: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Bailey to Jones Creek Project</w:t>
            </w:r>
          </w:p>
        </w:tc>
        <w:tc>
          <w:tcPr>
            <w:tcW w:w="7760" w:type="dxa"/>
            <w:vAlign w:val="bottom"/>
          </w:tcPr>
          <w:p>
            <w:pPr>
              <w:ind w:left="1200"/>
              <w:spacing w:after="0"/>
              <w:rPr>
                <w:sz w:val="20"/>
                <w:szCs w:val="20"/>
                <w:color w:val="auto"/>
              </w:rPr>
            </w:pPr>
            <w:r>
              <w:rPr>
                <w:rFonts w:ascii="Arial" w:cs="Arial" w:eastAsia="Arial" w:hAnsi="Arial"/>
                <w:sz w:val="18"/>
                <w:szCs w:val="18"/>
                <w:color w:val="auto"/>
                <w:w w:val="91"/>
              </w:rPr>
              <w:t>A transmission project in the greater Freeport, Texas area, which includes enhancements</w:t>
            </w:r>
          </w:p>
        </w:tc>
      </w:tr>
      <w:tr>
        <w:trPr>
          <w:trHeight w:val="216"/>
        </w:trPr>
        <w:tc>
          <w:tcPr>
            <w:tcW w:w="3420" w:type="dxa"/>
            <w:vAlign w:val="bottom"/>
          </w:tcPr>
          <w:p>
            <w:pPr>
              <w:spacing w:after="0"/>
              <w:rPr>
                <w:sz w:val="18"/>
                <w:szCs w:val="18"/>
                <w:color w:val="auto"/>
              </w:rPr>
            </w:pPr>
          </w:p>
        </w:tc>
        <w:tc>
          <w:tcPr>
            <w:tcW w:w="7760" w:type="dxa"/>
            <w:vAlign w:val="bottom"/>
          </w:tcPr>
          <w:p>
            <w:pPr>
              <w:ind w:left="1200"/>
              <w:spacing w:after="0"/>
              <w:rPr>
                <w:sz w:val="20"/>
                <w:szCs w:val="20"/>
                <w:color w:val="auto"/>
              </w:rPr>
            </w:pPr>
            <w:r>
              <w:rPr>
                <w:rFonts w:ascii="Arial" w:cs="Arial" w:eastAsia="Arial" w:hAnsi="Arial"/>
                <w:sz w:val="18"/>
                <w:szCs w:val="18"/>
                <w:color w:val="auto"/>
                <w:w w:val="93"/>
              </w:rPr>
              <w:t>to two existing substations and the construction of a new 345 kV double-circuit line to be</w:t>
            </w:r>
          </w:p>
        </w:tc>
      </w:tr>
      <w:tr>
        <w:trPr>
          <w:trHeight w:val="230"/>
        </w:trPr>
        <w:tc>
          <w:tcPr>
            <w:tcW w:w="3420" w:type="dxa"/>
            <w:vAlign w:val="bottom"/>
          </w:tcPr>
          <w:p>
            <w:pPr>
              <w:spacing w:after="0"/>
              <w:rPr>
                <w:sz w:val="20"/>
                <w:szCs w:val="20"/>
                <w:color w:val="auto"/>
              </w:rPr>
            </w:pPr>
          </w:p>
        </w:tc>
        <w:tc>
          <w:tcPr>
            <w:tcW w:w="7760" w:type="dxa"/>
            <w:vAlign w:val="bottom"/>
          </w:tcPr>
          <w:p>
            <w:pPr>
              <w:ind w:left="1200"/>
              <w:spacing w:after="0"/>
              <w:rPr>
                <w:sz w:val="20"/>
                <w:szCs w:val="20"/>
                <w:color w:val="auto"/>
              </w:rPr>
            </w:pPr>
            <w:r>
              <w:rPr>
                <w:rFonts w:ascii="Arial" w:cs="Arial" w:eastAsia="Arial" w:hAnsi="Arial"/>
                <w:sz w:val="18"/>
                <w:szCs w:val="18"/>
                <w:color w:val="auto"/>
              </w:rPr>
              <w:t>located in the counties of Brazoria, Matagorda and Wharton</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Bcf</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Billion cubic feet</w:t>
            </w: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Bond Companies</w:t>
            </w:r>
          </w:p>
        </w:tc>
        <w:tc>
          <w:tcPr>
            <w:tcW w:w="7760" w:type="dxa"/>
            <w:vAlign w:val="bottom"/>
          </w:tcPr>
          <w:p>
            <w:pPr>
              <w:ind w:left="1200"/>
              <w:spacing w:after="0"/>
              <w:rPr>
                <w:sz w:val="20"/>
                <w:szCs w:val="20"/>
                <w:color w:val="auto"/>
              </w:rPr>
            </w:pPr>
            <w:r>
              <w:rPr>
                <w:rFonts w:ascii="Arial" w:cs="Arial" w:eastAsia="Arial" w:hAnsi="Arial"/>
                <w:sz w:val="18"/>
                <w:szCs w:val="18"/>
                <w:color w:val="auto"/>
              </w:rPr>
              <w:t>Bond Company II, Bond Company III, Bond Company IV and Restoration Bond</w:t>
            </w:r>
          </w:p>
        </w:tc>
      </w:tr>
      <w:tr>
        <w:trPr>
          <w:trHeight w:val="216"/>
        </w:trPr>
        <w:tc>
          <w:tcPr>
            <w:tcW w:w="3420" w:type="dxa"/>
            <w:vAlign w:val="bottom"/>
          </w:tcPr>
          <w:p>
            <w:pPr>
              <w:spacing w:after="0"/>
              <w:rPr>
                <w:sz w:val="18"/>
                <w:szCs w:val="18"/>
                <w:color w:val="auto"/>
              </w:rPr>
            </w:pPr>
          </w:p>
        </w:tc>
        <w:tc>
          <w:tcPr>
            <w:tcW w:w="7760" w:type="dxa"/>
            <w:vAlign w:val="bottom"/>
          </w:tcPr>
          <w:p>
            <w:pPr>
              <w:ind w:left="1200"/>
              <w:spacing w:after="0"/>
              <w:rPr>
                <w:sz w:val="20"/>
                <w:szCs w:val="20"/>
                <w:color w:val="auto"/>
              </w:rPr>
            </w:pPr>
            <w:r>
              <w:rPr>
                <w:rFonts w:ascii="Arial" w:cs="Arial" w:eastAsia="Arial" w:hAnsi="Arial"/>
                <w:sz w:val="18"/>
                <w:szCs w:val="18"/>
                <w:color w:val="auto"/>
                <w:w w:val="93"/>
              </w:rPr>
              <w:t>Company, each a wholly-owned, bankruptcy remote entity formed solely for the purpose</w:t>
            </w:r>
          </w:p>
        </w:tc>
      </w:tr>
      <w:tr>
        <w:trPr>
          <w:trHeight w:val="216"/>
        </w:trPr>
        <w:tc>
          <w:tcPr>
            <w:tcW w:w="3420" w:type="dxa"/>
            <w:vAlign w:val="bottom"/>
          </w:tcPr>
          <w:p>
            <w:pPr>
              <w:spacing w:after="0"/>
              <w:rPr>
                <w:sz w:val="18"/>
                <w:szCs w:val="18"/>
                <w:color w:val="auto"/>
              </w:rPr>
            </w:pPr>
          </w:p>
        </w:tc>
        <w:tc>
          <w:tcPr>
            <w:tcW w:w="7760" w:type="dxa"/>
            <w:vAlign w:val="bottom"/>
          </w:tcPr>
          <w:p>
            <w:pPr>
              <w:ind w:left="1200"/>
              <w:spacing w:after="0"/>
              <w:rPr>
                <w:sz w:val="20"/>
                <w:szCs w:val="20"/>
                <w:color w:val="auto"/>
              </w:rPr>
            </w:pPr>
            <w:r>
              <w:rPr>
                <w:rFonts w:ascii="Arial" w:cs="Arial" w:eastAsia="Arial" w:hAnsi="Arial"/>
                <w:sz w:val="18"/>
                <w:szCs w:val="18"/>
                <w:color w:val="auto"/>
                <w:w w:val="93"/>
              </w:rPr>
              <w:t>of purchasing and owning transition or system restoration property through the issuance</w:t>
            </w:r>
          </w:p>
        </w:tc>
      </w:tr>
      <w:tr>
        <w:trPr>
          <w:trHeight w:val="230"/>
        </w:trPr>
        <w:tc>
          <w:tcPr>
            <w:tcW w:w="3420" w:type="dxa"/>
            <w:vAlign w:val="bottom"/>
          </w:tcPr>
          <w:p>
            <w:pPr>
              <w:spacing w:after="0"/>
              <w:rPr>
                <w:sz w:val="20"/>
                <w:szCs w:val="20"/>
                <w:color w:val="auto"/>
              </w:rPr>
            </w:pPr>
          </w:p>
        </w:tc>
        <w:tc>
          <w:tcPr>
            <w:tcW w:w="7760" w:type="dxa"/>
            <w:vAlign w:val="bottom"/>
          </w:tcPr>
          <w:p>
            <w:pPr>
              <w:ind w:left="1200"/>
              <w:spacing w:after="0"/>
              <w:rPr>
                <w:sz w:val="20"/>
                <w:szCs w:val="20"/>
                <w:color w:val="auto"/>
              </w:rPr>
            </w:pPr>
            <w:r>
              <w:rPr>
                <w:rFonts w:ascii="Arial" w:cs="Arial" w:eastAsia="Arial" w:hAnsi="Arial"/>
                <w:sz w:val="18"/>
                <w:szCs w:val="18"/>
                <w:color w:val="auto"/>
              </w:rPr>
              <w:t>of Securitization Bonds</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Bond Company II</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7"/>
              </w:rPr>
              <w:t>CenterPoint Energy Transition Bond Company II, LLC, a wholly-owned subsidiary of</w:t>
            </w:r>
          </w:p>
        </w:tc>
      </w:tr>
      <w:tr>
        <w:trPr>
          <w:trHeight w:val="237"/>
        </w:trPr>
        <w:tc>
          <w:tcPr>
            <w:tcW w:w="342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Houston Electric</w:t>
            </w: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Bond Company III</w:t>
            </w:r>
          </w:p>
        </w:tc>
        <w:tc>
          <w:tcPr>
            <w:tcW w:w="7760" w:type="dxa"/>
            <w:vAlign w:val="bottom"/>
          </w:tcPr>
          <w:p>
            <w:pPr>
              <w:ind w:left="1200"/>
              <w:spacing w:after="0"/>
              <w:rPr>
                <w:sz w:val="20"/>
                <w:szCs w:val="20"/>
                <w:color w:val="auto"/>
              </w:rPr>
            </w:pPr>
            <w:r>
              <w:rPr>
                <w:rFonts w:ascii="Arial" w:cs="Arial" w:eastAsia="Arial" w:hAnsi="Arial"/>
                <w:sz w:val="18"/>
                <w:szCs w:val="18"/>
                <w:color w:val="auto"/>
                <w:w w:val="97"/>
              </w:rPr>
              <w:t>CenterPoint Energy Transition Bond Company III, LLC, a wholly-owned subsidiary of</w:t>
            </w:r>
          </w:p>
        </w:tc>
      </w:tr>
      <w:tr>
        <w:trPr>
          <w:trHeight w:val="230"/>
        </w:trPr>
        <w:tc>
          <w:tcPr>
            <w:tcW w:w="3420" w:type="dxa"/>
            <w:vAlign w:val="bottom"/>
          </w:tcPr>
          <w:p>
            <w:pPr>
              <w:spacing w:after="0"/>
              <w:rPr>
                <w:sz w:val="20"/>
                <w:szCs w:val="20"/>
                <w:color w:val="auto"/>
              </w:rPr>
            </w:pPr>
          </w:p>
        </w:tc>
        <w:tc>
          <w:tcPr>
            <w:tcW w:w="7760" w:type="dxa"/>
            <w:vAlign w:val="bottom"/>
          </w:tcPr>
          <w:p>
            <w:pPr>
              <w:ind w:left="1200"/>
              <w:spacing w:after="0"/>
              <w:rPr>
                <w:sz w:val="20"/>
                <w:szCs w:val="20"/>
                <w:color w:val="auto"/>
              </w:rPr>
            </w:pPr>
            <w:r>
              <w:rPr>
                <w:rFonts w:ascii="Arial" w:cs="Arial" w:eastAsia="Arial" w:hAnsi="Arial"/>
                <w:sz w:val="18"/>
                <w:szCs w:val="18"/>
                <w:color w:val="auto"/>
              </w:rPr>
              <w:t>Houston Electric</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Bond Company IV</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6"/>
              </w:rPr>
              <w:t>CenterPoint Energy Transition Bond Company IV, LLC, a wholly-owned subsidiary of</w:t>
            </w:r>
          </w:p>
        </w:tc>
      </w:tr>
      <w:tr>
        <w:trPr>
          <w:trHeight w:val="237"/>
        </w:trPr>
        <w:tc>
          <w:tcPr>
            <w:tcW w:w="342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Houston Electric</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CARES Act</w:t>
            </w:r>
          </w:p>
        </w:tc>
        <w:tc>
          <w:tcPr>
            <w:tcW w:w="7760" w:type="dxa"/>
            <w:vAlign w:val="bottom"/>
          </w:tcPr>
          <w:p>
            <w:pPr>
              <w:ind w:left="1200"/>
              <w:spacing w:after="0"/>
              <w:rPr>
                <w:sz w:val="20"/>
                <w:szCs w:val="20"/>
                <w:color w:val="auto"/>
              </w:rPr>
            </w:pPr>
            <w:r>
              <w:rPr>
                <w:rFonts w:ascii="Arial" w:cs="Arial" w:eastAsia="Arial" w:hAnsi="Arial"/>
                <w:sz w:val="18"/>
                <w:szCs w:val="18"/>
                <w:color w:val="auto"/>
              </w:rPr>
              <w:t>Coronavirus Aid, Relief, and Economic Security Act</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CCR</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Coal Combustion Residuals</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CECL</w:t>
            </w:r>
          </w:p>
        </w:tc>
        <w:tc>
          <w:tcPr>
            <w:tcW w:w="7760" w:type="dxa"/>
            <w:vAlign w:val="bottom"/>
          </w:tcPr>
          <w:p>
            <w:pPr>
              <w:ind w:left="1200"/>
              <w:spacing w:after="0"/>
              <w:rPr>
                <w:sz w:val="20"/>
                <w:szCs w:val="20"/>
                <w:color w:val="auto"/>
              </w:rPr>
            </w:pPr>
            <w:r>
              <w:rPr>
                <w:rFonts w:ascii="Arial" w:cs="Arial" w:eastAsia="Arial" w:hAnsi="Arial"/>
                <w:sz w:val="18"/>
                <w:szCs w:val="18"/>
                <w:color w:val="auto"/>
              </w:rPr>
              <w:t>Current expected credit losses</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CEIP</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w w:val="92"/>
              </w:rPr>
              <w:t>CenterPoint Energy Intrastate Pipelines, LLC, a wholly-owned subsidiary of CERC Corp.</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CenterPoint Energy</w:t>
            </w:r>
          </w:p>
        </w:tc>
        <w:tc>
          <w:tcPr>
            <w:tcW w:w="7760" w:type="dxa"/>
            <w:vAlign w:val="bottom"/>
          </w:tcPr>
          <w:p>
            <w:pPr>
              <w:ind w:left="1200"/>
              <w:spacing w:after="0"/>
              <w:rPr>
                <w:sz w:val="20"/>
                <w:szCs w:val="20"/>
                <w:color w:val="auto"/>
              </w:rPr>
            </w:pPr>
            <w:r>
              <w:rPr>
                <w:rFonts w:ascii="Arial" w:cs="Arial" w:eastAsia="Arial" w:hAnsi="Arial"/>
                <w:sz w:val="18"/>
                <w:szCs w:val="18"/>
                <w:color w:val="auto"/>
              </w:rPr>
              <w:t>CenterPoint Energy, Inc., and its subsidiaries</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CERC</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CERC Corp., together with its subsidiaries</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CERC Corp.</w:t>
            </w:r>
          </w:p>
        </w:tc>
        <w:tc>
          <w:tcPr>
            <w:tcW w:w="7760" w:type="dxa"/>
            <w:vAlign w:val="bottom"/>
          </w:tcPr>
          <w:p>
            <w:pPr>
              <w:ind w:left="1200"/>
              <w:spacing w:after="0"/>
              <w:rPr>
                <w:sz w:val="20"/>
                <w:szCs w:val="20"/>
                <w:color w:val="auto"/>
              </w:rPr>
            </w:pPr>
            <w:r>
              <w:rPr>
                <w:rFonts w:ascii="Arial" w:cs="Arial" w:eastAsia="Arial" w:hAnsi="Arial"/>
                <w:sz w:val="18"/>
                <w:szCs w:val="18"/>
                <w:color w:val="auto"/>
              </w:rPr>
              <w:t>CenterPoint Energy Resources Corp.</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CES</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6"/>
              </w:rPr>
              <w:t>CenterPoint Energy Services, Inc. (now known as Symmetry Energy Solutions, LLC),</w:t>
            </w:r>
          </w:p>
        </w:tc>
      </w:tr>
      <w:tr>
        <w:trPr>
          <w:trHeight w:val="237"/>
        </w:trPr>
        <w:tc>
          <w:tcPr>
            <w:tcW w:w="342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previously a wholly-owned subsidiary of CERC Corp.</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Charter Common</w:t>
            </w:r>
          </w:p>
        </w:tc>
        <w:tc>
          <w:tcPr>
            <w:tcW w:w="7760" w:type="dxa"/>
            <w:vAlign w:val="bottom"/>
          </w:tcPr>
          <w:p>
            <w:pPr>
              <w:ind w:left="1200"/>
              <w:spacing w:after="0"/>
              <w:rPr>
                <w:sz w:val="20"/>
                <w:szCs w:val="20"/>
                <w:color w:val="auto"/>
              </w:rPr>
            </w:pPr>
            <w:r>
              <w:rPr>
                <w:rFonts w:ascii="Arial" w:cs="Arial" w:eastAsia="Arial" w:hAnsi="Arial"/>
                <w:sz w:val="18"/>
                <w:szCs w:val="18"/>
                <w:color w:val="auto"/>
              </w:rPr>
              <w:t>Charter Communications, Inc. common stock</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CIP</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Conservation Improvement Program</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CNG</w:t>
            </w:r>
          </w:p>
        </w:tc>
        <w:tc>
          <w:tcPr>
            <w:tcW w:w="7760" w:type="dxa"/>
            <w:vAlign w:val="bottom"/>
          </w:tcPr>
          <w:p>
            <w:pPr>
              <w:ind w:left="1200"/>
              <w:spacing w:after="0"/>
              <w:rPr>
                <w:sz w:val="20"/>
                <w:szCs w:val="20"/>
                <w:color w:val="auto"/>
              </w:rPr>
            </w:pPr>
            <w:r>
              <w:rPr>
                <w:rFonts w:ascii="Arial" w:cs="Arial" w:eastAsia="Arial" w:hAnsi="Arial"/>
                <w:sz w:val="18"/>
                <w:szCs w:val="18"/>
                <w:color w:val="auto"/>
              </w:rPr>
              <w:t>Compressed Natural Gas</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CNP Midstream</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w w:val="95"/>
              </w:rPr>
              <w:t>CenterPoint Energy Midstream, Inc., a wholly-owned subsidiary of CenterPoint Energy</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CODM</w:t>
            </w:r>
          </w:p>
        </w:tc>
        <w:tc>
          <w:tcPr>
            <w:tcW w:w="7760" w:type="dxa"/>
            <w:vAlign w:val="bottom"/>
          </w:tcPr>
          <w:p>
            <w:pPr>
              <w:ind w:left="1200"/>
              <w:spacing w:after="0"/>
              <w:rPr>
                <w:sz w:val="20"/>
                <w:szCs w:val="20"/>
                <w:color w:val="auto"/>
              </w:rPr>
            </w:pPr>
            <w:r>
              <w:rPr>
                <w:rFonts w:ascii="Arial" w:cs="Arial" w:eastAsia="Arial" w:hAnsi="Arial"/>
                <w:sz w:val="18"/>
                <w:szCs w:val="18"/>
                <w:color w:val="auto"/>
              </w:rPr>
              <w:t>Chief Operating Decision Maker, the Registrants’ Chief Executive Officer</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Common Stock</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CenterPoint Energy, Inc. common stock, par value $0.01 per share</w:t>
            </w: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COVID-19</w:t>
            </w:r>
          </w:p>
        </w:tc>
        <w:tc>
          <w:tcPr>
            <w:tcW w:w="7760" w:type="dxa"/>
            <w:vAlign w:val="bottom"/>
          </w:tcPr>
          <w:p>
            <w:pPr>
              <w:ind w:left="1200"/>
              <w:spacing w:after="0"/>
              <w:rPr>
                <w:sz w:val="20"/>
                <w:szCs w:val="20"/>
                <w:color w:val="auto"/>
              </w:rPr>
            </w:pPr>
            <w:r>
              <w:rPr>
                <w:rFonts w:ascii="Arial" w:cs="Arial" w:eastAsia="Arial" w:hAnsi="Arial"/>
                <w:sz w:val="18"/>
                <w:szCs w:val="18"/>
                <w:color w:val="auto"/>
                <w:w w:val="98"/>
              </w:rPr>
              <w:t>Novel coronavirus disease 2019 and related global outbreak that was subsequently</w:t>
            </w:r>
          </w:p>
        </w:tc>
      </w:tr>
      <w:tr>
        <w:trPr>
          <w:trHeight w:val="230"/>
        </w:trPr>
        <w:tc>
          <w:tcPr>
            <w:tcW w:w="3420" w:type="dxa"/>
            <w:vAlign w:val="bottom"/>
          </w:tcPr>
          <w:p>
            <w:pPr>
              <w:spacing w:after="0"/>
              <w:rPr>
                <w:sz w:val="20"/>
                <w:szCs w:val="20"/>
                <w:color w:val="auto"/>
              </w:rPr>
            </w:pPr>
          </w:p>
        </w:tc>
        <w:tc>
          <w:tcPr>
            <w:tcW w:w="7760" w:type="dxa"/>
            <w:vAlign w:val="bottom"/>
          </w:tcPr>
          <w:p>
            <w:pPr>
              <w:ind w:left="1200"/>
              <w:spacing w:after="0"/>
              <w:rPr>
                <w:sz w:val="20"/>
                <w:szCs w:val="20"/>
                <w:color w:val="auto"/>
              </w:rPr>
            </w:pPr>
            <w:r>
              <w:rPr>
                <w:rFonts w:ascii="Arial" w:cs="Arial" w:eastAsia="Arial" w:hAnsi="Arial"/>
                <w:sz w:val="18"/>
                <w:szCs w:val="18"/>
                <w:color w:val="auto"/>
              </w:rPr>
              <w:t>declared a pandemic by the World Health Organization</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4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COVID-19 ERP</w:t>
            </w:r>
          </w:p>
        </w:tc>
        <w:tc>
          <w:tcPr>
            <w:tcW w:w="77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COVID-19 Electricity Relief Program</w:t>
            </w:r>
          </w:p>
        </w:tc>
      </w:tr>
      <w:tr>
        <w:trPr>
          <w:trHeight w:val="243"/>
        </w:trPr>
        <w:tc>
          <w:tcPr>
            <w:tcW w:w="3420" w:type="dxa"/>
            <w:vAlign w:val="bottom"/>
            <w:shd w:val="clear" w:color="auto" w:fill="CCEEFF"/>
          </w:tcPr>
          <w:p>
            <w:pPr>
              <w:spacing w:after="0"/>
              <w:rPr>
                <w:sz w:val="21"/>
                <w:szCs w:val="21"/>
                <w:color w:val="auto"/>
              </w:rPr>
            </w:pPr>
          </w:p>
        </w:tc>
        <w:tc>
          <w:tcPr>
            <w:tcW w:w="7760" w:type="dxa"/>
            <w:vAlign w:val="bottom"/>
            <w:shd w:val="clear" w:color="auto" w:fill="CCEEFF"/>
          </w:tcPr>
          <w:p>
            <w:pPr>
              <w:spacing w:after="0"/>
              <w:rPr>
                <w:sz w:val="21"/>
                <w:szCs w:val="2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CPP</w:t>
            </w:r>
          </w:p>
        </w:tc>
        <w:tc>
          <w:tcPr>
            <w:tcW w:w="7760" w:type="dxa"/>
            <w:vAlign w:val="bottom"/>
          </w:tcPr>
          <w:p>
            <w:pPr>
              <w:ind w:left="1200"/>
              <w:spacing w:after="0"/>
              <w:rPr>
                <w:sz w:val="20"/>
                <w:szCs w:val="20"/>
                <w:color w:val="auto"/>
              </w:rPr>
            </w:pPr>
            <w:r>
              <w:rPr>
                <w:rFonts w:ascii="Arial" w:cs="Arial" w:eastAsia="Arial" w:hAnsi="Arial"/>
                <w:sz w:val="18"/>
                <w:szCs w:val="18"/>
                <w:color w:val="auto"/>
              </w:rPr>
              <w:t>Clean Power Plan</w:t>
            </w:r>
          </w:p>
        </w:tc>
      </w:tr>
      <w:tr>
        <w:trPr>
          <w:trHeight w:val="27"/>
        </w:trPr>
        <w:tc>
          <w:tcPr>
            <w:tcW w:w="342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CSIA</w:t>
            </w:r>
          </w:p>
        </w:tc>
        <w:tc>
          <w:tcPr>
            <w:tcW w:w="77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Compliance and System Improvement Adjustment</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DCRF</w:t>
            </w:r>
          </w:p>
        </w:tc>
        <w:tc>
          <w:tcPr>
            <w:tcW w:w="7760" w:type="dxa"/>
            <w:vAlign w:val="bottom"/>
          </w:tcPr>
          <w:p>
            <w:pPr>
              <w:ind w:left="1200"/>
              <w:spacing w:after="0"/>
              <w:rPr>
                <w:sz w:val="20"/>
                <w:szCs w:val="20"/>
                <w:color w:val="auto"/>
              </w:rPr>
            </w:pPr>
            <w:r>
              <w:rPr>
                <w:rFonts w:ascii="Arial" w:cs="Arial" w:eastAsia="Arial" w:hAnsi="Arial"/>
                <w:sz w:val="18"/>
                <w:szCs w:val="18"/>
                <w:color w:val="auto"/>
              </w:rPr>
              <w:t>Distribution Cost Recovery Factor</w:t>
            </w:r>
          </w:p>
        </w:tc>
      </w:tr>
      <w:tr>
        <w:trPr>
          <w:trHeight w:val="459"/>
        </w:trPr>
        <w:tc>
          <w:tcPr>
            <w:tcW w:w="3420" w:type="dxa"/>
            <w:vAlign w:val="bottom"/>
          </w:tcPr>
          <w:p>
            <w:pPr>
              <w:spacing w:after="0"/>
              <w:rPr>
                <w:sz w:val="24"/>
                <w:szCs w:val="24"/>
                <w:color w:val="auto"/>
              </w:rPr>
            </w:pPr>
          </w:p>
        </w:tc>
        <w:tc>
          <w:tcPr>
            <w:tcW w:w="7760" w:type="dxa"/>
            <w:vAlign w:val="bottom"/>
          </w:tcPr>
          <w:p>
            <w:pPr>
              <w:ind w:left="2120"/>
              <w:spacing w:after="0"/>
              <w:rPr>
                <w:sz w:val="20"/>
                <w:szCs w:val="20"/>
                <w:color w:val="auto"/>
              </w:rPr>
            </w:pPr>
            <w:r>
              <w:rPr>
                <w:rFonts w:ascii="Arial" w:cs="Arial" w:eastAsia="Arial" w:hAnsi="Arial"/>
                <w:sz w:val="18"/>
                <w:szCs w:val="18"/>
                <w:color w:val="auto"/>
              </w:rPr>
              <w:t>ii</w:t>
            </w:r>
          </w:p>
        </w:tc>
      </w:tr>
    </w:tbl>
    <w:p>
      <w:pPr>
        <w:sectPr>
          <w:pgSz w:w="11900" w:h="16838" w:orient="portrait"/>
          <w:cols w:equalWidth="0" w:num="1">
            <w:col w:w="11180"/>
          </w:cols>
          <w:pgMar w:left="360" w:top="719" w:right="3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7320" w:type="dxa"/>
            <w:vAlign w:val="bottom"/>
          </w:tcPr>
          <w:p>
            <w:pPr>
              <w:ind w:left="1260"/>
              <w:spacing w:after="0"/>
              <w:rPr>
                <w:sz w:val="20"/>
                <w:szCs w:val="20"/>
                <w:color w:val="auto"/>
              </w:rPr>
            </w:pPr>
            <w:r>
              <w:rPr>
                <w:rFonts w:ascii="Arial" w:cs="Arial" w:eastAsia="Arial" w:hAnsi="Arial"/>
                <w:sz w:val="18"/>
                <w:szCs w:val="18"/>
                <w:b w:val="1"/>
                <w:bCs w:val="1"/>
                <w:i w:val="1"/>
                <w:iCs w:val="1"/>
                <w:color w:val="auto"/>
              </w:rPr>
              <w:t>GLOSSARY</w:t>
            </w:r>
          </w:p>
        </w:tc>
      </w:tr>
      <w:tr>
        <w:trPr>
          <w:trHeight w:val="27"/>
        </w:trPr>
        <w:tc>
          <w:tcPr>
            <w:tcW w:w="3860" w:type="dxa"/>
            <w:vAlign w:val="bottom"/>
            <w:tcBorders>
              <w:bottom w:val="single" w:sz="8" w:color="auto"/>
            </w:tcBorders>
          </w:tcPr>
          <w:p>
            <w:pPr>
              <w:spacing w:after="0"/>
              <w:rPr>
                <w:sz w:val="2"/>
                <w:szCs w:val="2"/>
                <w:color w:val="auto"/>
              </w:rPr>
            </w:pPr>
          </w:p>
        </w:tc>
        <w:tc>
          <w:tcPr>
            <w:tcW w:w="7320" w:type="dxa"/>
            <w:vAlign w:val="bottom"/>
            <w:tcBorders>
              <w:bottom w:val="single" w:sz="8" w:color="auto"/>
            </w:tcBorders>
          </w:tcPr>
          <w:p>
            <w:pPr>
              <w:spacing w:after="0"/>
              <w:rPr>
                <w:sz w:val="2"/>
                <w:szCs w:val="2"/>
                <w:color w:val="auto"/>
              </w:rPr>
            </w:pPr>
          </w:p>
        </w:tc>
      </w:tr>
      <w:tr>
        <w:trPr>
          <w:trHeight w:val="24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DRR</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Distribution Replacement Rider</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DSMA</w:t>
            </w:r>
          </w:p>
        </w:tc>
        <w:tc>
          <w:tcPr>
            <w:tcW w:w="7320" w:type="dxa"/>
            <w:vAlign w:val="bottom"/>
          </w:tcPr>
          <w:p>
            <w:pPr>
              <w:ind w:left="760"/>
              <w:spacing w:after="0"/>
              <w:rPr>
                <w:sz w:val="20"/>
                <w:szCs w:val="20"/>
                <w:color w:val="auto"/>
              </w:rPr>
            </w:pPr>
            <w:r>
              <w:rPr>
                <w:rFonts w:ascii="Arial" w:cs="Arial" w:eastAsia="Arial" w:hAnsi="Arial"/>
                <w:sz w:val="18"/>
                <w:szCs w:val="18"/>
                <w:color w:val="auto"/>
              </w:rPr>
              <w:t>Demand Side Management Adjustment</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EBITDA</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Earnings before income taxes, depreciation and amortization</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ECA</w:t>
            </w:r>
          </w:p>
        </w:tc>
        <w:tc>
          <w:tcPr>
            <w:tcW w:w="7320" w:type="dxa"/>
            <w:vAlign w:val="bottom"/>
          </w:tcPr>
          <w:p>
            <w:pPr>
              <w:ind w:left="760"/>
              <w:spacing w:after="0"/>
              <w:rPr>
                <w:sz w:val="20"/>
                <w:szCs w:val="20"/>
                <w:color w:val="auto"/>
              </w:rPr>
            </w:pPr>
            <w:r>
              <w:rPr>
                <w:rFonts w:ascii="Arial" w:cs="Arial" w:eastAsia="Arial" w:hAnsi="Arial"/>
                <w:sz w:val="18"/>
                <w:szCs w:val="18"/>
                <w:color w:val="auto"/>
              </w:rPr>
              <w:t>Environmental Cost Adjustment</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EDIT</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Excess deferred income taxes</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EECR</w:t>
            </w:r>
          </w:p>
        </w:tc>
        <w:tc>
          <w:tcPr>
            <w:tcW w:w="7320" w:type="dxa"/>
            <w:vAlign w:val="bottom"/>
          </w:tcPr>
          <w:p>
            <w:pPr>
              <w:ind w:left="760"/>
              <w:spacing w:after="0"/>
              <w:rPr>
                <w:sz w:val="20"/>
                <w:szCs w:val="20"/>
                <w:color w:val="auto"/>
              </w:rPr>
            </w:pPr>
            <w:r>
              <w:rPr>
                <w:rFonts w:ascii="Arial" w:cs="Arial" w:eastAsia="Arial" w:hAnsi="Arial"/>
                <w:sz w:val="18"/>
                <w:szCs w:val="18"/>
                <w:color w:val="auto"/>
              </w:rPr>
              <w:t>Energy Efficiency Cost Recovery</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EECRF</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Energy Efficiency Cost Recovery Factor</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EEFC</w:t>
            </w:r>
          </w:p>
        </w:tc>
        <w:tc>
          <w:tcPr>
            <w:tcW w:w="7320" w:type="dxa"/>
            <w:vAlign w:val="bottom"/>
          </w:tcPr>
          <w:p>
            <w:pPr>
              <w:ind w:left="760"/>
              <w:spacing w:after="0"/>
              <w:rPr>
                <w:sz w:val="20"/>
                <w:szCs w:val="20"/>
                <w:color w:val="auto"/>
              </w:rPr>
            </w:pPr>
            <w:r>
              <w:rPr>
                <w:rFonts w:ascii="Arial" w:cs="Arial" w:eastAsia="Arial" w:hAnsi="Arial"/>
                <w:sz w:val="18"/>
                <w:szCs w:val="18"/>
                <w:color w:val="auto"/>
              </w:rPr>
              <w:t>Energy Efficiency Funding Component</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EEFR</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Energy Efficiency Funding Rider</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ELG</w:t>
            </w:r>
          </w:p>
        </w:tc>
        <w:tc>
          <w:tcPr>
            <w:tcW w:w="7320" w:type="dxa"/>
            <w:vAlign w:val="bottom"/>
          </w:tcPr>
          <w:p>
            <w:pPr>
              <w:ind w:left="760"/>
              <w:spacing w:after="0"/>
              <w:rPr>
                <w:sz w:val="20"/>
                <w:szCs w:val="20"/>
                <w:color w:val="auto"/>
              </w:rPr>
            </w:pPr>
            <w:r>
              <w:rPr>
                <w:rFonts w:ascii="Arial" w:cs="Arial" w:eastAsia="Arial" w:hAnsi="Arial"/>
                <w:sz w:val="18"/>
                <w:szCs w:val="18"/>
                <w:color w:val="auto"/>
              </w:rPr>
              <w:t>Effluent Limitation Guidelines</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Enable</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Enable Midstream Partners, LP</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Enable GP</w:t>
            </w:r>
          </w:p>
        </w:tc>
        <w:tc>
          <w:tcPr>
            <w:tcW w:w="7320" w:type="dxa"/>
            <w:vAlign w:val="bottom"/>
          </w:tcPr>
          <w:p>
            <w:pPr>
              <w:ind w:left="760"/>
              <w:spacing w:after="0"/>
              <w:rPr>
                <w:sz w:val="20"/>
                <w:szCs w:val="20"/>
                <w:color w:val="auto"/>
              </w:rPr>
            </w:pPr>
            <w:r>
              <w:rPr>
                <w:rFonts w:ascii="Arial" w:cs="Arial" w:eastAsia="Arial" w:hAnsi="Arial"/>
                <w:sz w:val="18"/>
                <w:szCs w:val="18"/>
                <w:color w:val="auto"/>
              </w:rPr>
              <w:t>Enable GP, LLC, Enable’s general partner</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Enable Series A Preferred Units</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Enable’s 10% Series A Fixed-to-Floating Non-Cumulative Redeemable Perpetual</w:t>
            </w:r>
          </w:p>
        </w:tc>
      </w:tr>
      <w:tr>
        <w:trPr>
          <w:trHeight w:val="237"/>
        </w:trPr>
        <w:tc>
          <w:tcPr>
            <w:tcW w:w="386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Preferred Units, representing limited partner interests in Enable</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 Services</w:t>
            </w:r>
          </w:p>
        </w:tc>
        <w:tc>
          <w:tcPr>
            <w:tcW w:w="7320" w:type="dxa"/>
            <w:vAlign w:val="bottom"/>
          </w:tcPr>
          <w:p>
            <w:pPr>
              <w:ind w:left="760"/>
              <w:spacing w:after="0"/>
              <w:rPr>
                <w:sz w:val="20"/>
                <w:szCs w:val="20"/>
                <w:color w:val="auto"/>
              </w:rPr>
            </w:pPr>
            <w:r>
              <w:rPr>
                <w:rFonts w:ascii="Arial" w:cs="Arial" w:eastAsia="Arial" w:hAnsi="Arial"/>
                <w:sz w:val="18"/>
                <w:szCs w:val="18"/>
                <w:color w:val="auto"/>
                <w:w w:val="95"/>
              </w:rPr>
              <w:t>Offered competitive variable and fixed-priced physical natural gas supplies primarily to</w:t>
            </w:r>
          </w:p>
        </w:tc>
      </w:tr>
      <w:tr>
        <w:trPr>
          <w:trHeight w:val="216"/>
        </w:trPr>
        <w:tc>
          <w:tcPr>
            <w:tcW w:w="3860" w:type="dxa"/>
            <w:vAlign w:val="bottom"/>
          </w:tcPr>
          <w:p>
            <w:pPr>
              <w:spacing w:after="0"/>
              <w:rPr>
                <w:sz w:val="18"/>
                <w:szCs w:val="18"/>
                <w:color w:val="auto"/>
              </w:rPr>
            </w:pPr>
          </w:p>
        </w:tc>
        <w:tc>
          <w:tcPr>
            <w:tcW w:w="7320" w:type="dxa"/>
            <w:vAlign w:val="bottom"/>
          </w:tcPr>
          <w:p>
            <w:pPr>
              <w:ind w:left="760"/>
              <w:spacing w:after="0"/>
              <w:rPr>
                <w:sz w:val="20"/>
                <w:szCs w:val="20"/>
                <w:color w:val="auto"/>
              </w:rPr>
            </w:pPr>
            <w:r>
              <w:rPr>
                <w:rFonts w:ascii="Arial" w:cs="Arial" w:eastAsia="Arial" w:hAnsi="Arial"/>
                <w:sz w:val="18"/>
                <w:szCs w:val="18"/>
                <w:color w:val="auto"/>
                <w:w w:val="95"/>
              </w:rPr>
              <w:t>commercial and industrial customers and electric and natural gas utilities through CES</w:t>
            </w:r>
          </w:p>
        </w:tc>
      </w:tr>
      <w:tr>
        <w:trPr>
          <w:trHeight w:val="230"/>
        </w:trPr>
        <w:tc>
          <w:tcPr>
            <w:tcW w:w="3860" w:type="dxa"/>
            <w:vAlign w:val="bottom"/>
          </w:tcPr>
          <w:p>
            <w:pPr>
              <w:spacing w:after="0"/>
              <w:rPr>
                <w:sz w:val="20"/>
                <w:szCs w:val="20"/>
                <w:color w:val="auto"/>
              </w:rPr>
            </w:pPr>
          </w:p>
        </w:tc>
        <w:tc>
          <w:tcPr>
            <w:tcW w:w="7320" w:type="dxa"/>
            <w:vAlign w:val="bottom"/>
          </w:tcPr>
          <w:p>
            <w:pPr>
              <w:ind w:left="760"/>
              <w:spacing w:after="0"/>
              <w:rPr>
                <w:sz w:val="20"/>
                <w:szCs w:val="20"/>
                <w:color w:val="auto"/>
              </w:rPr>
            </w:pPr>
            <w:r>
              <w:rPr>
                <w:rFonts w:ascii="Arial" w:cs="Arial" w:eastAsia="Arial" w:hAnsi="Arial"/>
                <w:sz w:val="18"/>
                <w:szCs w:val="18"/>
                <w:color w:val="auto"/>
              </w:rPr>
              <w:t>and its subsidiary, CEIP</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Energy Services Disposal Group</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8"/>
              </w:rPr>
              <w:t>Substantially all of the businesses within CenterPoint Energy’s and CERC’s Energy</w:t>
            </w:r>
          </w:p>
        </w:tc>
      </w:tr>
      <w:tr>
        <w:trPr>
          <w:trHeight w:val="237"/>
        </w:trPr>
        <w:tc>
          <w:tcPr>
            <w:tcW w:w="386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Services reporting unit that were sold under the Equity Purchase Agreement</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EPA</w:t>
            </w:r>
          </w:p>
        </w:tc>
        <w:tc>
          <w:tcPr>
            <w:tcW w:w="7320" w:type="dxa"/>
            <w:vAlign w:val="bottom"/>
          </w:tcPr>
          <w:p>
            <w:pPr>
              <w:ind w:left="760"/>
              <w:spacing w:after="0"/>
              <w:rPr>
                <w:sz w:val="20"/>
                <w:szCs w:val="20"/>
                <w:color w:val="auto"/>
              </w:rPr>
            </w:pPr>
            <w:r>
              <w:rPr>
                <w:rFonts w:ascii="Arial" w:cs="Arial" w:eastAsia="Arial" w:hAnsi="Arial"/>
                <w:sz w:val="18"/>
                <w:szCs w:val="18"/>
                <w:color w:val="auto"/>
              </w:rPr>
              <w:t>Environmental Protection Agency</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Equity Purchase Agreement</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1"/>
              </w:rPr>
              <w:t>Equity Purchase Agreement, dated as of February 24, 2020, by and between CERC Corp.</w:t>
            </w:r>
          </w:p>
        </w:tc>
      </w:tr>
      <w:tr>
        <w:trPr>
          <w:trHeight w:val="237"/>
        </w:trPr>
        <w:tc>
          <w:tcPr>
            <w:tcW w:w="386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94"/>
              </w:rPr>
              <w:t>and Symmetry Energy Solutions Acquisition (f/k/a Athena Energy Services Buyer, LLC)</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ERCOT</w:t>
            </w:r>
          </w:p>
        </w:tc>
        <w:tc>
          <w:tcPr>
            <w:tcW w:w="7320" w:type="dxa"/>
            <w:vAlign w:val="bottom"/>
          </w:tcPr>
          <w:p>
            <w:pPr>
              <w:ind w:left="760"/>
              <w:spacing w:after="0"/>
              <w:rPr>
                <w:sz w:val="20"/>
                <w:szCs w:val="20"/>
                <w:color w:val="auto"/>
              </w:rPr>
            </w:pPr>
            <w:r>
              <w:rPr>
                <w:rFonts w:ascii="Arial" w:cs="Arial" w:eastAsia="Arial" w:hAnsi="Arial"/>
                <w:sz w:val="18"/>
                <w:szCs w:val="18"/>
                <w:color w:val="auto"/>
              </w:rPr>
              <w:t>Electric Reliability Council of Texas</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ESG</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Energy Systems Group, LLC, a wholly-owned subsidiary of Vectren</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FERC</w:t>
            </w:r>
          </w:p>
        </w:tc>
        <w:tc>
          <w:tcPr>
            <w:tcW w:w="7320" w:type="dxa"/>
            <w:vAlign w:val="bottom"/>
          </w:tcPr>
          <w:p>
            <w:pPr>
              <w:ind w:left="760"/>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Fitch</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Fitch, Inc.</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Form 10-Q</w:t>
            </w:r>
          </w:p>
        </w:tc>
        <w:tc>
          <w:tcPr>
            <w:tcW w:w="7320" w:type="dxa"/>
            <w:vAlign w:val="bottom"/>
          </w:tcPr>
          <w:p>
            <w:pPr>
              <w:ind w:left="760"/>
              <w:spacing w:after="0"/>
              <w:rPr>
                <w:sz w:val="20"/>
                <w:szCs w:val="20"/>
                <w:color w:val="auto"/>
              </w:rPr>
            </w:pPr>
            <w:r>
              <w:rPr>
                <w:rFonts w:ascii="Arial" w:cs="Arial" w:eastAsia="Arial" w:hAnsi="Arial"/>
                <w:sz w:val="18"/>
                <w:szCs w:val="18"/>
                <w:color w:val="auto"/>
              </w:rPr>
              <w:t>Quarterly Report on Form 10-Q</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FRP</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Formula Rate Plan</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GHG</w:t>
            </w:r>
          </w:p>
        </w:tc>
        <w:tc>
          <w:tcPr>
            <w:tcW w:w="7320" w:type="dxa"/>
            <w:vAlign w:val="bottom"/>
          </w:tcPr>
          <w:p>
            <w:pPr>
              <w:ind w:left="760"/>
              <w:spacing w:after="0"/>
              <w:rPr>
                <w:sz w:val="20"/>
                <w:szCs w:val="20"/>
                <w:color w:val="auto"/>
              </w:rPr>
            </w:pPr>
            <w:r>
              <w:rPr>
                <w:rFonts w:ascii="Arial" w:cs="Arial" w:eastAsia="Arial" w:hAnsi="Arial"/>
                <w:sz w:val="18"/>
                <w:szCs w:val="18"/>
                <w:color w:val="auto"/>
              </w:rPr>
              <w:t>Greenhouse gases</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GRIP</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Gas Reliability Infrastructure Program</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GWh</w:t>
            </w:r>
          </w:p>
        </w:tc>
        <w:tc>
          <w:tcPr>
            <w:tcW w:w="7320" w:type="dxa"/>
            <w:vAlign w:val="bottom"/>
          </w:tcPr>
          <w:p>
            <w:pPr>
              <w:ind w:left="760"/>
              <w:spacing w:after="0"/>
              <w:rPr>
                <w:sz w:val="20"/>
                <w:szCs w:val="20"/>
                <w:color w:val="auto"/>
              </w:rPr>
            </w:pPr>
            <w:r>
              <w:rPr>
                <w:rFonts w:ascii="Arial" w:cs="Arial" w:eastAsia="Arial" w:hAnsi="Arial"/>
                <w:sz w:val="18"/>
                <w:szCs w:val="18"/>
                <w:color w:val="auto"/>
              </w:rPr>
              <w:t>Gigawatt-hours</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Houston Electric</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CenterPoint Energy Houston Electric, LLC and its subsidiaries</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IDEM</w:t>
            </w:r>
          </w:p>
        </w:tc>
        <w:tc>
          <w:tcPr>
            <w:tcW w:w="7320" w:type="dxa"/>
            <w:vAlign w:val="bottom"/>
          </w:tcPr>
          <w:p>
            <w:pPr>
              <w:ind w:left="760"/>
              <w:spacing w:after="0"/>
              <w:rPr>
                <w:sz w:val="20"/>
                <w:szCs w:val="20"/>
                <w:color w:val="auto"/>
              </w:rPr>
            </w:pPr>
            <w:r>
              <w:rPr>
                <w:rFonts w:ascii="Arial" w:cs="Arial" w:eastAsia="Arial" w:hAnsi="Arial"/>
                <w:sz w:val="18"/>
                <w:szCs w:val="18"/>
                <w:color w:val="auto"/>
              </w:rPr>
              <w:t>Indiana Department of Environmental Management</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Electric</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3"/>
              </w:rPr>
              <w:t>Operations of SIGECO’s electric transmission and distribution services, and includes its</w:t>
            </w:r>
          </w:p>
        </w:tc>
      </w:tr>
      <w:tr>
        <w:trPr>
          <w:trHeight w:val="237"/>
        </w:trPr>
        <w:tc>
          <w:tcPr>
            <w:tcW w:w="386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power generating and wholesale power operations</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Gas</w:t>
            </w:r>
          </w:p>
        </w:tc>
        <w:tc>
          <w:tcPr>
            <w:tcW w:w="7320" w:type="dxa"/>
            <w:vAlign w:val="bottom"/>
          </w:tcPr>
          <w:p>
            <w:pPr>
              <w:ind w:left="760"/>
              <w:spacing w:after="0"/>
              <w:rPr>
                <w:sz w:val="20"/>
                <w:szCs w:val="20"/>
                <w:color w:val="auto"/>
              </w:rPr>
            </w:pPr>
            <w:r>
              <w:rPr>
                <w:rFonts w:ascii="Arial" w:cs="Arial" w:eastAsia="Arial" w:hAnsi="Arial"/>
                <w:sz w:val="18"/>
                <w:szCs w:val="18"/>
                <w:color w:val="auto"/>
              </w:rPr>
              <w:t>Indiana Gas Company, Inc., a wholly-owned subsidiary of Vectren</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North</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Gas operations of Indiana Gas</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South</w:t>
            </w:r>
          </w:p>
        </w:tc>
        <w:tc>
          <w:tcPr>
            <w:tcW w:w="7320" w:type="dxa"/>
            <w:vAlign w:val="bottom"/>
          </w:tcPr>
          <w:p>
            <w:pPr>
              <w:ind w:left="760"/>
              <w:spacing w:after="0"/>
              <w:rPr>
                <w:sz w:val="20"/>
                <w:szCs w:val="20"/>
                <w:color w:val="auto"/>
              </w:rPr>
            </w:pPr>
            <w:r>
              <w:rPr>
                <w:rFonts w:ascii="Arial" w:cs="Arial" w:eastAsia="Arial" w:hAnsi="Arial"/>
                <w:sz w:val="18"/>
                <w:szCs w:val="18"/>
                <w:color w:val="auto"/>
              </w:rPr>
              <w:t>Gas operations of SIGECO</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Utilities</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The combination of Indiana Electric, Indiana North and Indiana South</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Infrastructure Services</w:t>
            </w:r>
          </w:p>
        </w:tc>
        <w:tc>
          <w:tcPr>
            <w:tcW w:w="7320" w:type="dxa"/>
            <w:vAlign w:val="bottom"/>
          </w:tcPr>
          <w:p>
            <w:pPr>
              <w:ind w:left="760"/>
              <w:spacing w:after="0"/>
              <w:rPr>
                <w:sz w:val="20"/>
                <w:szCs w:val="20"/>
                <w:color w:val="auto"/>
              </w:rPr>
            </w:pPr>
            <w:r>
              <w:rPr>
                <w:rFonts w:ascii="Arial" w:cs="Arial" w:eastAsia="Arial" w:hAnsi="Arial"/>
                <w:sz w:val="18"/>
                <w:szCs w:val="18"/>
                <w:color w:val="auto"/>
                <w:w w:val="94"/>
              </w:rPr>
              <w:t>Provided underground pipeline construction and repair services through VISCO and its</w:t>
            </w:r>
          </w:p>
        </w:tc>
      </w:tr>
      <w:tr>
        <w:trPr>
          <w:trHeight w:val="230"/>
        </w:trPr>
        <w:tc>
          <w:tcPr>
            <w:tcW w:w="3860" w:type="dxa"/>
            <w:vAlign w:val="bottom"/>
          </w:tcPr>
          <w:p>
            <w:pPr>
              <w:spacing w:after="0"/>
              <w:rPr>
                <w:sz w:val="20"/>
                <w:szCs w:val="20"/>
                <w:color w:val="auto"/>
              </w:rPr>
            </w:pPr>
          </w:p>
        </w:tc>
        <w:tc>
          <w:tcPr>
            <w:tcW w:w="7320" w:type="dxa"/>
            <w:vAlign w:val="bottom"/>
          </w:tcPr>
          <w:p>
            <w:pPr>
              <w:ind w:left="760"/>
              <w:spacing w:after="0"/>
              <w:rPr>
                <w:sz w:val="20"/>
                <w:szCs w:val="20"/>
                <w:color w:val="auto"/>
              </w:rPr>
            </w:pPr>
            <w:r>
              <w:rPr>
                <w:rFonts w:ascii="Arial" w:cs="Arial" w:eastAsia="Arial" w:hAnsi="Arial"/>
                <w:sz w:val="18"/>
                <w:szCs w:val="18"/>
                <w:color w:val="auto"/>
              </w:rPr>
              <w:t>wholly-owned subsidiaries, Miller Pipeline, LLC and Minnesota Limited, LLC</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Infrastructure Services Disposal Group</w:t>
            </w:r>
          </w:p>
        </w:tc>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8"/>
              </w:rPr>
              <w:t>Businesses within the Infrastructure Services reporting unit that were sold under the</w:t>
            </w:r>
          </w:p>
        </w:tc>
      </w:tr>
      <w:tr>
        <w:trPr>
          <w:trHeight w:val="237"/>
        </w:trPr>
        <w:tc>
          <w:tcPr>
            <w:tcW w:w="386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Securities Purchase Agreement</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Interim Condensed Financial Statements</w:t>
            </w:r>
          </w:p>
        </w:tc>
        <w:tc>
          <w:tcPr>
            <w:tcW w:w="7320" w:type="dxa"/>
            <w:vAlign w:val="bottom"/>
          </w:tcPr>
          <w:p>
            <w:pPr>
              <w:ind w:left="760"/>
              <w:spacing w:after="0"/>
              <w:rPr>
                <w:sz w:val="20"/>
                <w:szCs w:val="20"/>
                <w:color w:val="auto"/>
              </w:rPr>
            </w:pPr>
            <w:r>
              <w:rPr>
                <w:rFonts w:ascii="Arial" w:cs="Arial" w:eastAsia="Arial" w:hAnsi="Arial"/>
                <w:sz w:val="18"/>
                <w:szCs w:val="18"/>
                <w:color w:val="auto"/>
                <w:w w:val="97"/>
              </w:rPr>
              <w:t>Unaudited condensed consolidated interim financial statements and combined notes</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IRP</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Integrated Resource Plan</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IRS</w:t>
            </w:r>
          </w:p>
        </w:tc>
        <w:tc>
          <w:tcPr>
            <w:tcW w:w="7320" w:type="dxa"/>
            <w:vAlign w:val="bottom"/>
          </w:tcPr>
          <w:p>
            <w:pPr>
              <w:ind w:left="760"/>
              <w:spacing w:after="0"/>
              <w:rPr>
                <w:sz w:val="20"/>
                <w:szCs w:val="20"/>
                <w:color w:val="auto"/>
              </w:rPr>
            </w:pPr>
            <w:r>
              <w:rPr>
                <w:rFonts w:ascii="Arial" w:cs="Arial" w:eastAsia="Arial" w:hAnsi="Arial"/>
                <w:sz w:val="18"/>
                <w:szCs w:val="18"/>
                <w:color w:val="auto"/>
              </w:rPr>
              <w:t>Internal Revenue Service</w:t>
            </w:r>
          </w:p>
        </w:tc>
      </w:tr>
      <w:tr>
        <w:trPr>
          <w:trHeight w:val="27"/>
        </w:trPr>
        <w:tc>
          <w:tcPr>
            <w:tcW w:w="38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IURC</w:t>
            </w:r>
          </w:p>
        </w:tc>
        <w:tc>
          <w:tcPr>
            <w:tcW w:w="73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Indiana Utility Regulatory Commission</w:t>
            </w:r>
          </w:p>
        </w:tc>
      </w:tr>
      <w:tr>
        <w:trPr>
          <w:trHeight w:val="432"/>
        </w:trPr>
        <w:tc>
          <w:tcPr>
            <w:tcW w:w="3860" w:type="dxa"/>
            <w:vAlign w:val="bottom"/>
          </w:tcPr>
          <w:p>
            <w:pPr>
              <w:spacing w:after="0"/>
              <w:rPr>
                <w:sz w:val="24"/>
                <w:szCs w:val="24"/>
                <w:color w:val="auto"/>
              </w:rPr>
            </w:pPr>
          </w:p>
        </w:tc>
        <w:tc>
          <w:tcPr>
            <w:tcW w:w="7320" w:type="dxa"/>
            <w:vAlign w:val="bottom"/>
          </w:tcPr>
          <w:p>
            <w:pPr>
              <w:ind w:left="164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180"/>
          </w:cols>
          <w:pgMar w:left="360" w:top="503" w:right="35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700" w:type="dxa"/>
            <w:vAlign w:val="bottom"/>
          </w:tcPr>
          <w:p>
            <w:pPr>
              <w:ind w:left="1640"/>
              <w:spacing w:after="0"/>
              <w:rPr>
                <w:sz w:val="20"/>
                <w:szCs w:val="20"/>
                <w:color w:val="auto"/>
              </w:rPr>
            </w:pPr>
            <w:r>
              <w:rPr>
                <w:rFonts w:ascii="Arial" w:cs="Arial" w:eastAsia="Arial" w:hAnsi="Arial"/>
                <w:sz w:val="18"/>
                <w:szCs w:val="18"/>
                <w:b w:val="1"/>
                <w:bCs w:val="1"/>
                <w:i w:val="1"/>
                <w:iCs w:val="1"/>
                <w:color w:val="auto"/>
              </w:rPr>
              <w:t>GLOSSARY</w:t>
            </w:r>
          </w:p>
        </w:tc>
      </w:tr>
      <w:tr>
        <w:trPr>
          <w:trHeight w:val="27"/>
        </w:trPr>
        <w:tc>
          <w:tcPr>
            <w:tcW w:w="3480" w:type="dxa"/>
            <w:vAlign w:val="bottom"/>
            <w:tcBorders>
              <w:bottom w:val="single" w:sz="8" w:color="auto"/>
            </w:tcBorders>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237"/>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kV</w:t>
            </w:r>
          </w:p>
        </w:tc>
        <w:tc>
          <w:tcPr>
            <w:tcW w:w="7700" w:type="dxa"/>
            <w:vAlign w:val="bottom"/>
          </w:tcPr>
          <w:p>
            <w:pPr>
              <w:ind w:left="1140"/>
              <w:spacing w:after="0"/>
              <w:rPr>
                <w:sz w:val="20"/>
                <w:szCs w:val="20"/>
                <w:color w:val="auto"/>
              </w:rPr>
            </w:pPr>
            <w:r>
              <w:rPr>
                <w:rFonts w:ascii="Arial" w:cs="Arial" w:eastAsia="Arial" w:hAnsi="Arial"/>
                <w:sz w:val="18"/>
                <w:szCs w:val="18"/>
                <w:color w:val="auto"/>
              </w:rPr>
              <w:t>Kilovolt</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KW</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Kilowatts</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LIBOR</w:t>
            </w:r>
          </w:p>
        </w:tc>
        <w:tc>
          <w:tcPr>
            <w:tcW w:w="7700" w:type="dxa"/>
            <w:vAlign w:val="bottom"/>
          </w:tcPr>
          <w:p>
            <w:pPr>
              <w:ind w:left="1140"/>
              <w:spacing w:after="0"/>
              <w:rPr>
                <w:sz w:val="20"/>
                <w:szCs w:val="20"/>
                <w:color w:val="auto"/>
              </w:rPr>
            </w:pPr>
            <w:r>
              <w:rPr>
                <w:rFonts w:ascii="Arial" w:cs="Arial" w:eastAsia="Arial" w:hAnsi="Arial"/>
                <w:sz w:val="18"/>
                <w:szCs w:val="18"/>
                <w:color w:val="auto"/>
              </w:rPr>
              <w:t>London Interbank Offered Rate</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LNG</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Liquefied Natural Gas</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LPSC</w:t>
            </w:r>
          </w:p>
        </w:tc>
        <w:tc>
          <w:tcPr>
            <w:tcW w:w="7700" w:type="dxa"/>
            <w:vAlign w:val="bottom"/>
          </w:tcPr>
          <w:p>
            <w:pPr>
              <w:ind w:left="1140"/>
              <w:spacing w:after="0"/>
              <w:rPr>
                <w:sz w:val="20"/>
                <w:szCs w:val="20"/>
                <w:color w:val="auto"/>
              </w:rPr>
            </w:pPr>
            <w:r>
              <w:rPr>
                <w:rFonts w:ascii="Arial" w:cs="Arial" w:eastAsia="Arial" w:hAnsi="Arial"/>
                <w:sz w:val="18"/>
                <w:szCs w:val="18"/>
                <w:color w:val="auto"/>
              </w:rPr>
              <w:t>Louisiana Public Service Commission</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Merger</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The merger of Merger Sub with and into Vectren on the terms and subject to the</w:t>
            </w:r>
          </w:p>
        </w:tc>
      </w:tr>
      <w:tr>
        <w:trPr>
          <w:trHeight w:val="216"/>
        </w:trPr>
        <w:tc>
          <w:tcPr>
            <w:tcW w:w="3480" w:type="dxa"/>
            <w:vAlign w:val="bottom"/>
            <w:shd w:val="clear" w:color="auto" w:fill="CCEEFF"/>
          </w:tcPr>
          <w:p>
            <w:pPr>
              <w:spacing w:after="0"/>
              <w:rPr>
                <w:sz w:val="18"/>
                <w:szCs w:val="18"/>
                <w:color w:val="auto"/>
              </w:rPr>
            </w:pP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5"/>
              </w:rPr>
              <w:t>conditions set forth in the Merger Agreement, with Vectren continuing as the surviving</w:t>
            </w: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corporation and as a wholly-owned subsidiary of CenterPoint Energy, Inc.</w:t>
            </w: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Merger Agreement</w:t>
            </w:r>
          </w:p>
        </w:tc>
        <w:tc>
          <w:tcPr>
            <w:tcW w:w="7700" w:type="dxa"/>
            <w:vAlign w:val="bottom"/>
          </w:tcPr>
          <w:p>
            <w:pPr>
              <w:ind w:left="1140"/>
              <w:spacing w:after="0"/>
              <w:rPr>
                <w:sz w:val="20"/>
                <w:szCs w:val="20"/>
                <w:color w:val="auto"/>
              </w:rPr>
            </w:pPr>
            <w:r>
              <w:rPr>
                <w:rFonts w:ascii="Arial" w:cs="Arial" w:eastAsia="Arial" w:hAnsi="Arial"/>
                <w:sz w:val="18"/>
                <w:szCs w:val="18"/>
                <w:color w:val="auto"/>
                <w:w w:val="94"/>
              </w:rPr>
              <w:t>Agreement and Plan of Merger, dated as of April 21, 2018, among CenterPoint Energy,</w:t>
            </w:r>
          </w:p>
        </w:tc>
      </w:tr>
      <w:tr>
        <w:trPr>
          <w:trHeight w:val="230"/>
        </w:trPr>
        <w:tc>
          <w:tcPr>
            <w:tcW w:w="3480" w:type="dxa"/>
            <w:vAlign w:val="bottom"/>
          </w:tcPr>
          <w:p>
            <w:pPr>
              <w:spacing w:after="0"/>
              <w:rPr>
                <w:sz w:val="20"/>
                <w:szCs w:val="20"/>
                <w:color w:val="auto"/>
              </w:rPr>
            </w:pPr>
          </w:p>
        </w:tc>
        <w:tc>
          <w:tcPr>
            <w:tcW w:w="7700" w:type="dxa"/>
            <w:vAlign w:val="bottom"/>
          </w:tcPr>
          <w:p>
            <w:pPr>
              <w:ind w:left="1140"/>
              <w:spacing w:after="0"/>
              <w:rPr>
                <w:sz w:val="20"/>
                <w:szCs w:val="20"/>
                <w:color w:val="auto"/>
              </w:rPr>
            </w:pPr>
            <w:r>
              <w:rPr>
                <w:rFonts w:ascii="Arial" w:cs="Arial" w:eastAsia="Arial" w:hAnsi="Arial"/>
                <w:sz w:val="18"/>
                <w:szCs w:val="18"/>
                <w:color w:val="auto"/>
              </w:rPr>
              <w:t>Vectren and Merger Sub</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Merger Sub</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Pacer Merger Sub, Inc., an Indiana corporation and wholly-owned subsidiary of</w:t>
            </w: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CenterPoint Energy</w:t>
            </w: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MES</w:t>
            </w:r>
          </w:p>
        </w:tc>
        <w:tc>
          <w:tcPr>
            <w:tcW w:w="7700" w:type="dxa"/>
            <w:vAlign w:val="bottom"/>
          </w:tcPr>
          <w:p>
            <w:pPr>
              <w:ind w:left="1140"/>
              <w:spacing w:after="0"/>
              <w:rPr>
                <w:sz w:val="20"/>
                <w:szCs w:val="20"/>
                <w:color w:val="auto"/>
              </w:rPr>
            </w:pPr>
            <w:r>
              <w:rPr>
                <w:rFonts w:ascii="Arial" w:cs="Arial" w:eastAsia="Arial" w:hAnsi="Arial"/>
                <w:sz w:val="18"/>
                <w:szCs w:val="18"/>
                <w:color w:val="auto"/>
                <w:w w:val="94"/>
              </w:rPr>
              <w:t>CenterPoint Energy Mobile Energy Solutions, Inc., a wholly-owned subsidiary of CERC</w:t>
            </w:r>
          </w:p>
        </w:tc>
      </w:tr>
      <w:tr>
        <w:trPr>
          <w:trHeight w:val="230"/>
        </w:trPr>
        <w:tc>
          <w:tcPr>
            <w:tcW w:w="3480" w:type="dxa"/>
            <w:vAlign w:val="bottom"/>
          </w:tcPr>
          <w:p>
            <w:pPr>
              <w:spacing w:after="0"/>
              <w:rPr>
                <w:sz w:val="20"/>
                <w:szCs w:val="20"/>
                <w:color w:val="auto"/>
              </w:rPr>
            </w:pPr>
          </w:p>
        </w:tc>
        <w:tc>
          <w:tcPr>
            <w:tcW w:w="7700" w:type="dxa"/>
            <w:vAlign w:val="bottom"/>
          </w:tcPr>
          <w:p>
            <w:pPr>
              <w:ind w:left="1140"/>
              <w:spacing w:after="0"/>
              <w:rPr>
                <w:sz w:val="20"/>
                <w:szCs w:val="20"/>
                <w:color w:val="auto"/>
              </w:rPr>
            </w:pPr>
            <w:r>
              <w:rPr>
                <w:rFonts w:ascii="Arial" w:cs="Arial" w:eastAsia="Arial" w:hAnsi="Arial"/>
                <w:sz w:val="18"/>
                <w:szCs w:val="18"/>
                <w:color w:val="auto"/>
              </w:rPr>
              <w:t>Corp.</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MGP</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Manufactured gas plant</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MLP</w:t>
            </w:r>
          </w:p>
        </w:tc>
        <w:tc>
          <w:tcPr>
            <w:tcW w:w="7700" w:type="dxa"/>
            <w:vAlign w:val="bottom"/>
          </w:tcPr>
          <w:p>
            <w:pPr>
              <w:ind w:left="1140"/>
              <w:spacing w:after="0"/>
              <w:rPr>
                <w:sz w:val="20"/>
                <w:szCs w:val="20"/>
                <w:color w:val="auto"/>
              </w:rPr>
            </w:pPr>
            <w:r>
              <w:rPr>
                <w:rFonts w:ascii="Arial" w:cs="Arial" w:eastAsia="Arial" w:hAnsi="Arial"/>
                <w:sz w:val="18"/>
                <w:szCs w:val="18"/>
                <w:color w:val="auto"/>
              </w:rPr>
              <w:t>Master Limited Partnership</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Moody’s</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Moody’s Investors Service, Inc.</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MPSC</w:t>
            </w:r>
          </w:p>
        </w:tc>
        <w:tc>
          <w:tcPr>
            <w:tcW w:w="7700" w:type="dxa"/>
            <w:vAlign w:val="bottom"/>
          </w:tcPr>
          <w:p>
            <w:pPr>
              <w:ind w:left="1140"/>
              <w:spacing w:after="0"/>
              <w:rPr>
                <w:sz w:val="20"/>
                <w:szCs w:val="20"/>
                <w:color w:val="auto"/>
              </w:rPr>
            </w:pPr>
            <w:r>
              <w:rPr>
                <w:rFonts w:ascii="Arial" w:cs="Arial" w:eastAsia="Arial" w:hAnsi="Arial"/>
                <w:sz w:val="18"/>
                <w:szCs w:val="18"/>
                <w:color w:val="auto"/>
              </w:rPr>
              <w:t>Mississippi Public Service Commission</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MPUC</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MRT</w:t>
            </w:r>
          </w:p>
        </w:tc>
        <w:tc>
          <w:tcPr>
            <w:tcW w:w="7700" w:type="dxa"/>
            <w:vAlign w:val="bottom"/>
          </w:tcPr>
          <w:p>
            <w:pPr>
              <w:ind w:left="1140"/>
              <w:spacing w:after="0"/>
              <w:rPr>
                <w:sz w:val="20"/>
                <w:szCs w:val="20"/>
                <w:color w:val="auto"/>
              </w:rPr>
            </w:pPr>
            <w:r>
              <w:rPr>
                <w:rFonts w:ascii="Arial" w:cs="Arial" w:eastAsia="Arial" w:hAnsi="Arial"/>
                <w:sz w:val="18"/>
                <w:szCs w:val="18"/>
                <w:color w:val="auto"/>
              </w:rPr>
              <w:t>Enable Mississippi River Transmission, LLC</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MW</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Megawatts</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NGD</w:t>
            </w:r>
          </w:p>
        </w:tc>
        <w:tc>
          <w:tcPr>
            <w:tcW w:w="7700" w:type="dxa"/>
            <w:vAlign w:val="bottom"/>
          </w:tcPr>
          <w:p>
            <w:pPr>
              <w:ind w:left="1140"/>
              <w:spacing w:after="0"/>
              <w:rPr>
                <w:sz w:val="20"/>
                <w:szCs w:val="20"/>
                <w:color w:val="auto"/>
              </w:rPr>
            </w:pPr>
            <w:r>
              <w:rPr>
                <w:rFonts w:ascii="Arial" w:cs="Arial" w:eastAsia="Arial" w:hAnsi="Arial"/>
                <w:sz w:val="18"/>
                <w:szCs w:val="18"/>
                <w:color w:val="auto"/>
              </w:rPr>
              <w:t>Natural gas distribution business</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NGLs</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Natural gas liquids</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NOLs</w:t>
            </w:r>
          </w:p>
        </w:tc>
        <w:tc>
          <w:tcPr>
            <w:tcW w:w="7700" w:type="dxa"/>
            <w:vAlign w:val="bottom"/>
          </w:tcPr>
          <w:p>
            <w:pPr>
              <w:ind w:left="1140"/>
              <w:spacing w:after="0"/>
              <w:rPr>
                <w:sz w:val="20"/>
                <w:szCs w:val="20"/>
                <w:color w:val="auto"/>
              </w:rPr>
            </w:pPr>
            <w:r>
              <w:rPr>
                <w:rFonts w:ascii="Arial" w:cs="Arial" w:eastAsia="Arial" w:hAnsi="Arial"/>
                <w:sz w:val="18"/>
                <w:szCs w:val="18"/>
                <w:color w:val="auto"/>
              </w:rPr>
              <w:t>Net operating losses</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NRG</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NRG Energy, Inc.</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OCC</w:t>
            </w:r>
          </w:p>
        </w:tc>
        <w:tc>
          <w:tcPr>
            <w:tcW w:w="7700" w:type="dxa"/>
            <w:vAlign w:val="bottom"/>
          </w:tcPr>
          <w:p>
            <w:pPr>
              <w:ind w:left="1140"/>
              <w:spacing w:after="0"/>
              <w:rPr>
                <w:sz w:val="20"/>
                <w:szCs w:val="20"/>
                <w:color w:val="auto"/>
              </w:rPr>
            </w:pPr>
            <w:r>
              <w:rPr>
                <w:rFonts w:ascii="Arial" w:cs="Arial" w:eastAsia="Arial" w:hAnsi="Arial"/>
                <w:sz w:val="18"/>
                <w:szCs w:val="18"/>
                <w:color w:val="auto"/>
              </w:rPr>
              <w:t>Oklahoma Corporation Commission</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OGE</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OGE Energy Corp.</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PBRC</w:t>
            </w:r>
          </w:p>
        </w:tc>
        <w:tc>
          <w:tcPr>
            <w:tcW w:w="7700" w:type="dxa"/>
            <w:vAlign w:val="bottom"/>
          </w:tcPr>
          <w:p>
            <w:pPr>
              <w:ind w:left="1140"/>
              <w:spacing w:after="0"/>
              <w:rPr>
                <w:sz w:val="20"/>
                <w:szCs w:val="20"/>
                <w:color w:val="auto"/>
              </w:rPr>
            </w:pPr>
            <w:r>
              <w:rPr>
                <w:rFonts w:ascii="Arial" w:cs="Arial" w:eastAsia="Arial" w:hAnsi="Arial"/>
                <w:sz w:val="18"/>
                <w:szCs w:val="18"/>
                <w:color w:val="auto"/>
              </w:rPr>
              <w:t>Performance Based Rate Change</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PowerTeam Services</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PowerTeam Services, LLC, a Delaware limited liability company</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PRPs</w:t>
            </w:r>
          </w:p>
        </w:tc>
        <w:tc>
          <w:tcPr>
            <w:tcW w:w="7700" w:type="dxa"/>
            <w:vAlign w:val="bottom"/>
          </w:tcPr>
          <w:p>
            <w:pPr>
              <w:ind w:left="1140"/>
              <w:spacing w:after="0"/>
              <w:rPr>
                <w:sz w:val="20"/>
                <w:szCs w:val="20"/>
                <w:color w:val="auto"/>
              </w:rPr>
            </w:pPr>
            <w:r>
              <w:rPr>
                <w:rFonts w:ascii="Arial" w:cs="Arial" w:eastAsia="Arial" w:hAnsi="Arial"/>
                <w:sz w:val="18"/>
                <w:szCs w:val="18"/>
                <w:color w:val="auto"/>
              </w:rPr>
              <w:t>Potentially responsible parties</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PUCO</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Public Utilities Commission of Ohio</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PUCT</w:t>
            </w:r>
          </w:p>
        </w:tc>
        <w:tc>
          <w:tcPr>
            <w:tcW w:w="7700" w:type="dxa"/>
            <w:vAlign w:val="bottom"/>
          </w:tcPr>
          <w:p>
            <w:pPr>
              <w:ind w:left="1140"/>
              <w:spacing w:after="0"/>
              <w:rPr>
                <w:sz w:val="20"/>
                <w:szCs w:val="20"/>
                <w:color w:val="auto"/>
              </w:rPr>
            </w:pPr>
            <w:r>
              <w:rPr>
                <w:rFonts w:ascii="Arial" w:cs="Arial" w:eastAsia="Arial" w:hAnsi="Arial"/>
                <w:sz w:val="18"/>
                <w:szCs w:val="18"/>
                <w:color w:val="auto"/>
              </w:rPr>
              <w:t>Public Utility Commission of Texas</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Railroad Commission</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Railroad Commission of Texas</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RCRA</w:t>
            </w:r>
          </w:p>
        </w:tc>
        <w:tc>
          <w:tcPr>
            <w:tcW w:w="7700" w:type="dxa"/>
            <w:vAlign w:val="bottom"/>
          </w:tcPr>
          <w:p>
            <w:pPr>
              <w:ind w:left="1140"/>
              <w:spacing w:after="0"/>
              <w:rPr>
                <w:sz w:val="20"/>
                <w:szCs w:val="20"/>
                <w:color w:val="auto"/>
              </w:rPr>
            </w:pPr>
            <w:r>
              <w:rPr>
                <w:rFonts w:ascii="Arial" w:cs="Arial" w:eastAsia="Arial" w:hAnsi="Arial"/>
                <w:sz w:val="18"/>
                <w:szCs w:val="18"/>
                <w:color w:val="auto"/>
              </w:rPr>
              <w:t>Resource Conservation and Recovery Act of 1976</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Registrants</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CenterPoint Energy, Houston Electric and CERC, collectively</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REP</w:t>
            </w:r>
          </w:p>
        </w:tc>
        <w:tc>
          <w:tcPr>
            <w:tcW w:w="7700" w:type="dxa"/>
            <w:vAlign w:val="bottom"/>
          </w:tcPr>
          <w:p>
            <w:pPr>
              <w:ind w:left="1140"/>
              <w:spacing w:after="0"/>
              <w:rPr>
                <w:sz w:val="20"/>
                <w:szCs w:val="20"/>
                <w:color w:val="auto"/>
              </w:rPr>
            </w:pPr>
            <w:r>
              <w:rPr>
                <w:rFonts w:ascii="Arial" w:cs="Arial" w:eastAsia="Arial" w:hAnsi="Arial"/>
                <w:sz w:val="18"/>
                <w:szCs w:val="18"/>
                <w:color w:val="auto"/>
              </w:rPr>
              <w:t>Retail electric provider</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Restoration Bond Company</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8"/>
              </w:rPr>
              <w:t>CenterPoint Energy Restoration Bond Company, LLC, a wholly-owned subsidiary of</w:t>
            </w: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Houston Electric</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ROE</w:t>
            </w:r>
          </w:p>
        </w:tc>
        <w:tc>
          <w:tcPr>
            <w:tcW w:w="7700" w:type="dxa"/>
            <w:vAlign w:val="bottom"/>
          </w:tcPr>
          <w:p>
            <w:pPr>
              <w:ind w:left="1140"/>
              <w:spacing w:after="0"/>
              <w:rPr>
                <w:sz w:val="20"/>
                <w:szCs w:val="20"/>
                <w:color w:val="auto"/>
              </w:rPr>
            </w:pPr>
            <w:r>
              <w:rPr>
                <w:rFonts w:ascii="Arial" w:cs="Arial" w:eastAsia="Arial" w:hAnsi="Arial"/>
                <w:sz w:val="18"/>
                <w:szCs w:val="18"/>
                <w:color w:val="auto"/>
              </w:rPr>
              <w:t>Return on equity</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ROU</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Right of use</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RRA</w:t>
            </w:r>
          </w:p>
        </w:tc>
        <w:tc>
          <w:tcPr>
            <w:tcW w:w="7700" w:type="dxa"/>
            <w:vAlign w:val="bottom"/>
          </w:tcPr>
          <w:p>
            <w:pPr>
              <w:ind w:left="1140"/>
              <w:spacing w:after="0"/>
              <w:rPr>
                <w:sz w:val="20"/>
                <w:szCs w:val="20"/>
                <w:color w:val="auto"/>
              </w:rPr>
            </w:pPr>
            <w:r>
              <w:rPr>
                <w:rFonts w:ascii="Arial" w:cs="Arial" w:eastAsia="Arial" w:hAnsi="Arial"/>
                <w:sz w:val="18"/>
                <w:szCs w:val="18"/>
                <w:color w:val="auto"/>
              </w:rPr>
              <w:t>Rate Regulation Adjustment</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RSP</w:t>
            </w: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Rate Stabilization Plan</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SEC</w:t>
            </w:r>
          </w:p>
        </w:tc>
        <w:tc>
          <w:tcPr>
            <w:tcW w:w="7700" w:type="dxa"/>
            <w:vAlign w:val="bottom"/>
          </w:tcPr>
          <w:p>
            <w:pPr>
              <w:ind w:left="1140"/>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Securities Purchase Agreement</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7"/>
              </w:rPr>
              <w:t>Securities Purchase Agreement, dated as of February 3, 2020, by and among VUSI,</w:t>
            </w:r>
          </w:p>
        </w:tc>
      </w:tr>
      <w:tr>
        <w:trPr>
          <w:trHeight w:val="216"/>
        </w:trPr>
        <w:tc>
          <w:tcPr>
            <w:tcW w:w="3480" w:type="dxa"/>
            <w:vAlign w:val="bottom"/>
            <w:shd w:val="clear" w:color="auto" w:fill="CCEEFF"/>
          </w:tcPr>
          <w:p>
            <w:pPr>
              <w:spacing w:after="0"/>
              <w:rPr>
                <w:sz w:val="18"/>
                <w:szCs w:val="18"/>
                <w:color w:val="auto"/>
              </w:rPr>
            </w:pP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0"/>
              </w:rPr>
              <w:t>PowerTeam Services, and, solely for purposes of Section 10.17 of the Securities Purchase</w:t>
            </w: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Agreement, Vectren</w:t>
            </w: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Securitization Bonds</w:t>
            </w:r>
          </w:p>
        </w:tc>
        <w:tc>
          <w:tcPr>
            <w:tcW w:w="7700" w:type="dxa"/>
            <w:vAlign w:val="bottom"/>
          </w:tcPr>
          <w:p>
            <w:pPr>
              <w:ind w:left="1140"/>
              <w:spacing w:after="0"/>
              <w:rPr>
                <w:sz w:val="20"/>
                <w:szCs w:val="20"/>
                <w:color w:val="auto"/>
              </w:rPr>
            </w:pPr>
            <w:r>
              <w:rPr>
                <w:rFonts w:ascii="Arial" w:cs="Arial" w:eastAsia="Arial" w:hAnsi="Arial"/>
                <w:sz w:val="18"/>
                <w:szCs w:val="18"/>
                <w:color w:val="auto"/>
              </w:rPr>
              <w:t>Transition and system restoration bonds</w:t>
            </w:r>
          </w:p>
        </w:tc>
      </w:tr>
      <w:tr>
        <w:trPr>
          <w:trHeight w:val="27"/>
        </w:trPr>
        <w:tc>
          <w:tcPr>
            <w:tcW w:w="348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Series A Preferred Stock</w:t>
            </w: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2"/>
              </w:rPr>
              <w:t>CenterPoint Energy’s Series A Fixed-to-Floating Rate Cumulative Redeemable Perpetual</w:t>
            </w:r>
          </w:p>
        </w:tc>
      </w:tr>
      <w:tr>
        <w:trPr>
          <w:trHeight w:val="216"/>
        </w:trPr>
        <w:tc>
          <w:tcPr>
            <w:tcW w:w="3480" w:type="dxa"/>
            <w:vAlign w:val="bottom"/>
            <w:shd w:val="clear" w:color="auto" w:fill="CCEEFF"/>
          </w:tcPr>
          <w:p>
            <w:pPr>
              <w:spacing w:after="0"/>
              <w:rPr>
                <w:sz w:val="18"/>
                <w:szCs w:val="18"/>
                <w:color w:val="auto"/>
              </w:rPr>
            </w:pPr>
          </w:p>
        </w:tc>
        <w:tc>
          <w:tcPr>
            <w:tcW w:w="770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5"/>
              </w:rPr>
              <w:t>Preferred Stock, par value $0.01 per share, with a liquidation preference of $1,000 per</w:t>
            </w: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share</w:t>
            </w:r>
          </w:p>
        </w:tc>
      </w:tr>
      <w:tr>
        <w:trPr>
          <w:trHeight w:val="432"/>
        </w:trPr>
        <w:tc>
          <w:tcPr>
            <w:tcW w:w="3480" w:type="dxa"/>
            <w:vAlign w:val="bottom"/>
          </w:tcPr>
          <w:p>
            <w:pPr>
              <w:spacing w:after="0"/>
              <w:rPr>
                <w:sz w:val="24"/>
                <w:szCs w:val="24"/>
                <w:color w:val="auto"/>
              </w:rPr>
            </w:pPr>
          </w:p>
        </w:tc>
        <w:tc>
          <w:tcPr>
            <w:tcW w:w="7700" w:type="dxa"/>
            <w:vAlign w:val="bottom"/>
          </w:tcPr>
          <w:p>
            <w:pPr>
              <w:ind w:left="204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180"/>
          </w:cols>
          <w:pgMar w:left="360" w:top="503" w:right="35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380" w:type="dxa"/>
            <w:vAlign w:val="bottom"/>
          </w:tcPr>
          <w:p>
            <w:pPr>
              <w:ind w:left="1320"/>
              <w:spacing w:after="0"/>
              <w:rPr>
                <w:sz w:val="20"/>
                <w:szCs w:val="20"/>
                <w:color w:val="auto"/>
              </w:rPr>
            </w:pPr>
            <w:r>
              <w:rPr>
                <w:rFonts w:ascii="Arial" w:cs="Arial" w:eastAsia="Arial" w:hAnsi="Arial"/>
                <w:sz w:val="18"/>
                <w:szCs w:val="18"/>
                <w:b w:val="1"/>
                <w:bCs w:val="1"/>
                <w:i w:val="1"/>
                <w:iCs w:val="1"/>
                <w:color w:val="auto"/>
              </w:rPr>
              <w:t>GLOSSARY</w:t>
            </w:r>
          </w:p>
        </w:tc>
      </w:tr>
      <w:tr>
        <w:trPr>
          <w:trHeight w:val="27"/>
        </w:trPr>
        <w:tc>
          <w:tcPr>
            <w:tcW w:w="38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r>
      <w:tr>
        <w:trPr>
          <w:trHeight w:val="222"/>
        </w:trPr>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Series B Preferred Stock</w:t>
            </w:r>
          </w:p>
        </w:tc>
        <w:tc>
          <w:tcPr>
            <w:tcW w:w="7380" w:type="dxa"/>
            <w:vAlign w:val="bottom"/>
          </w:tcPr>
          <w:p>
            <w:pPr>
              <w:ind w:left="820"/>
              <w:spacing w:after="0"/>
              <w:rPr>
                <w:sz w:val="20"/>
                <w:szCs w:val="20"/>
                <w:color w:val="auto"/>
              </w:rPr>
            </w:pPr>
            <w:r>
              <w:rPr>
                <w:rFonts w:ascii="Arial" w:cs="Arial" w:eastAsia="Arial" w:hAnsi="Arial"/>
                <w:sz w:val="18"/>
                <w:szCs w:val="18"/>
                <w:color w:val="auto"/>
                <w:w w:val="93"/>
              </w:rPr>
              <w:t>CenterPoint Energy’s 7.00% Series B Mandatory Convertible Preferred Stock, par value</w:t>
            </w:r>
          </w:p>
        </w:tc>
      </w:tr>
      <w:tr>
        <w:trPr>
          <w:trHeight w:val="230"/>
        </w:trPr>
        <w:tc>
          <w:tcPr>
            <w:tcW w:w="3800" w:type="dxa"/>
            <w:vAlign w:val="bottom"/>
          </w:tcPr>
          <w:p>
            <w:pPr>
              <w:spacing w:after="0"/>
              <w:rPr>
                <w:sz w:val="20"/>
                <w:szCs w:val="20"/>
                <w:color w:val="auto"/>
              </w:rPr>
            </w:pPr>
          </w:p>
        </w:tc>
        <w:tc>
          <w:tcPr>
            <w:tcW w:w="7380" w:type="dxa"/>
            <w:vAlign w:val="bottom"/>
          </w:tcPr>
          <w:p>
            <w:pPr>
              <w:ind w:left="820"/>
              <w:spacing w:after="0"/>
              <w:rPr>
                <w:sz w:val="20"/>
                <w:szCs w:val="20"/>
                <w:color w:val="auto"/>
              </w:rPr>
            </w:pPr>
            <w:r>
              <w:rPr>
                <w:rFonts w:ascii="Arial" w:cs="Arial" w:eastAsia="Arial" w:hAnsi="Arial"/>
                <w:sz w:val="18"/>
                <w:szCs w:val="18"/>
                <w:color w:val="auto"/>
              </w:rPr>
              <w:t>$0.01 per share, with a liquidation preference of $1,000 per share</w:t>
            </w:r>
          </w:p>
        </w:tc>
      </w:tr>
      <w:tr>
        <w:trPr>
          <w:trHeight w:val="27"/>
        </w:trPr>
        <w:tc>
          <w:tcPr>
            <w:tcW w:w="380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Series C Preferred Stock</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4"/>
              </w:rPr>
              <w:t>CenterPoint Energy’s Series C Mandatory Convertible Preferred Stock, par value $0.01</w:t>
            </w:r>
          </w:p>
        </w:tc>
      </w:tr>
      <w:tr>
        <w:trPr>
          <w:trHeight w:val="237"/>
        </w:trPr>
        <w:tc>
          <w:tcPr>
            <w:tcW w:w="380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per share, with a liquidation preference of $1,000 per share</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SIGECO</w:t>
            </w:r>
          </w:p>
        </w:tc>
        <w:tc>
          <w:tcPr>
            <w:tcW w:w="7380" w:type="dxa"/>
            <w:vAlign w:val="bottom"/>
          </w:tcPr>
          <w:p>
            <w:pPr>
              <w:ind w:left="820"/>
              <w:spacing w:after="0"/>
              <w:rPr>
                <w:sz w:val="20"/>
                <w:szCs w:val="20"/>
                <w:color w:val="auto"/>
              </w:rPr>
            </w:pPr>
            <w:r>
              <w:rPr>
                <w:rFonts w:ascii="Arial" w:cs="Arial" w:eastAsia="Arial" w:hAnsi="Arial"/>
                <w:sz w:val="18"/>
                <w:szCs w:val="18"/>
                <w:color w:val="auto"/>
                <w:w w:val="98"/>
              </w:rPr>
              <w:t>Southern Indiana Gas and Electric Company, a wholly-owned subsidiary of Vectren</w:t>
            </w:r>
          </w:p>
        </w:tc>
      </w:tr>
      <w:tr>
        <w:trPr>
          <w:trHeight w:val="27"/>
        </w:trPr>
        <w:tc>
          <w:tcPr>
            <w:tcW w:w="380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S&amp;P</w:t>
            </w:r>
          </w:p>
        </w:tc>
        <w:tc>
          <w:tcPr>
            <w:tcW w:w="7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S&amp;P Global Ratings</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SRC</w:t>
            </w:r>
          </w:p>
        </w:tc>
        <w:tc>
          <w:tcPr>
            <w:tcW w:w="7380" w:type="dxa"/>
            <w:vAlign w:val="bottom"/>
          </w:tcPr>
          <w:p>
            <w:pPr>
              <w:ind w:left="820"/>
              <w:spacing w:after="0"/>
              <w:rPr>
                <w:sz w:val="20"/>
                <w:szCs w:val="20"/>
                <w:color w:val="auto"/>
              </w:rPr>
            </w:pPr>
            <w:r>
              <w:rPr>
                <w:rFonts w:ascii="Arial" w:cs="Arial" w:eastAsia="Arial" w:hAnsi="Arial"/>
                <w:sz w:val="18"/>
                <w:szCs w:val="18"/>
                <w:color w:val="auto"/>
              </w:rPr>
              <w:t>Sales Reconciliation Component</w:t>
            </w:r>
          </w:p>
        </w:tc>
      </w:tr>
      <w:tr>
        <w:trPr>
          <w:trHeight w:val="27"/>
        </w:trPr>
        <w:tc>
          <w:tcPr>
            <w:tcW w:w="380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Symmetry Energy Solutions Acquisition</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Symmetry Energy Solutions Acquisition, LLC, a Delaware limited liability company</w:t>
            </w:r>
          </w:p>
        </w:tc>
      </w:tr>
      <w:tr>
        <w:trPr>
          <w:trHeight w:val="216"/>
        </w:trPr>
        <w:tc>
          <w:tcPr>
            <w:tcW w:w="3800" w:type="dxa"/>
            <w:vAlign w:val="bottom"/>
            <w:shd w:val="clear" w:color="auto" w:fill="CCEEFF"/>
          </w:tcPr>
          <w:p>
            <w:pPr>
              <w:spacing w:after="0"/>
              <w:rPr>
                <w:sz w:val="18"/>
                <w:szCs w:val="18"/>
                <w:color w:val="auto"/>
              </w:rPr>
            </w:pP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5"/>
              </w:rPr>
              <w:t>(f/k/a Athena Energy Services Buyer, LLC) and subsidiary of Energy Capital Partners,</w:t>
            </w:r>
          </w:p>
        </w:tc>
      </w:tr>
      <w:tr>
        <w:trPr>
          <w:trHeight w:val="237"/>
        </w:trPr>
        <w:tc>
          <w:tcPr>
            <w:tcW w:w="380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LLC</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TBD</w:t>
            </w:r>
          </w:p>
        </w:tc>
        <w:tc>
          <w:tcPr>
            <w:tcW w:w="7380" w:type="dxa"/>
            <w:vAlign w:val="bottom"/>
          </w:tcPr>
          <w:p>
            <w:pPr>
              <w:ind w:left="820"/>
              <w:spacing w:after="0"/>
              <w:rPr>
                <w:sz w:val="20"/>
                <w:szCs w:val="20"/>
                <w:color w:val="auto"/>
              </w:rPr>
            </w:pPr>
            <w:r>
              <w:rPr>
                <w:rFonts w:ascii="Arial" w:cs="Arial" w:eastAsia="Arial" w:hAnsi="Arial"/>
                <w:sz w:val="18"/>
                <w:szCs w:val="18"/>
                <w:color w:val="auto"/>
              </w:rPr>
              <w:t>To be determined</w:t>
            </w:r>
          </w:p>
        </w:tc>
      </w:tr>
      <w:tr>
        <w:trPr>
          <w:trHeight w:val="27"/>
        </w:trPr>
        <w:tc>
          <w:tcPr>
            <w:tcW w:w="380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TCEH Corp.</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Formerly Texas Competitive Electric Holdings Company LLC, predecessor to Vistra</w:t>
            </w:r>
          </w:p>
        </w:tc>
      </w:tr>
      <w:tr>
        <w:trPr>
          <w:trHeight w:val="237"/>
        </w:trPr>
        <w:tc>
          <w:tcPr>
            <w:tcW w:w="380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Energy Corp. whose major subsidiaries include Luminant and TXU Energy</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TCJA</w:t>
            </w:r>
          </w:p>
        </w:tc>
        <w:tc>
          <w:tcPr>
            <w:tcW w:w="7380" w:type="dxa"/>
            <w:vAlign w:val="bottom"/>
          </w:tcPr>
          <w:p>
            <w:pPr>
              <w:ind w:left="820"/>
              <w:spacing w:after="0"/>
              <w:rPr>
                <w:sz w:val="20"/>
                <w:szCs w:val="20"/>
                <w:color w:val="auto"/>
              </w:rPr>
            </w:pPr>
            <w:r>
              <w:rPr>
                <w:rFonts w:ascii="Arial" w:cs="Arial" w:eastAsia="Arial" w:hAnsi="Arial"/>
                <w:sz w:val="18"/>
                <w:szCs w:val="18"/>
                <w:color w:val="auto"/>
              </w:rPr>
              <w:t>Tax reform legislation informally called the Tax Cuts and Jobs Act of 2017</w:t>
            </w:r>
          </w:p>
        </w:tc>
      </w:tr>
      <w:tr>
        <w:trPr>
          <w:trHeight w:val="27"/>
        </w:trPr>
        <w:tc>
          <w:tcPr>
            <w:tcW w:w="380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TCOS</w:t>
            </w:r>
          </w:p>
        </w:tc>
        <w:tc>
          <w:tcPr>
            <w:tcW w:w="7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Transmission Cost of Service</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TCRF</w:t>
            </w:r>
          </w:p>
        </w:tc>
        <w:tc>
          <w:tcPr>
            <w:tcW w:w="7380" w:type="dxa"/>
            <w:vAlign w:val="bottom"/>
          </w:tcPr>
          <w:p>
            <w:pPr>
              <w:ind w:left="820"/>
              <w:spacing w:after="0"/>
              <w:rPr>
                <w:sz w:val="20"/>
                <w:szCs w:val="20"/>
                <w:color w:val="auto"/>
              </w:rPr>
            </w:pPr>
            <w:r>
              <w:rPr>
                <w:rFonts w:ascii="Arial" w:cs="Arial" w:eastAsia="Arial" w:hAnsi="Arial"/>
                <w:sz w:val="18"/>
                <w:szCs w:val="18"/>
                <w:color w:val="auto"/>
              </w:rPr>
              <w:t>Transmission Cost Recovery Factor</w:t>
            </w:r>
          </w:p>
        </w:tc>
      </w:tr>
      <w:tr>
        <w:trPr>
          <w:trHeight w:val="27"/>
        </w:trPr>
        <w:tc>
          <w:tcPr>
            <w:tcW w:w="380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TDSIC</w:t>
            </w:r>
          </w:p>
        </w:tc>
        <w:tc>
          <w:tcPr>
            <w:tcW w:w="7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Transmission, Distribution and Storage System Improvement Charge</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TDU</w:t>
            </w:r>
          </w:p>
        </w:tc>
        <w:tc>
          <w:tcPr>
            <w:tcW w:w="7380" w:type="dxa"/>
            <w:vAlign w:val="bottom"/>
          </w:tcPr>
          <w:p>
            <w:pPr>
              <w:ind w:left="820"/>
              <w:spacing w:after="0"/>
              <w:rPr>
                <w:sz w:val="20"/>
                <w:szCs w:val="20"/>
                <w:color w:val="auto"/>
              </w:rPr>
            </w:pPr>
            <w:r>
              <w:rPr>
                <w:rFonts w:ascii="Arial" w:cs="Arial" w:eastAsia="Arial" w:hAnsi="Arial"/>
                <w:sz w:val="18"/>
                <w:szCs w:val="18"/>
                <w:color w:val="auto"/>
              </w:rPr>
              <w:t>Transmission and distribution utility</w:t>
            </w:r>
          </w:p>
        </w:tc>
      </w:tr>
      <w:tr>
        <w:trPr>
          <w:trHeight w:val="27"/>
        </w:trPr>
        <w:tc>
          <w:tcPr>
            <w:tcW w:w="380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TSCR</w:t>
            </w:r>
          </w:p>
        </w:tc>
        <w:tc>
          <w:tcPr>
            <w:tcW w:w="7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Tax Savings Credit Rider</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Utility Holding</w:t>
            </w:r>
          </w:p>
        </w:tc>
        <w:tc>
          <w:tcPr>
            <w:tcW w:w="7380" w:type="dxa"/>
            <w:vAlign w:val="bottom"/>
          </w:tcPr>
          <w:p>
            <w:pPr>
              <w:ind w:left="820"/>
              <w:spacing w:after="0"/>
              <w:rPr>
                <w:sz w:val="20"/>
                <w:szCs w:val="20"/>
                <w:color w:val="auto"/>
              </w:rPr>
            </w:pPr>
            <w:r>
              <w:rPr>
                <w:rFonts w:ascii="Arial" w:cs="Arial" w:eastAsia="Arial" w:hAnsi="Arial"/>
                <w:sz w:val="18"/>
                <w:szCs w:val="18"/>
                <w:color w:val="auto"/>
              </w:rPr>
              <w:t>Utility Holding, LLC, a wholly-owned subsidiary of CenterPoint Energy</w:t>
            </w:r>
          </w:p>
        </w:tc>
      </w:tr>
      <w:tr>
        <w:trPr>
          <w:trHeight w:val="27"/>
        </w:trPr>
        <w:tc>
          <w:tcPr>
            <w:tcW w:w="380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VCC</w:t>
            </w:r>
          </w:p>
        </w:tc>
        <w:tc>
          <w:tcPr>
            <w:tcW w:w="7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Vectren Capital Corp., a wholly-owned subsidiary of Vectren</w:t>
            </w: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Vectren</w:t>
            </w:r>
          </w:p>
        </w:tc>
        <w:tc>
          <w:tcPr>
            <w:tcW w:w="7380" w:type="dxa"/>
            <w:vAlign w:val="bottom"/>
          </w:tcPr>
          <w:p>
            <w:pPr>
              <w:ind w:left="820"/>
              <w:spacing w:after="0"/>
              <w:rPr>
                <w:sz w:val="20"/>
                <w:szCs w:val="20"/>
                <w:color w:val="auto"/>
              </w:rPr>
            </w:pPr>
            <w:r>
              <w:rPr>
                <w:rFonts w:ascii="Arial" w:cs="Arial" w:eastAsia="Arial" w:hAnsi="Arial"/>
                <w:sz w:val="18"/>
                <w:szCs w:val="18"/>
                <w:color w:val="auto"/>
                <w:w w:val="92"/>
              </w:rPr>
              <w:t>Vectren Corporation, a wholly-owned subsidiary of CenterPoint Energy as of February 1,</w:t>
            </w:r>
          </w:p>
        </w:tc>
      </w:tr>
      <w:tr>
        <w:trPr>
          <w:trHeight w:val="230"/>
        </w:trPr>
        <w:tc>
          <w:tcPr>
            <w:tcW w:w="3800" w:type="dxa"/>
            <w:vAlign w:val="bottom"/>
          </w:tcPr>
          <w:p>
            <w:pPr>
              <w:spacing w:after="0"/>
              <w:rPr>
                <w:sz w:val="20"/>
                <w:szCs w:val="20"/>
                <w:color w:val="auto"/>
              </w:rPr>
            </w:pPr>
          </w:p>
        </w:tc>
        <w:tc>
          <w:tcPr>
            <w:tcW w:w="7380" w:type="dxa"/>
            <w:vAlign w:val="bottom"/>
          </w:tcPr>
          <w:p>
            <w:pPr>
              <w:ind w:left="820"/>
              <w:spacing w:after="0"/>
              <w:rPr>
                <w:sz w:val="20"/>
                <w:szCs w:val="20"/>
                <w:color w:val="auto"/>
              </w:rPr>
            </w:pPr>
            <w:r>
              <w:rPr>
                <w:rFonts w:ascii="Arial" w:cs="Arial" w:eastAsia="Arial" w:hAnsi="Arial"/>
                <w:sz w:val="18"/>
                <w:szCs w:val="18"/>
                <w:color w:val="auto"/>
              </w:rPr>
              <w:t>2019</w:t>
            </w:r>
          </w:p>
        </w:tc>
      </w:tr>
      <w:tr>
        <w:trPr>
          <w:trHeight w:val="27"/>
        </w:trPr>
        <w:tc>
          <w:tcPr>
            <w:tcW w:w="380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VEDO</w:t>
            </w:r>
          </w:p>
        </w:tc>
        <w:tc>
          <w:tcPr>
            <w:tcW w:w="7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Vectren Energy Delivery of Ohio, Inc., a wholly-owned subsidiary of Vectren</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VIE</w:t>
            </w:r>
          </w:p>
        </w:tc>
        <w:tc>
          <w:tcPr>
            <w:tcW w:w="7380" w:type="dxa"/>
            <w:vAlign w:val="bottom"/>
          </w:tcPr>
          <w:p>
            <w:pPr>
              <w:ind w:left="820"/>
              <w:spacing w:after="0"/>
              <w:rPr>
                <w:sz w:val="20"/>
                <w:szCs w:val="20"/>
                <w:color w:val="auto"/>
              </w:rPr>
            </w:pPr>
            <w:r>
              <w:rPr>
                <w:rFonts w:ascii="Arial" w:cs="Arial" w:eastAsia="Arial" w:hAnsi="Arial"/>
                <w:sz w:val="18"/>
                <w:szCs w:val="18"/>
                <w:color w:val="auto"/>
              </w:rPr>
              <w:t>Variable interest entity</w:t>
            </w:r>
          </w:p>
        </w:tc>
      </w:tr>
      <w:tr>
        <w:trPr>
          <w:trHeight w:val="27"/>
        </w:trPr>
        <w:tc>
          <w:tcPr>
            <w:tcW w:w="380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VISCO</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9"/>
              </w:rPr>
              <w:t>Vectren Infrastructure Services Corporation, formerly a wholly-owned subsidiary of</w:t>
            </w:r>
          </w:p>
        </w:tc>
      </w:tr>
      <w:tr>
        <w:trPr>
          <w:trHeight w:val="237"/>
        </w:trPr>
        <w:tc>
          <w:tcPr>
            <w:tcW w:w="380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Vectren</w:t>
            </w: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Vistra Energy Corp.</w:t>
            </w:r>
          </w:p>
        </w:tc>
        <w:tc>
          <w:tcPr>
            <w:tcW w:w="7380" w:type="dxa"/>
            <w:vAlign w:val="bottom"/>
          </w:tcPr>
          <w:p>
            <w:pPr>
              <w:ind w:left="820"/>
              <w:spacing w:after="0"/>
              <w:rPr>
                <w:sz w:val="20"/>
                <w:szCs w:val="20"/>
                <w:color w:val="auto"/>
              </w:rPr>
            </w:pPr>
            <w:r>
              <w:rPr>
                <w:rFonts w:ascii="Arial" w:cs="Arial" w:eastAsia="Arial" w:hAnsi="Arial"/>
                <w:sz w:val="18"/>
                <w:szCs w:val="18"/>
                <w:color w:val="auto"/>
                <w:w w:val="93"/>
              </w:rPr>
              <w:t>Texas-based energy company focused on the competitive energy and power generation</w:t>
            </w:r>
          </w:p>
        </w:tc>
      </w:tr>
      <w:tr>
        <w:trPr>
          <w:trHeight w:val="230"/>
        </w:trPr>
        <w:tc>
          <w:tcPr>
            <w:tcW w:w="3800" w:type="dxa"/>
            <w:vAlign w:val="bottom"/>
          </w:tcPr>
          <w:p>
            <w:pPr>
              <w:spacing w:after="0"/>
              <w:rPr>
                <w:sz w:val="20"/>
                <w:szCs w:val="20"/>
                <w:color w:val="auto"/>
              </w:rPr>
            </w:pPr>
          </w:p>
        </w:tc>
        <w:tc>
          <w:tcPr>
            <w:tcW w:w="7380" w:type="dxa"/>
            <w:vAlign w:val="bottom"/>
          </w:tcPr>
          <w:p>
            <w:pPr>
              <w:ind w:left="820"/>
              <w:spacing w:after="0"/>
              <w:rPr>
                <w:sz w:val="20"/>
                <w:szCs w:val="20"/>
                <w:color w:val="auto"/>
              </w:rPr>
            </w:pPr>
            <w:r>
              <w:rPr>
                <w:rFonts w:ascii="Arial" w:cs="Arial" w:eastAsia="Arial" w:hAnsi="Arial"/>
                <w:sz w:val="18"/>
                <w:szCs w:val="18"/>
                <w:color w:val="auto"/>
              </w:rPr>
              <w:t>markets</w:t>
            </w:r>
          </w:p>
        </w:tc>
      </w:tr>
      <w:tr>
        <w:trPr>
          <w:trHeight w:val="27"/>
        </w:trPr>
        <w:tc>
          <w:tcPr>
            <w:tcW w:w="380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VRP</w:t>
            </w:r>
          </w:p>
        </w:tc>
        <w:tc>
          <w:tcPr>
            <w:tcW w:w="7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Voluntary Remediation Program</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VUHI</w:t>
            </w:r>
          </w:p>
        </w:tc>
        <w:tc>
          <w:tcPr>
            <w:tcW w:w="7380" w:type="dxa"/>
            <w:vAlign w:val="bottom"/>
          </w:tcPr>
          <w:p>
            <w:pPr>
              <w:ind w:left="820"/>
              <w:spacing w:after="0"/>
              <w:rPr>
                <w:sz w:val="20"/>
                <w:szCs w:val="20"/>
                <w:color w:val="auto"/>
              </w:rPr>
            </w:pPr>
            <w:r>
              <w:rPr>
                <w:rFonts w:ascii="Arial" w:cs="Arial" w:eastAsia="Arial" w:hAnsi="Arial"/>
                <w:sz w:val="18"/>
                <w:szCs w:val="18"/>
                <w:color w:val="auto"/>
              </w:rPr>
              <w:t>Vectren Utility Holdings, Inc., a wholly-owned subsidiary of Vectren</w:t>
            </w:r>
          </w:p>
        </w:tc>
      </w:tr>
      <w:tr>
        <w:trPr>
          <w:trHeight w:val="27"/>
        </w:trPr>
        <w:tc>
          <w:tcPr>
            <w:tcW w:w="380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ZENS</w:t>
            </w:r>
          </w:p>
        </w:tc>
        <w:tc>
          <w:tcPr>
            <w:tcW w:w="7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2.0% Zero-Premium Exchangeable Subordinated Notes due 2029</w:t>
            </w: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ZENS-Related Securities</w:t>
            </w:r>
          </w:p>
        </w:tc>
        <w:tc>
          <w:tcPr>
            <w:tcW w:w="7380" w:type="dxa"/>
            <w:vAlign w:val="bottom"/>
          </w:tcPr>
          <w:p>
            <w:pPr>
              <w:ind w:left="820"/>
              <w:spacing w:after="0"/>
              <w:rPr>
                <w:sz w:val="20"/>
                <w:szCs w:val="20"/>
                <w:color w:val="auto"/>
              </w:rPr>
            </w:pPr>
            <w:r>
              <w:rPr>
                <w:rFonts w:ascii="Arial" w:cs="Arial" w:eastAsia="Arial" w:hAnsi="Arial"/>
                <w:sz w:val="18"/>
                <w:szCs w:val="18"/>
                <w:color w:val="auto"/>
                <w:w w:val="97"/>
              </w:rPr>
              <w:t>As of both June 30, 2020 and December 31, 2019, consisted of AT&amp;T Common and</w:t>
            </w:r>
          </w:p>
        </w:tc>
      </w:tr>
      <w:tr>
        <w:trPr>
          <w:trHeight w:val="230"/>
        </w:trPr>
        <w:tc>
          <w:tcPr>
            <w:tcW w:w="3800" w:type="dxa"/>
            <w:vAlign w:val="bottom"/>
          </w:tcPr>
          <w:p>
            <w:pPr>
              <w:spacing w:after="0"/>
              <w:rPr>
                <w:sz w:val="20"/>
                <w:szCs w:val="20"/>
                <w:color w:val="auto"/>
              </w:rPr>
            </w:pPr>
          </w:p>
        </w:tc>
        <w:tc>
          <w:tcPr>
            <w:tcW w:w="7380" w:type="dxa"/>
            <w:vAlign w:val="bottom"/>
          </w:tcPr>
          <w:p>
            <w:pPr>
              <w:ind w:left="820"/>
              <w:spacing w:after="0"/>
              <w:rPr>
                <w:sz w:val="20"/>
                <w:szCs w:val="20"/>
                <w:color w:val="auto"/>
              </w:rPr>
            </w:pPr>
            <w:r>
              <w:rPr>
                <w:rFonts w:ascii="Arial" w:cs="Arial" w:eastAsia="Arial" w:hAnsi="Arial"/>
                <w:sz w:val="18"/>
                <w:szCs w:val="18"/>
                <w:color w:val="auto"/>
              </w:rPr>
              <w:t>Charter Common</w:t>
            </w:r>
          </w:p>
        </w:tc>
      </w:tr>
      <w:tr>
        <w:trPr>
          <w:trHeight w:val="27"/>
        </w:trPr>
        <w:tc>
          <w:tcPr>
            <w:tcW w:w="380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2019 Form 10-K</w:t>
            </w: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4"/>
              </w:rPr>
              <w:t>Annual Report on Form 10-K for the fiscal year ended December 31, 2019 as filed with</w:t>
            </w:r>
          </w:p>
        </w:tc>
      </w:tr>
      <w:tr>
        <w:trPr>
          <w:trHeight w:val="216"/>
        </w:trPr>
        <w:tc>
          <w:tcPr>
            <w:tcW w:w="3800" w:type="dxa"/>
            <w:vAlign w:val="bottom"/>
            <w:shd w:val="clear" w:color="auto" w:fill="CCEEFF"/>
          </w:tcPr>
          <w:p>
            <w:pPr>
              <w:spacing w:after="0"/>
              <w:rPr>
                <w:sz w:val="18"/>
                <w:szCs w:val="18"/>
                <w:color w:val="auto"/>
              </w:rPr>
            </w:pPr>
          </w:p>
        </w:tc>
        <w:tc>
          <w:tcPr>
            <w:tcW w:w="73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2"/>
              </w:rPr>
              <w:t>the SEC on February 27, 2020, as recast in the Registrants’ Current Report on Form 8-K</w:t>
            </w:r>
          </w:p>
        </w:tc>
      </w:tr>
      <w:tr>
        <w:trPr>
          <w:trHeight w:val="237"/>
        </w:trPr>
        <w:tc>
          <w:tcPr>
            <w:tcW w:w="380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dated May 18, 2020, and filed with the SEC on May 19, 2020</w:t>
            </w:r>
          </w:p>
        </w:tc>
      </w:tr>
      <w:tr>
        <w:trPr>
          <w:trHeight w:val="432"/>
        </w:trPr>
        <w:tc>
          <w:tcPr>
            <w:tcW w:w="3800" w:type="dxa"/>
            <w:vAlign w:val="bottom"/>
          </w:tcPr>
          <w:p>
            <w:pPr>
              <w:spacing w:after="0"/>
              <w:rPr>
                <w:sz w:val="24"/>
                <w:szCs w:val="24"/>
                <w:color w:val="auto"/>
              </w:rPr>
            </w:pPr>
          </w:p>
        </w:tc>
        <w:tc>
          <w:tcPr>
            <w:tcW w:w="7380" w:type="dxa"/>
            <w:vAlign w:val="bottom"/>
          </w:tcPr>
          <w:p>
            <w:pPr>
              <w:ind w:left="1740"/>
              <w:spacing w:after="0"/>
              <w:rPr>
                <w:sz w:val="20"/>
                <w:szCs w:val="20"/>
                <w:color w:val="auto"/>
              </w:rPr>
            </w:pPr>
            <w:r>
              <w:rPr>
                <w:rFonts w:ascii="Arial" w:cs="Arial" w:eastAsia="Arial" w:hAnsi="Arial"/>
                <w:sz w:val="18"/>
                <w:szCs w:val="18"/>
                <w:color w:val="auto"/>
              </w:rPr>
              <w:t>v</w:t>
            </w:r>
          </w:p>
        </w:tc>
      </w:tr>
    </w:tbl>
    <w:p>
      <w:pPr>
        <w:sectPr>
          <w:pgSz w:w="11900" w:h="16838" w:orient="portrait"/>
          <w:cols w:equalWidth="0" w:num="1">
            <w:col w:w="11180"/>
          </w:cols>
          <w:pgMar w:left="360" w:top="503"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Vectren.</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the Registrants’ forward-looking statements and apply to all Registrants unless otherwise indicated:</w:t>
      </w:r>
    </w:p>
    <w:p>
      <w:pPr>
        <w:spacing w:after="0" w:line="170" w:lineRule="exact"/>
        <w:rPr>
          <w:sz w:val="20"/>
          <w:szCs w:val="20"/>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Enable, the amount of cash distributions CenterPoint Energy receives from Enable, Enable’s ability to redeem the Enable Series A Preferred Units in certain circumstances and the value of CenterPoint Energy’s interest in Enable, and factors that may have a material impact on such performance, cash distributions and value, including factors such as:</w:t>
      </w:r>
    </w:p>
    <w:p>
      <w:pPr>
        <w:spacing w:after="0" w:line="183" w:lineRule="exact"/>
        <w:rPr>
          <w:rFonts w:ascii="Arial" w:cs="Arial" w:eastAsia="Arial" w:hAnsi="Arial"/>
          <w:sz w:val="18"/>
          <w:szCs w:val="18"/>
          <w:color w:val="auto"/>
        </w:rPr>
      </w:pPr>
    </w:p>
    <w:p>
      <w:pPr>
        <w:ind w:left="1300" w:hanging="644"/>
        <w:spacing w:after="0" w:line="263" w:lineRule="auto"/>
        <w:tabs>
          <w:tab w:leader="none" w:pos="976"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competitive conditions in the midstream industry, and actions taken by Enable’s customers and competitors, including drilling, production and capital spending decisions of third parties and the extent and timing of the entry of additional competition in the markets served by Enable;</w:t>
      </w:r>
    </w:p>
    <w:p>
      <w:pPr>
        <w:spacing w:after="0" w:line="183" w:lineRule="exact"/>
        <w:rPr>
          <w:rFonts w:ascii="Arial" w:cs="Arial" w:eastAsia="Arial" w:hAnsi="Arial"/>
          <w:sz w:val="18"/>
          <w:szCs w:val="18"/>
          <w:color w:val="auto"/>
        </w:rPr>
      </w:pPr>
    </w:p>
    <w:p>
      <w:pPr>
        <w:ind w:left="1300" w:hanging="644"/>
        <w:spacing w:after="0" w:line="259" w:lineRule="auto"/>
        <w:tabs>
          <w:tab w:leader="none" w:pos="97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timing and extent of changes in the supply of natural gas and associated commodity prices, particularly prices of natural gas and NGLs, the competitive effects of the available pipeline capacity in the regions served by Enable, and the effects of geographic and seasonal commodity price differentials, including the effects of these circumstances on re-contracting available capacity on Enable’s interstate pipelines and its commodity risk management activities;</w:t>
      </w:r>
    </w:p>
    <w:p>
      <w:pPr>
        <w:spacing w:after="0" w:line="186" w:lineRule="exact"/>
        <w:rPr>
          <w:rFonts w:ascii="Arial" w:cs="Arial" w:eastAsia="Arial" w:hAnsi="Arial"/>
          <w:sz w:val="18"/>
          <w:szCs w:val="18"/>
          <w:color w:val="auto"/>
        </w:rPr>
      </w:pPr>
    </w:p>
    <w:p>
      <w:pPr>
        <w:ind w:left="1300" w:hanging="644"/>
        <w:spacing w:after="0" w:line="308" w:lineRule="auto"/>
        <w:tabs>
          <w:tab w:leader="none" w:pos="976" w:val="left"/>
        </w:tabs>
        <w:numPr>
          <w:ilvl w:val="1"/>
          <w:numId w:val="3"/>
        </w:numPr>
        <w:rPr>
          <w:rFonts w:ascii="Arial" w:cs="Arial" w:eastAsia="Arial" w:hAnsi="Arial"/>
          <w:sz w:val="17"/>
          <w:szCs w:val="17"/>
          <w:color w:val="auto"/>
        </w:rPr>
      </w:pPr>
      <w:r>
        <w:rPr>
          <w:rFonts w:ascii="Arial" w:cs="Arial" w:eastAsia="Arial" w:hAnsi="Arial"/>
          <w:sz w:val="17"/>
          <w:szCs w:val="17"/>
          <w:color w:val="auto"/>
        </w:rPr>
        <w:t>economic effects of the recent actions of Saudi Arabia, Russia and other oil-producing countries, which have resulted in a substantial decrease in oil and natural gas prices, and the combined impact of these events and COVID-19 on commodity prices;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demand for crude oil, natural gas, NGLs and transportation and storage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environmental and other governmental regulations, including the availability of drilling permits and the regulation of hydraulic fracturing;</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recording of goodwill, long-lived asset or other than temporary impairment charges by or related to Enable;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timing of payments from Enable’s customers under existing contracts, including minimum volume commitment payments;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status;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access to debt and equity capital;</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benefits of the Merger and integration, including the outcome of shareholder litigation filed against Vectren that could reduce anticipated benefits of the Merger, as well as the ability to successfully integrate the Vectren businesses and to realize anticipated benefits and commercial opportunities;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recording of impairment charges;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 commercial and residential growth in our service territories and changes in market demand, including the demand for our non-utility products and services and effects of energy efficiency measures and demographic patterns;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40"/>
          </w:cols>
          <w:pgMar w:left="320" w:top="337" w:right="339" w:bottom="1440" w:gutter="0" w:footer="0" w:header="0"/>
        </w:sectPr>
      </w:pPr>
    </w:p>
    <w:bookmarkStart w:id="8" w:name="page9"/>
    <w:bookmarkEnd w:id="8"/>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and appropriate rate actions that allow recovery of costs and a reasonable return on investment;</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economic conditions in regional and national markets and their effect on sales, prices and costs;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variations and other natural phenomena, including the impact of severe weather events on operations and capital;</w:t>
      </w:r>
    </w:p>
    <w:p>
      <w:pPr>
        <w:spacing w:after="0" w:line="225"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and its effect on our and Enable’s operations, business and financial condition, our industries and the communities we serve, U.S. and world financial markets and supply chains, potential regulatory actions and changes in customer and stakeholder behaviors relating thereto;</w:t>
      </w:r>
    </w:p>
    <w:p>
      <w:pPr>
        <w:spacing w:after="0" w:line="183"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and a substantial recent decline in the markets for oil and natural gas as a result of the actions of crude-oil exporting nations and the Organization of Petroleum Exporting Countries and reduced worldwide consumption due to the COVID-19 pandemic;</w:t>
      </w:r>
    </w:p>
    <w:p>
      <w:pPr>
        <w:spacing w:after="0" w:line="170" w:lineRule="exact"/>
        <w:rPr>
          <w:rFonts w:ascii="Arial" w:cs="Arial" w:eastAsia="Arial" w:hAnsi="Arial"/>
          <w:sz w:val="18"/>
          <w:szCs w:val="18"/>
          <w:color w:val="auto"/>
        </w:rPr>
      </w:pPr>
    </w:p>
    <w:p>
      <w:pPr>
        <w:jc w:val="both"/>
        <w:ind w:left="328" w:hanging="328"/>
        <w:spacing w:after="0" w:line="286"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state and federal legislative and regulatory actions or developments affecting various aspects of our businesses (including the businesses of Enable), including, among others, energy deregulation or re-regulation, pipeline integrity and safety and changes in regulation and legislation pertaining to trade, health care, finance and actions regarding the rates charged by our regulated businesses;</w:t>
      </w:r>
    </w:p>
    <w:p>
      <w:pPr>
        <w:spacing w:after="0" w:line="165" w:lineRule="exact"/>
        <w:rPr>
          <w:rFonts w:ascii="Arial" w:cs="Arial" w:eastAsia="Arial" w:hAnsi="Arial"/>
          <w:sz w:val="17"/>
          <w:szCs w:val="17"/>
          <w:color w:val="auto"/>
        </w:rPr>
      </w:pPr>
    </w:p>
    <w:p>
      <w:pPr>
        <w:jc w:val="both"/>
        <w:ind w:left="328" w:hanging="328"/>
        <w:spacing w:after="0" w:line="263"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legislation, including the effects of the CARES Act and of the TCJA (which includes but is not limited to any potential changes to tax rates, tax credits and/or interest deductibility) and uncertainties involving state commissions’ and local municipalities’ regulatory requirements and determinations regarding the treatment of EDIT and our rates;</w:t>
      </w:r>
    </w:p>
    <w:p>
      <w:pPr>
        <w:spacing w:after="0" w:line="183"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CenterPoint Energy’s and CERC’s ability to mitigate weather impacts through normalization or rate mechanisms, and the effectiveness of such mechanisms;</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20"/>
          <w:szCs w:val="20"/>
          <w:color w:val="auto"/>
        </w:rPr>
      </w:pPr>
      <w:r>
        <w:rPr>
          <w:rFonts w:ascii="Arial" w:cs="Arial" w:eastAsia="Arial" w:hAnsi="Arial"/>
          <w:sz w:val="18"/>
          <w:szCs w:val="18"/>
          <w:color w:val="auto"/>
        </w:rPr>
        <w:t>actions by credit rating agencies, including any potential downgrades to credit ratings;</w:t>
      </w:r>
    </w:p>
    <w:p>
      <w:pPr>
        <w:spacing w:after="0" w:line="215" w:lineRule="exact"/>
        <w:rPr>
          <w:rFonts w:ascii="Arial" w:cs="Arial" w:eastAsia="Arial" w:hAnsi="Arial"/>
          <w:sz w:val="20"/>
          <w:szCs w:val="20"/>
          <w:color w:val="auto"/>
        </w:rPr>
      </w:pPr>
    </w:p>
    <w:p>
      <w:pPr>
        <w:ind w:left="328" w:hanging="328"/>
        <w:spacing w:after="0" w:line="266" w:lineRule="auto"/>
        <w:tabs>
          <w:tab w:leader="none" w:pos="328" w:val="left"/>
        </w:tabs>
        <w:numPr>
          <w:ilvl w:val="0"/>
          <w:numId w:val="4"/>
        </w:numPr>
        <w:rPr>
          <w:rFonts w:ascii="Arial" w:cs="Arial" w:eastAsia="Arial" w:hAnsi="Arial"/>
          <w:sz w:val="20"/>
          <w:szCs w:val="20"/>
          <w:color w:val="auto"/>
        </w:rPr>
      </w:pPr>
      <w:r>
        <w:rPr>
          <w:rFonts w:ascii="Arial" w:cs="Arial" w:eastAsia="Arial" w:hAnsi="Arial"/>
          <w:sz w:val="18"/>
          <w:szCs w:val="18"/>
          <w:color w:val="auto"/>
        </w:rPr>
        <w:t>problems with regulatory approval, legislative actions, construction, implementation of necessary technology or other issues with respect to major capital projects that result in delays or cancellation or in cost overruns that cannot be recouped in rates;</w:t>
      </w:r>
    </w:p>
    <w:p>
      <w:pPr>
        <w:spacing w:after="0" w:line="177" w:lineRule="exact"/>
        <w:rPr>
          <w:rFonts w:ascii="Arial" w:cs="Arial" w:eastAsia="Arial" w:hAnsi="Arial"/>
          <w:sz w:val="20"/>
          <w:szCs w:val="20"/>
          <w:color w:val="auto"/>
        </w:rPr>
      </w:pPr>
    </w:p>
    <w:p>
      <w:pPr>
        <w:ind w:left="328"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prices of raw materials and services and changes in labor for current and future construction projects and operations and maintenance costs, including our ability to control such costs;</w:t>
      </w:r>
    </w:p>
    <w:p>
      <w:pPr>
        <w:spacing w:after="0" w:line="183"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4"/>
        </w:numPr>
        <w:rPr>
          <w:rFonts w:ascii="Arial" w:cs="Arial" w:eastAsia="Arial" w:hAnsi="Arial"/>
          <w:sz w:val="20"/>
          <w:szCs w:val="20"/>
          <w:color w:val="auto"/>
        </w:rPr>
      </w:pPr>
      <w:r>
        <w:rPr>
          <w:rFonts w:ascii="Arial" w:cs="Arial" w:eastAsia="Arial" w:hAnsi="Arial"/>
          <w:sz w:val="18"/>
          <w:szCs w:val="18"/>
          <w:color w:val="auto"/>
        </w:rPr>
        <w:t>local, state and federal legislative and regulatory actions or developments relating to the environment, including, among others, those related to global climate change, air emissions, carbon, waste water discharges and the handling and disposal of CCR that could impact the continued operation, and/or cost recovery of generation plant costs and related assets;</w:t>
      </w:r>
    </w:p>
    <w:p>
      <w:pPr>
        <w:spacing w:after="0" w:line="182" w:lineRule="exact"/>
        <w:rPr>
          <w:rFonts w:ascii="Arial" w:cs="Arial" w:eastAsia="Arial" w:hAnsi="Arial"/>
          <w:sz w:val="20"/>
          <w:szCs w:val="20"/>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unplanned facility outages or other closures;</w:t>
      </w:r>
    </w:p>
    <w:p>
      <w:pPr>
        <w:spacing w:after="0" w:line="225" w:lineRule="exact"/>
        <w:rPr>
          <w:rFonts w:ascii="Arial" w:cs="Arial" w:eastAsia="Arial" w:hAnsi="Arial"/>
          <w:sz w:val="18"/>
          <w:szCs w:val="18"/>
          <w:color w:val="auto"/>
        </w:rPr>
      </w:pPr>
    </w:p>
    <w:p>
      <w:pPr>
        <w:jc w:val="both"/>
        <w:ind w:left="328" w:right="20" w:hanging="328"/>
        <w:spacing w:after="0" w:line="286"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direct or indirect effects on our or Enable’s facilities, operations and financial condition resulting from terrorism, cyber-attacks, data security breaches or other attempts to disrupt our businesses or the businesses of third parties, or other catastrophic events such as fires, ice, earthquakes, explosions, leaks, floods, droughts, hurricanes, tornadoes, pandemic health events or other occurrences;</w:t>
      </w:r>
    </w:p>
    <w:p>
      <w:pPr>
        <w:spacing w:after="0" w:line="165" w:lineRule="exact"/>
        <w:rPr>
          <w:rFonts w:ascii="Arial" w:cs="Arial" w:eastAsia="Arial" w:hAnsi="Arial"/>
          <w:sz w:val="17"/>
          <w:szCs w:val="17"/>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invest planned capital and the timely recovery of our investments, including those related to Indiana Electric’s IRP;</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construct and operate electric generating facilities, including complying with applicable environmental standards and the implementation of a well-balanced energy and resource mix, as appropriate;</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insurance coverage, including availability, cost, coverage and terms and ability to recover claims;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performance of CenterPoint Energy’s pension and postretirement benefit plans;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their impact on costs of borrowing and the valuation of CenterPoint Energy’s pension benefit obligation;</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908"/>
          </w:cols>
          <w:pgMar w:left="652" w:top="557" w:right="339" w:bottom="1440" w:gutter="0" w:footer="0" w:header="0"/>
        </w:sectPr>
      </w:pPr>
    </w:p>
    <w:bookmarkStart w:id="9" w:name="page10"/>
    <w:bookmarkEnd w:id="9"/>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bank and financial market conditions, our access to capital, the cost of such capital, and the results of our financing and refinancing efforts, including availability of funds in the debt capital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of various counterparties to meet their obligations to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non-payment for our services due to financial distress of our customers;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and effectiveness of our and Enable’s risk management and hedging activities, including, but not limited to financial and weather hedges;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and appropriate regulatory actions, which include actions allowing securitization, for any future hurricanes or natural disasters or other recovery of costs;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formerly known as TCEH Corp., to satisfy their obligations to CenterPoint Energy and Houston Electric;</w:t>
      </w:r>
    </w:p>
    <w:p>
      <w:pPr>
        <w:spacing w:after="0" w:line="170"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CenterPoint Energy’s or Enable’s potential business strategies and strategic initiatives, including any recommendations of the Business Review and Evaluation Committee of the Board of Directors, restructurings, joint ventures and acquisitions or dispositions of assets or businesses, which CenterPoint Energy and Enable cannot assure will be completed or will have the anticipated benefits to CenterPoint Energy or Enable;</w:t>
      </w:r>
    </w:p>
    <w:p>
      <w:pPr>
        <w:spacing w:after="0" w:line="1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and merger activities involving us or our competitors, including the ability to successfully complete merger, acquisition and divestiture plans;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or Enable’s ability to recruit, effectively transition and retain management and key employees and maintain good labor relations;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development of new opportunities and the performance of projects undertaken by ESG, including, among other factors, the level of success in bidding contracts and cancellation and/or reductions in the scope of projects by customers, and obligations related to warranties and guarantees;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technology, particularly with respect to efficient battery storage or the emergence or growth of new, developing or alternative sources of generation;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alternate energy sources on the demand for natural gas;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outcome of any audits, disputes and other proceedings related to taxes;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tax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transition to a replacement for the LIBOR benchmark interest 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changes in and application of accounting standards and pronouncements; and</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other factors discussed in </w:t>
      </w:r>
      <w:hyperlink r:id="rId10">
        <w:r>
          <w:rPr>
            <w:rFonts w:ascii="Arial" w:cs="Arial" w:eastAsia="Arial" w:hAnsi="Arial"/>
            <w:sz w:val="17"/>
            <w:szCs w:val="17"/>
            <w:u w:val="single" w:color="auto"/>
            <w:color w:val="0000EE"/>
          </w:rPr>
          <w:t>“Risk Factors” in Item 1A of Part I of the Registrants’ combined 2019 Form 10-K</w:t>
        </w:r>
      </w:hyperlink>
      <w:r>
        <w:rPr>
          <w:rFonts w:ascii="Arial" w:cs="Arial" w:eastAsia="Arial" w:hAnsi="Arial"/>
          <w:sz w:val="17"/>
          <w:szCs w:val="17"/>
          <w:color w:val="auto"/>
        </w:rPr>
        <w:t xml:space="preserve">,which are incorporated herein by reference, in </w:t>
      </w:r>
      <w:hyperlink w:anchor="page112">
        <w:r>
          <w:rPr>
            <w:rFonts w:ascii="Arial" w:cs="Arial" w:eastAsia="Arial" w:hAnsi="Arial"/>
            <w:sz w:val="17"/>
            <w:szCs w:val="17"/>
            <w:u w:val="single" w:color="auto"/>
            <w:color w:val="0000EE"/>
          </w:rPr>
          <w:t>Item 1A of Part II of this combined 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other reports the Registrants file from time to time with the SEC.</w:t>
      </w:r>
    </w:p>
    <w:p>
      <w:pPr>
        <w:spacing w:after="0" w:line="146" w:lineRule="exact"/>
        <w:rPr>
          <w:rFonts w:ascii="Arial" w:cs="Arial" w:eastAsia="Arial" w:hAnsi="Arial"/>
          <w:sz w:val="17"/>
          <w:szCs w:val="17"/>
          <w:color w:val="auto"/>
        </w:rPr>
      </w:pPr>
    </w:p>
    <w:p>
      <w:pPr>
        <w:jc w:val="both"/>
        <w:ind w:firstLine="324"/>
        <w:spacing w:after="0" w:line="255"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information in SEC filings, press releases and public conference calls. Based on guidance from the SEC, the Registrants may use the Investors section of CenterPoint Energy’s website (www.centerpointenergy.com)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192"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240"/>
          </w:cols>
          <w:pgMar w:left="320" w:top="557"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06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r>
      <w:tr>
        <w:trPr>
          <w:trHeight w:val="264"/>
        </w:trPr>
        <w:tc>
          <w:tcPr>
            <w:tcW w:w="6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r>
      <w:tr>
        <w:trPr>
          <w:trHeight w:val="244"/>
        </w:trPr>
        <w:tc>
          <w:tcPr>
            <w:tcW w:w="6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580" w:type="dxa"/>
            <w:vAlign w:val="bottom"/>
            <w:gridSpan w:val="7"/>
          </w:tcPr>
          <w:p>
            <w:pPr>
              <w:ind w:left="100"/>
              <w:spacing w:after="0"/>
              <w:rPr>
                <w:sz w:val="20"/>
                <w:szCs w:val="20"/>
                <w:color w:val="auto"/>
              </w:rPr>
            </w:pPr>
            <w:r>
              <w:rPr>
                <w:rFonts w:ascii="Arial" w:cs="Arial" w:eastAsia="Arial" w:hAnsi="Arial"/>
                <w:sz w:val="14"/>
                <w:szCs w:val="14"/>
                <w:b w:val="1"/>
                <w:bCs w:val="1"/>
                <w:color w:val="auto"/>
                <w:w w:val="94"/>
              </w:rPr>
              <w:t>(in millions, except per share amounts)</w:t>
            </w: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9"/>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Utility revenues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1,476</w:t>
            </w:r>
          </w:p>
        </w:tc>
        <w:tc>
          <w:tcPr>
            <w:tcW w:w="4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3,736</w:t>
            </w:r>
          </w:p>
        </w:tc>
      </w:tr>
      <w:tr>
        <w:trPr>
          <w:trHeight w:val="237"/>
        </w:trPr>
        <w:tc>
          <w:tcPr>
            <w:tcW w:w="6420" w:type="dxa"/>
            <w:vAlign w:val="bottom"/>
          </w:tcPr>
          <w:p>
            <w:pPr>
              <w:ind w:left="180"/>
              <w:spacing w:after="0"/>
              <w:rPr>
                <w:sz w:val="20"/>
                <w:szCs w:val="20"/>
                <w:color w:val="auto"/>
              </w:rPr>
            </w:pPr>
            <w:r>
              <w:rPr>
                <w:rFonts w:ascii="Arial" w:cs="Arial" w:eastAsia="Arial" w:hAnsi="Arial"/>
                <w:sz w:val="16"/>
                <w:szCs w:val="16"/>
                <w:color w:val="auto"/>
              </w:rPr>
              <w:t>Non-utility revenues</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151</w:t>
            </w:r>
          </w:p>
        </w:tc>
      </w:tr>
      <w:tr>
        <w:trPr>
          <w:trHeight w:val="33"/>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3,887</w:t>
            </w:r>
          </w:p>
        </w:tc>
      </w:tr>
      <w:tr>
        <w:trPr>
          <w:trHeight w:val="231"/>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Utility natural gas, fuel and purchased power</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1,057</w:t>
            </w:r>
          </w:p>
        </w:tc>
      </w:tr>
      <w:tr>
        <w:trPr>
          <w:trHeight w:val="237"/>
        </w:trPr>
        <w:tc>
          <w:tcPr>
            <w:tcW w:w="6420" w:type="dxa"/>
            <w:vAlign w:val="bottom"/>
          </w:tcPr>
          <w:p>
            <w:pPr>
              <w:ind w:left="180"/>
              <w:spacing w:after="0"/>
              <w:rPr>
                <w:sz w:val="20"/>
                <w:szCs w:val="20"/>
                <w:color w:val="auto"/>
              </w:rPr>
            </w:pPr>
            <w:r>
              <w:rPr>
                <w:rFonts w:ascii="Arial" w:cs="Arial" w:eastAsia="Arial" w:hAnsi="Arial"/>
                <w:sz w:val="16"/>
                <w:szCs w:val="16"/>
                <w:color w:val="auto"/>
              </w:rPr>
              <w:t>Non-utility cost of revenues, including natural gas</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Operation and maintenance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1,421</w:t>
            </w:r>
          </w:p>
        </w:tc>
      </w:tr>
      <w:tr>
        <w:trPr>
          <w:trHeight w:val="237"/>
        </w:trPr>
        <w:tc>
          <w:tcPr>
            <w:tcW w:w="64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622</w:t>
            </w: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 other than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r>
      <w:tr>
        <w:trPr>
          <w:trHeight w:val="237"/>
        </w:trPr>
        <w:tc>
          <w:tcPr>
            <w:tcW w:w="6420" w:type="dxa"/>
            <w:vAlign w:val="bottom"/>
          </w:tcPr>
          <w:p>
            <w:pPr>
              <w:ind w:left="180"/>
              <w:spacing w:after="0"/>
              <w:rPr>
                <w:sz w:val="20"/>
                <w:szCs w:val="20"/>
                <w:color w:val="auto"/>
              </w:rPr>
            </w:pPr>
            <w:r>
              <w:rPr>
                <w:rFonts w:ascii="Arial" w:cs="Arial" w:eastAsia="Arial" w:hAnsi="Arial"/>
                <w:sz w:val="16"/>
                <w:szCs w:val="16"/>
                <w:color w:val="auto"/>
              </w:rPr>
              <w:t>Goodwill impairment</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3,447</w:t>
            </w:r>
          </w:p>
        </w:tc>
      </w:tr>
      <w:tr>
        <w:trPr>
          <w:trHeight w:val="217"/>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w:t>
            </w:r>
          </w:p>
        </w:tc>
      </w:tr>
      <w:tr>
        <w:trPr>
          <w:trHeight w:val="33"/>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6420" w:type="dxa"/>
            <w:vAlign w:val="bottom"/>
          </w:tcPr>
          <w:p>
            <w:pPr>
              <w:ind w:left="180"/>
              <w:spacing w:after="0"/>
              <w:rPr>
                <w:sz w:val="20"/>
                <w:szCs w:val="20"/>
                <w:color w:val="auto"/>
              </w:rPr>
            </w:pPr>
            <w:r>
              <w:rPr>
                <w:rFonts w:ascii="Arial" w:cs="Arial" w:eastAsia="Arial" w:hAnsi="Arial"/>
                <w:sz w:val="16"/>
                <w:szCs w:val="16"/>
                <w:color w:val="auto"/>
              </w:rPr>
              <w:t>Gain (loss) on marketable securities</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147</w:t>
            </w: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(loss) on indexed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37"/>
        </w:trPr>
        <w:tc>
          <w:tcPr>
            <w:tcW w:w="6420" w:type="dxa"/>
            <w:vAlign w:val="bottom"/>
          </w:tcPr>
          <w:p>
            <w:pPr>
              <w:ind w:left="180"/>
              <w:spacing w:after="0"/>
              <w:rPr>
                <w:sz w:val="20"/>
                <w:szCs w:val="20"/>
                <w:color w:val="auto"/>
              </w:rPr>
            </w:pPr>
            <w:r>
              <w:rPr>
                <w:rFonts w:ascii="Arial" w:cs="Arial" w:eastAsia="Arial" w:hAnsi="Arial"/>
                <w:sz w:val="16"/>
                <w:szCs w:val="16"/>
                <w:color w:val="auto"/>
              </w:rPr>
              <w:t>Interest expense and other finance charges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on Securitization Bonds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6420" w:type="dxa"/>
            <w:vAlign w:val="bottom"/>
          </w:tcPr>
          <w:p>
            <w:pPr>
              <w:ind w:left="180"/>
              <w:spacing w:after="0"/>
              <w:rPr>
                <w:sz w:val="20"/>
                <w:szCs w:val="20"/>
                <w:color w:val="auto"/>
              </w:rPr>
            </w:pPr>
            <w:r>
              <w:rPr>
                <w:rFonts w:ascii="Arial" w:cs="Arial" w:eastAsia="Arial" w:hAnsi="Arial"/>
                <w:sz w:val="16"/>
                <w:szCs w:val="16"/>
                <w:color w:val="auto"/>
              </w:rPr>
              <w:t>Equity in earnings (loss) of unconsolidated affiliates, net</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6420" w:type="dxa"/>
            <w:vAlign w:val="bottom"/>
          </w:tcPr>
          <w:p>
            <w:pPr>
              <w:ind w:left="180"/>
              <w:spacing w:after="0"/>
              <w:rPr>
                <w:sz w:val="20"/>
                <w:szCs w:val="20"/>
                <w:color w:val="auto"/>
              </w:rPr>
            </w:pPr>
            <w:r>
              <w:rPr>
                <w:rFonts w:ascii="Arial" w:cs="Arial" w:eastAsia="Arial" w:hAnsi="Arial"/>
                <w:sz w:val="16"/>
                <w:szCs w:val="16"/>
                <w:color w:val="auto"/>
              </w:rPr>
              <w:t>Interest income from Securitization Bonds</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17"/>
        </w:trPr>
        <w:tc>
          <w:tcPr>
            <w:tcW w:w="6420" w:type="dxa"/>
            <w:vAlign w:val="bottom"/>
          </w:tcPr>
          <w:p>
            <w:pPr>
              <w:ind w:left="50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w:t>
            </w:r>
          </w:p>
        </w:tc>
      </w:tr>
      <w:tr>
        <w:trPr>
          <w:trHeight w:val="33"/>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r>
      <w:tr>
        <w:trPr>
          <w:trHeight w:val="237"/>
        </w:trPr>
        <w:tc>
          <w:tcPr>
            <w:tcW w:w="6420" w:type="dxa"/>
            <w:vAlign w:val="bottom"/>
          </w:tcPr>
          <w:p>
            <w:pPr>
              <w:ind w:left="180"/>
              <w:spacing w:after="0"/>
              <w:rPr>
                <w:sz w:val="20"/>
                <w:szCs w:val="20"/>
                <w:color w:val="auto"/>
              </w:rPr>
            </w:pPr>
            <w:r>
              <w:rPr>
                <w:rFonts w:ascii="Arial" w:cs="Arial" w:eastAsia="Arial" w:hAnsi="Arial"/>
                <w:sz w:val="16"/>
                <w:szCs w:val="16"/>
                <w:color w:val="auto"/>
              </w:rPr>
              <w:t>Income tax expense (benefit)</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from Continuing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r>
      <w:tr>
        <w:trPr>
          <w:trHeight w:val="220"/>
        </w:trPr>
        <w:tc>
          <w:tcPr>
            <w:tcW w:w="6420" w:type="dxa"/>
            <w:vAlign w:val="bottom"/>
          </w:tcPr>
          <w:p>
            <w:pPr>
              <w:ind w:left="180"/>
              <w:spacing w:after="0"/>
              <w:rPr>
                <w:sz w:val="20"/>
                <w:szCs w:val="20"/>
                <w:color w:val="auto"/>
              </w:rPr>
            </w:pPr>
            <w:r>
              <w:rPr>
                <w:rFonts w:ascii="Arial" w:cs="Arial" w:eastAsia="Arial" w:hAnsi="Arial"/>
                <w:sz w:val="16"/>
                <w:szCs w:val="16"/>
                <w:color w:val="auto"/>
                <w:w w:val="96"/>
              </w:rPr>
              <w:t>Income (Loss) from Discontinued Operations (net of tax expense of $38, $14, $21 and $22,</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6420" w:type="dxa"/>
            <w:vAlign w:val="bottom"/>
          </w:tcPr>
          <w:p>
            <w:pPr>
              <w:ind w:left="340"/>
              <w:spacing w:after="0"/>
              <w:rPr>
                <w:sz w:val="20"/>
                <w:szCs w:val="20"/>
                <w:color w:val="auto"/>
              </w:rPr>
            </w:pPr>
            <w:r>
              <w:rPr>
                <w:rFonts w:ascii="Arial" w:cs="Arial" w:eastAsia="Arial" w:hAnsi="Arial"/>
                <w:sz w:val="16"/>
                <w:szCs w:val="16"/>
                <w:color w:val="auto"/>
              </w:rPr>
              <w:t>respectively)</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r>
      <w:tr>
        <w:trPr>
          <w:trHeight w:val="217"/>
        </w:trPr>
        <w:tc>
          <w:tcPr>
            <w:tcW w:w="6420" w:type="dxa"/>
            <w:vAlign w:val="bottom"/>
          </w:tcPr>
          <w:p>
            <w:pPr>
              <w:ind w:left="180"/>
              <w:spacing w:after="0"/>
              <w:rPr>
                <w:sz w:val="20"/>
                <w:szCs w:val="20"/>
                <w:color w:val="auto"/>
              </w:rPr>
            </w:pPr>
            <w:r>
              <w:rPr>
                <w:rFonts w:ascii="Arial" w:cs="Arial" w:eastAsia="Arial" w:hAnsi="Arial"/>
                <w:sz w:val="16"/>
                <w:szCs w:val="16"/>
                <w:color w:val="auto"/>
              </w:rPr>
              <w:t>Income allocated to preferred shareholders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Available to Common Shareholders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w:t>
            </w:r>
          </w:p>
        </w:tc>
        <w:tc>
          <w:tcPr>
            <w:tcW w:w="4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 earnings (loss) per common share - continuing operations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0.17</w:t>
            </w:r>
          </w:p>
        </w:tc>
        <w:tc>
          <w:tcPr>
            <w:tcW w:w="4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0.47</w:t>
            </w:r>
          </w:p>
        </w:tc>
      </w:tr>
      <w:tr>
        <w:trPr>
          <w:trHeight w:val="237"/>
        </w:trPr>
        <w:tc>
          <w:tcPr>
            <w:tcW w:w="6420" w:type="dxa"/>
            <w:vAlign w:val="bottom"/>
          </w:tcPr>
          <w:p>
            <w:pPr>
              <w:ind w:left="200"/>
              <w:spacing w:after="0"/>
              <w:rPr>
                <w:sz w:val="20"/>
                <w:szCs w:val="20"/>
                <w:color w:val="auto"/>
              </w:rPr>
            </w:pPr>
            <w:r>
              <w:rPr>
                <w:rFonts w:ascii="Arial" w:cs="Arial" w:eastAsia="Arial" w:hAnsi="Arial"/>
                <w:sz w:val="16"/>
                <w:szCs w:val="16"/>
                <w:color w:val="auto"/>
              </w:rPr>
              <w:t>Basic earnings (loss) per common share - discontinued operations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0.14</w:t>
            </w:r>
          </w:p>
        </w:tc>
      </w:tr>
      <w:tr>
        <w:trPr>
          <w:trHeight w:val="33"/>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Basic Earnings (Loss) Per Common Share</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0.61</w:t>
            </w: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0"/>
        </w:trPr>
        <w:tc>
          <w:tcPr>
            <w:tcW w:w="6420" w:type="dxa"/>
            <w:vAlign w:val="bottom"/>
          </w:tcPr>
          <w:p>
            <w:pPr>
              <w:ind w:left="200"/>
              <w:spacing w:after="0"/>
              <w:rPr>
                <w:sz w:val="20"/>
                <w:szCs w:val="20"/>
                <w:color w:val="auto"/>
              </w:rPr>
            </w:pPr>
            <w:r>
              <w:rPr>
                <w:rFonts w:ascii="Arial" w:cs="Arial" w:eastAsia="Arial" w:hAnsi="Arial"/>
                <w:sz w:val="16"/>
                <w:szCs w:val="16"/>
                <w:color w:val="auto"/>
              </w:rPr>
              <w:t>Diluted earnings (loss) per common share - continuing operations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0.17</w:t>
            </w:r>
          </w:p>
        </w:tc>
        <w:tc>
          <w:tcPr>
            <w:tcW w:w="4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0.47</w:t>
            </w: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Diluted earnings (loss) per common share -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0.14</w:t>
            </w:r>
          </w:p>
        </w:tc>
      </w:tr>
      <w:tr>
        <w:trPr>
          <w:trHeight w:val="284"/>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Diluted Earnings (Loss) Per Common Share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0.61</w:t>
            </w:r>
          </w:p>
        </w:tc>
      </w:tr>
      <w:tr>
        <w:trPr>
          <w:trHeight w:val="270"/>
        </w:trPr>
        <w:tc>
          <w:tcPr>
            <w:tcW w:w="6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Weighted Average Common Shares Outstanding, Basic</w:t>
            </w:r>
          </w:p>
        </w:tc>
        <w:tc>
          <w:tcPr>
            <w:tcW w:w="2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502</w:t>
            </w: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Common Shares Outstanding, Diluted</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504</w:t>
            </w:r>
          </w:p>
        </w:tc>
      </w:tr>
      <w:tr>
        <w:trPr>
          <w:trHeight w:val="33"/>
        </w:trPr>
        <w:tc>
          <w:tcPr>
            <w:tcW w:w="6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ectPr>
          <w:pgSz w:w="11900" w:h="16838" w:orient="portrait"/>
          <w:cols w:equalWidth="0" w:num="1">
            <w:col w:w="11240"/>
          </w:cols>
          <w:pgMar w:left="320" w:top="125" w:right="339" w:bottom="811"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5" w:right="339" w:bottom="811"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left="340" w:right="2300"/>
        <w:spacing w:after="0" w:line="275" w:lineRule="auto"/>
        <w:rPr>
          <w:sz w:val="20"/>
          <w:szCs w:val="20"/>
          <w:color w:val="auto"/>
        </w:rPr>
      </w:pPr>
      <w:r>
        <w:rPr>
          <w:rFonts w:ascii="Arial" w:cs="Arial" w:eastAsia="Arial" w:hAnsi="Arial"/>
          <w:sz w:val="18"/>
          <w:szCs w:val="18"/>
          <w:b w:val="1"/>
          <w:bCs w:val="1"/>
          <w:color w:val="auto"/>
        </w:rPr>
        <w:t>CENTERPOINT ENERGY, INC. AND SUBSIDIARIES CONDENSED STATEMENTS OF CONSOLIDATED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8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50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3"/>
        </w:trPr>
        <w:tc>
          <w:tcPr>
            <w:tcW w:w="50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5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Adjustment to pension and other postretirement plans (net of tax of</w:t>
            </w: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 $1, $2 and $2)</w:t>
            </w:r>
          </w:p>
        </w:tc>
        <w:tc>
          <w:tcPr>
            <w:tcW w:w="8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29"/>
        </w:trPr>
        <w:tc>
          <w:tcPr>
            <w:tcW w:w="5080" w:type="dxa"/>
            <w:vAlign w:val="bottom"/>
          </w:tcPr>
          <w:p>
            <w:pPr>
              <w:ind w:left="40"/>
              <w:spacing w:after="0"/>
              <w:rPr>
                <w:sz w:val="20"/>
                <w:szCs w:val="20"/>
                <w:color w:val="auto"/>
              </w:rPr>
            </w:pPr>
            <w:r>
              <w:rPr>
                <w:rFonts w:ascii="Arial" w:cs="Arial" w:eastAsia="Arial" w:hAnsi="Arial"/>
                <w:sz w:val="18"/>
                <w:szCs w:val="18"/>
                <w:color w:val="auto"/>
                <w:w w:val="96"/>
              </w:rPr>
              <w:t>Net deferred gain (loss) from cash flow hedges (net of tax of $-0-,</w:t>
            </w: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080" w:type="dxa"/>
            <w:vAlign w:val="bottom"/>
          </w:tcPr>
          <w:p>
            <w:pPr>
              <w:ind w:left="200"/>
              <w:spacing w:after="0"/>
              <w:rPr>
                <w:sz w:val="20"/>
                <w:szCs w:val="20"/>
                <w:color w:val="auto"/>
              </w:rPr>
            </w:pPr>
            <w:r>
              <w:rPr>
                <w:rFonts w:ascii="Arial" w:cs="Arial" w:eastAsia="Arial" w:hAnsi="Arial"/>
                <w:sz w:val="18"/>
                <w:szCs w:val="18"/>
                <w:color w:val="auto"/>
              </w:rPr>
              <w:t>$-0-, $-0- and $-0-)</w:t>
            </w:r>
          </w:p>
        </w:tc>
        <w:tc>
          <w:tcPr>
            <w:tcW w:w="86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Reclassification of deferred loss from cash flow hedges realized in</w:t>
            </w: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(net of tax of $-0-, $-0-, $-0- and $-0-)</w:t>
            </w:r>
          </w:p>
        </w:tc>
        <w:tc>
          <w:tcPr>
            <w:tcW w:w="8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29"/>
        </w:trPr>
        <w:tc>
          <w:tcPr>
            <w:tcW w:w="5080" w:type="dxa"/>
            <w:vAlign w:val="bottom"/>
          </w:tcPr>
          <w:p>
            <w:pPr>
              <w:ind w:left="40"/>
              <w:spacing w:after="0"/>
              <w:rPr>
                <w:sz w:val="20"/>
                <w:szCs w:val="20"/>
                <w:color w:val="auto"/>
              </w:rPr>
            </w:pPr>
            <w:r>
              <w:rPr>
                <w:rFonts w:ascii="Arial" w:cs="Arial" w:eastAsia="Arial" w:hAnsi="Arial"/>
                <w:sz w:val="18"/>
                <w:szCs w:val="18"/>
                <w:color w:val="auto"/>
                <w:w w:val="92"/>
              </w:rPr>
              <w:t>Reclassification of net deferred losses from cash flow hedges (net of</w:t>
            </w: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080" w:type="dxa"/>
            <w:vAlign w:val="bottom"/>
          </w:tcPr>
          <w:p>
            <w:pPr>
              <w:ind w:left="200"/>
              <w:spacing w:after="0"/>
              <w:rPr>
                <w:sz w:val="20"/>
                <w:szCs w:val="20"/>
                <w:color w:val="auto"/>
              </w:rPr>
            </w:pPr>
            <w:r>
              <w:rPr>
                <w:rFonts w:ascii="Arial" w:cs="Arial" w:eastAsia="Arial" w:hAnsi="Arial"/>
                <w:sz w:val="18"/>
                <w:szCs w:val="18"/>
                <w:color w:val="auto"/>
              </w:rPr>
              <w:t>tax of $4, $-0-, $4 and $-0-)</w:t>
            </w:r>
          </w:p>
        </w:tc>
        <w:tc>
          <w:tcPr>
            <w:tcW w:w="860" w:type="dxa"/>
            <w:vAlign w:val="bottom"/>
          </w:tcPr>
          <w:p>
            <w:pPr>
              <w:spacing w:after="0"/>
              <w:rPr>
                <w:sz w:val="20"/>
                <w:szCs w:val="20"/>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Other comprehensive loss from unconsolidated affiliates (net of tax</w:t>
            </w: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$-0-, $-0-, $-0- and $-0-)</w:t>
            </w:r>
          </w:p>
        </w:tc>
        <w:tc>
          <w:tcPr>
            <w:tcW w:w="8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080" w:type="dxa"/>
            <w:vAlign w:val="bottom"/>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5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8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w:t>
            </w:r>
          </w:p>
        </w:tc>
      </w:tr>
      <w:tr>
        <w:trPr>
          <w:trHeight w:val="237"/>
        </w:trPr>
        <w:tc>
          <w:tcPr>
            <w:tcW w:w="5080" w:type="dxa"/>
            <w:vAlign w:val="bottom"/>
          </w:tcPr>
          <w:p>
            <w:pPr>
              <w:ind w:left="120"/>
              <w:spacing w:after="0"/>
              <w:rPr>
                <w:sz w:val="20"/>
                <w:szCs w:val="20"/>
                <w:color w:val="auto"/>
              </w:rPr>
            </w:pPr>
            <w:r>
              <w:rPr>
                <w:rFonts w:ascii="Arial" w:cs="Arial" w:eastAsia="Arial" w:hAnsi="Arial"/>
                <w:sz w:val="18"/>
                <w:szCs w:val="18"/>
                <w:color w:val="auto"/>
              </w:rPr>
              <w:t>Income allocated to preferred shareholders</w:t>
            </w:r>
          </w:p>
        </w:tc>
        <w:tc>
          <w:tcPr>
            <w:tcW w:w="8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w:t>
            </w:r>
          </w:p>
        </w:tc>
      </w:tr>
      <w:tr>
        <w:trPr>
          <w:trHeight w:val="27"/>
        </w:trPr>
        <w:tc>
          <w:tcPr>
            <w:tcW w:w="5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Comprehensive income (loss) available to common shareholders</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44"/>
        </w:trPr>
        <w:tc>
          <w:tcPr>
            <w:tcW w:w="8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4"/>
          </w:tcPr>
          <w:p>
            <w:pPr>
              <w:jc w:val="right"/>
              <w:ind w:right="105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 ($149 and $216 related to VIEs, respectively)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Investment in marketable securities</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822</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Accounts receivable ($27 and $26 related to VIEs, respectively), less bad debt reserve of $39 and $21,</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Accrued unbilled revenues, less bad debt reserve of $2 and $-0-, respectively</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469</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Natural gas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Materials and supplies</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263</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Taxes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Current assets held for sale</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1,002</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 ($19 and $19 related to VIEs, respectively)</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r>
      <w:tr>
        <w:trPr>
          <w:trHeight w:val="237"/>
        </w:trPr>
        <w:tc>
          <w:tcPr>
            <w:tcW w:w="81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3,937</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31,349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30,324</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9,700</w:t>
            </w:r>
          </w:p>
        </w:tc>
      </w:tr>
      <w:tr>
        <w:trPr>
          <w:trHeight w:val="237"/>
        </w:trPr>
        <w:tc>
          <w:tcPr>
            <w:tcW w:w="8180" w:type="dxa"/>
            <w:vAlign w:val="bottom"/>
          </w:tcPr>
          <w:p>
            <w:pPr>
              <w:ind w:left="50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21,348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20,624</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4,697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4,882</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Regulatory assets ($719 and $788 related to VIEs,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2,117</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Investment in unconsolidated affiliates</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2,408</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Preferred units – unconsolidated affiliate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w:t>
            </w:r>
          </w:p>
        </w:tc>
      </w:tr>
      <w:tr>
        <w:trPr>
          <w:trHeight w:val="243"/>
        </w:trPr>
        <w:tc>
          <w:tcPr>
            <w:tcW w:w="8180" w:type="dxa"/>
            <w:vAlign w:val="bottom"/>
          </w:tcPr>
          <w:p>
            <w:pPr>
              <w:ind w:left="120"/>
              <w:spacing w:after="0"/>
              <w:rPr>
                <w:sz w:val="20"/>
                <w:szCs w:val="20"/>
                <w:color w:val="auto"/>
              </w:rPr>
            </w:pPr>
            <w:r>
              <w:rPr>
                <w:rFonts w:ascii="Arial" w:cs="Arial" w:eastAsia="Arial" w:hAnsi="Arial"/>
                <w:sz w:val="18"/>
                <w:szCs w:val="18"/>
                <w:color w:val="auto"/>
              </w:rPr>
              <w:t>Non-current assets held for sale</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962</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w:t>
            </w:r>
          </w:p>
        </w:tc>
      </w:tr>
      <w:tr>
        <w:trPr>
          <w:trHeight w:val="237"/>
        </w:trPr>
        <w:tc>
          <w:tcPr>
            <w:tcW w:w="8180" w:type="dxa"/>
            <w:vAlign w:val="bottom"/>
          </w:tcPr>
          <w:p>
            <w:pPr>
              <w:ind w:left="500"/>
              <w:spacing w:after="0"/>
              <w:rPr>
                <w:sz w:val="20"/>
                <w:szCs w:val="20"/>
                <w:color w:val="auto"/>
              </w:rPr>
            </w:pPr>
            <w:r>
              <w:rPr>
                <w:rFonts w:ascii="Arial" w:cs="Arial" w:eastAsia="Arial" w:hAnsi="Arial"/>
                <w:sz w:val="18"/>
                <w:szCs w:val="18"/>
                <w:color w:val="auto"/>
              </w:rPr>
              <w:t>Total other assets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8,299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10,968</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32,148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35,529</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AND SHAREHOLDERS’ EQUITY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244"/>
        </w:trPr>
        <w:tc>
          <w:tcPr>
            <w:tcW w:w="8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4"/>
          </w:tcPr>
          <w:p>
            <w:pPr>
              <w:ind w:left="160"/>
              <w:spacing w:after="0"/>
              <w:rPr>
                <w:sz w:val="20"/>
                <w:szCs w:val="20"/>
                <w:color w:val="auto"/>
              </w:rPr>
            </w:pPr>
            <w:r>
              <w:rPr>
                <w:rFonts w:ascii="Arial" w:cs="Arial" w:eastAsia="Arial" w:hAnsi="Arial"/>
                <w:sz w:val="14"/>
                <w:szCs w:val="14"/>
                <w:b w:val="1"/>
                <w:bCs w:val="1"/>
                <w:color w:val="auto"/>
              </w:rPr>
              <w:t>(in millions, except share amounts)</w:t>
            </w:r>
          </w:p>
        </w:tc>
      </w:tr>
      <w:tr>
        <w:trPr>
          <w:trHeight w:val="255"/>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Current portion of VIE Securitization Bonds long-term debt</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231</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Indexed debt, net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Current portion of other long-term debt</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618</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Indexed debt securities derivative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893</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884</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accrued</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Interest accrued</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158</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Non-trading derivative liabilities</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held for sale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350</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3,978</w:t>
            </w:r>
          </w:p>
        </w:tc>
      </w:tr>
      <w:tr>
        <w:trPr>
          <w:trHeight w:val="223"/>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3,928</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Non-trading derivative liabilities</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15</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Regulatory liabilities</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3,474</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liabilities held for sale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738</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8,948</w:t>
            </w:r>
          </w:p>
        </w:tc>
      </w:tr>
      <w:tr>
        <w:trPr>
          <w:trHeight w:val="223"/>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VIE Securitization Bonds, net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Other long-term debt, net</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10,298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13,498</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debt, net</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14,244</w:t>
            </w:r>
          </w:p>
        </w:tc>
      </w:tr>
      <w:tr>
        <w:trPr>
          <w:trHeight w:val="223"/>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14)</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Cumulative preferred stock, $0.01 par value, 20,000,000 shares authorized</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A Preferred Stock, $0.01 par value, $800 aggregate liquidation preference, 800,000 shares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w:t>
            </w:r>
          </w:p>
        </w:tc>
      </w:tr>
      <w:tr>
        <w:trPr>
          <w:trHeight w:val="229"/>
        </w:trPr>
        <w:tc>
          <w:tcPr>
            <w:tcW w:w="8180" w:type="dxa"/>
            <w:vAlign w:val="bottom"/>
          </w:tcPr>
          <w:p>
            <w:pPr>
              <w:ind w:left="340"/>
              <w:spacing w:after="0"/>
              <w:rPr>
                <w:sz w:val="20"/>
                <w:szCs w:val="20"/>
                <w:color w:val="auto"/>
              </w:rPr>
            </w:pPr>
            <w:r>
              <w:rPr>
                <w:rFonts w:ascii="Arial" w:cs="Arial" w:eastAsia="Arial" w:hAnsi="Arial"/>
                <w:sz w:val="18"/>
                <w:szCs w:val="18"/>
                <w:color w:val="auto"/>
              </w:rPr>
              <w:t>Series B Preferred Stock, $0.01 par value, $978 aggregate liquidation preference, 977,500 shares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180" w:type="dxa"/>
            <w:vAlign w:val="bottom"/>
          </w:tcPr>
          <w:p>
            <w:pPr>
              <w:ind w:left="500"/>
              <w:spacing w:after="0"/>
              <w:rPr>
                <w:sz w:val="20"/>
                <w:szCs w:val="20"/>
                <w:color w:val="auto"/>
              </w:rPr>
            </w:pPr>
            <w:r>
              <w:rPr>
                <w:rFonts w:ascii="Arial" w:cs="Arial" w:eastAsia="Arial" w:hAnsi="Arial"/>
                <w:sz w:val="18"/>
                <w:szCs w:val="18"/>
                <w:color w:val="auto"/>
              </w:rPr>
              <w:t>outstanding</w:t>
            </w:r>
          </w:p>
        </w:tc>
        <w:tc>
          <w:tcPr>
            <w:tcW w:w="3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950</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C Preferred Stock, $0.01 par value, $725 aggregate liquidation preference, 725,000 shares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w w:val="89"/>
              </w:rPr>
              <w:t>Common stock, $0.01 par value, 1,000,000,000 shares authorized, 544,709,048 shares and 502,242,061 shares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180" w:type="dxa"/>
            <w:vAlign w:val="bottom"/>
          </w:tcPr>
          <w:p>
            <w:pPr>
              <w:ind w:left="340"/>
              <w:spacing w:after="0"/>
              <w:rPr>
                <w:sz w:val="20"/>
                <w:szCs w:val="20"/>
                <w:color w:val="auto"/>
              </w:rPr>
            </w:pPr>
            <w:r>
              <w:rPr>
                <w:rFonts w:ascii="Arial" w:cs="Arial" w:eastAsia="Arial" w:hAnsi="Arial"/>
                <w:sz w:val="18"/>
                <w:szCs w:val="18"/>
                <w:color w:val="auto"/>
              </w:rPr>
              <w:t>outstanding, respectively</w:t>
            </w:r>
          </w:p>
        </w:tc>
        <w:tc>
          <w:tcPr>
            <w:tcW w:w="3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6,080</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632</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6"/>
        </w:trPr>
        <w:tc>
          <w:tcPr>
            <w:tcW w:w="818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8,359</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Shareholders’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32,148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35,529</w:t>
            </w: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Unaudited Condensed Consolidated Financial Statements</w:t>
      </w:r>
    </w:p>
    <w:p>
      <w:pPr>
        <w:sectPr>
          <w:pgSz w:w="11900" w:h="16838" w:orient="portrait"/>
          <w:cols w:equalWidth="0" w:num="1">
            <w:col w:w="11220"/>
          </w:cols>
          <w:pgMar w:left="320" w:top="125" w:right="3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20"/>
          </w:cols>
          <w:pgMar w:left="320" w:top="125" w:right="359" w:bottom="1440" w:gutter="0" w:footer="0" w:header="0"/>
          <w:type w:val="continuous"/>
        </w:sectPr>
      </w:pPr>
    </w:p>
    <w:bookmarkStart w:id="14" w:name="page15"/>
    <w:bookmarkEnd w:id="14"/>
    <w:p>
      <w:pPr>
        <w:spacing w:after="0" w:line="62" w:lineRule="exact"/>
        <w:rPr>
          <w:sz w:val="20"/>
          <w:szCs w:val="20"/>
          <w:color w:val="auto"/>
        </w:rPr>
      </w:pPr>
    </w:p>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300" w:type="dxa"/>
            <w:vAlign w:val="bottom"/>
            <w:tcBorders>
              <w:bottom w:val="single" w:sz="8" w:color="auto"/>
            </w:tcBorders>
            <w:gridSpan w:val="4"/>
          </w:tcPr>
          <w:p>
            <w:pPr>
              <w:jc w:val="center"/>
              <w:ind w:left="468"/>
              <w:spacing w:after="0"/>
              <w:rPr>
                <w:sz w:val="20"/>
                <w:szCs w:val="20"/>
                <w:color w:val="auto"/>
              </w:rPr>
            </w:pPr>
            <w:r>
              <w:rPr>
                <w:rFonts w:ascii="Arial" w:cs="Arial" w:eastAsia="Arial" w:hAnsi="Arial"/>
                <w:sz w:val="14"/>
                <w:szCs w:val="14"/>
                <w:b w:val="1"/>
                <w:bCs w:val="1"/>
                <w:color w:val="auto"/>
                <w:w w:val="92"/>
              </w:rPr>
              <w:t>Six Months Ended June 30,</w:t>
            </w:r>
          </w:p>
        </w:tc>
        <w:tc>
          <w:tcPr>
            <w:tcW w:w="500" w:type="dxa"/>
            <w:vAlign w:val="bottom"/>
            <w:tcBorders>
              <w:bottom w:val="single" w:sz="8" w:color="auto"/>
            </w:tcBorders>
          </w:tcPr>
          <w:p>
            <w:pPr>
              <w:spacing w:after="0"/>
              <w:rPr>
                <w:sz w:val="16"/>
                <w:szCs w:val="16"/>
                <w:color w:val="auto"/>
              </w:rPr>
            </w:pPr>
          </w:p>
        </w:tc>
      </w:tr>
      <w:tr>
        <w:trPr>
          <w:trHeight w:val="263"/>
        </w:trPr>
        <w:tc>
          <w:tcPr>
            <w:tcW w:w="84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r>
      <w:tr>
        <w:trPr>
          <w:trHeight w:val="244"/>
        </w:trPr>
        <w:tc>
          <w:tcPr>
            <w:tcW w:w="8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40" w:type="dxa"/>
            <w:vAlign w:val="bottom"/>
            <w:gridSpan w:val="3"/>
          </w:tcPr>
          <w:p>
            <w:pPr>
              <w:jc w:val="center"/>
              <w:ind w:right="268"/>
              <w:spacing w:after="0"/>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21"/>
                <w:szCs w:val="21"/>
                <w:color w:val="auto"/>
              </w:rPr>
            </w:pPr>
          </w:p>
        </w:tc>
      </w:tr>
      <w:tr>
        <w:trPr>
          <w:trHeight w:val="276"/>
        </w:trPr>
        <w:tc>
          <w:tcPr>
            <w:tcW w:w="844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(1,094)</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Depreciation and amortization on assets held for sale</w:t>
            </w:r>
          </w:p>
        </w:tc>
        <w:tc>
          <w:tcPr>
            <w:tcW w:w="86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deferred financing costs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Amortization of intangible assets in non-utility cost of revenues</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Goodwill impairment and loss from reclassification to held for sale</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 impairment</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Unrealized loss (gain) on marketable securities</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(gain) on indexed debt securities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Write-down of natural gas inventory</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in (earnings) losses of unconsolidated affiliates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Distributions from unconsolidated affiliates</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Pension contributions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Changes in other assets and liabilities, excluding acquisitions:</w:t>
            </w: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 and unbilled revenues, net</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w:t>
            </w:r>
          </w:p>
        </w:tc>
      </w:tr>
      <w:tr>
        <w:trPr>
          <w:trHeight w:val="264"/>
        </w:trPr>
        <w:tc>
          <w:tcPr>
            <w:tcW w:w="8440" w:type="dxa"/>
            <w:vAlign w:val="bottom"/>
          </w:tcPr>
          <w:p>
            <w:pPr>
              <w:ind w:left="380"/>
              <w:spacing w:after="0"/>
              <w:rPr>
                <w:sz w:val="20"/>
                <w:szCs w:val="20"/>
                <w:color w:val="auto"/>
              </w:rPr>
            </w:pPr>
            <w:r>
              <w:rPr>
                <w:rFonts w:ascii="Arial" w:cs="Arial" w:eastAsia="Arial" w:hAnsi="Arial"/>
                <w:sz w:val="14"/>
                <w:szCs w:val="14"/>
                <w:color w:val="auto"/>
              </w:rPr>
              <w:t>Inventory</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Taxes receivable</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264"/>
        </w:trPr>
        <w:tc>
          <w:tcPr>
            <w:tcW w:w="844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(594)</w:t>
            </w:r>
          </w:p>
        </w:tc>
      </w:tr>
      <w:tr>
        <w:trPr>
          <w:trHeight w:val="27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Fuel cost recovery</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r>
      <w:tr>
        <w:trPr>
          <w:trHeight w:val="264"/>
        </w:trPr>
        <w:tc>
          <w:tcPr>
            <w:tcW w:w="8440" w:type="dxa"/>
            <w:vAlign w:val="bottom"/>
          </w:tcPr>
          <w:p>
            <w:pPr>
              <w:ind w:left="380"/>
              <w:spacing w:after="0"/>
              <w:rPr>
                <w:sz w:val="20"/>
                <w:szCs w:val="20"/>
                <w:color w:val="auto"/>
              </w:rPr>
            </w:pPr>
            <w:r>
              <w:rPr>
                <w:rFonts w:ascii="Arial" w:cs="Arial" w:eastAsia="Arial" w:hAnsi="Arial"/>
                <w:sz w:val="14"/>
                <w:szCs w:val="14"/>
                <w:color w:val="auto"/>
              </w:rPr>
              <w:t>Non-trading derivatives, net</w:t>
            </w: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27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Margin deposits, net</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64"/>
        </w:trPr>
        <w:tc>
          <w:tcPr>
            <w:tcW w:w="8440" w:type="dxa"/>
            <w:vAlign w:val="bottom"/>
          </w:tcPr>
          <w:p>
            <w:pPr>
              <w:ind w:left="380"/>
              <w:spacing w:after="0"/>
              <w:rPr>
                <w:sz w:val="20"/>
                <w:szCs w:val="20"/>
                <w:color w:val="auto"/>
              </w:rPr>
            </w:pPr>
            <w:r>
              <w:rPr>
                <w:rFonts w:ascii="Arial" w:cs="Arial" w:eastAsia="Arial" w:hAnsi="Arial"/>
                <w:sz w:val="14"/>
                <w:szCs w:val="14"/>
                <w:color w:val="auto"/>
              </w:rPr>
              <w:t>Interest and taxes accrued</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7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regulatory assets and liabilities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64"/>
        </w:trPr>
        <w:tc>
          <w:tcPr>
            <w:tcW w:w="8440" w:type="dxa"/>
            <w:vAlign w:val="bottom"/>
          </w:tcPr>
          <w:p>
            <w:pPr>
              <w:ind w:left="380"/>
              <w:spacing w:after="0"/>
              <w:rPr>
                <w:sz w:val="20"/>
                <w:szCs w:val="20"/>
                <w:color w:val="auto"/>
              </w:rPr>
            </w:pPr>
            <w:r>
              <w:rPr>
                <w:rFonts w:ascii="Arial" w:cs="Arial" w:eastAsia="Arial" w:hAnsi="Arial"/>
                <w:sz w:val="14"/>
                <w:szCs w:val="14"/>
                <w:color w:val="auto"/>
              </w:rPr>
              <w:t>Other current assets</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liabilities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264"/>
        </w:trPr>
        <w:tc>
          <w:tcPr>
            <w:tcW w:w="844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76</w:t>
            </w:r>
          </w:p>
        </w:tc>
      </w:tr>
      <w:tr>
        <w:trPr>
          <w:trHeight w:val="276"/>
        </w:trPr>
        <w:tc>
          <w:tcPr>
            <w:tcW w:w="8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liabilities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64"/>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operating activities, net</w:t>
            </w:r>
          </w:p>
        </w:tc>
        <w:tc>
          <w:tcPr>
            <w:tcW w:w="8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r>
      <w:tr>
        <w:trPr>
          <w:trHeight w:val="256"/>
        </w:trPr>
        <w:tc>
          <w:tcPr>
            <w:tcW w:w="84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8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1,181</w:t>
            </w:r>
          </w:p>
        </w:tc>
        <w:tc>
          <w:tcPr>
            <w:tcW w:w="10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574</w:t>
            </w:r>
          </w:p>
        </w:tc>
      </w:tr>
      <w:tr>
        <w:trPr>
          <w:trHeight w:val="258"/>
        </w:trPr>
        <w:tc>
          <w:tcPr>
            <w:tcW w:w="84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expenditures</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(1,278)</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(1,169)</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Acquisitions, net of cash acquired</w:t>
            </w:r>
          </w:p>
        </w:tc>
        <w:tc>
          <w:tcPr>
            <w:tcW w:w="86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(5,987)</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Increase in notes receivable – unconsolidated affiliate</w:t>
            </w:r>
          </w:p>
        </w:tc>
        <w:tc>
          <w:tcPr>
            <w:tcW w:w="8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Distributions from unconsolidated affiliate in excess of cumulative earnings</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divestitures (Note 3)</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1,136</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investing activities, net</w:t>
            </w:r>
          </w:p>
        </w:tc>
        <w:tc>
          <w:tcPr>
            <w:tcW w:w="8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r>
      <w:tr>
        <w:trPr>
          <w:trHeight w:val="256"/>
        </w:trPr>
        <w:tc>
          <w:tcPr>
            <w:tcW w:w="84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used in investing activities</w:t>
            </w:r>
          </w:p>
        </w:tc>
        <w:tc>
          <w:tcPr>
            <w:tcW w:w="8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(7,149)</w:t>
            </w:r>
          </w:p>
        </w:tc>
      </w:tr>
      <w:tr>
        <w:trPr>
          <w:trHeight w:val="258"/>
        </w:trPr>
        <w:tc>
          <w:tcPr>
            <w:tcW w:w="84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Increase in short-term borrowings, net</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Proceeds from (payments of) commercial paper, net</w:t>
            </w: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(1,498)</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2,221</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long-term debt, net</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1,721</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Payments of long-term debt</w:t>
            </w: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(1,032)</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(1,077)</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revolving credit facility, net</w:t>
            </w:r>
          </w:p>
        </w:tc>
        <w:tc>
          <w:tcPr>
            <w:tcW w:w="8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Payment of debt issuance costs</w:t>
            </w: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 of dividends on Common Stock</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Payment of dividends on Preferred Stock</w:t>
            </w: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Common Stock, net</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Proceeds from issuance of Series C Preferred Stock, net</w:t>
            </w:r>
          </w:p>
        </w:tc>
        <w:tc>
          <w:tcPr>
            <w:tcW w:w="8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financing activities, net</w:t>
            </w:r>
          </w:p>
        </w:tc>
        <w:tc>
          <w:tcPr>
            <w:tcW w:w="8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50"/>
        </w:trPr>
        <w:tc>
          <w:tcPr>
            <w:tcW w:w="844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provided by (used in) financing activities</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(1,115)</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2,629</w:t>
            </w:r>
          </w:p>
        </w:tc>
      </w:tr>
      <w:tr>
        <w:trPr>
          <w:trHeight w:val="170"/>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(3,946)</w:t>
            </w:r>
          </w:p>
        </w:tc>
      </w:tr>
    </w:tbl>
    <w:p>
      <w:pPr>
        <w:sectPr>
          <w:pgSz w:w="11900" w:h="16900" w:orient="portrait"/>
          <w:cols w:equalWidth="0" w:num="1">
            <w:col w:w="11240"/>
          </w:cols>
          <w:pgMar w:left="320" w:top="125" w:right="339" w:bottom="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5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4,278</w:t>
            </w: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332</w:t>
            </w:r>
          </w:p>
        </w:tc>
      </w:tr>
      <w:tr>
        <w:trPr>
          <w:trHeight w:val="20"/>
        </w:trPr>
        <w:tc>
          <w:tcPr>
            <w:tcW w:w="8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4"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left="340" w:right="2560"/>
        <w:spacing w:after="0" w:line="275" w:lineRule="auto"/>
        <w:rPr>
          <w:sz w:val="20"/>
          <w:szCs w:val="20"/>
          <w:color w:val="auto"/>
        </w:rPr>
      </w:pPr>
      <w:r>
        <w:rPr>
          <w:rFonts w:ascii="Arial" w:cs="Arial" w:eastAsia="Arial" w:hAnsi="Arial"/>
          <w:sz w:val="18"/>
          <w:szCs w:val="18"/>
          <w:b w:val="1"/>
          <w:bCs w:val="1"/>
          <w:color w:val="auto"/>
        </w:rPr>
        <w:t>CENTERPOINT ENERGY, INC. AND SUBSIDIARIES CONDENSED STATEMENTS OF CONSOLIDATED CHANGES IN EQUITY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4"/>
                <w:szCs w:val="14"/>
                <w:b w:val="1"/>
                <w:bCs w:val="1"/>
                <w:color w:val="auto"/>
                <w:w w:val="95"/>
              </w:rPr>
              <w:t>Three Months Ended 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2"/>
              </w:rPr>
              <w:t>Six Months Ended June 30,</w:t>
            </w:r>
          </w:p>
        </w:tc>
        <w:tc>
          <w:tcPr>
            <w:tcW w:w="660" w:type="dxa"/>
            <w:vAlign w:val="bottom"/>
            <w:tcBorders>
              <w:bottom w:val="single" w:sz="8" w:color="auto"/>
            </w:tcBorders>
          </w:tcPr>
          <w:p>
            <w:pPr>
              <w:spacing w:after="0"/>
              <w:rPr>
                <w:sz w:val="16"/>
                <w:szCs w:val="16"/>
                <w:color w:val="auto"/>
              </w:rPr>
            </w:pPr>
          </w:p>
        </w:tc>
      </w:tr>
      <w:tr>
        <w:trPr>
          <w:trHeight w:val="264"/>
        </w:trPr>
        <w:tc>
          <w:tcPr>
            <w:tcW w:w="416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2020</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22"/>
                <w:szCs w:val="22"/>
                <w:color w:val="auto"/>
              </w:rPr>
            </w:pPr>
          </w:p>
        </w:tc>
      </w:tr>
      <w:tr>
        <w:trPr>
          <w:trHeight w:val="263"/>
        </w:trPr>
        <w:tc>
          <w:tcPr>
            <w:tcW w:w="4160" w:type="dxa"/>
            <w:vAlign w:val="bottom"/>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r>
      <w:tr>
        <w:trPr>
          <w:trHeight w:val="190"/>
        </w:trPr>
        <w:tc>
          <w:tcPr>
            <w:tcW w:w="4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720" w:type="dxa"/>
            <w:vAlign w:val="bottom"/>
            <w:gridSpan w:val="14"/>
          </w:tcPr>
          <w:p>
            <w:pPr>
              <w:ind w:left="20"/>
              <w:spacing w:after="0"/>
              <w:rPr>
                <w:sz w:val="20"/>
                <w:szCs w:val="20"/>
                <w:color w:val="auto"/>
              </w:rPr>
            </w:pPr>
            <w:r>
              <w:rPr>
                <w:rFonts w:ascii="Arial" w:cs="Arial" w:eastAsia="Arial" w:hAnsi="Arial"/>
                <w:sz w:val="14"/>
                <w:szCs w:val="14"/>
                <w:b w:val="1"/>
                <w:bCs w:val="1"/>
                <w:color w:val="auto"/>
                <w:w w:val="90"/>
              </w:rPr>
              <w:t>(in millions of dollars and shares, except per share amounts)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Cumulative Preferred Stock, $0.01 par value;</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4"/>
        </w:trPr>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authorized 20,000,000 shares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beginning of period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w:t>
            </w:r>
          </w:p>
        </w:tc>
      </w:tr>
      <w:tr>
        <w:trPr>
          <w:trHeight w:val="229"/>
        </w:trPr>
        <w:tc>
          <w:tcPr>
            <w:tcW w:w="4160" w:type="dxa"/>
            <w:vAlign w:val="bottom"/>
          </w:tcPr>
          <w:p>
            <w:pPr>
              <w:ind w:left="380"/>
              <w:spacing w:after="0"/>
              <w:rPr>
                <w:sz w:val="20"/>
                <w:szCs w:val="20"/>
                <w:color w:val="auto"/>
              </w:rPr>
            </w:pPr>
            <w:r>
              <w:rPr>
                <w:rFonts w:ascii="Arial" w:cs="Arial" w:eastAsia="Arial" w:hAnsi="Arial"/>
                <w:sz w:val="18"/>
                <w:szCs w:val="18"/>
                <w:color w:val="auto"/>
              </w:rPr>
              <w:t>Issuances of Series C Preferred Stock, net of</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4160" w:type="dxa"/>
            <w:vAlign w:val="bottom"/>
          </w:tcPr>
          <w:p>
            <w:pPr>
              <w:ind w:left="540"/>
              <w:spacing w:after="0"/>
              <w:rPr>
                <w:sz w:val="20"/>
                <w:szCs w:val="20"/>
                <w:color w:val="auto"/>
              </w:rPr>
            </w:pPr>
            <w:r>
              <w:rPr>
                <w:rFonts w:ascii="Arial" w:cs="Arial" w:eastAsia="Arial" w:hAnsi="Arial"/>
                <w:sz w:val="18"/>
                <w:szCs w:val="18"/>
                <w:color w:val="auto"/>
                <w:w w:val="92"/>
              </w:rPr>
              <w:t>issuance costs and beneficial conversion feature</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end of period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w:t>
            </w:r>
          </w:p>
        </w:tc>
      </w:tr>
      <w:tr>
        <w:trPr>
          <w:trHeight w:val="205"/>
        </w:trPr>
        <w:tc>
          <w:tcPr>
            <w:tcW w:w="4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Common Stock, $0.01 par value; authorized</w:t>
            </w: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34"/>
        </w:trPr>
        <w:tc>
          <w:tcPr>
            <w:tcW w:w="4160" w:type="dxa"/>
            <w:vAlign w:val="bottom"/>
          </w:tcPr>
          <w:p>
            <w:pPr>
              <w:ind w:left="200"/>
              <w:spacing w:after="0"/>
              <w:rPr>
                <w:sz w:val="20"/>
                <w:szCs w:val="20"/>
                <w:color w:val="auto"/>
              </w:rPr>
            </w:pPr>
            <w:r>
              <w:rPr>
                <w:rFonts w:ascii="Arial" w:cs="Arial" w:eastAsia="Arial" w:hAnsi="Arial"/>
                <w:sz w:val="18"/>
                <w:szCs w:val="18"/>
                <w:b w:val="1"/>
                <w:bCs w:val="1"/>
                <w:color w:val="auto"/>
              </w:rPr>
              <w:t>1,000,000,000 shares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beginning of period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Issuances of Common Stock</w:t>
            </w: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Issuances related to benefit and investment plans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160" w:type="dxa"/>
            <w:vAlign w:val="bottom"/>
          </w:tcPr>
          <w:p>
            <w:pPr>
              <w:ind w:left="380"/>
              <w:spacing w:after="0"/>
              <w:rPr>
                <w:sz w:val="20"/>
                <w:szCs w:val="20"/>
                <w:color w:val="auto"/>
              </w:rPr>
            </w:pPr>
            <w:r>
              <w:rPr>
                <w:rFonts w:ascii="Arial" w:cs="Arial" w:eastAsia="Arial" w:hAnsi="Arial"/>
                <w:sz w:val="18"/>
                <w:szCs w:val="18"/>
                <w:color w:val="auto"/>
              </w:rPr>
              <w:t>Balance, end of period</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4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Additional Paid-in-Capital</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Balance, beginning of period</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6,086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6,060</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6,072</w:t>
            </w:r>
          </w:p>
        </w:tc>
      </w:tr>
      <w:tr>
        <w:trPr>
          <w:trHeight w:val="27"/>
        </w:trPr>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Issuances of Common Stock, net of issuance costs</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w w:val="95"/>
              </w:rPr>
              <w:t>Issuances related to benefit and investment plans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Recognition of beneficial conversion feature</w:t>
            </w:r>
          </w:p>
        </w:tc>
        <w:tc>
          <w:tcPr>
            <w:tcW w:w="7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160" w:type="dxa"/>
            <w:vAlign w:val="bottom"/>
          </w:tcPr>
          <w:p>
            <w:pPr>
              <w:ind w:left="380"/>
              <w:spacing w:after="0"/>
              <w:rPr>
                <w:sz w:val="20"/>
                <w:szCs w:val="20"/>
                <w:color w:val="auto"/>
              </w:rPr>
            </w:pPr>
            <w:r>
              <w:rPr>
                <w:rFonts w:ascii="Arial" w:cs="Arial" w:eastAsia="Arial" w:hAnsi="Arial"/>
                <w:sz w:val="18"/>
                <w:szCs w:val="18"/>
                <w:color w:val="auto"/>
              </w:rPr>
              <w:t>Balance, end of period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6,801</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6,801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6,065</w:t>
            </w:r>
          </w:p>
        </w:tc>
      </w:tr>
      <w:tr>
        <w:trPr>
          <w:trHeight w:val="27"/>
        </w:trPr>
        <w:tc>
          <w:tcPr>
            <w:tcW w:w="4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 (Accumulated Deficit)</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Balance, beginning of period</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349</w:t>
            </w:r>
          </w:p>
        </w:tc>
      </w:tr>
      <w:tr>
        <w:trPr>
          <w:trHeight w:val="27"/>
        </w:trPr>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w w:val="95"/>
              </w:rPr>
              <w:t>Common Stock dividends declared (see Note 19)</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Series A Preferred Stock dividends declared (see</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4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Note 19)</w:t>
            </w: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Pr>
          <w:p>
            <w:pPr>
              <w:ind w:left="380"/>
              <w:spacing w:after="0"/>
              <w:rPr>
                <w:sz w:val="20"/>
                <w:szCs w:val="20"/>
                <w:color w:val="auto"/>
              </w:rPr>
            </w:pPr>
            <w:r>
              <w:rPr>
                <w:rFonts w:ascii="Arial" w:cs="Arial" w:eastAsia="Arial" w:hAnsi="Arial"/>
                <w:sz w:val="18"/>
                <w:szCs w:val="18"/>
                <w:color w:val="auto"/>
                <w:w w:val="95"/>
              </w:rPr>
              <w:t>Series B Preferred Stock dividends declared (see</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4160" w:type="dxa"/>
            <w:vAlign w:val="bottom"/>
          </w:tcPr>
          <w:p>
            <w:pPr>
              <w:ind w:left="540"/>
              <w:spacing w:after="0"/>
              <w:rPr>
                <w:sz w:val="20"/>
                <w:szCs w:val="20"/>
                <w:color w:val="auto"/>
              </w:rPr>
            </w:pPr>
            <w:r>
              <w:rPr>
                <w:rFonts w:ascii="Arial" w:cs="Arial" w:eastAsia="Arial" w:hAnsi="Arial"/>
                <w:sz w:val="18"/>
                <w:szCs w:val="18"/>
                <w:color w:val="auto"/>
              </w:rPr>
              <w:t>Note 19)</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Series C Preferred Stock dividends declared (see</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4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Note 19)</w:t>
            </w: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Amortization of beneficial conversion feature</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Adoption of ASU 2016-13</w:t>
            </w:r>
          </w:p>
        </w:tc>
        <w:tc>
          <w:tcPr>
            <w:tcW w:w="7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160" w:type="dxa"/>
            <w:vAlign w:val="bottom"/>
          </w:tcPr>
          <w:p>
            <w:pPr>
              <w:ind w:left="380"/>
              <w:spacing w:after="0"/>
              <w:rPr>
                <w:sz w:val="20"/>
                <w:szCs w:val="20"/>
                <w:color w:val="auto"/>
              </w:rPr>
            </w:pPr>
            <w:r>
              <w:rPr>
                <w:rFonts w:ascii="Arial" w:cs="Arial" w:eastAsia="Arial" w:hAnsi="Arial"/>
                <w:sz w:val="18"/>
                <w:szCs w:val="18"/>
                <w:color w:val="auto"/>
              </w:rPr>
              <w:t>Balance, end of period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552</w:t>
            </w:r>
          </w:p>
        </w:tc>
      </w:tr>
      <w:tr>
        <w:trPr>
          <w:trHeight w:val="27"/>
        </w:trPr>
        <w:tc>
          <w:tcPr>
            <w:tcW w:w="4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Balance, beginning of period</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7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36"/>
        </w:trPr>
        <w:tc>
          <w:tcPr>
            <w:tcW w:w="4160" w:type="dxa"/>
            <w:vAlign w:val="bottom"/>
          </w:tcPr>
          <w:p>
            <w:pPr>
              <w:ind w:left="380"/>
              <w:spacing w:after="0"/>
              <w:rPr>
                <w:sz w:val="20"/>
                <w:szCs w:val="20"/>
                <w:color w:val="auto"/>
              </w:rPr>
            </w:pPr>
            <w:r>
              <w:rPr>
                <w:rFonts w:ascii="Arial" w:cs="Arial" w:eastAsia="Arial" w:hAnsi="Arial"/>
                <w:sz w:val="18"/>
                <w:szCs w:val="18"/>
                <w:color w:val="auto"/>
              </w:rPr>
              <w:t>Balance, end of period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4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72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8,257</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8,392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8,257</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INCOME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3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5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1,451</w:t>
            </w:r>
          </w:p>
        </w:tc>
      </w:tr>
      <w:tr>
        <w:trPr>
          <w:trHeight w:val="223"/>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9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5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 and maintenance</w:t>
            </w: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351</w:t>
            </w:r>
          </w:p>
        </w:tc>
      </w:tr>
      <w:tr>
        <w:trPr>
          <w:trHeight w:val="27"/>
        </w:trPr>
        <w:tc>
          <w:tcPr>
            <w:tcW w:w="5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37"/>
        </w:trPr>
        <w:tc>
          <w:tcPr>
            <w:tcW w:w="5300" w:type="dxa"/>
            <w:vAlign w:val="bottom"/>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1,201</w:t>
            </w:r>
          </w:p>
        </w:tc>
      </w:tr>
      <w:tr>
        <w:trPr>
          <w:trHeight w:val="27"/>
        </w:trPr>
        <w:tc>
          <w:tcPr>
            <w:tcW w:w="53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23"/>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9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5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and other finance charges</w:t>
            </w: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Interest expense on Securitization Bonds</w:t>
            </w: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Interest income from Securitization Bonds</w:t>
            </w:r>
          </w:p>
        </w:tc>
        <w:tc>
          <w:tcPr>
            <w:tcW w:w="9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5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300" w:type="dxa"/>
            <w:vAlign w:val="bottom"/>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53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r>
      <w:tr>
        <w:trPr>
          <w:trHeight w:val="243"/>
        </w:trPr>
        <w:tc>
          <w:tcPr>
            <w:tcW w:w="53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53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r>
      <w:tr>
        <w:trPr>
          <w:trHeight w:val="20"/>
        </w:trPr>
        <w:tc>
          <w:tcPr>
            <w:tcW w:w="5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COMPREHENSIVE INCOME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100</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9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deferred loss from cash flow hedges (net of tax of $-0-, $-0-, $-0- and</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w w:val="92"/>
              </w:rPr>
              <w:t>Reclassification of net deferred losses from cash flow hedges (net of tax of</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520" w:type="dxa"/>
            <w:vAlign w:val="bottom"/>
          </w:tcPr>
          <w:p>
            <w:pPr>
              <w:ind w:left="200"/>
              <w:spacing w:after="0"/>
              <w:rPr>
                <w:sz w:val="20"/>
                <w:szCs w:val="20"/>
                <w:color w:val="auto"/>
              </w:rPr>
            </w:pPr>
            <w:r>
              <w:rPr>
                <w:rFonts w:ascii="Arial" w:cs="Arial" w:eastAsia="Arial" w:hAnsi="Arial"/>
                <w:sz w:val="18"/>
                <w:szCs w:val="18"/>
                <w:color w:val="auto"/>
              </w:rPr>
              <w:t>$4, $-0-, $4 and $-0-)</w:t>
            </w:r>
          </w:p>
        </w:tc>
        <w:tc>
          <w:tcPr>
            <w:tcW w:w="90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100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126</w:t>
            </w:r>
          </w:p>
        </w:tc>
      </w:tr>
      <w:tr>
        <w:trPr>
          <w:trHeight w:val="20"/>
        </w:trPr>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44"/>
        </w:trPr>
        <w:tc>
          <w:tcPr>
            <w:tcW w:w="8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4"/>
          </w:tcPr>
          <w:p>
            <w:pPr>
              <w:jc w:val="right"/>
              <w:ind w:right="93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($149 and $216 related to VIEs, respectively)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r>
      <w:tr>
        <w:trPr>
          <w:trHeight w:val="229"/>
        </w:trPr>
        <w:tc>
          <w:tcPr>
            <w:tcW w:w="8440" w:type="dxa"/>
            <w:vAlign w:val="bottom"/>
          </w:tcPr>
          <w:p>
            <w:pPr>
              <w:ind w:left="180"/>
              <w:spacing w:after="0"/>
              <w:rPr>
                <w:sz w:val="20"/>
                <w:szCs w:val="20"/>
                <w:color w:val="auto"/>
              </w:rPr>
            </w:pPr>
            <w:r>
              <w:rPr>
                <w:rFonts w:ascii="Arial" w:cs="Arial" w:eastAsia="Arial" w:hAnsi="Arial"/>
                <w:sz w:val="18"/>
                <w:szCs w:val="18"/>
                <w:color w:val="auto"/>
                <w:w w:val="93"/>
              </w:rPr>
              <w:t>Accounts and notes receivable ($27 and $26 related to VIEs, respectively), less bad debt reserve of $1 and $1,</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440" w:type="dxa"/>
            <w:vAlign w:val="bottom"/>
          </w:tcPr>
          <w:p>
            <w:pPr>
              <w:ind w:left="42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238</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and notes receivable–affiliated companies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Accrued unbilled revenues</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117</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 ($19 and $19 related to VIEs, respectively)</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49</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1,290</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3,797</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9,032</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assets ($719 and $788 related to VIEs,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w:t>
            </w:r>
          </w:p>
        </w:tc>
      </w:tr>
      <w:tr>
        <w:trPr>
          <w:trHeight w:val="257"/>
        </w:trPr>
        <w:tc>
          <w:tcPr>
            <w:tcW w:w="844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11,097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11,262</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MEMBER</w:t>
      </w:r>
      <w:r>
        <w:rPr>
          <w:rFonts w:ascii="Arial" w:cs="Arial" w:eastAsia="Arial" w:hAnsi="Arial"/>
          <w:sz w:val="18"/>
          <w:szCs w:val="18"/>
          <w:color w:val="auto"/>
        </w:rPr>
        <w:t>’</w:t>
      </w:r>
      <w:r>
        <w:rPr>
          <w:rFonts w:ascii="Arial" w:cs="Arial" w:eastAsia="Arial" w:hAnsi="Arial"/>
          <w:sz w:val="18"/>
          <w:szCs w:val="18"/>
          <w:b w:val="1"/>
          <w:bCs w:val="1"/>
          <w:color w:val="auto"/>
        </w:rPr>
        <w:t>S EQUITY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44"/>
        </w:trPr>
        <w:tc>
          <w:tcPr>
            <w:tcW w:w="8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4"/>
          </w:tcPr>
          <w:p>
            <w:pPr>
              <w:jc w:val="right"/>
              <w:ind w:right="931"/>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Current portion of VIE Securitization Bonds long-term debt</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231</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other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268</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and notes payable–affiliated companies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Taxes accrued</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123</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accrued</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Benefit obligations</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2,462</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VIE Securitization Bonds,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3,973</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 net</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4,719</w:t>
            </w:r>
          </w:p>
        </w:tc>
      </w:tr>
      <w:tr>
        <w:trPr>
          <w:trHeight w:val="236"/>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14)</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Member’s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780</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8440" w:type="dxa"/>
            <w:vAlign w:val="bottom"/>
          </w:tcPr>
          <w:p>
            <w:pPr>
              <w:ind w:left="420"/>
              <w:spacing w:after="0"/>
              <w:rPr>
                <w:sz w:val="20"/>
                <w:szCs w:val="20"/>
                <w:color w:val="auto"/>
              </w:rPr>
            </w:pPr>
            <w:r>
              <w:rPr>
                <w:rFonts w:ascii="Arial" w:cs="Arial" w:eastAsia="Arial" w:hAnsi="Arial"/>
                <w:sz w:val="18"/>
                <w:szCs w:val="18"/>
                <w:color w:val="auto"/>
              </w:rPr>
              <w:t>Total member’s equity</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3,251</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Member’s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11,262</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CASH FLOWS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80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84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44"/>
        </w:trPr>
        <w:tc>
          <w:tcPr>
            <w:tcW w:w="8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Amortization of deferred financing costs</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Changes in other assets and liabilities:</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Accounts receivable/payable–affiliated companies</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receivable</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Interest and taxes accrued</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Non-trading derivatives, net</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Net regulatory assets and liabilities</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Other operating activities, net</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w:t>
            </w:r>
          </w:p>
        </w:tc>
      </w:tr>
      <w:tr>
        <w:trPr>
          <w:trHeight w:val="27"/>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(548)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(increase) in notes receivable–affiliated companies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investing activities, net</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short-term borrowings, net</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Proceeds from long-term debt, net</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696</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long-term debt</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Decrease in notes payable–affiliated companies</w:t>
            </w:r>
          </w:p>
        </w:tc>
        <w:tc>
          <w:tcPr>
            <w:tcW w:w="86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to parent</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Contribution from parent</w:t>
            </w:r>
          </w:p>
        </w:tc>
        <w:tc>
          <w:tcPr>
            <w:tcW w:w="86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590</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440" w:type="dxa"/>
            <w:vAlign w:val="bottom"/>
          </w:tcPr>
          <w:p>
            <w:pPr>
              <w:ind w:left="820"/>
              <w:spacing w:after="0"/>
              <w:rPr>
                <w:sz w:val="20"/>
                <w:szCs w:val="20"/>
                <w:color w:val="auto"/>
              </w:rPr>
            </w:pPr>
            <w:r>
              <w:rPr>
                <w:rFonts w:ascii="Arial" w:cs="Arial" w:eastAsia="Arial" w:hAnsi="Arial"/>
                <w:sz w:val="18"/>
                <w:szCs w:val="18"/>
                <w:color w:val="auto"/>
              </w:rPr>
              <w:t>Other financing activities, net</w:t>
            </w:r>
          </w:p>
        </w:tc>
        <w:tc>
          <w:tcPr>
            <w:tcW w:w="86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w:t>
            </w:r>
          </w:p>
        </w:tc>
      </w:tr>
      <w:tr>
        <w:trPr>
          <w:trHeight w:val="236"/>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293</w:t>
            </w:r>
          </w:p>
        </w:tc>
      </w:tr>
      <w:tr>
        <w:trPr>
          <w:trHeight w:val="20"/>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CHANGES IN EQUITY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4"/>
                <w:szCs w:val="14"/>
                <w:b w:val="1"/>
                <w:bCs w:val="1"/>
                <w:color w:val="auto"/>
                <w:w w:val="95"/>
              </w:rPr>
              <w:t>Three Months Ended 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4"/>
                <w:szCs w:val="14"/>
                <w:b w:val="1"/>
                <w:bCs w:val="1"/>
                <w:color w:val="auto"/>
                <w:w w:val="92"/>
              </w:rPr>
              <w:t>Six Months Ended June 30,</w:t>
            </w:r>
          </w:p>
        </w:tc>
        <w:tc>
          <w:tcPr>
            <w:tcW w:w="660" w:type="dxa"/>
            <w:vAlign w:val="bottom"/>
            <w:tcBorders>
              <w:bottom w:val="single" w:sz="8" w:color="auto"/>
            </w:tcBorders>
          </w:tcPr>
          <w:p>
            <w:pPr>
              <w:spacing w:after="0"/>
              <w:rPr>
                <w:sz w:val="16"/>
                <w:szCs w:val="16"/>
                <w:color w:val="auto"/>
              </w:rPr>
            </w:pPr>
          </w:p>
        </w:tc>
      </w:tr>
      <w:tr>
        <w:trPr>
          <w:trHeight w:val="263"/>
        </w:trPr>
        <w:tc>
          <w:tcPr>
            <w:tcW w:w="416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2020</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2020</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22"/>
                <w:szCs w:val="22"/>
                <w:color w:val="auto"/>
              </w:rPr>
            </w:pPr>
          </w:p>
        </w:tc>
      </w:tr>
      <w:tr>
        <w:trPr>
          <w:trHeight w:val="264"/>
        </w:trPr>
        <w:tc>
          <w:tcPr>
            <w:tcW w:w="4160" w:type="dxa"/>
            <w:vAlign w:val="bottom"/>
          </w:tcPr>
          <w:p>
            <w:pPr>
              <w:spacing w:after="0"/>
              <w:rPr>
                <w:sz w:val="22"/>
                <w:szCs w:val="22"/>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r>
      <w:tr>
        <w:trPr>
          <w:trHeight w:val="190"/>
        </w:trPr>
        <w:tc>
          <w:tcPr>
            <w:tcW w:w="4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10"/>
          </w:tcPr>
          <w:p>
            <w:pPr>
              <w:jc w:val="right"/>
              <w:spacing w:after="0"/>
              <w:rPr>
                <w:sz w:val="20"/>
                <w:szCs w:val="20"/>
                <w:color w:val="auto"/>
              </w:rPr>
            </w:pPr>
            <w:r>
              <w:rPr>
                <w:rFonts w:ascii="Arial" w:cs="Arial" w:eastAsia="Arial" w:hAnsi="Arial"/>
                <w:sz w:val="14"/>
                <w:szCs w:val="14"/>
                <w:b w:val="1"/>
                <w:bCs w:val="1"/>
                <w:color w:val="auto"/>
              </w:rPr>
              <w:t>(in millions, except share amounts)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5"/>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Common Stock</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
        </w:trPr>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beginning of period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16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Additional Paid-in-Capital</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1,896</w:t>
            </w:r>
          </w:p>
        </w:tc>
      </w:tr>
      <w:tr>
        <w:trPr>
          <w:trHeight w:val="27"/>
        </w:trPr>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 from Parent</w:t>
            </w:r>
          </w:p>
        </w:tc>
        <w:tc>
          <w:tcPr>
            <w:tcW w:w="7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r>
      <w:tr>
        <w:trPr>
          <w:trHeight w:val="237"/>
        </w:trPr>
        <w:tc>
          <w:tcPr>
            <w:tcW w:w="416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2,486</w:t>
            </w:r>
          </w:p>
        </w:tc>
      </w:tr>
      <w:tr>
        <w:trPr>
          <w:trHeight w:val="27"/>
        </w:trPr>
        <w:tc>
          <w:tcPr>
            <w:tcW w:w="4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800</w:t>
            </w:r>
          </w:p>
        </w:tc>
      </w:tr>
      <w:tr>
        <w:trPr>
          <w:trHeight w:val="27"/>
        </w:trPr>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Dividend to parent</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beginning of period</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Total Member’s Equity</w:t>
            </w:r>
          </w:p>
        </w:tc>
        <w:tc>
          <w:tcPr>
            <w:tcW w:w="72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2,981</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3,358</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3,358</w:t>
            </w:r>
          </w:p>
        </w:tc>
      </w:tr>
      <w:tr>
        <w:trPr>
          <w:trHeight w:val="20"/>
        </w:trPr>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INCOME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196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4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r>
      <w:tr>
        <w:trPr>
          <w:trHeight w:val="263"/>
        </w:trPr>
        <w:tc>
          <w:tcPr>
            <w:tcW w:w="642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r>
      <w:tr>
        <w:trPr>
          <w:trHeight w:val="244"/>
        </w:trPr>
        <w:tc>
          <w:tcPr>
            <w:tcW w:w="6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5"/>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
        </w:trPr>
        <w:tc>
          <w:tcPr>
            <w:tcW w:w="6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Utility revenues</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Non-utility revenues</w:t>
            </w:r>
          </w:p>
        </w:tc>
        <w:tc>
          <w:tcPr>
            <w:tcW w:w="740" w:type="dxa"/>
            <w:vAlign w:val="bottom"/>
          </w:tcPr>
          <w:p>
            <w:pPr>
              <w:spacing w:after="0"/>
              <w:rPr>
                <w:sz w:val="21"/>
                <w:szCs w:val="21"/>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64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483</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526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r>
      <w:tr>
        <w:trPr>
          <w:trHeight w:val="223"/>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7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r>
        <w:trPr>
          <w:trHeight w:val="27"/>
        </w:trPr>
        <w:tc>
          <w:tcPr>
            <w:tcW w:w="6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Utility natural gas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Non-utility cost of revenues, including natural gas</w:t>
            </w:r>
          </w:p>
        </w:tc>
        <w:tc>
          <w:tcPr>
            <w:tcW w:w="740" w:type="dxa"/>
            <w:vAlign w:val="bottom"/>
          </w:tcPr>
          <w:p>
            <w:pPr>
              <w:spacing w:after="0"/>
              <w:rPr>
                <w:sz w:val="21"/>
                <w:szCs w:val="21"/>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6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 and maintenance</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21"/>
                <w:szCs w:val="21"/>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146</w:t>
            </w:r>
          </w:p>
        </w:tc>
      </w:tr>
      <w:tr>
        <w:trPr>
          <w:trHeight w:val="27"/>
        </w:trPr>
        <w:tc>
          <w:tcPr>
            <w:tcW w:w="6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r>
      <w:tr>
        <w:trPr>
          <w:trHeight w:val="237"/>
        </w:trPr>
        <w:tc>
          <w:tcPr>
            <w:tcW w:w="6420" w:type="dxa"/>
            <w:vAlign w:val="bottom"/>
          </w:tcPr>
          <w:p>
            <w:pPr>
              <w:ind w:left="38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6"/>
              </w:rPr>
              <w:t>441</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3"/>
              </w:rPr>
              <w:t>499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1,551</w:t>
            </w:r>
          </w:p>
        </w:tc>
      </w:tr>
      <w:tr>
        <w:trPr>
          <w:trHeight w:val="27"/>
        </w:trPr>
        <w:tc>
          <w:tcPr>
            <w:tcW w:w="64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r>
      <w:tr>
        <w:trPr>
          <w:trHeight w:val="223"/>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Other Expense:</w:t>
            </w:r>
          </w:p>
        </w:tc>
        <w:tc>
          <w:tcPr>
            <w:tcW w:w="7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r>
        <w:trPr>
          <w:trHeight w:val="27"/>
        </w:trPr>
        <w:tc>
          <w:tcPr>
            <w:tcW w:w="6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and other finance charges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4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6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7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6420" w:type="dxa"/>
            <w:vAlign w:val="bottom"/>
          </w:tcPr>
          <w:p>
            <w:pPr>
              <w:ind w:left="38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(29)</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64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64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29"/>
        </w:trPr>
        <w:tc>
          <w:tcPr>
            <w:tcW w:w="6420" w:type="dxa"/>
            <w:vAlign w:val="bottom"/>
          </w:tcPr>
          <w:p>
            <w:pPr>
              <w:ind w:left="180"/>
              <w:spacing w:after="0"/>
              <w:rPr>
                <w:sz w:val="20"/>
                <w:szCs w:val="20"/>
                <w:color w:val="auto"/>
              </w:rPr>
            </w:pPr>
            <w:r>
              <w:rPr>
                <w:rFonts w:ascii="Arial" w:cs="Arial" w:eastAsia="Arial" w:hAnsi="Arial"/>
                <w:sz w:val="18"/>
                <w:szCs w:val="18"/>
                <w:color w:val="auto"/>
                <w:w w:val="93"/>
              </w:rPr>
              <w:t>Income (Loss) from Discontinued Operations (net of tax expense (benefit) of $8, $5,</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420" w:type="dxa"/>
            <w:vAlign w:val="bottom"/>
          </w:tcPr>
          <w:p>
            <w:pPr>
              <w:ind w:left="340"/>
              <w:spacing w:after="0"/>
              <w:rPr>
                <w:sz w:val="20"/>
                <w:szCs w:val="20"/>
                <w:color w:val="auto"/>
              </w:rPr>
            </w:pPr>
            <w:r>
              <w:rPr>
                <w:rFonts w:ascii="Arial" w:cs="Arial" w:eastAsia="Arial" w:hAnsi="Arial"/>
                <w:sz w:val="18"/>
                <w:szCs w:val="18"/>
                <w:color w:val="auto"/>
              </w:rPr>
              <w:t>($3) and $13, respectively)</w:t>
            </w: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
        </w:trPr>
        <w:tc>
          <w:tcPr>
            <w:tcW w:w="64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r>
      <w:tr>
        <w:trPr>
          <w:trHeight w:val="20"/>
        </w:trPr>
        <w:tc>
          <w:tcPr>
            <w:tcW w:w="6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38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6"/>
                <w:szCs w:val="16"/>
                <w:color w:val="auto"/>
              </w:rPr>
            </w:pPr>
          </w:p>
        </w:tc>
      </w:tr>
      <w:tr>
        <w:trPr>
          <w:trHeight w:val="276"/>
        </w:trPr>
        <w:tc>
          <w:tcPr>
            <w:tcW w:w="55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3"/>
        </w:trPr>
        <w:tc>
          <w:tcPr>
            <w:tcW w:w="5520" w:type="dxa"/>
            <w:vAlign w:val="bottom"/>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w w:val="83"/>
              </w:rPr>
              <w:t>2019</w:t>
            </w:r>
          </w:p>
        </w:tc>
      </w:tr>
      <w:tr>
        <w:trPr>
          <w:trHeight w:val="250"/>
        </w:trPr>
        <w:tc>
          <w:tcPr>
            <w:tcW w:w="5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166</w:t>
            </w:r>
          </w:p>
        </w:tc>
      </w:tr>
      <w:tr>
        <w:trPr>
          <w:trHeight w:val="20"/>
        </w:trPr>
        <w:tc>
          <w:tcPr>
            <w:tcW w:w="5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44"/>
        </w:trPr>
        <w:tc>
          <w:tcPr>
            <w:tcW w:w="8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4"/>
          </w:tcPr>
          <w:p>
            <w:pPr>
              <w:jc w:val="right"/>
              <w:ind w:right="93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Accounts receivable, less bad debt reserve of $32 and $15, respectively</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322</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unbilled revenues, less bad debt reserve of $1 and $-0-,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Accounts and notes receivable–affiliated companies</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Natural gas inventory</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135</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1,489</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2,270</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5,809</w:t>
            </w:r>
          </w:p>
        </w:tc>
      </w:tr>
      <w:tr>
        <w:trPr>
          <w:trHeight w:val="22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757</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Regulatory assets</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191</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assets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1,214</w:t>
            </w:r>
          </w:p>
        </w:tc>
      </w:tr>
      <w:tr>
        <w:trPr>
          <w:trHeight w:val="257"/>
        </w:trPr>
        <w:tc>
          <w:tcPr>
            <w:tcW w:w="844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7,595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8,512</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(Unaudited)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STOCKHOLDER’S EQUITY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44"/>
        </w:trPr>
        <w:tc>
          <w:tcPr>
            <w:tcW w:w="8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4"/>
          </w:tcPr>
          <w:p>
            <w:pPr>
              <w:jc w:val="right"/>
              <w:ind w:right="931"/>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Accounts and notes payable–affiliated companies</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accrued</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accrued</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Current liabilities held for sale</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368</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37"/>
        </w:trPr>
        <w:tc>
          <w:tcPr>
            <w:tcW w:w="84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1,111</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470</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Regulatory liabilities</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1,219</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liabilities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418</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2,214</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2,546</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14)</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2,116</w:t>
            </w:r>
          </w:p>
        </w:tc>
      </w:tr>
      <w:tr>
        <w:trPr>
          <w:trHeight w:val="27"/>
        </w:trPr>
        <w:tc>
          <w:tcPr>
            <w:tcW w:w="8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2,641</w:t>
            </w:r>
          </w:p>
        </w:tc>
      </w:tr>
      <w:tr>
        <w:trPr>
          <w:trHeight w:val="257"/>
        </w:trPr>
        <w:tc>
          <w:tcPr>
            <w:tcW w:w="844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7,595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8,512</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CASH FLOWS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r>
      <w:tr>
        <w:trPr>
          <w:trHeight w:val="263"/>
        </w:trPr>
        <w:tc>
          <w:tcPr>
            <w:tcW w:w="84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r>
      <w:tr>
        <w:trPr>
          <w:trHeight w:val="244"/>
        </w:trPr>
        <w:tc>
          <w:tcPr>
            <w:tcW w:w="8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6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1"/>
                <w:szCs w:val="21"/>
                <w:color w:val="auto"/>
              </w:rPr>
            </w:pP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Depreciation and amortization on assets held for sale</w:t>
            </w:r>
          </w:p>
        </w:tc>
        <w:tc>
          <w:tcPr>
            <w:tcW w:w="86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costs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 and loss from reclassification to held for sale</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Write-down of natural gas inventory</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assets and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Accounts receivable and unbilled revenues, net</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554</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(442)</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Fuel cost recovery</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and taxes accrued</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Non-trading derivatives, net</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Margin deposits, net</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current assets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activities, net</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844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449</w:t>
            </w:r>
          </w:p>
        </w:tc>
      </w:tr>
      <w:tr>
        <w:trPr>
          <w:trHeight w:val="27"/>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(376)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(322)</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notes receivable–affiliated companies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Proceeds from divestiture (Note 3)</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 net</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844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(386)</w:t>
            </w:r>
          </w:p>
        </w:tc>
      </w:tr>
      <w:tr>
        <w:trPr>
          <w:trHeight w:val="27"/>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Increase in short-term borrowings, net</w:t>
            </w:r>
          </w:p>
        </w:tc>
        <w:tc>
          <w:tcPr>
            <w:tcW w:w="86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(payments of) commercial paper, net</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Dividends to parent</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(103)</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distribution to parent associated with the sale of CES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financing activities, net</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6"/>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0"/>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CHANGES IN EQUITY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w w:val="95"/>
              </w:rPr>
              <w:t>Three Months Ended June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2"/>
              </w:rPr>
              <w:t>Six Months Ended June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6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2020</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2020</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10"/>
          </w:tcPr>
          <w:p>
            <w:pPr>
              <w:jc w:val="right"/>
              <w:spacing w:after="0"/>
              <w:rPr>
                <w:sz w:val="20"/>
                <w:szCs w:val="20"/>
                <w:color w:val="auto"/>
              </w:rPr>
            </w:pPr>
            <w:r>
              <w:rPr>
                <w:rFonts w:ascii="Arial" w:cs="Arial" w:eastAsia="Arial" w:hAnsi="Arial"/>
                <w:sz w:val="14"/>
                <w:szCs w:val="14"/>
                <w:b w:val="1"/>
                <w:bCs w:val="1"/>
                <w:color w:val="auto"/>
              </w:rPr>
              <w:t>(in millions, except share amounts)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Common Stock</w:t>
            </w:r>
          </w:p>
        </w:tc>
        <w:tc>
          <w:tcPr>
            <w:tcW w:w="1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beginning of period</w:t>
            </w:r>
          </w:p>
        </w:tc>
        <w:tc>
          <w:tcPr>
            <w:tcW w:w="1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1500" w:type="dxa"/>
            <w:vAlign w:val="bottom"/>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Additional Paid-in-Capital</w:t>
            </w:r>
          </w:p>
        </w:tc>
        <w:tc>
          <w:tcPr>
            <w:tcW w:w="1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Balance, beginning of period</w:t>
            </w:r>
          </w:p>
        </w:tc>
        <w:tc>
          <w:tcPr>
            <w:tcW w:w="1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2,116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4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Capital distribution to parent associated with the sale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CES</w:t>
            </w:r>
          </w:p>
        </w:tc>
        <w:tc>
          <w:tcPr>
            <w:tcW w:w="15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15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1,829</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1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beginning of period</w:t>
            </w:r>
          </w:p>
        </w:tc>
        <w:tc>
          <w:tcPr>
            <w:tcW w:w="1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to parent</w:t>
            </w:r>
          </w:p>
        </w:tc>
        <w:tc>
          <w:tcPr>
            <w:tcW w:w="1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Adoption of ASU 2016-13</w:t>
            </w:r>
          </w:p>
        </w:tc>
        <w:tc>
          <w:tcPr>
            <w:tcW w:w="1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end of period</w:t>
            </w:r>
          </w:p>
        </w:tc>
        <w:tc>
          <w:tcPr>
            <w:tcW w:w="15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7"/>
        </w:trPr>
        <w:tc>
          <w:tcPr>
            <w:tcW w:w="4880" w:type="dxa"/>
            <w:vAlign w:val="bottom"/>
            <w:gridSpan w:val="3"/>
          </w:tcPr>
          <w:p>
            <w:pPr>
              <w:ind w:left="40"/>
              <w:spacing w:after="0"/>
              <w:rPr>
                <w:sz w:val="20"/>
                <w:szCs w:val="20"/>
                <w:color w:val="auto"/>
              </w:rPr>
            </w:pPr>
            <w:r>
              <w:rPr>
                <w:rFonts w:ascii="Arial" w:cs="Arial" w:eastAsia="Arial" w:hAnsi="Arial"/>
                <w:sz w:val="18"/>
                <w:szCs w:val="18"/>
                <w:b w:val="1"/>
                <w:bCs w:val="1"/>
                <w:color w:val="auto"/>
              </w:rPr>
              <w:t>Accumulated Other Comprehensive Income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beginning of period</w:t>
            </w:r>
          </w:p>
        </w:tc>
        <w:tc>
          <w:tcPr>
            <w:tcW w:w="1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1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6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w:t>
            </w:r>
          </w:p>
        </w:tc>
        <w:tc>
          <w:tcPr>
            <w:tcW w:w="2220" w:type="dxa"/>
            <w:vAlign w:val="bottom"/>
            <w:gridSpan w:val="2"/>
            <w:shd w:val="clear" w:color="auto" w:fill="CCEEFF"/>
          </w:tcPr>
          <w:p>
            <w:pPr>
              <w:jc w:val="right"/>
              <w:ind w:right="656"/>
              <w:spacing w:after="0" w:line="205" w:lineRule="exact"/>
              <w:rPr>
                <w:sz w:val="20"/>
                <w:szCs w:val="20"/>
                <w:color w:val="auto"/>
              </w:rPr>
            </w:pPr>
            <w:r>
              <w:rPr>
                <w:rFonts w:ascii="Arial" w:cs="Arial" w:eastAsia="Arial" w:hAnsi="Arial"/>
                <w:sz w:val="18"/>
                <w:szCs w:val="18"/>
                <w:b w:val="1"/>
                <w:bCs w:val="1"/>
                <w:color w:val="auto"/>
              </w:rPr>
              <w:t>Stockholder’s</w:t>
            </w:r>
          </w:p>
        </w:tc>
        <w:tc>
          <w:tcPr>
            <w:tcW w:w="3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2,357</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2,506</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41"/>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5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gridSpan w:val="3"/>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gridSpan w:val="3"/>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gridSpan w:val="3"/>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gridSpan w:val="3"/>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CENTERPOINT ENERGY, INC. AND SUBSIDIARIES CENTERPOINT ENERGY HOUSTON ELECTRIC, LLC AND SUBSIDIARIES CENTERPOINT ENERGY RESOURCES CORP. AND SUBSIDIARIES</w:t>
      </w:r>
    </w:p>
    <w:p>
      <w:pPr>
        <w:spacing w:after="0" w:line="176"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COMBINED 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This combined Form 10-Q is filed separately by three registrants: CenterPoint Energy, Inc., CenterPoint Energy Houston Electric, LLC and</w:t>
      </w:r>
      <w:r>
        <w:rPr>
          <w:rFonts w:ascii="Arial" w:cs="Arial" w:eastAsia="Arial" w:hAnsi="Arial"/>
          <w:sz w:val="18"/>
          <w:szCs w:val="18"/>
          <w:i w:val="1"/>
          <w:iCs w:val="1"/>
          <w:color w:val="auto"/>
        </w:rPr>
        <w:t xml:space="preserve"> </w:t>
      </w:r>
      <w:r>
        <w:rPr>
          <w:rFonts w:ascii="Arial" w:cs="Arial" w:eastAsia="Arial" w:hAnsi="Arial"/>
          <w:sz w:val="18"/>
          <w:szCs w:val="18"/>
          <w:color w:val="auto"/>
        </w:rPr>
        <w:t>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discussed in the last paragraph in Note 12 to the Registrants’ Condensed Consolidated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Included in this combined Form 10-Q are the Interim Condensed Financial Statements of CenterPoint Energy, Houston Electric and CERC, which are referred to collectively as the Registrants. The Combined Notes to the Unaudited Condensed Consolidated Financial Statements apply to all Registrants and specific references to Houston Electric and CERC herein also pertain to CenterPoint Energy, unless otherwise indicated. The Interim Condensed Financial Statements are unaudited, omit certain financial statement disclosures and should be read with the Registrants’ financial statements included in the Registrants’ combined 2019 Form 10-K.</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Background. </w:t>
      </w:r>
      <w:r>
        <w:rPr>
          <w:rFonts w:ascii="Arial" w:cs="Arial" w:eastAsia="Arial" w:hAnsi="Arial"/>
          <w:sz w:val="17"/>
          <w:szCs w:val="17"/>
          <w:color w:val="auto"/>
        </w:rPr>
        <w:t>CenterPoint Energy, Inc. is a public utility holding company and owns interests in Enable as described below. As of June 30,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CenterPoint Energy’s operating subsidiaries reported as continuing operations were as follows:</w:t>
      </w:r>
    </w:p>
    <w:p>
      <w:pPr>
        <w:spacing w:after="0" w:line="21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Houston Electric owns and operates electric transmission and distribution facilities in the Texas Gulf Coast area that includes the city of Houston.</w:t>
      </w:r>
    </w:p>
    <w:p>
      <w:pPr>
        <w:spacing w:after="0" w:line="24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CERC (i) owns and operates natural gas distribution systems in six states; (ii) owns and operates permanent pipeline connections through interconnects with various interstate and intrastate pipeline companies through CEIP; and (iii) provides temporary delivery of LNG and CNG throughout the contiguous 48 states through MES.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Vectren holds three public utilities through its wholly-owned subsidiary, VUHI, a public utility holding company: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Indiana Gas provides energy delivery services to natural gas customers located in central and southern Indiana;</w:t>
      </w:r>
    </w:p>
    <w:p>
      <w:pPr>
        <w:spacing w:after="0" w:line="225" w:lineRule="exact"/>
        <w:rPr>
          <w:rFonts w:ascii="Arial" w:cs="Arial" w:eastAsia="Arial" w:hAnsi="Arial"/>
          <w:sz w:val="18"/>
          <w:szCs w:val="18"/>
          <w:color w:val="auto"/>
        </w:rPr>
      </w:pPr>
    </w:p>
    <w:p>
      <w:pPr>
        <w:jc w:val="both"/>
        <w:ind w:left="130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SIGECO provides energy delivery services to electric and natural gas customers located near Evansville in southwestern Indiana and owns and operates electric generation assets to serve its electric customers and optimizes those assets in the wholesale power market; and</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VEDO provides energy delivery services to natural gas customers located near Dayton in west-central Ohio.</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Vectren performs non-utility activities through ESG, which provides energy performance contracting and sustainable infrastructure services, such as renewables, distributed generation and combined heat and power projects.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June 30, 2020, CenterPoint Energy, indirectly through CNP Midstream, owned approximately 53.7% of the common units representing limited partner interests in Enable, 50% of the management rights and 40% of the incentive distribution rights in Enable GP and also directly owned an aggregate of 14,520,000 Enable Series A Preferred Units. Enable owns, operates and develops natural gas and crude oil infrastructure assets.</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2020, CenterPoint Energy and Houston Electric had VIEs consisting of the Bond Companies, which are consolidated. The consolidated VIEs are wholly-owned, bankruptcy-remote, special purpose entities that were formed solely for the purpose of securitizing transition and system restoration-related property. Creditors of CenterPoint Energy and Houston Electric have no recourse to any assets or revenues of the Bond Companies. The bonds issued by these VIEs are payable only from and secured by transition and system restoration property, and the bondholders have no recourse to the general credit of CenterPoint Energy or Houston Electric.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preparation of the Registrants’ financial statements in conformity with generally accepted accounting principles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Interim Condensed Financial Statements reflect all normal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and energy services, (b) changes in energy commodity prices, (c) timing of maintenance and other expenditures and (d) acquisitions and dispositions of businesses, assets and other interests. Certain prior year amounts have been reclassified to conform to the current year presentation.</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On February 3, 2020, CenterPoint Energy, through its subsidiary VUSI, entered into the Securities Purchase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sell the Infrastructure Services Disposal Group, which provided underground pipeline construction and repair services through wholly-owned subsidiaries Miller Pipeline, LLC and Minnesota Limited, LLC and served natural gas utilities across the United States, focusing on recurring integrity, station and maintenance work and opportunities for large transmission pipeline construction projects. The transaction closed on April 9, 2020. See Note 3 for further information.</w:t>
      </w:r>
    </w:p>
    <w:p>
      <w:pPr>
        <w:spacing w:after="0" w:line="188"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Additionally, on February 24, 2020, CenterPoint Energy, through its subsidiary CERC Corp., entered into the Equity Purchase Agreement to sell the Energy Services Disposal Group, which obtained and offered competitive variable and fixed-price physical natural gas supplies and services primarily to commercial and industrial customers and electric and natural gas utilities in over 30 states. The transaction closed on June 1, 2020. See Note 3 for further information.</w:t>
      </w:r>
    </w:p>
    <w:p>
      <w:pPr>
        <w:spacing w:after="0" w:line="187"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i w:val="1"/>
          <w:iCs w:val="1"/>
          <w:color w:val="auto"/>
        </w:rPr>
        <w:t xml:space="preserve">COVID-19 Impacts. </w:t>
      </w:r>
      <w:r>
        <w:rPr>
          <w:rFonts w:ascii="Arial" w:cs="Arial" w:eastAsia="Arial" w:hAnsi="Arial"/>
          <w:sz w:val="16"/>
          <w:szCs w:val="16"/>
          <w:color w:val="auto"/>
        </w:rPr>
        <w:t>On March 11, 2020, the World Health Organization declared the current COVID-19 outbreak to be a global pandemic, and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13, 2020, the United States declared a national emergency. In response to these declarations and the rapid spread of COVID-19, federal, state and local governments have imposed varying degrees of restrictions on business and social activities to contain COVID-19, including business shutdowns and closures, travel restrictions, quarantines, curfews, shelter in place and “stay-at-home” orders in the Registrants’ service territories. State and local authorities have also implemented multi-step policies with the goal of re-opening various sectors of the economy such as retail establishments, health and personal care businesses, and restaurants, among others. However, despite extensive planning and mitigation efforts by the states in our service territories, COVID-19 cases continued to increase, requiring governing authorities to continuously reassess re-opening plans for their jurisdictions. For example, the governor of the state of Texas issued orders in April 2020 to allow businesses to re-open at varying levels of capacity in May and June 2020. To address the June 2020 spike in COVID-19 cases, including in Houston, such re-opening activities were temporarily paused or scaled back, and also included closing certain establishments. Similarly, the governor of the state of Indiana announced that the state would delay entering the final phase of its re-opening plan. The Registrants have experienced some resulting disruptions to their business operations, as these restrictions have significantly impacted many sectors of the economy, with businesses curtailing or ceasing normal operations. The Registrants’ electric facilities and natural gas distribution systems, as applicable, have remained operational, and their respective customers have continued to receive service. While residential electric usage has increased as individuals continue to stay at home or work remotely, the Registrants have experienced reduced demand and usage among their respective electric and natural gas commercial and industrial customers, as well as a decrease in revenues related to disconnections and reconnections due to the disconnect moratorium across their service territories due to COVID-19. Houston Electric is following PUCT orders regarding disconnection practices related to those customers impacted by COVID-19. Although one of Houston Electric’s REPs filed for bankruptcy in April 2020 due to COVID-19, Houston Electric has received the related account balance. Similarly, as a result of the disconnect moratorium across CenterPoint Energy’s and CERC’s NGD service territories and other payment deferrals or arrangements, days outstanding on receivables and uncollectible accounts have increased, resulting in an increase to allowance for doubtful accounts, which may ultimately increase further. However, CenterPoint Energy’s NGD and CERC’s NGD service territories and Indiana Electric have either (1) received authority from their public utility commissions to defer bad debt expense associated with COVID-19 as a regulatory asset or (2) exercised existing authority to recover bad debt expense through a tracking mechanism. Some of the Registrants also received authority to recover other COVID-19 costs but must offset those costs with any cost reductions attributable to COVID-19. The ultimate impacts of the COVID-19 pandemic on the Registrants’ businesses will depend on future developments and evolving factors, including, among others, the ultimate spread, scope and duration of the pandemic, the consequences of governmental and other measures designed to prevent the spread of COVID-19, the development of effective treatments or vaccines, actions taken by governmental authorities, customers, suppliers and other thirds parties, workforce availability and the timing and extent to which normal economic and operating conditions resume. While the Registrants continue to assess the COVID-19 situation, they cannot estimate with any degree of certainty the full impact of the COVID-19 pandemic on their liquidity, financial condition and future results of operations at this time. However, the Registrants expect the COVID-19 situation to adversely impact future quarters. See Notes 5 and 6 for further information on COVID-19’s impact on the Registrants.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an overview of certain recently adopted or issued accounting pronouncements applicable to all the Registrants, unless otherwise noted.</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ASU Number and Name</w:t>
            </w:r>
          </w:p>
        </w:tc>
        <w:tc>
          <w:tcPr>
            <w:tcW w:w="120" w:type="dxa"/>
            <w:vAlign w:val="bottom"/>
            <w:vMerge w:val="restart"/>
          </w:tcPr>
          <w:p>
            <w:pPr>
              <w:spacing w:after="0"/>
              <w:rPr>
                <w:sz w:val="14"/>
                <w:szCs w:val="14"/>
                <w:color w:val="auto"/>
              </w:rPr>
            </w:pPr>
          </w:p>
        </w:tc>
        <w:tc>
          <w:tcPr>
            <w:tcW w:w="358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 of Adoption</w:t>
            </w:r>
          </w:p>
        </w:tc>
        <w:tc>
          <w:tcPr>
            <w:tcW w:w="100" w:type="dxa"/>
            <w:vAlign w:val="bottom"/>
            <w:vMerge w:val="restart"/>
          </w:tcPr>
          <w:p>
            <w:pPr>
              <w:spacing w:after="0"/>
              <w:rPr>
                <w:sz w:val="14"/>
                <w:szCs w:val="14"/>
                <w:color w:val="auto"/>
              </w:rPr>
            </w:pPr>
          </w:p>
        </w:tc>
        <w:tc>
          <w:tcPr>
            <w:tcW w:w="3600" w:type="dxa"/>
            <w:vAlign w:val="bottom"/>
          </w:tcPr>
          <w:p>
            <w:pPr>
              <w:ind w:left="940"/>
              <w:spacing w:after="0"/>
              <w:rPr>
                <w:sz w:val="20"/>
                <w:szCs w:val="20"/>
                <w:color w:val="auto"/>
              </w:rPr>
            </w:pPr>
            <w:r>
              <w:rPr>
                <w:rFonts w:ascii="Arial" w:cs="Arial" w:eastAsia="Arial" w:hAnsi="Arial"/>
                <w:sz w:val="14"/>
                <w:szCs w:val="14"/>
                <w:b w:val="1"/>
                <w:bCs w:val="1"/>
                <w:color w:val="auto"/>
              </w:rPr>
              <w:t>Financial Statement Impact</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upon Adoption</w:t>
            </w:r>
          </w:p>
        </w:tc>
        <w:tc>
          <w:tcPr>
            <w:tcW w:w="0" w:type="dxa"/>
            <w:vAlign w:val="bottom"/>
          </w:tcPr>
          <w:p>
            <w:pPr>
              <w:spacing w:after="0"/>
              <w:rPr>
                <w:sz w:val="1"/>
                <w:szCs w:val="1"/>
                <w:color w:val="auto"/>
              </w:rPr>
            </w:pPr>
          </w:p>
        </w:tc>
      </w:tr>
      <w:tr>
        <w:trPr>
          <w:trHeight w:val="156"/>
        </w:trPr>
        <w:tc>
          <w:tcPr>
            <w:tcW w:w="2280" w:type="dxa"/>
            <w:vAlign w:val="bottom"/>
            <w:gridSpan w:val="2"/>
            <w:shd w:val="clear" w:color="auto" w:fill="CCEEFF"/>
          </w:tcPr>
          <w:p>
            <w:pPr>
              <w:ind w:left="40"/>
              <w:spacing w:after="0" w:line="156" w:lineRule="exact"/>
              <w:rPr>
                <w:sz w:val="20"/>
                <w:szCs w:val="20"/>
                <w:color w:val="auto"/>
              </w:rPr>
            </w:pPr>
            <w:r>
              <w:rPr>
                <w:rFonts w:ascii="Arial" w:cs="Arial" w:eastAsia="Arial" w:hAnsi="Arial"/>
                <w:sz w:val="14"/>
                <w:szCs w:val="14"/>
                <w:color w:val="auto"/>
              </w:rPr>
              <w:t>ASU 2016-13- Financial</w:t>
            </w:r>
          </w:p>
        </w:tc>
        <w:tc>
          <w:tcPr>
            <w:tcW w:w="37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color w:val="auto"/>
                <w:w w:val="99"/>
              </w:rPr>
              <w:t>This standard, including standards amending this standard,</w:t>
            </w:r>
          </w:p>
        </w:tc>
        <w:tc>
          <w:tcPr>
            <w:tcW w:w="1660" w:type="dxa"/>
            <w:vAlign w:val="bottom"/>
            <w:gridSpan w:val="2"/>
            <w:shd w:val="clear" w:color="auto" w:fill="CCEEFF"/>
          </w:tcPr>
          <w:p>
            <w:pPr>
              <w:jc w:val="center"/>
              <w:ind w:right="100"/>
              <w:spacing w:after="0" w:line="156" w:lineRule="exact"/>
              <w:rPr>
                <w:sz w:val="20"/>
                <w:szCs w:val="20"/>
                <w:color w:val="auto"/>
              </w:rPr>
            </w:pPr>
            <w:r>
              <w:rPr>
                <w:rFonts w:ascii="Arial" w:cs="Arial" w:eastAsia="Arial" w:hAnsi="Arial"/>
                <w:sz w:val="14"/>
                <w:szCs w:val="14"/>
                <w:color w:val="auto"/>
                <w:w w:val="91"/>
              </w:rPr>
              <w:t>January 1, 2020</w:t>
            </w:r>
          </w:p>
        </w:tc>
        <w:tc>
          <w:tcPr>
            <w:tcW w:w="3600" w:type="dxa"/>
            <w:vAlign w:val="bottom"/>
            <w:shd w:val="clear" w:color="auto" w:fill="CCEEFF"/>
          </w:tcPr>
          <w:p>
            <w:pPr>
              <w:ind w:left="40"/>
              <w:spacing w:after="0" w:line="156" w:lineRule="exact"/>
              <w:rPr>
                <w:sz w:val="20"/>
                <w:szCs w:val="20"/>
                <w:color w:val="auto"/>
              </w:rPr>
            </w:pPr>
            <w:r>
              <w:rPr>
                <w:rFonts w:ascii="Arial" w:cs="Arial" w:eastAsia="Arial" w:hAnsi="Arial"/>
                <w:sz w:val="14"/>
                <w:szCs w:val="14"/>
                <w:color w:val="auto"/>
              </w:rPr>
              <w:t>The Registrants adopted the standard and recognized a</w:t>
            </w:r>
          </w:p>
        </w:tc>
        <w:tc>
          <w:tcPr>
            <w:tcW w:w="0" w:type="dxa"/>
            <w:vAlign w:val="bottom"/>
          </w:tcPr>
          <w:p>
            <w:pPr>
              <w:spacing w:after="0"/>
              <w:rPr>
                <w:sz w:val="1"/>
                <w:szCs w:val="1"/>
                <w:color w:val="auto"/>
              </w:rPr>
            </w:pPr>
          </w:p>
        </w:tc>
      </w:tr>
      <w:tr>
        <w:trPr>
          <w:trHeight w:val="148"/>
        </w:trPr>
        <w:tc>
          <w:tcPr>
            <w:tcW w:w="22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Instruments-Credit Losses (Topic</w:t>
            </w: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requires a new model called CECL to estimate credit losses</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cumulative-effect adjustment of the transition to opening</w:t>
            </w:r>
          </w:p>
        </w:tc>
        <w:tc>
          <w:tcPr>
            <w:tcW w:w="0" w:type="dxa"/>
            <w:vAlign w:val="bottom"/>
          </w:tcPr>
          <w:p>
            <w:pPr>
              <w:spacing w:after="0"/>
              <w:rPr>
                <w:sz w:val="1"/>
                <w:szCs w:val="1"/>
                <w:color w:val="auto"/>
              </w:rPr>
            </w:pPr>
          </w:p>
        </w:tc>
      </w:tr>
      <w:tr>
        <w:trPr>
          <w:trHeight w:val="148"/>
        </w:trPr>
        <w:tc>
          <w:tcPr>
            <w:tcW w:w="22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326): Measurement of Credit</w:t>
            </w: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for (1) financial assets subject to credit losses and measured</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7"/>
              </w:rPr>
              <w:t>retained earnings and allowance for doubtful accounts with</w:t>
            </w: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Losses on Financial Instruments</w:t>
            </w: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at amortized cost and (2) certain off-balance sheet credit</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no impact on results of operations and cash flows. See Note</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exposures. Upon initial recognition of the exposure, the</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4 for more information.</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CECL model requires an entity to estimate the credit losses</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expected over the life of an exposure based on historical</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information, current information and reasonable and</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7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supportable forecasts, including estimates of prepayments.</w:t>
            </w: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 xml:space="preserve">Transition method: </w:t>
            </w:r>
            <w:r>
              <w:rPr>
                <w:rFonts w:ascii="Arial" w:cs="Arial" w:eastAsia="Arial" w:hAnsi="Arial"/>
                <w:sz w:val="14"/>
                <w:szCs w:val="14"/>
                <w:color w:val="auto"/>
              </w:rPr>
              <w:t>modified retrospective</w:t>
            </w: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7" w:lineRule="exact"/>
        <w:rPr>
          <w:sz w:val="20"/>
          <w:szCs w:val="20"/>
          <w:color w:val="auto"/>
        </w:rPr>
      </w:pPr>
    </w:p>
    <w:p>
      <w:pPr>
        <w:ind w:left="40"/>
        <w:spacing w:after="0" w:line="231" w:lineRule="auto"/>
        <w:rPr>
          <w:sz w:val="20"/>
          <w:szCs w:val="20"/>
          <w:color w:val="auto"/>
        </w:rPr>
      </w:pPr>
      <w:r>
        <w:rPr>
          <w:rFonts w:ascii="Arial" w:cs="Arial" w:eastAsia="Arial" w:hAnsi="Arial"/>
          <w:sz w:val="14"/>
          <w:szCs w:val="14"/>
          <w:color w:val="auto"/>
        </w:rPr>
        <w:t>ASU 2018-13- Fair Value Measurement (Topic 820): Disclosure Framework-Changes to the Disclosure Requirements for Fair Value Measurement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3480" w:type="dxa"/>
            <w:vAlign w:val="bottom"/>
          </w:tcPr>
          <w:p>
            <w:pPr>
              <w:spacing w:after="0" w:line="157" w:lineRule="exact"/>
              <w:rPr>
                <w:sz w:val="20"/>
                <w:szCs w:val="20"/>
                <w:color w:val="auto"/>
              </w:rPr>
            </w:pPr>
            <w:r>
              <w:rPr>
                <w:rFonts w:ascii="Arial" w:cs="Arial" w:eastAsia="Arial" w:hAnsi="Arial"/>
                <w:sz w:val="14"/>
                <w:szCs w:val="14"/>
                <w:color w:val="auto"/>
              </w:rPr>
              <w:t>This standard eliminates, modifies and adds certain</w:t>
            </w:r>
          </w:p>
        </w:tc>
        <w:tc>
          <w:tcPr>
            <w:tcW w:w="1800" w:type="dxa"/>
            <w:vAlign w:val="bottom"/>
          </w:tcPr>
          <w:p>
            <w:pPr>
              <w:jc w:val="center"/>
              <w:ind w:left="88"/>
              <w:spacing w:after="0" w:line="157" w:lineRule="exact"/>
              <w:rPr>
                <w:sz w:val="20"/>
                <w:szCs w:val="20"/>
                <w:color w:val="auto"/>
              </w:rPr>
            </w:pPr>
            <w:r>
              <w:rPr>
                <w:rFonts w:ascii="Arial" w:cs="Arial" w:eastAsia="Arial" w:hAnsi="Arial"/>
                <w:sz w:val="14"/>
                <w:szCs w:val="14"/>
                <w:color w:val="auto"/>
                <w:w w:val="96"/>
              </w:rPr>
              <w:t>Adoption of eliminations</w:t>
            </w:r>
          </w:p>
        </w:tc>
        <w:tc>
          <w:tcPr>
            <w:tcW w:w="3600" w:type="dxa"/>
            <w:vAlign w:val="bottom"/>
          </w:tcPr>
          <w:p>
            <w:pPr>
              <w:ind w:left="100"/>
              <w:spacing w:after="0" w:line="157" w:lineRule="exact"/>
              <w:rPr>
                <w:sz w:val="20"/>
                <w:szCs w:val="20"/>
                <w:color w:val="auto"/>
              </w:rPr>
            </w:pPr>
            <w:r>
              <w:rPr>
                <w:rFonts w:ascii="Arial" w:cs="Arial" w:eastAsia="Arial" w:hAnsi="Arial"/>
                <w:sz w:val="14"/>
                <w:szCs w:val="14"/>
                <w:color w:val="auto"/>
                <w:w w:val="93"/>
              </w:rPr>
              <w:t>The adoption of this standard did not impact the Registrants’</w:t>
            </w:r>
          </w:p>
        </w:tc>
      </w:tr>
      <w:tr>
        <w:trPr>
          <w:trHeight w:val="148"/>
        </w:trPr>
        <w:tc>
          <w:tcPr>
            <w:tcW w:w="3480" w:type="dxa"/>
            <w:vAlign w:val="bottom"/>
          </w:tcPr>
          <w:p>
            <w:pPr>
              <w:spacing w:after="0" w:line="149" w:lineRule="exact"/>
              <w:rPr>
                <w:sz w:val="20"/>
                <w:szCs w:val="20"/>
                <w:color w:val="auto"/>
              </w:rPr>
            </w:pPr>
            <w:r>
              <w:rPr>
                <w:rFonts w:ascii="Arial" w:cs="Arial" w:eastAsia="Arial" w:hAnsi="Arial"/>
                <w:sz w:val="14"/>
                <w:szCs w:val="14"/>
                <w:color w:val="auto"/>
              </w:rPr>
              <w:t>disclosure requirements for fair value measurements.</w:t>
            </w:r>
          </w:p>
        </w:tc>
        <w:tc>
          <w:tcPr>
            <w:tcW w:w="180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4"/>
              </w:rPr>
              <w:t>and modifications as of</w:t>
            </w:r>
          </w:p>
        </w:tc>
        <w:tc>
          <w:tcPr>
            <w:tcW w:w="3600" w:type="dxa"/>
            <w:vAlign w:val="bottom"/>
          </w:tcPr>
          <w:p>
            <w:pPr>
              <w:ind w:left="100"/>
              <w:spacing w:after="0" w:line="149" w:lineRule="exact"/>
              <w:rPr>
                <w:sz w:val="20"/>
                <w:szCs w:val="20"/>
                <w:color w:val="auto"/>
              </w:rPr>
            </w:pPr>
            <w:r>
              <w:rPr>
                <w:rFonts w:ascii="Arial" w:cs="Arial" w:eastAsia="Arial" w:hAnsi="Arial"/>
                <w:sz w:val="14"/>
                <w:szCs w:val="14"/>
                <w:color w:val="auto"/>
                <w:w w:val="98"/>
              </w:rPr>
              <w:t>financial position, results of operations or cash flows. The</w:t>
            </w:r>
          </w:p>
        </w:tc>
      </w:tr>
      <w:tr>
        <w:trPr>
          <w:trHeight w:val="148"/>
        </w:trPr>
        <w:tc>
          <w:tcPr>
            <w:tcW w:w="348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 xml:space="preserve">Transition method: </w:t>
            </w:r>
            <w:r>
              <w:rPr>
                <w:rFonts w:ascii="Arial" w:cs="Arial" w:eastAsia="Arial" w:hAnsi="Arial"/>
                <w:sz w:val="14"/>
                <w:szCs w:val="14"/>
                <w:color w:val="auto"/>
              </w:rPr>
              <w:t>prospective for additions and one</w:t>
            </w:r>
          </w:p>
        </w:tc>
        <w:tc>
          <w:tcPr>
            <w:tcW w:w="180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0"/>
              </w:rPr>
              <w:t>September 30, 2018 and</w:t>
            </w:r>
          </w:p>
        </w:tc>
        <w:tc>
          <w:tcPr>
            <w:tcW w:w="3600" w:type="dxa"/>
            <w:vAlign w:val="bottom"/>
          </w:tcPr>
          <w:p>
            <w:pPr>
              <w:ind w:left="100"/>
              <w:spacing w:after="0" w:line="149" w:lineRule="exact"/>
              <w:rPr>
                <w:sz w:val="20"/>
                <w:szCs w:val="20"/>
                <w:color w:val="auto"/>
              </w:rPr>
            </w:pPr>
            <w:r>
              <w:rPr>
                <w:rFonts w:ascii="Arial" w:cs="Arial" w:eastAsia="Arial" w:hAnsi="Arial"/>
                <w:sz w:val="14"/>
                <w:szCs w:val="14"/>
                <w:color w:val="auto"/>
                <w:w w:val="92"/>
              </w:rPr>
              <w:t>disclosures modified and added upon adoption are no longer</w:t>
            </w:r>
          </w:p>
        </w:tc>
      </w:tr>
      <w:tr>
        <w:trPr>
          <w:trHeight w:val="148"/>
        </w:trPr>
        <w:tc>
          <w:tcPr>
            <w:tcW w:w="3480" w:type="dxa"/>
            <w:vAlign w:val="bottom"/>
          </w:tcPr>
          <w:p>
            <w:pPr>
              <w:spacing w:after="0" w:line="149" w:lineRule="exact"/>
              <w:rPr>
                <w:sz w:val="20"/>
                <w:szCs w:val="20"/>
                <w:color w:val="auto"/>
              </w:rPr>
            </w:pPr>
            <w:r>
              <w:rPr>
                <w:rFonts w:ascii="Arial" w:cs="Arial" w:eastAsia="Arial" w:hAnsi="Arial"/>
                <w:sz w:val="14"/>
                <w:szCs w:val="14"/>
                <w:color w:val="auto"/>
              </w:rPr>
              <w:t>modification and retrospective for all other amendments</w:t>
            </w:r>
          </w:p>
        </w:tc>
        <w:tc>
          <w:tcPr>
            <w:tcW w:w="180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2"/>
              </w:rPr>
              <w:t>additions as of January 1,</w:t>
            </w:r>
          </w:p>
        </w:tc>
        <w:tc>
          <w:tcPr>
            <w:tcW w:w="3600" w:type="dxa"/>
            <w:vAlign w:val="bottom"/>
          </w:tcPr>
          <w:p>
            <w:pPr>
              <w:ind w:left="100"/>
              <w:spacing w:after="0" w:line="149" w:lineRule="exact"/>
              <w:rPr>
                <w:sz w:val="20"/>
                <w:szCs w:val="20"/>
                <w:color w:val="auto"/>
              </w:rPr>
            </w:pPr>
            <w:r>
              <w:rPr>
                <w:rFonts w:ascii="Arial" w:cs="Arial" w:eastAsia="Arial" w:hAnsi="Arial"/>
                <w:sz w:val="14"/>
                <w:szCs w:val="14"/>
                <w:color w:val="auto"/>
                <w:w w:val="98"/>
              </w:rPr>
              <w:t>included in Note 8 due to the sale of the Energy Services</w:t>
            </w:r>
          </w:p>
        </w:tc>
      </w:tr>
      <w:tr>
        <w:trPr>
          <w:trHeight w:val="182"/>
        </w:trPr>
        <w:tc>
          <w:tcPr>
            <w:tcW w:w="3480" w:type="dxa"/>
            <w:vAlign w:val="bottom"/>
          </w:tcPr>
          <w:p>
            <w:pPr>
              <w:spacing w:after="0"/>
              <w:rPr>
                <w:sz w:val="15"/>
                <w:szCs w:val="15"/>
                <w:color w:val="auto"/>
              </w:rPr>
            </w:pPr>
          </w:p>
        </w:tc>
        <w:tc>
          <w:tcPr>
            <w:tcW w:w="1800" w:type="dxa"/>
            <w:vAlign w:val="bottom"/>
          </w:tcPr>
          <w:p>
            <w:pPr>
              <w:jc w:val="center"/>
              <w:ind w:left="88"/>
              <w:spacing w:after="0"/>
              <w:rPr>
                <w:sz w:val="20"/>
                <w:szCs w:val="20"/>
                <w:color w:val="auto"/>
              </w:rPr>
            </w:pPr>
            <w:r>
              <w:rPr>
                <w:rFonts w:ascii="Arial" w:cs="Arial" w:eastAsia="Arial" w:hAnsi="Arial"/>
                <w:sz w:val="14"/>
                <w:szCs w:val="14"/>
                <w:color w:val="auto"/>
                <w:w w:val="89"/>
              </w:rPr>
              <w:t>2020</w:t>
            </w:r>
          </w:p>
        </w:tc>
        <w:tc>
          <w:tcPr>
            <w:tcW w:w="3600" w:type="dxa"/>
            <w:vAlign w:val="bottom"/>
          </w:tcPr>
          <w:p>
            <w:pPr>
              <w:ind w:left="100"/>
              <w:spacing w:after="0"/>
              <w:rPr>
                <w:sz w:val="20"/>
                <w:szCs w:val="20"/>
                <w:color w:val="auto"/>
              </w:rPr>
            </w:pPr>
            <w:r>
              <w:rPr>
                <w:rFonts w:ascii="Arial" w:cs="Arial" w:eastAsia="Arial" w:hAnsi="Arial"/>
                <w:sz w:val="14"/>
                <w:szCs w:val="14"/>
                <w:color w:val="auto"/>
              </w:rPr>
              <w:t>Disposal Group.</w:t>
            </w:r>
          </w:p>
        </w:tc>
      </w:tr>
    </w:tbl>
    <w:p>
      <w:pPr>
        <w:spacing w:after="0" w:line="156" w:lineRule="exact"/>
        <w:rPr>
          <w:sz w:val="20"/>
          <w:szCs w:val="20"/>
          <w:color w:val="auto"/>
        </w:rPr>
      </w:pPr>
    </w:p>
    <w:p>
      <w:pPr>
        <w:sectPr>
          <w:pgSz w:w="11900" w:h="16838" w:orient="portrait"/>
          <w:cols w:equalWidth="0" w:num="2">
            <w:col w:w="2040" w:space="260"/>
            <w:col w:w="89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Accounting Standards Update</w:t>
            </w:r>
          </w:p>
        </w:tc>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This standard simplifies accounting for income taxes by</w:t>
            </w:r>
          </w:p>
        </w:tc>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January 1, 2020</w:t>
            </w:r>
          </w:p>
        </w:tc>
        <w:tc>
          <w:tcPr>
            <w:tcW w:w="38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5"/>
              </w:rPr>
              <w:t>Upon adoption, the Registrants are not required to apply the</w:t>
            </w:r>
          </w:p>
        </w:tc>
      </w:tr>
      <w:tr>
        <w:trPr>
          <w:trHeight w:val="148"/>
        </w:trPr>
        <w:tc>
          <w:tcPr>
            <w:tcW w:w="2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(ASU) No. 2019-12: Income Taxes</w:t>
            </w: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eliminating certain exceptions to the guidance for intraperiod</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6"/>
              </w:rPr>
              <w:t>intraperiod tax allocation exception when there is a current-</w:t>
            </w:r>
          </w:p>
        </w:tc>
      </w:tr>
      <w:tr>
        <w:trPr>
          <w:trHeight w:val="148"/>
        </w:trPr>
        <w:tc>
          <w:tcPr>
            <w:tcW w:w="2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(Topic 740): Simplifying the</w:t>
            </w: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tax allocation, the methodology for calculating income taxes</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period loss from continuing operations. Accordingly,</w:t>
            </w:r>
          </w:p>
        </w:tc>
      </w:tr>
      <w:tr>
        <w:trPr>
          <w:trHeight w:val="148"/>
        </w:trPr>
        <w:tc>
          <w:tcPr>
            <w:tcW w:w="2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Accounting for Income Taxes</w:t>
            </w: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 an interim period and the recognition of deferred tax</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3"/>
              </w:rPr>
              <w:t>CenterPoint Energy determined the tax effect of income from</w:t>
            </w:r>
          </w:p>
        </w:tc>
      </w:tr>
      <w:tr>
        <w:trPr>
          <w:trHeight w:val="148"/>
        </w:trPr>
        <w:tc>
          <w:tcPr>
            <w:tcW w:w="2180" w:type="dxa"/>
            <w:vAlign w:val="bottom"/>
            <w:shd w:val="clear" w:color="auto" w:fill="CCEEFF"/>
          </w:tcPr>
          <w:p>
            <w:pPr>
              <w:spacing w:after="0"/>
              <w:rPr>
                <w:sz w:val="12"/>
                <w:szCs w:val="12"/>
                <w:color w:val="auto"/>
              </w:rPr>
            </w:pP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liabilities for outside basis differences. It also simplifies</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7"/>
              </w:rPr>
              <w:t>continuing operations without considering the tax effects of</w:t>
            </w:r>
          </w:p>
        </w:tc>
      </w:tr>
      <w:tr>
        <w:trPr>
          <w:trHeight w:val="149"/>
        </w:trPr>
        <w:tc>
          <w:tcPr>
            <w:tcW w:w="2180" w:type="dxa"/>
            <w:vAlign w:val="bottom"/>
            <w:shd w:val="clear" w:color="auto" w:fill="CCEEFF"/>
          </w:tcPr>
          <w:p>
            <w:pPr>
              <w:spacing w:after="0"/>
              <w:rPr>
                <w:sz w:val="12"/>
                <w:szCs w:val="12"/>
                <w:color w:val="auto"/>
              </w:rPr>
            </w:pP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aspects of the accounting for franchise taxes that are partially</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items that are not included in continuing operations (i.e.,</w:t>
            </w:r>
          </w:p>
        </w:tc>
      </w:tr>
      <w:tr>
        <w:trPr>
          <w:trHeight w:val="148"/>
        </w:trPr>
        <w:tc>
          <w:tcPr>
            <w:tcW w:w="2180" w:type="dxa"/>
            <w:vAlign w:val="bottom"/>
            <w:shd w:val="clear" w:color="auto" w:fill="CCEEFF"/>
          </w:tcPr>
          <w:p>
            <w:pPr>
              <w:spacing w:after="0"/>
              <w:rPr>
                <w:sz w:val="12"/>
                <w:szCs w:val="12"/>
                <w:color w:val="auto"/>
              </w:rPr>
            </w:pP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based on income and enacted changes in tax laws or rates</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7"/>
              </w:rPr>
              <w:t>discontinued operations). Additionally, CenterPoint Energy</w:t>
            </w:r>
          </w:p>
        </w:tc>
      </w:tr>
      <w:tr>
        <w:trPr>
          <w:trHeight w:val="148"/>
        </w:trPr>
        <w:tc>
          <w:tcPr>
            <w:tcW w:w="2180" w:type="dxa"/>
            <w:vAlign w:val="bottom"/>
            <w:shd w:val="clear" w:color="auto" w:fill="CCEEFF"/>
          </w:tcPr>
          <w:p>
            <w:pPr>
              <w:spacing w:after="0"/>
              <w:rPr>
                <w:sz w:val="12"/>
                <w:szCs w:val="12"/>
                <w:color w:val="auto"/>
              </w:rPr>
            </w:pP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and clarifies the accounting for transactions that result in a</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is no longer required to limit the year-to-date tax benefit</w:t>
            </w:r>
          </w:p>
        </w:tc>
      </w:tr>
      <w:tr>
        <w:trPr>
          <w:trHeight w:val="148"/>
        </w:trPr>
        <w:tc>
          <w:tcPr>
            <w:tcW w:w="2180" w:type="dxa"/>
            <w:vAlign w:val="bottom"/>
            <w:shd w:val="clear" w:color="auto" w:fill="CCEEFF"/>
          </w:tcPr>
          <w:p>
            <w:pPr>
              <w:spacing w:after="0"/>
              <w:rPr>
                <w:sz w:val="12"/>
                <w:szCs w:val="12"/>
                <w:color w:val="auto"/>
              </w:rPr>
            </w:pP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step-up in the tax basis of goodwill.</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recognized when the year-to-date benefit exceeds the</w:t>
            </w:r>
          </w:p>
        </w:tc>
      </w:tr>
      <w:tr>
        <w:trPr>
          <w:trHeight w:val="148"/>
        </w:trPr>
        <w:tc>
          <w:tcPr>
            <w:tcW w:w="2180" w:type="dxa"/>
            <w:vAlign w:val="bottom"/>
            <w:shd w:val="clear" w:color="auto" w:fill="CCEEFF"/>
          </w:tcPr>
          <w:p>
            <w:pPr>
              <w:spacing w:after="0"/>
              <w:rPr>
                <w:sz w:val="12"/>
                <w:szCs w:val="12"/>
                <w:color w:val="auto"/>
              </w:rPr>
            </w:pPr>
          </w:p>
        </w:tc>
        <w:tc>
          <w:tcPr>
            <w:tcW w:w="3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i w:val="1"/>
                <w:iCs w:val="1"/>
                <w:color w:val="auto"/>
              </w:rPr>
              <w:t xml:space="preserve">Transition method: </w:t>
            </w:r>
            <w:r>
              <w:rPr>
                <w:rFonts w:ascii="Arial" w:cs="Arial" w:eastAsia="Arial" w:hAnsi="Arial"/>
                <w:sz w:val="14"/>
                <w:szCs w:val="14"/>
                <w:color w:val="auto"/>
              </w:rPr>
              <w:t>prospective for all amendments that</w:t>
            </w:r>
          </w:p>
        </w:tc>
        <w:tc>
          <w:tcPr>
            <w:tcW w:w="1380" w:type="dxa"/>
            <w:vAlign w:val="bottom"/>
            <w:shd w:val="clear" w:color="auto" w:fill="CCEEFF"/>
          </w:tcPr>
          <w:p>
            <w:pPr>
              <w:spacing w:after="0"/>
              <w:rPr>
                <w:sz w:val="12"/>
                <w:szCs w:val="12"/>
                <w:color w:val="auto"/>
              </w:rPr>
            </w:pPr>
          </w:p>
        </w:tc>
        <w:tc>
          <w:tcPr>
            <w:tcW w:w="38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anticipated full year benefit.</w:t>
            </w:r>
          </w:p>
        </w:tc>
      </w:tr>
      <w:tr>
        <w:trPr>
          <w:trHeight w:val="182"/>
        </w:trPr>
        <w:tc>
          <w:tcPr>
            <w:tcW w:w="2180" w:type="dxa"/>
            <w:vAlign w:val="bottom"/>
            <w:shd w:val="clear" w:color="auto" w:fill="CCEEFF"/>
          </w:tcPr>
          <w:p>
            <w:pPr>
              <w:spacing w:after="0"/>
              <w:rPr>
                <w:sz w:val="15"/>
                <w:szCs w:val="15"/>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apply to the Registrants</w:t>
            </w:r>
          </w:p>
        </w:tc>
        <w:tc>
          <w:tcPr>
            <w:tcW w:w="138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r>
      <w:tr>
        <w:trPr>
          <w:trHeight w:val="309"/>
        </w:trPr>
        <w:tc>
          <w:tcPr>
            <w:tcW w:w="2180" w:type="dxa"/>
            <w:vAlign w:val="bottom"/>
            <w:shd w:val="clear" w:color="auto" w:fill="CCEEFF"/>
          </w:tcPr>
          <w:p>
            <w:pPr>
              <w:spacing w:after="0"/>
              <w:rPr>
                <w:sz w:val="24"/>
                <w:szCs w:val="24"/>
                <w:color w:val="auto"/>
              </w:rPr>
            </w:pPr>
          </w:p>
        </w:tc>
        <w:tc>
          <w:tcPr>
            <w:tcW w:w="38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believes that other recently adopted or issued accounting standards that are not yet effective will not have a material impact on the Registrants’ financial position, results of operations or cash flows upon adoption.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 (CenterPoint Energy and CERC)</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Divestiture of Infrastructure Services (CenterPoint Energy). </w:t>
      </w:r>
      <w:r>
        <w:rPr>
          <w:rFonts w:ascii="Arial" w:cs="Arial" w:eastAsia="Arial" w:hAnsi="Arial"/>
          <w:sz w:val="18"/>
          <w:szCs w:val="18"/>
          <w:color w:val="auto"/>
        </w:rPr>
        <w:t>On February 3, 2020, CenterPoint Energy, through its subsidiary VUSI, entered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Purchase Agreement to sell the Infrastructure Services Disposal Group to PowerTeam Services. Subject to the terms and conditions of the Securities Purchase Agreement, PowerTeam Services agreed to purchase all of the outstanding equity interests of VISCO for approximately $850 million, subject to customary adjustments set forth in the Securities Purchase Agreement, including adjustments based on VISCO’s net working capital at closing, indebtedness, cash and cash equivalents and transaction expenses. The transaction closed on April 9, 2020 for $850 million in cash. Additionally, as of June 30, 2020, CenterPoint Energy recorded a receivable from PowerTeam Services for working capital and other adjustments set forth in the Security Purchase Agreement, discussed further below.</w:t>
      </w:r>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February 2020, certain assets and liabilities representing the Infrastructure Services Disposal Group met the held for sale criteria and represented all of the businesses within the reporting unit. In accordance with the Securities Purchase Agreement, VISCO was converted from a wholly-owned corporation to a limited liability company that was disregarded for federal income tax purposes immediately prior to the closing of the transaction resulting in the sale of membership units. The sale was considered an asset sale for tax purposes, requiring net deferred tax liabilities of approximately $127 million as of April 9, 2020, the date the transaction closed, to be recognized as a deferred income tax benefit by CenterPoint Energy. Additionally, CenterPoint Energy recognized current tax expense of $159 million as a result of the cash taxes payable upon sale.</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classifying the Infrastructure Services Disposal Group as held for sale and in connection with the preparation of CenterPoint Energy’s financial statements for the three months ended March 31, 2020, CenterPoint Energy recorded a goodwill impairment of approximately $82 million, plus an additional loss of $14 million for cost to sell. CenterPoint Energy recognized a pre-tax gain of $3 million in connection with the closing of the transaction of the Infrastructure Services Disposal Group during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three months ended June 30, 2020. In connection with the closing of the transaction and as of June 30, 2020, CenterPoint Energy recorded a receivable from PowerTeam Services for working capital and other customary adjustments set forth in the Securities Purchase Agreement, and a gain or loss on sale in future periods may be incurred by CenterPoint Energy for differences between the estimated receivable as of June 30, 2020 and the actual amount of the payment.</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Securities Purchase Agreement, CenterPoint Energy agreed to a mechanism to reimburse PowerTeam Services subsequent to closing of the sale for certain amounts of specifically identified change orders that may be ultimately rejected by one of VISCO’s customers as part of on-going audits. CenterPoint Energy’s maximum contractual exposure under the Securities Purchase Agreement, in addition to liability reflected in the working capital adjustment, for these change orders is $21 million. CenterPoint Energy does not expect the ultimate outcome of this matter to have a material adverse effect on its financial condition, results of operations or cash flows.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Divestiture of Energy Services (CenterPoint Energy and CERC). </w:t>
      </w:r>
      <w:r>
        <w:rPr>
          <w:rFonts w:ascii="Arial" w:cs="Arial" w:eastAsia="Arial" w:hAnsi="Arial"/>
          <w:sz w:val="17"/>
          <w:szCs w:val="17"/>
          <w:color w:val="auto"/>
        </w:rPr>
        <w:t>On February 24, 2020, CenterPoint Energy, through its subsidiary CERC Corp.,</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the Equity Purchase Agreement to sell the Energy Services Disposal Group to Symmetry Energy Solutions Acquisition. This transaction did not include CEIP and its assets or MES. Symmetry Energy Solutions Acquisition agreed to purchase all of the outstanding equity interests of the Energy Services Disposal Group for approximately $400 million, subject to customary adjustments set forth in the Equity Purchase Agreement, and inclusive of an estimate of the cash adjustment for the Energy Services Disposal Group’s net working capital at closing, indebtedness and transaction expenses. The transaction closed on June 1, 2020 for approximately $286 million in cash. Additionally, as of June 30, 2020, CenterPoint Energy recorded a receivable from Symmetry Energy Solutions Acquisition for working capital and other adjustments set forth in the Equity Purchase Agreement that CenterPoint Energy has estimated to be approximately $75 million.</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February 2020, certain assets and liabilities representing the Energy Services Disposal Group met the criteria to be classified as held for sale and represented substantially all of the businesses within the reporting unit. In accordance with the Equity Purchase Agreement, CES was converted from a wholly-owned corporation to a limited liability company that is disregarded for federal income tax purposes immediately prior to the closing of the transaction resulting in the sale of membership units. The sale was considered an asset sale for tax purposes, requiring the net deferred tax liability of approximately $3 million as of June 1, 2020, the date the transaction closed, to be recognized as a deferred tax benefit by CenterPoint Energy and CERC upon closing. Additionally, CenterPoint Energy and CERC recognized current tax expense of $3 million as a result of the cash taxes payable upon sale.</w:t>
      </w:r>
    </w:p>
    <w:p>
      <w:pPr>
        <w:spacing w:after="0" w:line="16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Upon classifying the Energy Services Disposal Group as held for sale and in connection with the preparation of CenterPoint Energy’s and CERC’s respective financial statements for the three months ended March 31, 2020, CenterPoint Energy and CERC recorded a goodwill impairment of approximately $62 million and a loss on assets held for sale of approximately $70 million, plus an additional loss of $6 million for cost to sell recorded only at CenterPoint Energy. CenterPoint Energy and CERC recognized a reduction to the loss on classification to held for sale of $39 million in connection with the closing of the sale of the Energy Services Disposal Group during the three months ended June 30, 2020. In connection with the closing of the sale and as of June 30, 2020, CenterPoint Energy and CERC recorded a receivable from Symmetry Energy Solutions Acquisition for customary adjustments set forth in the Equity Purchase Agreement and, a gain or loss on sale in future periods may be incurred by CenterPoint Energy and CERC for differences between the estimated receivable as of June 30, 2020 and the actual amount of the payment.</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the sale of the Energy Services and Infrastructure Services Disposal Groups, there were no assets or liabilities classified as held for sale as of June 30, 2020. The assets and liabilities of the Infrastructure Services and Energy Services Disposal Groups as of December 31, 2019 have been recast as assets and liabilities held for sale and retained their current or long-term classification applicable as of December 31, 2019. L</w:t>
      </w:r>
      <w:r>
        <w:rPr>
          <w:rFonts w:ascii="Arial" w:cs="Arial" w:eastAsia="Arial" w:hAnsi="Arial"/>
          <w:sz w:val="18"/>
          <w:szCs w:val="18"/>
          <w:color w:val="211D1E"/>
        </w:rPr>
        <w:t>ong-lived assets are</w:t>
      </w:r>
      <w:r>
        <w:rPr>
          <w:rFonts w:ascii="Arial" w:cs="Arial" w:eastAsia="Arial" w:hAnsi="Arial"/>
          <w:sz w:val="18"/>
          <w:szCs w:val="18"/>
          <w:color w:val="auto"/>
        </w:rPr>
        <w:t xml:space="preserve"> </w:t>
      </w:r>
      <w:r>
        <w:rPr>
          <w:rFonts w:ascii="Arial" w:cs="Arial" w:eastAsia="Arial" w:hAnsi="Arial"/>
          <w:sz w:val="18"/>
          <w:szCs w:val="18"/>
          <w:color w:val="211D1E"/>
        </w:rPr>
        <w:t xml:space="preserve">not depreciated or amortized once they are classified as held for sale. </w:t>
      </w:r>
      <w:r>
        <w:rPr>
          <w:rFonts w:ascii="Arial" w:cs="Arial" w:eastAsia="Arial" w:hAnsi="Arial"/>
          <w:sz w:val="18"/>
          <w:szCs w:val="18"/>
          <w:color w:val="000000"/>
        </w:rPr>
        <w:t>The assets and liabilities of the Infrastructure Services and Energy Services Disposal</w:t>
      </w:r>
      <w:r>
        <w:rPr>
          <w:rFonts w:ascii="Arial" w:cs="Arial" w:eastAsia="Arial" w:hAnsi="Arial"/>
          <w:sz w:val="18"/>
          <w:szCs w:val="18"/>
          <w:color w:val="211D1E"/>
        </w:rPr>
        <w:t xml:space="preserve"> </w:t>
      </w:r>
      <w:r>
        <w:rPr>
          <w:rFonts w:ascii="Arial" w:cs="Arial" w:eastAsia="Arial" w:hAnsi="Arial"/>
          <w:sz w:val="18"/>
          <w:szCs w:val="18"/>
          <w:color w:val="000000"/>
        </w:rPr>
        <w:t>Groups classified as held for sale in CenterPoint Energy’s and CERC’s Condensed Consolidated Balance Sheets, as applicable, as of December 31, 2019 included the following: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CenterPoint Energy</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Infrastructure</w:t>
            </w:r>
          </w:p>
        </w:tc>
        <w:tc>
          <w:tcPr>
            <w:tcW w:w="14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Energy Services</w:t>
            </w: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89"/>
              </w:rPr>
              <w:t>Energy Services</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Services Disposal</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Group</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Disposal Group</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Disposal Group</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Accrued unbilled revenues</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inventory</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Non-trading derivative assets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Non-trading derivative assets</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8"/>
                <w:szCs w:val="18"/>
                <w:color w:val="auto"/>
              </w:rPr>
              <w:t>Total non-current assets held for sale</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Taxes accrued</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Non-trading derivative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Non-trading derivative liabilities</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non-current liabilities held for sale</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5520" w:type="dxa"/>
            <w:vAlign w:val="bottom"/>
          </w:tcPr>
          <w:p>
            <w:pPr>
              <w:ind w:left="380"/>
              <w:spacing w:after="0"/>
              <w:rPr>
                <w:sz w:val="20"/>
                <w:szCs w:val="20"/>
                <w:color w:val="auto"/>
              </w:rPr>
            </w:pPr>
            <w:r>
              <w:rPr>
                <w:rFonts w:ascii="Arial" w:cs="Arial" w:eastAsia="Arial" w:hAnsi="Arial"/>
                <w:sz w:val="18"/>
                <w:szCs w:val="18"/>
                <w:color w:val="auto"/>
              </w:rPr>
              <w:t>Total liabilities held for sale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the Infrastructure Services and Energy Services Disposal Groups met the held for sale criteria and their disposals also represent a strategic shift to CenterPoint Energy and CERC, as applicable, the earnings and expenses directly associated with these dispositions, including operating results of the businesses through the date of sale, are reflected as discontinued operations on CenterPoint Energy’s and CERC’s Statements of Consolidated Income, as applicable. As a result, prior periods have also been recast to reflect the earnings or losses from such businesses as income from discontinued operations, net of tax.</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summary of the Infrastructure Services and Energy Services Disposal Groups presented in CenterPoint Energy’s and CERC’s Condensed Statements of Consolidated Income, as applicable,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3"/>
              </w:rPr>
              <w:t>Three Months Ended June 30,</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CenterPoint Energy</w:t>
            </w: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CERC</w:t>
            </w: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Infrastructure Services Disposal</w:t>
            </w:r>
          </w:p>
        </w:tc>
        <w:tc>
          <w:tcPr>
            <w:tcW w:w="22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w w:val="97"/>
              </w:rPr>
              <w:t>Energy Services Disposal Group</w:t>
            </w:r>
          </w:p>
        </w:tc>
        <w:tc>
          <w:tcPr>
            <w:tcW w:w="320" w:type="dxa"/>
            <w:vAlign w:val="bottom"/>
          </w:tcPr>
          <w:p>
            <w:pPr>
              <w:spacing w:after="0"/>
              <w:rPr>
                <w:sz w:val="13"/>
                <w:szCs w:val="13"/>
                <w:color w:val="auto"/>
              </w:rPr>
            </w:pPr>
          </w:p>
        </w:tc>
        <w:tc>
          <w:tcPr>
            <w:tcW w:w="102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Energy Services Disposal Group</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648"/>
              <w:spacing w:after="0"/>
              <w:rPr>
                <w:sz w:val="20"/>
                <w:szCs w:val="20"/>
                <w:color w:val="auto"/>
              </w:rPr>
            </w:pPr>
            <w:r>
              <w:rPr>
                <w:rFonts w:ascii="Arial" w:cs="Arial" w:eastAsia="Arial" w:hAnsi="Arial"/>
                <w:sz w:val="14"/>
                <w:szCs w:val="14"/>
                <w:b w:val="1"/>
                <w:bCs w:val="1"/>
                <w:color w:val="auto"/>
                <w:w w:val="95"/>
              </w:rPr>
              <w:t>Group</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94"/>
              </w:rPr>
              <w:t>(in millions)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852</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1,178</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258"/>
        </w:trPr>
        <w:tc>
          <w:tcPr>
            <w:tcW w:w="2380" w:type="dxa"/>
            <w:vAlign w:val="bottom"/>
          </w:tcPr>
          <w:p>
            <w:pPr>
              <w:ind w:left="4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Non-utility cost of revenues</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264"/>
        </w:trPr>
        <w:tc>
          <w:tcPr>
            <w:tcW w:w="2380" w:type="dxa"/>
            <w:vAlign w:val="bottom"/>
          </w:tcPr>
          <w:p>
            <w:pPr>
              <w:ind w:left="180"/>
              <w:spacing w:after="0"/>
              <w:rPr>
                <w:sz w:val="20"/>
                <w:szCs w:val="20"/>
                <w:color w:val="auto"/>
              </w:rPr>
            </w:pPr>
            <w:r>
              <w:rPr>
                <w:rFonts w:ascii="Arial" w:cs="Arial" w:eastAsia="Arial" w:hAnsi="Arial"/>
                <w:sz w:val="14"/>
                <w:szCs w:val="14"/>
                <w:color w:val="auto"/>
              </w:rPr>
              <w:t>Operation and maintenance</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2380" w:type="dxa"/>
            <w:vAlign w:val="bottom"/>
          </w:tcPr>
          <w:p>
            <w:pPr>
              <w:ind w:left="180"/>
              <w:spacing w:after="0"/>
              <w:rPr>
                <w:sz w:val="20"/>
                <w:szCs w:val="20"/>
                <w:color w:val="auto"/>
              </w:rPr>
            </w:pPr>
            <w:r>
              <w:rPr>
                <w:rFonts w:ascii="Arial" w:cs="Arial" w:eastAsia="Arial" w:hAnsi="Arial"/>
                <w:sz w:val="14"/>
                <w:szCs w:val="14"/>
                <w:color w:val="auto"/>
              </w:rPr>
              <w:t>Taxes other than income taxes</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3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821</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37"/>
        </w:trPr>
        <w:tc>
          <w:tcPr>
            <w:tcW w:w="2380" w:type="dxa"/>
            <w:vAlign w:val="bottom"/>
          </w:tcPr>
          <w:p>
            <w:pPr>
              <w:ind w:left="40"/>
              <w:spacing w:after="0" w:line="137" w:lineRule="exact"/>
              <w:rPr>
                <w:sz w:val="20"/>
                <w:szCs w:val="20"/>
                <w:color w:val="auto"/>
              </w:rPr>
            </w:pPr>
            <w:r>
              <w:rPr>
                <w:rFonts w:ascii="Arial" w:cs="Arial" w:eastAsia="Arial" w:hAnsi="Arial"/>
                <w:sz w:val="14"/>
                <w:szCs w:val="14"/>
                <w:color w:val="auto"/>
              </w:rPr>
              <w:t>Income (loss) from Discontinued</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200"/>
              <w:spacing w:after="0"/>
              <w:rPr>
                <w:sz w:val="20"/>
                <w:szCs w:val="20"/>
                <w:color w:val="auto"/>
              </w:rPr>
            </w:pPr>
            <w:r>
              <w:rPr>
                <w:rFonts w:ascii="Arial" w:cs="Arial" w:eastAsia="Arial" w:hAnsi="Arial"/>
                <w:sz w:val="14"/>
                <w:szCs w:val="14"/>
                <w:color w:val="auto"/>
              </w:rPr>
              <w:t>Operations before income taxes</w:t>
            </w:r>
          </w:p>
        </w:tc>
        <w:tc>
          <w:tcPr>
            <w:tcW w:w="1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(loss) on classification to held</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 sale, net (2) (3)</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3"/>
        </w:trPr>
        <w:tc>
          <w:tcPr>
            <w:tcW w:w="238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Net income (loss) from Discontinued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1"/>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Operations</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Six Months Ended June 30,</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CenterPoint Energy</w:t>
            </w: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CERC</w:t>
            </w: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Infrastructure Services Disposal</w:t>
            </w:r>
          </w:p>
        </w:tc>
        <w:tc>
          <w:tcPr>
            <w:tcW w:w="22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w w:val="97"/>
              </w:rPr>
              <w:t>Energy Services Disposal Group</w:t>
            </w:r>
          </w:p>
        </w:tc>
        <w:tc>
          <w:tcPr>
            <w:tcW w:w="320" w:type="dxa"/>
            <w:vAlign w:val="bottom"/>
          </w:tcPr>
          <w:p>
            <w:pPr>
              <w:spacing w:after="0"/>
              <w:rPr>
                <w:sz w:val="13"/>
                <w:szCs w:val="13"/>
                <w:color w:val="auto"/>
              </w:rPr>
            </w:pPr>
          </w:p>
        </w:tc>
        <w:tc>
          <w:tcPr>
            <w:tcW w:w="102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Energy Services Disposal Group</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648"/>
              <w:spacing w:after="0"/>
              <w:rPr>
                <w:sz w:val="20"/>
                <w:szCs w:val="20"/>
                <w:color w:val="auto"/>
              </w:rPr>
            </w:pPr>
            <w:r>
              <w:rPr>
                <w:rFonts w:ascii="Arial" w:cs="Arial" w:eastAsia="Arial" w:hAnsi="Arial"/>
                <w:sz w:val="14"/>
                <w:szCs w:val="14"/>
                <w:b w:val="1"/>
                <w:bCs w:val="1"/>
                <w:color w:val="auto"/>
                <w:w w:val="95"/>
              </w:rPr>
              <w:t>Group</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94"/>
              </w:rPr>
              <w:t>(in millions)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1,167</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2,094</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1,417</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2,566</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1,167</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2,094</w:t>
            </w:r>
          </w:p>
        </w:tc>
        <w:tc>
          <w:tcPr>
            <w:tcW w:w="0" w:type="dxa"/>
            <w:vAlign w:val="bottom"/>
          </w:tcPr>
          <w:p>
            <w:pPr>
              <w:spacing w:after="0"/>
              <w:rPr>
                <w:sz w:val="1"/>
                <w:szCs w:val="1"/>
                <w:color w:val="auto"/>
              </w:rPr>
            </w:pPr>
          </w:p>
        </w:tc>
      </w:tr>
      <w:tr>
        <w:trPr>
          <w:trHeight w:val="258"/>
        </w:trPr>
        <w:tc>
          <w:tcPr>
            <w:tcW w:w="2380" w:type="dxa"/>
            <w:vAlign w:val="bottom"/>
          </w:tcPr>
          <w:p>
            <w:pPr>
              <w:ind w:left="4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Non-utility cost of revenues</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1,986</w:t>
            </w:r>
          </w:p>
        </w:tc>
        <w:tc>
          <w:tcPr>
            <w:tcW w:w="0" w:type="dxa"/>
            <w:vAlign w:val="bottom"/>
          </w:tcPr>
          <w:p>
            <w:pPr>
              <w:spacing w:after="0"/>
              <w:rPr>
                <w:sz w:val="1"/>
                <w:szCs w:val="1"/>
                <w:color w:val="auto"/>
              </w:rPr>
            </w:pPr>
          </w:p>
        </w:tc>
      </w:tr>
      <w:tr>
        <w:trPr>
          <w:trHeight w:val="264"/>
        </w:trPr>
        <w:tc>
          <w:tcPr>
            <w:tcW w:w="2380" w:type="dxa"/>
            <w:vAlign w:val="bottom"/>
          </w:tcPr>
          <w:p>
            <w:pPr>
              <w:ind w:left="180"/>
              <w:spacing w:after="0"/>
              <w:rPr>
                <w:sz w:val="20"/>
                <w:szCs w:val="20"/>
                <w:color w:val="auto"/>
              </w:rPr>
            </w:pPr>
            <w:r>
              <w:rPr>
                <w:rFonts w:ascii="Arial" w:cs="Arial" w:eastAsia="Arial" w:hAnsi="Arial"/>
                <w:sz w:val="14"/>
                <w:szCs w:val="14"/>
                <w:color w:val="auto"/>
              </w:rPr>
              <w:t>Operation and maintenance</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6"/>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2380" w:type="dxa"/>
            <w:vAlign w:val="bottom"/>
          </w:tcPr>
          <w:p>
            <w:pPr>
              <w:ind w:left="180"/>
              <w:spacing w:after="0"/>
              <w:rPr>
                <w:sz w:val="20"/>
                <w:szCs w:val="20"/>
                <w:color w:val="auto"/>
              </w:rPr>
            </w:pPr>
            <w:r>
              <w:rPr>
                <w:rFonts w:ascii="Arial" w:cs="Arial" w:eastAsia="Arial" w:hAnsi="Arial"/>
                <w:sz w:val="14"/>
                <w:szCs w:val="14"/>
                <w:color w:val="auto"/>
              </w:rPr>
              <w:t>Taxes other than income taxes</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3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447</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37"/>
        </w:trPr>
        <w:tc>
          <w:tcPr>
            <w:tcW w:w="2380" w:type="dxa"/>
            <w:vAlign w:val="bottom"/>
          </w:tcPr>
          <w:p>
            <w:pPr>
              <w:ind w:left="40"/>
              <w:spacing w:after="0" w:line="137" w:lineRule="exact"/>
              <w:rPr>
                <w:sz w:val="20"/>
                <w:szCs w:val="20"/>
                <w:color w:val="auto"/>
              </w:rPr>
            </w:pPr>
            <w:r>
              <w:rPr>
                <w:rFonts w:ascii="Arial" w:cs="Arial" w:eastAsia="Arial" w:hAnsi="Arial"/>
                <w:sz w:val="14"/>
                <w:szCs w:val="14"/>
                <w:color w:val="auto"/>
              </w:rPr>
              <w:t>Income (loss) from Discontinued</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200"/>
              <w:spacing w:after="0"/>
              <w:rPr>
                <w:sz w:val="20"/>
                <w:szCs w:val="20"/>
                <w:color w:val="auto"/>
              </w:rPr>
            </w:pPr>
            <w:r>
              <w:rPr>
                <w:rFonts w:ascii="Arial" w:cs="Arial" w:eastAsia="Arial" w:hAnsi="Arial"/>
                <w:sz w:val="14"/>
                <w:szCs w:val="14"/>
                <w:color w:val="auto"/>
              </w:rPr>
              <w:t>Operations before income taxes</w:t>
            </w:r>
          </w:p>
        </w:tc>
        <w:tc>
          <w:tcPr>
            <w:tcW w:w="1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3"/>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(loss) on classification to held</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for sale, net (2) (3)</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3"/>
        </w:trPr>
        <w:tc>
          <w:tcPr>
            <w:tcW w:w="238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Net income (loss) from Discontinued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1"/>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Operations</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February 1, 2019 to June 30, 2019 results only due to the Merger.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from classification to held for sale is inclusive of goodwill impairment and, for CenterPoint Energy, its costs to sell.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Infrastructure Services Disposal Group includes $3 million gain on sale in the three and six months ended June 30,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CenterPoint Energy and CERC have elected not to separately disclose discontinued operations on their respective Condensed Statements of Consolidated Cash Flows. L</w:t>
      </w:r>
      <w:r>
        <w:rPr>
          <w:rFonts w:ascii="Arial" w:cs="Arial" w:eastAsia="Arial" w:hAnsi="Arial"/>
          <w:sz w:val="18"/>
          <w:szCs w:val="18"/>
          <w:color w:val="211D1E"/>
        </w:rPr>
        <w:t>ong-lived assets are not depreciated or amortized once they are classified as held for sale.</w:t>
      </w:r>
      <w:r>
        <w:rPr>
          <w:rFonts w:ascii="Arial" w:cs="Arial" w:eastAsia="Arial" w:hAnsi="Arial"/>
          <w:sz w:val="18"/>
          <w:szCs w:val="18"/>
          <w:color w:val="auto"/>
        </w:rPr>
        <w:t xml:space="preserve"> The following table summarizes CenterPoint Energy’s and CERC’s cash flows from discontinued operations and certain supplemental cash flow disclosures related to the Infrastructure Services and Energy Services Disposal Groups, as applicable: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9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83"/>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943"/>
              <w:spacing w:after="0"/>
              <w:rPr>
                <w:sz w:val="20"/>
                <w:szCs w:val="20"/>
                <w:color w:val="auto"/>
              </w:rPr>
            </w:pPr>
            <w:r>
              <w:rPr>
                <w:rFonts w:ascii="Arial" w:cs="Arial" w:eastAsia="Arial" w:hAnsi="Arial"/>
                <w:sz w:val="14"/>
                <w:szCs w:val="14"/>
                <w:b w:val="1"/>
                <w:bCs w:val="1"/>
                <w:color w:val="auto"/>
              </w:rPr>
              <w:t>CenterPoint Energy</w:t>
            </w: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CERC</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3"/>
          </w:tcPr>
          <w:p>
            <w:pPr>
              <w:jc w:val="center"/>
              <w:ind w:right="82"/>
              <w:spacing w:after="0" w:line="153" w:lineRule="exact"/>
              <w:rPr>
                <w:sz w:val="20"/>
                <w:szCs w:val="20"/>
                <w:color w:val="auto"/>
              </w:rPr>
            </w:pPr>
            <w:r>
              <w:rPr>
                <w:rFonts w:ascii="Arial" w:cs="Arial" w:eastAsia="Arial" w:hAnsi="Arial"/>
                <w:sz w:val="14"/>
                <w:szCs w:val="14"/>
                <w:b w:val="1"/>
                <w:bCs w:val="1"/>
                <w:color w:val="auto"/>
                <w:w w:val="92"/>
              </w:rPr>
              <w:t>Infrastructure Services Disposal</w:t>
            </w:r>
          </w:p>
        </w:tc>
        <w:tc>
          <w:tcPr>
            <w:tcW w:w="260" w:type="dxa"/>
            <w:vAlign w:val="bottom"/>
          </w:tcPr>
          <w:p>
            <w:pPr>
              <w:spacing w:after="0"/>
              <w:rPr>
                <w:sz w:val="13"/>
                <w:szCs w:val="13"/>
                <w:color w:val="auto"/>
              </w:rPr>
            </w:pPr>
          </w:p>
        </w:tc>
        <w:tc>
          <w:tcPr>
            <w:tcW w:w="2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Energy Services Disposal Group</w:t>
            </w:r>
          </w:p>
        </w:tc>
        <w:tc>
          <w:tcPr>
            <w:tcW w:w="140" w:type="dxa"/>
            <w:vAlign w:val="bottom"/>
          </w:tcPr>
          <w:p>
            <w:pPr>
              <w:spacing w:after="0"/>
              <w:rPr>
                <w:sz w:val="13"/>
                <w:szCs w:val="13"/>
                <w:color w:val="auto"/>
              </w:rPr>
            </w:pPr>
          </w:p>
        </w:tc>
        <w:tc>
          <w:tcPr>
            <w:tcW w:w="2180" w:type="dxa"/>
            <w:vAlign w:val="bottom"/>
            <w:gridSpan w:val="2"/>
            <w:vMerge w:val="restart"/>
          </w:tcPr>
          <w:p>
            <w:pPr>
              <w:jc w:val="right"/>
              <w:ind w:right="81"/>
              <w:spacing w:after="0"/>
              <w:rPr>
                <w:sz w:val="20"/>
                <w:szCs w:val="20"/>
                <w:color w:val="auto"/>
              </w:rPr>
            </w:pPr>
            <w:r>
              <w:rPr>
                <w:rFonts w:ascii="Arial" w:cs="Arial" w:eastAsia="Arial" w:hAnsi="Arial"/>
                <w:sz w:val="14"/>
                <w:szCs w:val="14"/>
                <w:b w:val="1"/>
                <w:bCs w:val="1"/>
                <w:color w:val="auto"/>
                <w:w w:val="92"/>
              </w:rPr>
              <w:t>Energy Services Disposal Group</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622"/>
              <w:spacing w:after="0"/>
              <w:rPr>
                <w:sz w:val="20"/>
                <w:szCs w:val="20"/>
                <w:color w:val="auto"/>
              </w:rPr>
            </w:pPr>
            <w:r>
              <w:rPr>
                <w:rFonts w:ascii="Arial" w:cs="Arial" w:eastAsia="Arial" w:hAnsi="Arial"/>
                <w:sz w:val="14"/>
                <w:szCs w:val="14"/>
                <w:b w:val="1"/>
                <w:bCs w:val="1"/>
                <w:color w:val="auto"/>
                <w:w w:val="99"/>
              </w:rPr>
              <w:t>Group</w:t>
            </w: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   $</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0"/>
        </w:trPr>
        <w:tc>
          <w:tcPr>
            <w:tcW w:w="3940" w:type="dxa"/>
            <w:vAlign w:val="bottom"/>
          </w:tcPr>
          <w:p>
            <w:pPr>
              <w:ind w:left="40"/>
              <w:spacing w:after="0"/>
              <w:rPr>
                <w:sz w:val="20"/>
                <w:szCs w:val="20"/>
                <w:color w:val="auto"/>
              </w:rPr>
            </w:pPr>
            <w:r>
              <w:rPr>
                <w:rFonts w:ascii="Arial" w:cs="Arial" w:eastAsia="Arial" w:hAnsi="Arial"/>
                <w:sz w:val="16"/>
                <w:szCs w:val="16"/>
                <w:color w:val="auto"/>
              </w:rPr>
              <w:t>Amortization of intangible assets in Non-utility cost of</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40" w:type="dxa"/>
            <w:vAlign w:val="bottom"/>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Pr>
          <w:p>
            <w:pPr>
              <w:spacing w:after="0"/>
              <w:rPr>
                <w:sz w:val="17"/>
                <w:szCs w:val="17"/>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7"/>
                <w:szCs w:val="17"/>
                <w:color w:val="auto"/>
              </w:rPr>
            </w:pPr>
          </w:p>
        </w:tc>
        <w:tc>
          <w:tcPr>
            <w:tcW w:w="1400" w:type="dxa"/>
            <w:vAlign w:val="bottom"/>
          </w:tcPr>
          <w:p>
            <w:pPr>
              <w:jc w:val="right"/>
              <w:ind w:right="483"/>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Write-down of natural gas inventory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83"/>
              <w:spacing w:after="0"/>
              <w:rPr>
                <w:sz w:val="20"/>
                <w:szCs w:val="20"/>
                <w:color w:val="auto"/>
              </w:rPr>
            </w:pPr>
            <w:r>
              <w:rPr>
                <w:rFonts w:ascii="Arial" w:cs="Arial" w:eastAsia="Arial" w:hAnsi="Arial"/>
                <w:sz w:val="16"/>
                <w:szCs w:val="16"/>
                <w:color w:val="auto"/>
              </w:rPr>
              <w:t>3</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6"/>
                <w:szCs w:val="16"/>
                <w:color w:val="auto"/>
              </w:rPr>
              <w:t>3</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20"/>
                <w:szCs w:val="20"/>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16</w:t>
            </w:r>
          </w:p>
        </w:tc>
        <w:tc>
          <w:tcPr>
            <w:tcW w:w="400" w:type="dxa"/>
            <w:vAlign w:val="bottom"/>
          </w:tcPr>
          <w:p>
            <w:pPr>
              <w:spacing w:after="0"/>
              <w:rPr>
                <w:sz w:val="20"/>
                <w:szCs w:val="20"/>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20"/>
                <w:szCs w:val="20"/>
                <w:color w:val="auto"/>
              </w:rPr>
            </w:pPr>
          </w:p>
        </w:tc>
        <w:tc>
          <w:tcPr>
            <w:tcW w:w="1400" w:type="dxa"/>
            <w:vAlign w:val="bottom"/>
          </w:tcPr>
          <w:p>
            <w:pPr>
              <w:jc w:val="right"/>
              <w:ind w:right="483"/>
              <w:spacing w:after="0"/>
              <w:rPr>
                <w:sz w:val="20"/>
                <w:szCs w:val="20"/>
                <w:color w:val="auto"/>
              </w:rPr>
            </w:pPr>
            <w:r>
              <w:rPr>
                <w:rFonts w:ascii="Arial" w:cs="Arial" w:eastAsia="Arial" w:hAnsi="Arial"/>
                <w:sz w:val="16"/>
                <w:szCs w:val="16"/>
                <w:color w:val="auto"/>
              </w:rPr>
              <w:t>1</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2"/>
              <w:spacing w:after="0"/>
              <w:rPr>
                <w:sz w:val="20"/>
                <w:szCs w:val="20"/>
                <w:color w:val="auto"/>
              </w:rPr>
            </w:pPr>
            <w:r>
              <w:rPr>
                <w:rFonts w:ascii="Arial" w:cs="Arial" w:eastAsia="Arial" w:hAnsi="Arial"/>
                <w:sz w:val="16"/>
                <w:szCs w:val="16"/>
                <w:color w:val="auto"/>
              </w:rPr>
              <w:t>1</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Accounts payable related to capital expenditures</w:t>
            </w:r>
          </w:p>
        </w:tc>
        <w:tc>
          <w:tcPr>
            <w:tcW w:w="180" w:type="dxa"/>
            <w:vAlign w:val="bottom"/>
          </w:tcPr>
          <w:p>
            <w:pPr>
              <w:spacing w:after="0"/>
              <w:rPr>
                <w:sz w:val="20"/>
                <w:szCs w:val="20"/>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20"/>
                <w:szCs w:val="20"/>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400" w:type="dxa"/>
            <w:vAlign w:val="bottom"/>
          </w:tcPr>
          <w:p>
            <w:pPr>
              <w:jc w:val="right"/>
              <w:ind w:right="483"/>
              <w:spacing w:after="0"/>
              <w:rPr>
                <w:sz w:val="20"/>
                <w:szCs w:val="20"/>
                <w:color w:val="auto"/>
              </w:rPr>
            </w:pPr>
            <w:r>
              <w:rPr>
                <w:rFonts w:ascii="Arial" w:cs="Arial" w:eastAsia="Arial" w:hAnsi="Arial"/>
                <w:sz w:val="16"/>
                <w:szCs w:val="16"/>
                <w:color w:val="auto"/>
              </w:rPr>
              <w:t>4</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2"/>
              <w:spacing w:after="0"/>
              <w:rPr>
                <w:sz w:val="20"/>
                <w:szCs w:val="20"/>
                <w:color w:val="auto"/>
              </w:rPr>
            </w:pPr>
            <w:r>
              <w:rPr>
                <w:rFonts w:ascii="Arial" w:cs="Arial" w:eastAsia="Arial" w:hAnsi="Arial"/>
                <w:sz w:val="16"/>
                <w:szCs w:val="16"/>
                <w:color w:val="auto"/>
              </w:rPr>
              <w:t>4</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Sale Related Matters (CenterPoint Energy and CERC). </w:t>
      </w:r>
      <w:r>
        <w:rPr>
          <w:rFonts w:ascii="Arial" w:cs="Arial" w:eastAsia="Arial" w:hAnsi="Arial"/>
          <w:sz w:val="18"/>
          <w:szCs w:val="18"/>
          <w:color w:val="auto"/>
        </w:rPr>
        <w:t>CES provided natural gas supply to CenterPoint Energy’s and CERC’s NGD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executed in a competitive bidding process, with the duration of some contracts extending into 2021. In addition, CERC is the natural gas transportation provider for a portion of CES’s customer base and will continue to be the transportation provider for these customers as long as these customers retain a relationship with the divested CES business.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and expenses incurred by CenterPoint Energy and CERC for natural gas transportation and supply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3"/>
        </w:trPr>
        <w:tc>
          <w:tcPr>
            <w:tcW w:w="5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(1)</w:t>
            </w:r>
          </w:p>
        </w:tc>
        <w:tc>
          <w:tcPr>
            <w:tcW w:w="6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(1)</w:t>
            </w:r>
          </w:p>
        </w:tc>
        <w:tc>
          <w:tcPr>
            <w:tcW w:w="4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CenterPoint Energy</w:t>
            </w: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CERC</w:t>
            </w:r>
          </w:p>
        </w:tc>
        <w:tc>
          <w:tcPr>
            <w:tcW w:w="1080" w:type="dxa"/>
            <w:vAlign w:val="bottom"/>
            <w:tcBorders>
              <w:bottom w:val="single" w:sz="8" w:color="auto"/>
            </w:tcBorders>
          </w:tcPr>
          <w:p>
            <w:pPr>
              <w:spacing w:after="0"/>
              <w:rPr>
                <w:sz w:val="21"/>
                <w:szCs w:val="21"/>
                <w:color w:val="auto"/>
              </w:rPr>
            </w:pPr>
          </w:p>
        </w:tc>
      </w:tr>
      <w:tr>
        <w:trPr>
          <w:trHeight w:val="250"/>
        </w:trPr>
        <w:tc>
          <w:tcPr>
            <w:tcW w:w="5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40" w:type="dxa"/>
            <w:vAlign w:val="bottom"/>
            <w:gridSpan w:val="3"/>
          </w:tcPr>
          <w:p>
            <w:pPr>
              <w:ind w:left="56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Natural gas expense</w:t>
            </w:r>
          </w:p>
        </w:tc>
        <w:tc>
          <w:tcPr>
            <w:tcW w:w="3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1"/>
                <w:szCs w:val="21"/>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ind w:right="36"/>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16</w:t>
            </w:r>
          </w:p>
        </w:tc>
      </w:tr>
      <w:tr>
        <w:trPr>
          <w:trHeight w:val="575"/>
        </w:trPr>
        <w:tc>
          <w:tcPr>
            <w:tcW w:w="5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3"/>
        </w:trPr>
        <w:tc>
          <w:tcPr>
            <w:tcW w:w="5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(2)</w:t>
            </w:r>
          </w:p>
        </w:tc>
        <w:tc>
          <w:tcPr>
            <w:tcW w:w="6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(2)</w:t>
            </w:r>
          </w:p>
        </w:tc>
        <w:tc>
          <w:tcPr>
            <w:tcW w:w="4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CenterPoint Energy</w:t>
            </w: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CERC</w:t>
            </w:r>
          </w:p>
        </w:tc>
        <w:tc>
          <w:tcPr>
            <w:tcW w:w="1080" w:type="dxa"/>
            <w:vAlign w:val="bottom"/>
            <w:tcBorders>
              <w:bottom w:val="single" w:sz="8" w:color="auto"/>
            </w:tcBorders>
          </w:tcPr>
          <w:p>
            <w:pPr>
              <w:spacing w:after="0"/>
              <w:rPr>
                <w:sz w:val="21"/>
                <w:szCs w:val="21"/>
                <w:color w:val="auto"/>
              </w:rPr>
            </w:pPr>
          </w:p>
        </w:tc>
      </w:tr>
      <w:tr>
        <w:trPr>
          <w:trHeight w:val="250"/>
        </w:trPr>
        <w:tc>
          <w:tcPr>
            <w:tcW w:w="5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40" w:type="dxa"/>
            <w:vAlign w:val="bottom"/>
            <w:gridSpan w:val="3"/>
          </w:tcPr>
          <w:p>
            <w:pPr>
              <w:ind w:left="56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Natural gas expense</w:t>
            </w:r>
          </w:p>
        </w:tc>
        <w:tc>
          <w:tcPr>
            <w:tcW w:w="3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1"/>
                <w:szCs w:val="21"/>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ind w:right="36"/>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79</w:t>
            </w:r>
          </w:p>
        </w:tc>
      </w:tr>
    </w:tbl>
    <w:p>
      <w:pPr>
        <w:spacing w:after="0" w:line="2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charges for the period April 1, 2020 until the closing of the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charges for the period January 1, 2020 until the closing of the transaction.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NGD has AMAs associated with its utility distribution service in Arkansas, Louisiana, Mississippi, Oklahoma and Texas. The AMAs are with the Energy Services Disposal Group and will expire in 2021. Pursuant to the provisions of the agreements, NGD sells natural gas and agrees to repurchase an equivalent amount of natural gas during the winter heating seasons at the same cost. These transactions are accounted for as inventory financing. CenterPoint Energy and CERC had outstanding obligations related to the AMAs of $14 million and $-0- as of June 30, 2020 and December 31, 2019, respectively.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Infrastructure Services Disposal Group provides pipeline construction and repair services to CenterPoint Energy’s and CERC’s NGD. In accordance with consolidation guidance in ASC 980—Regulated Operations, costs incurred by NGD utilities for these pipeline construction and repair services are not eliminated in consolidation when capitalized and included in rate base by the NGD utility. Amounts charged for these services that are not capitalized are included primarily in Operation and maintenance expenses. Fees incurred by CenterPoint Energy’s and CERC’s NGD for pipeline construction and repair services are as follows:</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center"/>
              <w:ind w:left="21"/>
              <w:spacing w:after="0"/>
              <w:rPr>
                <w:sz w:val="20"/>
                <w:szCs w:val="20"/>
                <w:color w:val="auto"/>
              </w:rPr>
            </w:pPr>
            <w:r>
              <w:rPr>
                <w:rFonts w:ascii="Arial" w:cs="Arial" w:eastAsia="Arial" w:hAnsi="Arial"/>
                <w:sz w:val="14"/>
                <w:szCs w:val="14"/>
                <w:b w:val="1"/>
                <w:bCs w:val="1"/>
                <w:color w:val="auto"/>
                <w:w w:val="93"/>
              </w:rPr>
              <w:t>Three Months Ended June 30,</w:t>
            </w: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(1)</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(1)</w:t>
            </w:r>
          </w:p>
        </w:tc>
        <w:tc>
          <w:tcPr>
            <w:tcW w:w="4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CenterPoint Energy</w:t>
            </w:r>
          </w:p>
        </w:tc>
        <w:tc>
          <w:tcPr>
            <w:tcW w:w="10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CERC</w:t>
            </w:r>
          </w:p>
        </w:tc>
        <w:tc>
          <w:tcPr>
            <w:tcW w:w="1120" w:type="dxa"/>
            <w:vAlign w:val="bottom"/>
            <w:tcBorders>
              <w:bottom w:val="single" w:sz="8" w:color="auto"/>
            </w:tcBorders>
          </w:tcPr>
          <w:p>
            <w:pPr>
              <w:spacing w:after="0"/>
              <w:rPr>
                <w:sz w:val="21"/>
                <w:szCs w:val="21"/>
                <w:color w:val="auto"/>
              </w:rPr>
            </w:pPr>
          </w:p>
        </w:tc>
      </w:tr>
      <w:tr>
        <w:trPr>
          <w:trHeight w:val="250"/>
        </w:trPr>
        <w:tc>
          <w:tcPr>
            <w:tcW w:w="5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20" w:type="dxa"/>
            <w:vAlign w:val="bottom"/>
            <w:gridSpan w:val="3"/>
          </w:tcPr>
          <w:p>
            <w:pPr>
              <w:jc w:val="center"/>
              <w:ind w:left="21"/>
              <w:spacing w:after="0"/>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Pipeline construction and repair services capitalized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r>
      <w:tr>
        <w:trPr>
          <w:trHeight w:val="229"/>
        </w:trPr>
        <w:tc>
          <w:tcPr>
            <w:tcW w:w="5080" w:type="dxa"/>
            <w:vAlign w:val="bottom"/>
          </w:tcPr>
          <w:p>
            <w:pPr>
              <w:ind w:left="40"/>
              <w:spacing w:after="0"/>
              <w:rPr>
                <w:sz w:val="20"/>
                <w:szCs w:val="20"/>
                <w:color w:val="auto"/>
              </w:rPr>
            </w:pPr>
            <w:r>
              <w:rPr>
                <w:rFonts w:ascii="Arial" w:cs="Arial" w:eastAsia="Arial" w:hAnsi="Arial"/>
                <w:sz w:val="18"/>
                <w:szCs w:val="18"/>
                <w:color w:val="auto"/>
                <w:w w:val="95"/>
              </w:rPr>
              <w:t>Pipeline construction and repair service charges in operations and</w:t>
            </w:r>
          </w:p>
        </w:tc>
        <w:tc>
          <w:tcPr>
            <w:tcW w:w="3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4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ind w:left="200"/>
              <w:spacing w:after="0"/>
              <w:rPr>
                <w:sz w:val="20"/>
                <w:szCs w:val="20"/>
                <w:color w:val="auto"/>
              </w:rPr>
            </w:pPr>
            <w:r>
              <w:rPr>
                <w:rFonts w:ascii="Arial" w:cs="Arial" w:eastAsia="Arial" w:hAnsi="Arial"/>
                <w:sz w:val="18"/>
                <w:szCs w:val="18"/>
                <w:color w:val="auto"/>
              </w:rPr>
              <w:t>maintenance expense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74"/>
        </w:trPr>
        <w:tc>
          <w:tcPr>
            <w:tcW w:w="5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center"/>
              <w:ind w:left="41"/>
              <w:spacing w:after="0"/>
              <w:rPr>
                <w:sz w:val="20"/>
                <w:szCs w:val="20"/>
                <w:color w:val="auto"/>
              </w:rPr>
            </w:pPr>
            <w:r>
              <w:rPr>
                <w:rFonts w:ascii="Arial" w:cs="Arial" w:eastAsia="Arial" w:hAnsi="Arial"/>
                <w:sz w:val="14"/>
                <w:szCs w:val="14"/>
                <w:b w:val="1"/>
                <w:bCs w:val="1"/>
                <w:color w:val="auto"/>
                <w:w w:val="92"/>
              </w:rPr>
              <w:t>Six Months Ended June 30,</w:t>
            </w: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3"/>
        </w:trPr>
        <w:tc>
          <w:tcPr>
            <w:tcW w:w="5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(2)</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401"/>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(3)</w:t>
            </w: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(2)</w:t>
            </w:r>
          </w:p>
        </w:tc>
        <w:tc>
          <w:tcPr>
            <w:tcW w:w="4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96"/>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(3)</w:t>
            </w:r>
          </w:p>
        </w:tc>
      </w:tr>
      <w:tr>
        <w:trPr>
          <w:trHeight w:val="250"/>
        </w:trPr>
        <w:tc>
          <w:tcPr>
            <w:tcW w:w="50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CenterPoint Energy</w:t>
            </w:r>
          </w:p>
        </w:tc>
        <w:tc>
          <w:tcPr>
            <w:tcW w:w="10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CERC</w:t>
            </w:r>
          </w:p>
        </w:tc>
        <w:tc>
          <w:tcPr>
            <w:tcW w:w="1120" w:type="dxa"/>
            <w:vAlign w:val="bottom"/>
            <w:tcBorders>
              <w:bottom w:val="single" w:sz="8" w:color="auto"/>
            </w:tcBorders>
          </w:tcPr>
          <w:p>
            <w:pPr>
              <w:spacing w:after="0"/>
              <w:rPr>
                <w:sz w:val="21"/>
                <w:szCs w:val="21"/>
                <w:color w:val="auto"/>
              </w:rPr>
            </w:pPr>
          </w:p>
        </w:tc>
      </w:tr>
      <w:tr>
        <w:trPr>
          <w:trHeight w:val="250"/>
        </w:trPr>
        <w:tc>
          <w:tcPr>
            <w:tcW w:w="5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20" w:type="dxa"/>
            <w:vAlign w:val="bottom"/>
            <w:gridSpan w:val="3"/>
          </w:tcPr>
          <w:p>
            <w:pPr>
              <w:jc w:val="center"/>
              <w:ind w:left="21"/>
              <w:spacing w:after="0"/>
              <w:rPr>
                <w:sz w:val="20"/>
                <w:szCs w:val="20"/>
                <w:color w:val="auto"/>
              </w:rPr>
            </w:pPr>
            <w:r>
              <w:rPr>
                <w:rFonts w:ascii="Arial" w:cs="Arial" w:eastAsia="Arial" w:hAnsi="Arial"/>
                <w:sz w:val="14"/>
                <w:szCs w:val="14"/>
                <w:b w:val="1"/>
                <w:bCs w:val="1"/>
                <w:color w:val="auto"/>
                <w:w w:val="94"/>
              </w:rPr>
              <w:t>(in millions)</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Pipeline construction and repair services capitalized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r>
      <w:tr>
        <w:trPr>
          <w:trHeight w:val="229"/>
        </w:trPr>
        <w:tc>
          <w:tcPr>
            <w:tcW w:w="5080" w:type="dxa"/>
            <w:vAlign w:val="bottom"/>
          </w:tcPr>
          <w:p>
            <w:pPr>
              <w:ind w:left="40"/>
              <w:spacing w:after="0"/>
              <w:rPr>
                <w:sz w:val="20"/>
                <w:szCs w:val="20"/>
                <w:color w:val="auto"/>
              </w:rPr>
            </w:pPr>
            <w:r>
              <w:rPr>
                <w:rFonts w:ascii="Arial" w:cs="Arial" w:eastAsia="Arial" w:hAnsi="Arial"/>
                <w:sz w:val="18"/>
                <w:szCs w:val="18"/>
                <w:color w:val="auto"/>
                <w:w w:val="95"/>
              </w:rPr>
              <w:t>Pipeline construction and repair service charges in operations and</w:t>
            </w:r>
          </w:p>
        </w:tc>
        <w:tc>
          <w:tcPr>
            <w:tcW w:w="3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w:t>
            </w:r>
          </w:p>
        </w:tc>
      </w:tr>
      <w:tr>
        <w:trPr>
          <w:trHeight w:val="230"/>
        </w:trPr>
        <w:tc>
          <w:tcPr>
            <w:tcW w:w="5080" w:type="dxa"/>
            <w:vAlign w:val="bottom"/>
          </w:tcPr>
          <w:p>
            <w:pPr>
              <w:ind w:left="200"/>
              <w:spacing w:after="0"/>
              <w:rPr>
                <w:sz w:val="20"/>
                <w:szCs w:val="20"/>
                <w:color w:val="auto"/>
              </w:rPr>
            </w:pPr>
            <w:r>
              <w:rPr>
                <w:rFonts w:ascii="Arial" w:cs="Arial" w:eastAsia="Arial" w:hAnsi="Arial"/>
                <w:sz w:val="18"/>
                <w:szCs w:val="18"/>
                <w:color w:val="auto"/>
              </w:rPr>
              <w:t>maintenance expense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hanging="328"/>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Represents charges for the period April 1, 2020 until the closing of the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Represents charges for the period January 1, 2020 until the closing of the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Represents charges for the period beginning February 1, 2019 due to the Merger.</w:t>
      </w:r>
    </w:p>
    <w:p>
      <w:pPr>
        <w:spacing w:after="0" w:line="221"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Provision for Doubtful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 The revenues and related balances in the following tables exclude operating revenues and balances from the Energy Services Disposal Group and Infrastructure Services Disposal Group, which are reflected as discontinued operations and assets held for sale prior to the date of closing of each transaction. See Note 3 for further information.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disaggregate revenues by reportable segment and major source: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7"/>
          </w:tcPr>
          <w:p>
            <w:pPr>
              <w:jc w:val="center"/>
              <w:ind w:left="1026"/>
              <w:spacing w:after="0"/>
              <w:rPr>
                <w:sz w:val="20"/>
                <w:szCs w:val="20"/>
                <w:color w:val="auto"/>
              </w:rPr>
            </w:pPr>
            <w:r>
              <w:rPr>
                <w:rFonts w:ascii="Arial" w:cs="Arial" w:eastAsia="Arial" w:hAnsi="Arial"/>
                <w:sz w:val="14"/>
                <w:szCs w:val="14"/>
                <w:b w:val="1"/>
                <w:bCs w:val="1"/>
                <w:color w:val="auto"/>
                <w:w w:val="93"/>
              </w:rPr>
              <w:t>Three Months Ended June 30, 2020</w:t>
            </w: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3"/>
        </w:trPr>
        <w:tc>
          <w:tcPr>
            <w:tcW w:w="2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w w:val="89"/>
              </w:rPr>
              <w:t>Houston Electric</w:t>
            </w:r>
          </w:p>
        </w:tc>
        <w:tc>
          <w:tcPr>
            <w:tcW w:w="220" w:type="dxa"/>
            <w:vAlign w:val="bottom"/>
          </w:tcPr>
          <w:p>
            <w:pPr>
              <w:spacing w:after="0"/>
              <w:rPr>
                <w:sz w:val="12"/>
                <w:szCs w:val="12"/>
                <w:color w:val="auto"/>
              </w:rPr>
            </w:pPr>
          </w:p>
        </w:tc>
        <w:tc>
          <w:tcPr>
            <w:tcW w:w="1360" w:type="dxa"/>
            <w:vAlign w:val="bottom"/>
          </w:tcPr>
          <w:p>
            <w:pPr>
              <w:jc w:val="center"/>
              <w:ind w:right="66"/>
              <w:spacing w:after="0" w:line="144" w:lineRule="exact"/>
              <w:rPr>
                <w:sz w:val="20"/>
                <w:szCs w:val="20"/>
                <w:color w:val="auto"/>
              </w:rPr>
            </w:pPr>
            <w:r>
              <w:rPr>
                <w:rFonts w:ascii="Arial" w:cs="Arial" w:eastAsia="Arial" w:hAnsi="Arial"/>
                <w:sz w:val="13"/>
                <w:szCs w:val="13"/>
                <w:b w:val="1"/>
                <w:bCs w:val="1"/>
                <w:color w:val="auto"/>
                <w:w w:val="92"/>
              </w:rPr>
              <w:t>Indiana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ind w:left="220"/>
              <w:spacing w:after="0" w:line="144" w:lineRule="exact"/>
              <w:rPr>
                <w:sz w:val="20"/>
                <w:szCs w:val="20"/>
                <w:color w:val="auto"/>
              </w:rPr>
            </w:pPr>
            <w:r>
              <w:rPr>
                <w:rFonts w:ascii="Arial" w:cs="Arial" w:eastAsia="Arial" w:hAnsi="Arial"/>
                <w:sz w:val="13"/>
                <w:szCs w:val="13"/>
                <w:b w:val="1"/>
                <w:bCs w:val="1"/>
                <w:color w:val="auto"/>
              </w:rPr>
              <w:t>Corporate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4"/>
        </w:trPr>
        <w:tc>
          <w:tcPr>
            <w:tcW w:w="2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rPr>
              <w:t>T&amp;D</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89"/>
              </w:rPr>
              <w:t>Electric Integrated</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0"/>
              </w:rPr>
              <w:t>Natural Gas Distribution</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and Other</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4"/>
              <w:spacing w:after="0"/>
              <w:rPr>
                <w:sz w:val="20"/>
                <w:szCs w:val="20"/>
                <w:color w:val="auto"/>
              </w:rPr>
            </w:pPr>
            <w:r>
              <w:rPr>
                <w:rFonts w:ascii="Arial" w:cs="Arial" w:eastAsia="Arial" w:hAnsi="Arial"/>
                <w:sz w:val="13"/>
                <w:szCs w:val="13"/>
                <w:b w:val="1"/>
                <w:bCs w:val="1"/>
                <w:color w:val="auto"/>
              </w:rPr>
              <w:t>Total</w:t>
            </w:r>
          </w:p>
        </w:tc>
      </w:tr>
      <w:tr>
        <w:trPr>
          <w:trHeight w:val="251"/>
        </w:trPr>
        <w:tc>
          <w:tcPr>
            <w:tcW w:w="2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from contracts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722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1,566</w:t>
            </w: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44"/>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26"/>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9</w:t>
            </w:r>
          </w:p>
        </w:tc>
      </w:tr>
      <w:tr>
        <w:trPr>
          <w:trHeight w:val="33"/>
        </w:trPr>
        <w:tc>
          <w:tcPr>
            <w:tcW w:w="2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1,575</w:t>
            </w:r>
          </w:p>
        </w:tc>
      </w:tr>
      <w:tr>
        <w:trPr>
          <w:trHeight w:val="20"/>
        </w:trPr>
        <w:tc>
          <w:tcPr>
            <w:tcW w:w="2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35"/>
        </w:trPr>
        <w:tc>
          <w:tcPr>
            <w:tcW w:w="2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right="199"/>
              <w:spacing w:after="0"/>
              <w:rPr>
                <w:sz w:val="20"/>
                <w:szCs w:val="20"/>
                <w:color w:val="auto"/>
              </w:rPr>
            </w:pPr>
            <w:r>
              <w:rPr>
                <w:rFonts w:ascii="Arial" w:cs="Arial" w:eastAsia="Arial" w:hAnsi="Arial"/>
                <w:sz w:val="14"/>
                <w:szCs w:val="14"/>
                <w:b w:val="1"/>
                <w:bCs w:val="1"/>
                <w:color w:val="auto"/>
                <w:w w:val="92"/>
              </w:rPr>
              <w:t>Six Months Ended June 30, 2020</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3"/>
        </w:trPr>
        <w:tc>
          <w:tcPr>
            <w:tcW w:w="2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w w:val="89"/>
              </w:rPr>
              <w:t>Houston Electric</w:t>
            </w:r>
          </w:p>
        </w:tc>
        <w:tc>
          <w:tcPr>
            <w:tcW w:w="220" w:type="dxa"/>
            <w:vAlign w:val="bottom"/>
          </w:tcPr>
          <w:p>
            <w:pPr>
              <w:spacing w:after="0"/>
              <w:rPr>
                <w:sz w:val="12"/>
                <w:szCs w:val="12"/>
                <w:color w:val="auto"/>
              </w:rPr>
            </w:pPr>
          </w:p>
        </w:tc>
        <w:tc>
          <w:tcPr>
            <w:tcW w:w="1360" w:type="dxa"/>
            <w:vAlign w:val="bottom"/>
          </w:tcPr>
          <w:p>
            <w:pPr>
              <w:jc w:val="center"/>
              <w:ind w:right="66"/>
              <w:spacing w:after="0" w:line="144" w:lineRule="exact"/>
              <w:rPr>
                <w:sz w:val="20"/>
                <w:szCs w:val="20"/>
                <w:color w:val="auto"/>
              </w:rPr>
            </w:pPr>
            <w:r>
              <w:rPr>
                <w:rFonts w:ascii="Arial" w:cs="Arial" w:eastAsia="Arial" w:hAnsi="Arial"/>
                <w:sz w:val="13"/>
                <w:szCs w:val="13"/>
                <w:b w:val="1"/>
                <w:bCs w:val="1"/>
                <w:color w:val="auto"/>
                <w:w w:val="92"/>
              </w:rPr>
              <w:t>Indiana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ind w:left="220"/>
              <w:spacing w:after="0" w:line="144" w:lineRule="exact"/>
              <w:rPr>
                <w:sz w:val="20"/>
                <w:szCs w:val="20"/>
                <w:color w:val="auto"/>
              </w:rPr>
            </w:pPr>
            <w:r>
              <w:rPr>
                <w:rFonts w:ascii="Arial" w:cs="Arial" w:eastAsia="Arial" w:hAnsi="Arial"/>
                <w:sz w:val="13"/>
                <w:szCs w:val="13"/>
                <w:b w:val="1"/>
                <w:bCs w:val="1"/>
                <w:color w:val="auto"/>
              </w:rPr>
              <w:t>Corporate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4"/>
        </w:trPr>
        <w:tc>
          <w:tcPr>
            <w:tcW w:w="23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rPr>
              <w:t>T&amp;D</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89"/>
              </w:rPr>
              <w:t>Electric Integrated</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0"/>
              </w:rPr>
              <w:t>Natural Gas Distribution</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and Other</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4"/>
              <w:spacing w:after="0"/>
              <w:rPr>
                <w:sz w:val="20"/>
                <w:szCs w:val="20"/>
                <w:color w:val="auto"/>
              </w:rPr>
            </w:pPr>
            <w:r>
              <w:rPr>
                <w:rFonts w:ascii="Arial" w:cs="Arial" w:eastAsia="Arial" w:hAnsi="Arial"/>
                <w:sz w:val="13"/>
                <w:szCs w:val="13"/>
                <w:b w:val="1"/>
                <w:bCs w:val="1"/>
                <w:color w:val="auto"/>
              </w:rPr>
              <w:t>Total</w:t>
            </w:r>
          </w:p>
        </w:tc>
      </w:tr>
      <w:tr>
        <w:trPr>
          <w:trHeight w:val="256"/>
        </w:trPr>
        <w:tc>
          <w:tcPr>
            <w:tcW w:w="23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Revenue from contracts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6"/>
              <w:spacing w:after="0"/>
              <w:rPr>
                <w:sz w:val="20"/>
                <w:szCs w:val="20"/>
                <w:color w:val="auto"/>
              </w:rPr>
            </w:pPr>
            <w:r>
              <w:rPr>
                <w:rFonts w:ascii="Arial" w:cs="Arial" w:eastAsia="Arial" w:hAnsi="Arial"/>
                <w:sz w:val="16"/>
                <w:szCs w:val="16"/>
                <w:color w:val="auto"/>
              </w:rPr>
              <w:t>1,360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257</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4"/>
              <w:spacing w:after="0"/>
              <w:rPr>
                <w:sz w:val="20"/>
                <w:szCs w:val="20"/>
                <w:color w:val="auto"/>
              </w:rPr>
            </w:pPr>
            <w:r>
              <w:rPr>
                <w:rFonts w:ascii="Arial" w:cs="Arial" w:eastAsia="Arial" w:hAnsi="Arial"/>
                <w:sz w:val="16"/>
                <w:szCs w:val="16"/>
                <w:color w:val="auto"/>
              </w:rPr>
              <w:t>1,925</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6"/>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3,707</w:t>
            </w:r>
          </w:p>
        </w:tc>
      </w:tr>
      <w:tr>
        <w:trPr>
          <w:trHeight w:val="33"/>
        </w:trPr>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35</w:t>
            </w:r>
          </w:p>
        </w:tc>
      </w:tr>
      <w:tr>
        <w:trPr>
          <w:trHeight w:val="244"/>
        </w:trPr>
        <w:tc>
          <w:tcPr>
            <w:tcW w:w="2380" w:type="dxa"/>
            <w:vAlign w:val="bottom"/>
          </w:tcPr>
          <w:p>
            <w:pPr>
              <w:ind w:left="180"/>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color w:val="auto"/>
              </w:rPr>
              <w:t>1,358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3,742</w:t>
            </w:r>
          </w:p>
        </w:tc>
      </w:tr>
      <w:tr>
        <w:trPr>
          <w:trHeight w:val="20"/>
        </w:trPr>
        <w:tc>
          <w:tcPr>
            <w:tcW w:w="2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7"/>
          </w:tcPr>
          <w:p>
            <w:pPr>
              <w:jc w:val="center"/>
              <w:ind w:left="1086"/>
              <w:spacing w:after="0"/>
              <w:rPr>
                <w:sz w:val="20"/>
                <w:szCs w:val="20"/>
                <w:color w:val="auto"/>
              </w:rPr>
            </w:pPr>
            <w:r>
              <w:rPr>
                <w:rFonts w:ascii="Arial" w:cs="Arial" w:eastAsia="Arial" w:hAnsi="Arial"/>
                <w:sz w:val="14"/>
                <w:szCs w:val="14"/>
                <w:b w:val="1"/>
                <w:bCs w:val="1"/>
                <w:color w:val="auto"/>
                <w:w w:val="93"/>
              </w:rPr>
              <w:t>Three Months Ended June 30, 2019</w:t>
            </w: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43"/>
        </w:trPr>
        <w:tc>
          <w:tcPr>
            <w:tcW w:w="2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w w:val="89"/>
              </w:rPr>
              <w:t>Houston Electric</w:t>
            </w:r>
          </w:p>
        </w:tc>
        <w:tc>
          <w:tcPr>
            <w:tcW w:w="180" w:type="dxa"/>
            <w:vAlign w:val="bottom"/>
          </w:tcPr>
          <w:p>
            <w:pPr>
              <w:spacing w:after="0"/>
              <w:rPr>
                <w:sz w:val="12"/>
                <w:szCs w:val="12"/>
                <w:color w:val="auto"/>
              </w:rPr>
            </w:pPr>
          </w:p>
        </w:tc>
        <w:tc>
          <w:tcPr>
            <w:tcW w:w="1400" w:type="dxa"/>
            <w:vAlign w:val="bottom"/>
          </w:tcPr>
          <w:p>
            <w:pPr>
              <w:jc w:val="center"/>
              <w:ind w:right="26"/>
              <w:spacing w:after="0" w:line="144" w:lineRule="exact"/>
              <w:rPr>
                <w:sz w:val="20"/>
                <w:szCs w:val="20"/>
                <w:color w:val="auto"/>
              </w:rPr>
            </w:pPr>
            <w:r>
              <w:rPr>
                <w:rFonts w:ascii="Arial" w:cs="Arial" w:eastAsia="Arial" w:hAnsi="Arial"/>
                <w:sz w:val="13"/>
                <w:szCs w:val="13"/>
                <w:b w:val="1"/>
                <w:bCs w:val="1"/>
                <w:color w:val="auto"/>
                <w:w w:val="92"/>
              </w:rPr>
              <w:t>Indiana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tcPr>
          <w:p>
            <w:pPr>
              <w:jc w:val="center"/>
              <w:ind w:right="420"/>
              <w:spacing w:after="0" w:line="144" w:lineRule="exact"/>
              <w:rPr>
                <w:sz w:val="20"/>
                <w:szCs w:val="20"/>
                <w:color w:val="auto"/>
              </w:rPr>
            </w:pPr>
            <w:r>
              <w:rPr>
                <w:rFonts w:ascii="Arial" w:cs="Arial" w:eastAsia="Arial" w:hAnsi="Arial"/>
                <w:sz w:val="13"/>
                <w:szCs w:val="13"/>
                <w:b w:val="1"/>
                <w:bCs w:val="1"/>
                <w:color w:val="auto"/>
                <w:w w:val="90"/>
              </w:rPr>
              <w:t>Corporate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4"/>
        </w:trPr>
        <w:tc>
          <w:tcPr>
            <w:tcW w:w="2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3"/>
                <w:szCs w:val="13"/>
                <w:b w:val="1"/>
                <w:bCs w:val="1"/>
                <w:color w:val="auto"/>
              </w:rPr>
              <w:t>T&amp;D</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w w:val="89"/>
              </w:rPr>
              <w:t>Electric Integrated</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0"/>
              </w:rPr>
              <w:t>Natural Gas Distribution</w:t>
            </w: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91"/>
              </w:rPr>
              <w:t>and Other</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4"/>
              <w:spacing w:after="0"/>
              <w:rPr>
                <w:sz w:val="20"/>
                <w:szCs w:val="20"/>
                <w:color w:val="auto"/>
              </w:rPr>
            </w:pPr>
            <w:r>
              <w:rPr>
                <w:rFonts w:ascii="Arial" w:cs="Arial" w:eastAsia="Arial" w:hAnsi="Arial"/>
                <w:sz w:val="13"/>
                <w:szCs w:val="13"/>
                <w:b w:val="1"/>
                <w:bCs w:val="1"/>
                <w:color w:val="auto"/>
              </w:rPr>
              <w:t>Total</w:t>
            </w:r>
          </w:p>
        </w:tc>
      </w:tr>
      <w:tr>
        <w:trPr>
          <w:trHeight w:val="251"/>
        </w:trPr>
        <w:tc>
          <w:tcPr>
            <w:tcW w:w="2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from contracts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1,649</w:t>
            </w: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43"/>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26"/>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9</w:t>
            </w:r>
          </w:p>
        </w:tc>
      </w:tr>
      <w:tr>
        <w:trPr>
          <w:trHeight w:val="33"/>
        </w:trPr>
        <w:tc>
          <w:tcPr>
            <w:tcW w:w="2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1,658</w:t>
            </w:r>
          </w:p>
        </w:tc>
      </w:tr>
      <w:tr>
        <w:trPr>
          <w:trHeight w:val="20"/>
        </w:trPr>
        <w:tc>
          <w:tcPr>
            <w:tcW w:w="2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34"/>
        </w:trPr>
        <w:tc>
          <w:tcPr>
            <w:tcW w:w="2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w w:val="92"/>
              </w:rPr>
              <w:t>Six Months Ended June 30, 2019</w:t>
            </w: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43"/>
        </w:trPr>
        <w:tc>
          <w:tcPr>
            <w:tcW w:w="2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w w:val="89"/>
              </w:rPr>
              <w:t>Houston Electric</w:t>
            </w:r>
          </w:p>
        </w:tc>
        <w:tc>
          <w:tcPr>
            <w:tcW w:w="180" w:type="dxa"/>
            <w:vAlign w:val="bottom"/>
          </w:tcPr>
          <w:p>
            <w:pPr>
              <w:spacing w:after="0"/>
              <w:rPr>
                <w:sz w:val="12"/>
                <w:szCs w:val="12"/>
                <w:color w:val="auto"/>
              </w:rPr>
            </w:pPr>
          </w:p>
        </w:tc>
        <w:tc>
          <w:tcPr>
            <w:tcW w:w="1400" w:type="dxa"/>
            <w:vAlign w:val="bottom"/>
          </w:tcPr>
          <w:p>
            <w:pPr>
              <w:jc w:val="center"/>
              <w:ind w:right="26"/>
              <w:spacing w:after="0" w:line="144" w:lineRule="exact"/>
              <w:rPr>
                <w:sz w:val="20"/>
                <w:szCs w:val="20"/>
                <w:color w:val="auto"/>
              </w:rPr>
            </w:pPr>
            <w:r>
              <w:rPr>
                <w:rFonts w:ascii="Arial" w:cs="Arial" w:eastAsia="Arial" w:hAnsi="Arial"/>
                <w:sz w:val="13"/>
                <w:szCs w:val="13"/>
                <w:b w:val="1"/>
                <w:bCs w:val="1"/>
                <w:color w:val="auto"/>
                <w:w w:val="92"/>
              </w:rPr>
              <w:t>Indiana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tcPr>
          <w:p>
            <w:pPr>
              <w:jc w:val="center"/>
              <w:ind w:right="420"/>
              <w:spacing w:after="0" w:line="144" w:lineRule="exact"/>
              <w:rPr>
                <w:sz w:val="20"/>
                <w:szCs w:val="20"/>
                <w:color w:val="auto"/>
              </w:rPr>
            </w:pPr>
            <w:r>
              <w:rPr>
                <w:rFonts w:ascii="Arial" w:cs="Arial" w:eastAsia="Arial" w:hAnsi="Arial"/>
                <w:sz w:val="13"/>
                <w:szCs w:val="13"/>
                <w:b w:val="1"/>
                <w:bCs w:val="1"/>
                <w:color w:val="auto"/>
                <w:w w:val="90"/>
              </w:rPr>
              <w:t>Corporate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4"/>
        </w:trPr>
        <w:tc>
          <w:tcPr>
            <w:tcW w:w="23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rPr>
              <w:t>T&amp;D</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6"/>
              <w:spacing w:after="0"/>
              <w:rPr>
                <w:sz w:val="20"/>
                <w:szCs w:val="20"/>
                <w:color w:val="auto"/>
              </w:rPr>
            </w:pPr>
            <w:r>
              <w:rPr>
                <w:rFonts w:ascii="Arial" w:cs="Arial" w:eastAsia="Arial" w:hAnsi="Arial"/>
                <w:sz w:val="13"/>
                <w:szCs w:val="13"/>
                <w:b w:val="1"/>
                <w:bCs w:val="1"/>
                <w:color w:val="auto"/>
                <w:w w:val="90"/>
              </w:rPr>
              <w:t>Electric Integrated (2)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9"/>
              </w:rPr>
              <w:t>Natural Gas Distribution (2)</w:t>
            </w: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3"/>
                <w:szCs w:val="13"/>
                <w:b w:val="1"/>
                <w:bCs w:val="1"/>
                <w:color w:val="auto"/>
                <w:w w:val="91"/>
              </w:rPr>
              <w:t>and Other (2)</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4"/>
              <w:spacing w:after="0"/>
              <w:rPr>
                <w:sz w:val="20"/>
                <w:szCs w:val="20"/>
                <w:color w:val="auto"/>
              </w:rPr>
            </w:pPr>
            <w:r>
              <w:rPr>
                <w:rFonts w:ascii="Arial" w:cs="Arial" w:eastAsia="Arial" w:hAnsi="Arial"/>
                <w:sz w:val="13"/>
                <w:szCs w:val="13"/>
                <w:b w:val="1"/>
                <w:bCs w:val="1"/>
                <w:color w:val="auto"/>
              </w:rPr>
              <w:t>Total</w:t>
            </w:r>
          </w:p>
        </w:tc>
      </w:tr>
      <w:tr>
        <w:trPr>
          <w:trHeight w:val="257"/>
        </w:trPr>
        <w:tc>
          <w:tcPr>
            <w:tcW w:w="23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Revenue from contracts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6"/>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223</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3"/>
              <w:spacing w:after="0"/>
              <w:rPr>
                <w:sz w:val="20"/>
                <w:szCs w:val="20"/>
                <w:color w:val="auto"/>
              </w:rPr>
            </w:pPr>
            <w:r>
              <w:rPr>
                <w:rFonts w:ascii="Arial" w:cs="Arial" w:eastAsia="Arial" w:hAnsi="Arial"/>
                <w:sz w:val="16"/>
                <w:szCs w:val="16"/>
                <w:color w:val="auto"/>
              </w:rPr>
              <w:t>2,076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6"/>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4"/>
              <w:spacing w:after="0"/>
              <w:rPr>
                <w:sz w:val="20"/>
                <w:szCs w:val="20"/>
                <w:color w:val="auto"/>
              </w:rPr>
            </w:pPr>
            <w:r>
              <w:rPr>
                <w:rFonts w:ascii="Arial" w:cs="Arial" w:eastAsia="Arial" w:hAnsi="Arial"/>
                <w:sz w:val="16"/>
                <w:szCs w:val="16"/>
                <w:color w:val="auto"/>
              </w:rPr>
              <w:t>3,876</w:t>
            </w:r>
          </w:p>
        </w:tc>
      </w:tr>
      <w:tr>
        <w:trPr>
          <w:trHeight w:val="33"/>
        </w:trPr>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11</w:t>
            </w:r>
          </w:p>
        </w:tc>
      </w:tr>
      <w:tr>
        <w:trPr>
          <w:trHeight w:val="243"/>
        </w:trPr>
        <w:tc>
          <w:tcPr>
            <w:tcW w:w="2380" w:type="dxa"/>
            <w:vAlign w:val="bottom"/>
          </w:tcPr>
          <w:p>
            <w:pPr>
              <w:ind w:left="180"/>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color w:val="auto"/>
              </w:rPr>
              <w:t>1,454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2,088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3,887</w:t>
            </w:r>
          </w:p>
        </w:tc>
      </w:tr>
      <w:tr>
        <w:trPr>
          <w:trHeight w:val="20"/>
        </w:trPr>
        <w:tc>
          <w:tcPr>
            <w:tcW w:w="2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9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Primarily consists of income from ARPs, weather hedge gains (losses)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 Total lease income was $1 million and $1 million for the three months ended June 30, 2020 and 2019, respectively, and $2 million and $3 million for the six months ended June 30, 2020 and 2019, respectively.</w:t>
      </w:r>
    </w:p>
    <w:p>
      <w:pPr>
        <w:spacing w:after="0" w:line="164"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revenues from Vectren subsidiaries for the period from February 1, 2019 to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80" w:type="dxa"/>
            <w:vAlign w:val="bottom"/>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contracts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1,451</w:t>
            </w:r>
          </w:p>
        </w:tc>
      </w:tr>
      <w:tr>
        <w:trPr>
          <w:trHeight w:val="20"/>
        </w:trPr>
        <w:tc>
          <w:tcPr>
            <w:tcW w:w="5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Primarily consists of income from ARPs, weather hedge gains (losses)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 Lease income was not significant for the three or six months ended June 30, 2020 and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2"/>
              </w:rPr>
              <w:t>Three Months Ended June 30,</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2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43"/>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40"/>
              <w:spacing w:after="0" w:line="144" w:lineRule="exact"/>
              <w:rPr>
                <w:sz w:val="20"/>
                <w:szCs w:val="20"/>
                <w:color w:val="auto"/>
              </w:rPr>
            </w:pPr>
            <w:r>
              <w:rPr>
                <w:rFonts w:ascii="Arial" w:cs="Arial" w:eastAsia="Arial" w:hAnsi="Arial"/>
                <w:sz w:val="13"/>
                <w:szCs w:val="13"/>
                <w:b w:val="1"/>
                <w:bCs w:val="1"/>
                <w:color w:val="auto"/>
              </w:rPr>
              <w:t>Natural Gas</w:t>
            </w:r>
          </w:p>
        </w:tc>
        <w:tc>
          <w:tcPr>
            <w:tcW w:w="1060" w:type="dxa"/>
            <w:vAlign w:val="bottom"/>
          </w:tcPr>
          <w:p>
            <w:pPr>
              <w:jc w:val="center"/>
              <w:ind w:left="188"/>
              <w:spacing w:after="0" w:line="144" w:lineRule="exact"/>
              <w:rPr>
                <w:sz w:val="20"/>
                <w:szCs w:val="20"/>
                <w:color w:val="auto"/>
              </w:rPr>
            </w:pPr>
            <w:r>
              <w:rPr>
                <w:rFonts w:ascii="Arial" w:cs="Arial" w:eastAsia="Arial" w:hAnsi="Arial"/>
                <w:sz w:val="13"/>
                <w:szCs w:val="13"/>
                <w:b w:val="1"/>
                <w:bCs w:val="1"/>
                <w:color w:val="auto"/>
                <w:w w:val="90"/>
              </w:rPr>
              <w:t>Corporate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Natural Gas</w:t>
            </w: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0"/>
              </w:rPr>
              <w:t>Corporate</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4"/>
        </w:trPr>
        <w:tc>
          <w:tcPr>
            <w:tcW w:w="2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Distribution</w:t>
            </w:r>
          </w:p>
        </w:tc>
        <w:tc>
          <w:tcPr>
            <w:tcW w:w="1060" w:type="dxa"/>
            <w:vAlign w:val="bottom"/>
            <w:tcBorders>
              <w:bottom w:val="single" w:sz="8" w:color="auto"/>
            </w:tcBorders>
          </w:tcPr>
          <w:p>
            <w:pPr>
              <w:jc w:val="center"/>
              <w:ind w:left="188"/>
              <w:spacing w:after="0"/>
              <w:rPr>
                <w:sz w:val="20"/>
                <w:szCs w:val="20"/>
                <w:color w:val="auto"/>
              </w:rPr>
            </w:pPr>
            <w:r>
              <w:rPr>
                <w:rFonts w:ascii="Arial" w:cs="Arial" w:eastAsia="Arial" w:hAnsi="Arial"/>
                <w:sz w:val="13"/>
                <w:szCs w:val="13"/>
                <w:b w:val="1"/>
                <w:bCs w:val="1"/>
                <w:color w:val="auto"/>
                <w:w w:val="91"/>
              </w:rPr>
              <w:t>and Other</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Distribution</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1"/>
              </w:rPr>
              <w:t>and Other</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Total</w:t>
            </w:r>
          </w:p>
        </w:tc>
      </w:tr>
      <w:tr>
        <w:trPr>
          <w:trHeight w:val="250"/>
        </w:trPr>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gridSpan w:val="3"/>
          </w:tcPr>
          <w:p>
            <w:pPr>
              <w:jc w:val="center"/>
              <w:ind w:left="61"/>
              <w:spacing w:after="0"/>
              <w:rPr>
                <w:sz w:val="20"/>
                <w:szCs w:val="20"/>
                <w:color w:val="auto"/>
              </w:rPr>
            </w:pPr>
            <w:r>
              <w:rPr>
                <w:rFonts w:ascii="Arial" w:cs="Arial" w:eastAsia="Arial" w:hAnsi="Arial"/>
                <w:sz w:val="14"/>
                <w:szCs w:val="14"/>
                <w:b w:val="1"/>
                <w:bCs w:val="1"/>
                <w:color w:val="auto"/>
                <w:w w:val="91"/>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from contracts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46"/>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515</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220" w:type="dxa"/>
            <w:vAlign w:val="bottom"/>
          </w:tcPr>
          <w:p>
            <w:pPr>
              <w:spacing w:after="0"/>
              <w:rPr>
                <w:sz w:val="20"/>
                <w:szCs w:val="20"/>
                <w:color w:val="auto"/>
              </w:rPr>
            </w:pPr>
          </w:p>
        </w:tc>
        <w:tc>
          <w:tcPr>
            <w:tcW w:w="1160" w:type="dxa"/>
            <w:vAlign w:val="bottom"/>
          </w:tcPr>
          <w:p>
            <w:pPr>
              <w:jc w:val="right"/>
              <w:ind w:right="66"/>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11</w:t>
            </w:r>
          </w:p>
        </w:tc>
      </w:tr>
      <w:tr>
        <w:trPr>
          <w:trHeight w:val="33"/>
        </w:trPr>
        <w:tc>
          <w:tcPr>
            <w:tcW w:w="2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46"/>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526</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35"/>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2"/>
              </w:rPr>
              <w:t>Six Months Ended June 30,</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3"/>
        </w:trPr>
        <w:tc>
          <w:tcPr>
            <w:tcW w:w="26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43"/>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140"/>
              <w:spacing w:after="0" w:line="144" w:lineRule="exact"/>
              <w:rPr>
                <w:sz w:val="20"/>
                <w:szCs w:val="20"/>
                <w:color w:val="auto"/>
              </w:rPr>
            </w:pPr>
            <w:r>
              <w:rPr>
                <w:rFonts w:ascii="Arial" w:cs="Arial" w:eastAsia="Arial" w:hAnsi="Arial"/>
                <w:sz w:val="13"/>
                <w:szCs w:val="13"/>
                <w:b w:val="1"/>
                <w:bCs w:val="1"/>
                <w:color w:val="auto"/>
              </w:rPr>
              <w:t>Natural Gas</w:t>
            </w:r>
          </w:p>
        </w:tc>
        <w:tc>
          <w:tcPr>
            <w:tcW w:w="1060" w:type="dxa"/>
            <w:vAlign w:val="bottom"/>
          </w:tcPr>
          <w:p>
            <w:pPr>
              <w:jc w:val="center"/>
              <w:ind w:left="188"/>
              <w:spacing w:after="0" w:line="144" w:lineRule="exact"/>
              <w:rPr>
                <w:sz w:val="20"/>
                <w:szCs w:val="20"/>
                <w:color w:val="auto"/>
              </w:rPr>
            </w:pPr>
            <w:r>
              <w:rPr>
                <w:rFonts w:ascii="Arial" w:cs="Arial" w:eastAsia="Arial" w:hAnsi="Arial"/>
                <w:sz w:val="13"/>
                <w:szCs w:val="13"/>
                <w:b w:val="1"/>
                <w:bCs w:val="1"/>
                <w:color w:val="auto"/>
                <w:w w:val="90"/>
              </w:rPr>
              <w:t>Corporate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Natural Gas</w:t>
            </w:r>
          </w:p>
        </w:tc>
        <w:tc>
          <w:tcPr>
            <w:tcW w:w="240" w:type="dxa"/>
            <w:vAlign w:val="bottom"/>
          </w:tcPr>
          <w:p>
            <w:pPr>
              <w:spacing w:after="0"/>
              <w:rPr>
                <w:sz w:val="12"/>
                <w:szCs w:val="12"/>
                <w:color w:val="auto"/>
              </w:rPr>
            </w:pPr>
          </w:p>
        </w:tc>
        <w:tc>
          <w:tcPr>
            <w:tcW w:w="120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0"/>
              </w:rPr>
              <w:t>Corporate</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4"/>
        </w:trPr>
        <w:tc>
          <w:tcPr>
            <w:tcW w:w="2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Distribution</w:t>
            </w:r>
          </w:p>
        </w:tc>
        <w:tc>
          <w:tcPr>
            <w:tcW w:w="1060" w:type="dxa"/>
            <w:vAlign w:val="bottom"/>
            <w:tcBorders>
              <w:bottom w:val="single" w:sz="8" w:color="auto"/>
            </w:tcBorders>
          </w:tcPr>
          <w:p>
            <w:pPr>
              <w:jc w:val="center"/>
              <w:ind w:left="228"/>
              <w:spacing w:after="0"/>
              <w:rPr>
                <w:sz w:val="20"/>
                <w:szCs w:val="20"/>
                <w:color w:val="auto"/>
              </w:rPr>
            </w:pPr>
            <w:r>
              <w:rPr>
                <w:rFonts w:ascii="Arial" w:cs="Arial" w:eastAsia="Arial" w:hAnsi="Arial"/>
                <w:sz w:val="13"/>
                <w:szCs w:val="13"/>
                <w:b w:val="1"/>
                <w:bCs w:val="1"/>
                <w:color w:val="auto"/>
                <w:w w:val="91"/>
              </w:rPr>
              <w:t>and Other</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Distribution</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91"/>
              </w:rPr>
              <w:t>and Other</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Total</w:t>
            </w:r>
          </w:p>
        </w:tc>
      </w:tr>
      <w:tr>
        <w:trPr>
          <w:trHeight w:val="250"/>
        </w:trPr>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gridSpan w:val="3"/>
          </w:tcPr>
          <w:p>
            <w:pPr>
              <w:jc w:val="center"/>
              <w:ind w:left="61"/>
              <w:spacing w:after="0"/>
              <w:rPr>
                <w:sz w:val="20"/>
                <w:szCs w:val="20"/>
                <w:color w:val="auto"/>
              </w:rPr>
            </w:pPr>
            <w:r>
              <w:rPr>
                <w:rFonts w:ascii="Arial" w:cs="Arial" w:eastAsia="Arial" w:hAnsi="Arial"/>
                <w:sz w:val="14"/>
                <w:szCs w:val="14"/>
                <w:b w:val="1"/>
                <w:bCs w:val="1"/>
                <w:color w:val="auto"/>
                <w:w w:val="91"/>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from contracts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6"/>
                <w:szCs w:val="16"/>
                <w:color w:val="auto"/>
              </w:rPr>
              <w:t>1,451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46"/>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1,456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1,720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1,721</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220" w:type="dxa"/>
            <w:vAlign w:val="bottom"/>
          </w:tcPr>
          <w:p>
            <w:pPr>
              <w:spacing w:after="0"/>
              <w:rPr>
                <w:sz w:val="20"/>
                <w:szCs w:val="20"/>
                <w:color w:val="auto"/>
              </w:rPr>
            </w:pPr>
          </w:p>
        </w:tc>
        <w:tc>
          <w:tcPr>
            <w:tcW w:w="1160" w:type="dxa"/>
            <w:vAlign w:val="bottom"/>
          </w:tcPr>
          <w:p>
            <w:pPr>
              <w:jc w:val="right"/>
              <w:ind w:right="66"/>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jc w:val="right"/>
              <w:ind w:right="21"/>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6"/>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17</w:t>
            </w:r>
          </w:p>
        </w:tc>
      </w:tr>
      <w:tr>
        <w:trPr>
          <w:trHeight w:val="33"/>
        </w:trPr>
        <w:tc>
          <w:tcPr>
            <w:tcW w:w="2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6"/>
                <w:szCs w:val="16"/>
                <w:color w:val="auto"/>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46"/>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1,494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1,738</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Primarily consists of income from ARPs, weather hedge gains (losses) and leases. 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 Lease income was not significant for the three or six months ended June 30, 2020 and 2019.</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Houston Electric T&amp;D (CenterPoint Energy and Houston Electric). </w:t>
      </w:r>
      <w:r>
        <w:rPr>
          <w:rFonts w:ascii="Arial" w:cs="Arial" w:eastAsia="Arial" w:hAnsi="Arial"/>
          <w:sz w:val="17"/>
          <w:szCs w:val="17"/>
          <w:color w:val="auto"/>
        </w:rPr>
        <w:t>Houston Electric distributes electricity to customers over time and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 the electricity when delivered. Revenue, consisting of both volumetric and fixed tariff rates set by the PUCT, is recognized as electricity is delivered and represents amounts both billed and unbilled. Discretionary services requested by customers are provided at a point in time with control transferring upon the completion of the service. Revenue for discretionary services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PUCT. Payments are received on a monthly basis.</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Indiana Electric Integrated (CenterPoint Energy). </w:t>
      </w:r>
      <w:r>
        <w:rPr>
          <w:rFonts w:ascii="Arial" w:cs="Arial" w:eastAsia="Arial" w:hAnsi="Arial"/>
          <w:sz w:val="18"/>
          <w:szCs w:val="18"/>
          <w:color w:val="auto"/>
        </w:rPr>
        <w:t>Indiana Electric generates, distributes and transmits electricity to customers over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consume the electricity when delivered. Revenue, consisting of both volumetric and fixed tariff rates set by state regulators, is recognized as electricity is delivered and represents amounts both billed and unbilled. Customers are billed monthly and payment terms, set by the regulator, require payment within a month of billing.</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 xml:space="preserve">Natural Gas Distribution (CenterPoint Energy and CERC). </w:t>
      </w:r>
      <w:r>
        <w:rPr>
          <w:rFonts w:ascii="Arial" w:cs="Arial" w:eastAsia="Arial" w:hAnsi="Arial"/>
          <w:sz w:val="17"/>
          <w:szCs w:val="17"/>
          <w:color w:val="auto"/>
        </w:rPr>
        <w:t>CERC distributes and transports natural gas to customers over time, and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 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satisfied at a point in time and revenue is recognized upon completion of service and the tariff rates set by the applicable state regulator. Payments of natural gas distribution, transportation and discretionary services are aggregated and received on a monthly basis.</w:t>
      </w:r>
    </w:p>
    <w:p>
      <w:pPr>
        <w:spacing w:after="0" w:line="1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221F1F"/>
        </w:rPr>
        <w:t xml:space="preserve">Contract Balances. </w:t>
      </w:r>
      <w:r>
        <w:rPr>
          <w:rFonts w:ascii="Arial" w:cs="Arial" w:eastAsia="Arial" w:hAnsi="Arial"/>
          <w:sz w:val="16"/>
          <w:szCs w:val="16"/>
          <w:color w:val="221F1F"/>
        </w:rPr>
        <w:t>When the timing of delivery of service is different from the timing of the payments made by customers and when the right to</w:t>
      </w:r>
      <w:r>
        <w:rPr>
          <w:rFonts w:ascii="Arial" w:cs="Arial" w:eastAsia="Arial" w:hAnsi="Arial"/>
          <w:sz w:val="16"/>
          <w:szCs w:val="16"/>
          <w:b w:val="1"/>
          <w:bCs w:val="1"/>
          <w:i w:val="1"/>
          <w:iCs w:val="1"/>
          <w:color w:val="221F1F"/>
        </w:rPr>
        <w:t xml:space="preserve"> </w:t>
      </w:r>
      <w:r>
        <w:rPr>
          <w:rFonts w:ascii="Arial" w:cs="Arial" w:eastAsia="Arial" w:hAnsi="Arial"/>
          <w:sz w:val="16"/>
          <w:szCs w:val="16"/>
          <w:color w:val="221F1F"/>
        </w:rPr>
        <w:t>consideration is conditioned on something other than the passage of time, the Registrants recognize either a contract asset (performance precedes billing) or a contract liability (customer payment precedes performance). Those customers that prepay are represented by contract liabilities until the performance obligations are satisfied. The Registrants’ contract assets are included in Accrued unbilled revenues in their Condensed Consolidated Balance Sheets. As of June 30, 2020, CenterPoint Energy’s contract assets primarily relate to ESG contracts where revenue is recognized using the input method. The Registrants’ contract liabilities are included in Accounts payable and Other current liabilities in their Condensed Consolidated Balance Sheets. As of June 30, 2020, CenterPoint Energy’s contract liabilities primarily relate to ESG contracts where revenue is recognized using the input method.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21F1F"/>
        </w:rPr>
        <w:t>The opening and closing balances of accounts receivable, other accrued unbilled revenue, contract assets and contract liabilities from contracts with customers from continuing operations as of December 31, 2019 and June 30, 2020, respectively,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Other Accrued</w:t>
            </w:r>
          </w:p>
        </w:tc>
        <w:tc>
          <w:tcPr>
            <w:tcW w:w="38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Contract</w:t>
            </w:r>
          </w:p>
        </w:tc>
        <w:tc>
          <w:tcPr>
            <w:tcW w:w="120" w:type="dxa"/>
            <w:vAlign w:val="bottom"/>
          </w:tcPr>
          <w:p>
            <w:pPr>
              <w:spacing w:after="0"/>
              <w:rPr>
                <w:sz w:val="14"/>
                <w:szCs w:val="14"/>
                <w:color w:val="auto"/>
              </w:rPr>
            </w:pPr>
          </w:p>
        </w:tc>
        <w:tc>
          <w:tcPr>
            <w:tcW w:w="13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5"/>
              </w:rPr>
              <w:t>Contract Liabilities</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Unbilled Revenues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balance as of December 31, 2019</w:t>
            </w:r>
          </w:p>
        </w:tc>
        <w:tc>
          <w:tcPr>
            <w:tcW w:w="60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Closing balance as of June 30, 2020</w:t>
            </w:r>
          </w:p>
        </w:tc>
        <w:tc>
          <w:tcPr>
            <w:tcW w:w="6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(decrease)</w:t>
            </w: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21F1F"/>
        </w:rPr>
        <w:t>The amount of revenue recognized in the six-month period ended June 30, 2020 that was included in the opening contract liability was $28 million. The difference between the opening and closing balances of the contract liabilities primarily results from the timing difference between CenterPoint Energy’s performance and the customer’s payment.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Other Accrued</w:t>
            </w:r>
          </w:p>
        </w:tc>
        <w:tc>
          <w:tcPr>
            <w:tcW w:w="120" w:type="dxa"/>
            <w:vAlign w:val="bottom"/>
          </w:tcPr>
          <w:p>
            <w:pPr>
              <w:spacing w:after="0"/>
              <w:rPr>
                <w:sz w:val="14"/>
                <w:szCs w:val="14"/>
                <w:color w:val="auto"/>
              </w:rPr>
            </w:pPr>
          </w:p>
        </w:tc>
        <w:tc>
          <w:tcPr>
            <w:tcW w:w="13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5"/>
              </w:rPr>
              <w:t>Contract Liabilities</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Unbilled Revenues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balance as of December 31, 2019</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Closing balance as of June 30, 2020</w:t>
            </w:r>
          </w:p>
        </w:tc>
        <w:tc>
          <w:tcPr>
            <w:tcW w:w="6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w:t>
            </w: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21F1F"/>
        </w:rPr>
        <w:t>The amount of revenue recognized in the six-month period ended June 30, 2020 that was included in the opening contract liability was $2 million. The difference between the opening and closing balances of the contract liabilities primarily results from the timing difference between Houston Electric’s performance and the customer’s payment.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Accounts Receivable</w:t>
            </w:r>
          </w:p>
        </w:tc>
        <w:tc>
          <w:tcPr>
            <w:tcW w:w="180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rPr>
              <w:t>Other Accrued Unbilled</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balance as of December 31,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Closing balance as of June 30, 2020</w:t>
            </w:r>
          </w:p>
        </w:tc>
        <w:tc>
          <w:tcPr>
            <w:tcW w:w="200" w:type="dxa"/>
            <w:vAlign w:val="bottom"/>
          </w:tcPr>
          <w:p>
            <w:pPr>
              <w:spacing w:after="0"/>
              <w:rPr>
                <w:sz w:val="21"/>
                <w:szCs w:val="21"/>
                <w:color w:val="auto"/>
              </w:rPr>
            </w:pP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Decrease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221F1F"/>
        </w:rPr>
        <w:t>CERC does not have any opening or closing contract asset or contract liability balances.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221E1F"/>
        </w:rPr>
        <w:t xml:space="preserve">Remaining Performance Obligations (CenterPoint Energy). </w:t>
      </w:r>
      <w:r>
        <w:rPr>
          <w:rFonts w:ascii="Arial" w:cs="Arial" w:eastAsia="Arial" w:hAnsi="Arial"/>
          <w:sz w:val="18"/>
          <w:szCs w:val="18"/>
          <w:color w:val="221F1F"/>
        </w:rPr>
        <w:t>The table below discloses (1) the aggregate amount of the transaction price allocated to</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F1F"/>
        </w:rPr>
        <w:t>performance obligations that are unsatisfied (or partially unsatisfied) as of the end of the reporting period for contracts and (2) when CenterPoint Energy expects to recognize this revenue. Such contracts include energy performance and sustainable infrastructure services contracts of ESG, which are included in Corporate and Other.</w:t>
      </w:r>
    </w:p>
    <w:p>
      <w:pPr>
        <w:spacing w:after="0" w:line="192" w:lineRule="exact"/>
        <w:rPr>
          <w:sz w:val="20"/>
          <w:szCs w:val="20"/>
          <w:color w:val="auto"/>
        </w:rPr>
      </w:pPr>
    </w:p>
    <w:p>
      <w:pPr>
        <w:ind w:left="7380"/>
        <w:spacing w:after="0"/>
        <w:tabs>
          <w:tab w:leader="none" w:pos="8940" w:val="left"/>
          <w:tab w:leader="none" w:pos="10440" w:val="left"/>
        </w:tabs>
        <w:rPr>
          <w:sz w:val="20"/>
          <w:szCs w:val="20"/>
          <w:color w:val="auto"/>
        </w:rPr>
      </w:pPr>
      <w:r>
        <w:rPr>
          <w:rFonts w:ascii="Arial" w:cs="Arial" w:eastAsia="Arial" w:hAnsi="Arial"/>
          <w:sz w:val="14"/>
          <w:szCs w:val="14"/>
          <w:b w:val="1"/>
          <w:bCs w:val="1"/>
          <w:color w:val="auto"/>
        </w:rPr>
        <w:t>Rolling 12 Months</w:t>
      </w:r>
      <w:r>
        <w:rPr>
          <w:sz w:val="20"/>
          <w:szCs w:val="20"/>
          <w:color w:val="auto"/>
        </w:rPr>
        <w:tab/>
      </w:r>
      <w:r>
        <w:rPr>
          <w:rFonts w:ascii="Arial" w:cs="Arial" w:eastAsia="Arial" w:hAnsi="Arial"/>
          <w:sz w:val="14"/>
          <w:szCs w:val="14"/>
          <w:b w:val="1"/>
          <w:bCs w:val="1"/>
          <w:color w:val="auto"/>
        </w:rPr>
        <w:t>Thereafter</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89"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Revenue expected to be recognized on contracts in place as of June 30, 2020:</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r>
      <w:tr>
        <w:trPr>
          <w:trHeight w:val="236"/>
        </w:trPr>
        <w:tc>
          <w:tcPr>
            <w:tcW w:w="73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772</w:t>
            </w:r>
          </w:p>
        </w:tc>
      </w:tr>
      <w:tr>
        <w:trPr>
          <w:trHeight w:val="27"/>
        </w:trPr>
        <w:tc>
          <w:tcPr>
            <w:tcW w:w="7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Practical Expedients and Exemption. </w:t>
      </w:r>
      <w:r>
        <w:rPr>
          <w:rFonts w:ascii="Arial" w:cs="Arial" w:eastAsia="Arial" w:hAnsi="Arial"/>
          <w:sz w:val="18"/>
          <w:szCs w:val="18"/>
          <w:color w:val="auto"/>
        </w:rPr>
        <w:t>Sales taxes and other similar taxes collected from customers are excluded from the transaction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contracts for which revenue from the satisfaction of the performance obligations is recognized in the amount invoiced, the practical expedient was elected and revenue expected to be recognized on these contracts has not been disclosed.</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Provision of Doubtful Accounts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21F1F"/>
        </w:rPr>
        <w:t>The Registrants adopted ASU 2016-13, Financial Instruments—Credit Losses (Topic 326): Measurement of Credit Losses on Financial Instruments and all related amendments on January 1, 2020 using a modified retrospective method. ASU 2016-13 replaces the “incurred loss” model with a CECL model for financial assets measured at amortized cost and for certain off-balance sheet credit exposures. Adoption of this standard did not have a material impact on the Registrants’ respective consolidated financial statements. CenterPoint Energy and CERC applied the $5 million cumulative-effect adjustment of the transition to opening retained earnings as of the effective date, which included $2 million related to the Energy Services Disposal Group. There was no material cumulative-effect adjustment for Houston Electric. The disclosures for periods prior to adoption will be presented in accordance with accounting standards in effect for those periods.</w:t>
      </w:r>
    </w:p>
    <w:p>
      <w:pPr>
        <w:spacing w:after="0" w:line="19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21F1F"/>
        </w:rPr>
        <w:t>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had no material changes in its methodology to recognize losses on financial assets that fall under the scope of Topic 326, primarily due to the nature of its customers and regulatory environment. For a discussion of regulatory deferrals related to COVID-19, see Note 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(CenterPoint Energy)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080" w:type="dxa"/>
            <w:vAlign w:val="bottom"/>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7"/>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14"/>
                <w:szCs w:val="14"/>
                <w:color w:val="auto"/>
              </w:rPr>
              <w:t>(2)</w:t>
            </w:r>
          </w:p>
        </w:tc>
        <w:tc>
          <w:tcPr>
            <w:tcW w:w="10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 xml:space="preserve">Settlement cost </w:t>
            </w:r>
            <w:r>
              <w:rPr>
                <w:rFonts w:ascii="Arial" w:cs="Arial" w:eastAsia="Arial" w:hAnsi="Arial"/>
                <w:sz w:val="14"/>
                <w:szCs w:val="14"/>
                <w:color w:val="auto"/>
              </w:rPr>
              <w:t>(2) (3)</w:t>
            </w:r>
          </w:p>
        </w:tc>
        <w:tc>
          <w:tcPr>
            <w:tcW w:w="10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Curtailment gain </w:t>
            </w:r>
            <w:r>
              <w:rPr>
                <w:rFonts w:ascii="Arial" w:cs="Arial" w:eastAsia="Arial" w:hAnsi="Arial"/>
                <w:sz w:val="14"/>
                <w:szCs w:val="14"/>
                <w:color w:val="auto"/>
              </w:rPr>
              <w:t>(2) (4)</w:t>
            </w: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Net periodic cost</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w:t>
            </w:r>
          </w:p>
        </w:tc>
      </w:tr>
      <w:tr>
        <w:trPr>
          <w:trHeight w:val="20"/>
        </w:trPr>
        <w:tc>
          <w:tcPr>
            <w:tcW w:w="5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Operation and maintenance expense in each of the Registrants’ respective Condensed Statements of Consolidated Income, net of amounts capitalized and regulatory deferrals.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Other income (expense), net in each of the Registrants’ respective Condensed Statements of Consolidated Income, net of regulatory deferrals.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one-time, non-cash settlement cost is required when the total lump sum distributions or other settlements of plan benefit obligations during a plan year exceed the service cost and interest cost components of the net periodic cost for that year. In each of the three and six months ended June 30, 2020 and 2019, CenterPoint Energy recognized a non-cash settlement cost of $1 million and $1 million, respectively, due to lump sum settlement payments from Vectren pension plans.</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curtailment gain or loss is required when the expected future services of a significant number of employees are reduced or eliminated for the accrual of benefits. In the six months ended June 30, 2019, CenterPoint Energy recognized a pension curtailment gain of $1 million related to Vectren employees whose employment was terminated after the Merger closed.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 June 30,</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9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Houston Electric</w:t>
            </w:r>
          </w:p>
        </w:tc>
        <w:tc>
          <w:tcPr>
            <w:tcW w:w="160" w:type="dxa"/>
            <w:vAlign w:val="bottom"/>
          </w:tcPr>
          <w:p>
            <w:pPr>
              <w:spacing w:after="0"/>
              <w:rPr>
                <w:sz w:val="13"/>
                <w:szCs w:val="13"/>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3"/>
                <w:szCs w:val="13"/>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Energy</w:t>
            </w:r>
          </w:p>
        </w:tc>
        <w:tc>
          <w:tcPr>
            <w:tcW w:w="126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 cost (1)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Interest cost (2)</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return on plan assets (2)</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Amortization of prior service cost (credit) (2)</w:t>
            </w:r>
          </w:p>
        </w:tc>
        <w:tc>
          <w:tcPr>
            <w:tcW w:w="16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periodic cost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 June 30,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9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Houston Electric</w:t>
            </w:r>
          </w:p>
        </w:tc>
        <w:tc>
          <w:tcPr>
            <w:tcW w:w="160" w:type="dxa"/>
            <w:vAlign w:val="bottom"/>
          </w:tcPr>
          <w:p>
            <w:pPr>
              <w:spacing w:after="0"/>
              <w:rPr>
                <w:sz w:val="13"/>
                <w:szCs w:val="13"/>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3"/>
                <w:szCs w:val="13"/>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Energy</w:t>
            </w:r>
          </w:p>
        </w:tc>
        <w:tc>
          <w:tcPr>
            <w:tcW w:w="126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 cost (1)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Interest cost (2)</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return on plan assets (2)</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Amortization of prior service cost (credit) (2)</w:t>
            </w:r>
          </w:p>
        </w:tc>
        <w:tc>
          <w:tcPr>
            <w:tcW w:w="16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periodic cost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Operation and maintenance expense in each of the Registrants’ respective Condensed Statements of Consolidated Income, net of amounts capitalized and regulatory deferrals.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Other income (expense), net in each of the Registrants’ respective Condensed Statements of Consolidated Income, net of regulatory deferrals.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reflects the expected contributions to be made to the pension and postretirement benefit plans during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CenterPoint Energy</w:t>
            </w: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519"/>
              <w:spacing w:after="0"/>
              <w:rPr>
                <w:sz w:val="20"/>
                <w:szCs w:val="20"/>
                <w:color w:val="auto"/>
              </w:rPr>
            </w:pPr>
            <w:r>
              <w:rPr>
                <w:rFonts w:ascii="Arial" w:cs="Arial" w:eastAsia="Arial" w:hAnsi="Arial"/>
                <w:sz w:val="14"/>
                <w:szCs w:val="14"/>
                <w:b w:val="1"/>
                <w:bCs w:val="1"/>
                <w:color w:val="auto"/>
                <w:w w:val="93"/>
              </w:rPr>
              <w:t>Houston Electric</w:t>
            </w: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CERC</w:t>
            </w:r>
          </w:p>
        </w:tc>
      </w:tr>
      <w:tr>
        <w:trPr>
          <w:trHeight w:val="250"/>
        </w:trPr>
        <w:tc>
          <w:tcPr>
            <w:tcW w:w="6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center"/>
              <w:ind w:right="499"/>
              <w:spacing w:after="0"/>
              <w:rPr>
                <w:sz w:val="20"/>
                <w:szCs w:val="20"/>
                <w:color w:val="auto"/>
              </w:rPr>
            </w:pPr>
            <w:r>
              <w:rPr>
                <w:rFonts w:ascii="Arial" w:cs="Arial" w:eastAsia="Arial" w:hAnsi="Arial"/>
                <w:sz w:val="14"/>
                <w:szCs w:val="14"/>
                <w:b w:val="1"/>
                <w:bCs w:val="1"/>
                <w:color w:val="auto"/>
                <w:w w:val="94"/>
              </w:rPr>
              <w:t>(in millions)</w:t>
            </w:r>
          </w:p>
        </w:tc>
        <w:tc>
          <w:tcPr>
            <w:tcW w:w="1140" w:type="dxa"/>
            <w:vAlign w:val="bottom"/>
          </w:tcPr>
          <w:p>
            <w:pPr>
              <w:spacing w:after="0"/>
              <w:rPr>
                <w:sz w:val="21"/>
                <w:szCs w:val="2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minimum contribution to pension plans during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Expected contribution to postretirement benefit plans in 2020</w:t>
            </w:r>
          </w:p>
        </w:tc>
        <w:tc>
          <w:tcPr>
            <w:tcW w:w="12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1720" w:type="dxa"/>
            <w:vAlign w:val="bottom"/>
          </w:tcPr>
          <w:p>
            <w:pPr>
              <w:jc w:val="right"/>
              <w:ind w:right="459"/>
              <w:spacing w:after="0"/>
              <w:rPr>
                <w:sz w:val="20"/>
                <w:szCs w:val="20"/>
                <w:color w:val="auto"/>
              </w:rPr>
            </w:pPr>
            <w:r>
              <w:rPr>
                <w:rFonts w:ascii="Arial" w:cs="Arial" w:eastAsia="Arial" w:hAnsi="Arial"/>
                <w:sz w:val="18"/>
                <w:szCs w:val="18"/>
                <w:color w:val="auto"/>
              </w:rPr>
              <w:t>4</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w:t>
            </w: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reflects the contributions made to the pension and postretirement benefit plans during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center"/>
              <w:ind w:right="399"/>
              <w:spacing w:after="0"/>
              <w:rPr>
                <w:sz w:val="20"/>
                <w:szCs w:val="20"/>
                <w:color w:val="auto"/>
              </w:rPr>
            </w:pPr>
            <w:r>
              <w:rPr>
                <w:rFonts w:ascii="Arial" w:cs="Arial" w:eastAsia="Arial" w:hAnsi="Arial"/>
                <w:sz w:val="14"/>
                <w:szCs w:val="14"/>
                <w:b w:val="1"/>
                <w:bCs w:val="1"/>
                <w:color w:val="auto"/>
                <w:w w:val="93"/>
              </w:rPr>
              <w:t>Three Months Ended June 30, 2020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Six Months Ended June 30, 2020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2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CenterPoint</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Houston Electric</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CenterPoint</w:t>
            </w:r>
          </w:p>
        </w:tc>
        <w:tc>
          <w:tcPr>
            <w:tcW w:w="1780" w:type="dxa"/>
            <w:vAlign w:val="bottom"/>
            <w:gridSpan w:val="2"/>
            <w:vMerge w:val="restart"/>
          </w:tcPr>
          <w:p>
            <w:pPr>
              <w:jc w:val="center"/>
              <w:ind w:right="270"/>
              <w:spacing w:after="0"/>
              <w:rPr>
                <w:sz w:val="20"/>
                <w:szCs w:val="20"/>
                <w:color w:val="auto"/>
              </w:rPr>
            </w:pPr>
            <w:r>
              <w:rPr>
                <w:rFonts w:ascii="Arial" w:cs="Arial" w:eastAsia="Arial" w:hAnsi="Arial"/>
                <w:sz w:val="14"/>
                <w:szCs w:val="14"/>
                <w:b w:val="1"/>
                <w:bCs w:val="1"/>
                <w:color w:val="auto"/>
                <w:w w:val="91"/>
              </w:rPr>
              <w:t>Houston Electric</w:t>
            </w:r>
          </w:p>
        </w:tc>
        <w:tc>
          <w:tcPr>
            <w:tcW w:w="8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88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w w:val="96"/>
              </w:rPr>
              <w:t>Energy</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6"/>
              </w:rPr>
              <w:t>Energy</w:t>
            </w: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plans</w:t>
            </w: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w:t>
            </w:r>
          </w:p>
        </w:tc>
        <w:tc>
          <w:tcPr>
            <w:tcW w:w="6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6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Postretirement benefit plans</w:t>
            </w:r>
          </w:p>
        </w:tc>
        <w:tc>
          <w:tcPr>
            <w:tcW w:w="880" w:type="dxa"/>
            <w:vAlign w:val="bottom"/>
          </w:tcPr>
          <w:p>
            <w:pPr>
              <w:spacing w:after="0"/>
              <w:rPr>
                <w:sz w:val="21"/>
                <w:szCs w:val="21"/>
                <w:color w:val="auto"/>
              </w:rPr>
            </w:pPr>
          </w:p>
        </w:tc>
        <w:tc>
          <w:tcPr>
            <w:tcW w:w="400" w:type="dxa"/>
            <w:vAlign w:val="bottom"/>
          </w:tcPr>
          <w:p>
            <w:pPr>
              <w:jc w:val="right"/>
              <w:ind w:right="56"/>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1"/>
                <w:szCs w:val="21"/>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COVID-19 Impacts</w:t>
      </w:r>
      <w:r>
        <w:rPr>
          <w:rFonts w:ascii="Arial" w:cs="Arial" w:eastAsia="Arial" w:hAnsi="Arial"/>
          <w:sz w:val="16"/>
          <w:szCs w:val="16"/>
          <w:color w:val="auto"/>
        </w:rPr>
        <w:t>. The uncertainties related to the COVID-19 pandemic have had a negative impact on financial markets, which has resulted in</w:t>
      </w:r>
      <w:r>
        <w:rPr>
          <w:rFonts w:ascii="Arial" w:cs="Arial" w:eastAsia="Arial" w:hAnsi="Arial"/>
          <w:sz w:val="16"/>
          <w:szCs w:val="16"/>
          <w:i w:val="1"/>
          <w:iCs w:val="1"/>
          <w:color w:val="auto"/>
        </w:rPr>
        <w:t xml:space="preserve"> </w:t>
      </w:r>
      <w:r>
        <w:rPr>
          <w:rFonts w:ascii="Arial" w:cs="Arial" w:eastAsia="Arial" w:hAnsi="Arial"/>
          <w:sz w:val="16"/>
          <w:szCs w:val="16"/>
          <w:color w:val="auto"/>
        </w:rPr>
        <w:t>volatility of the fair value of plan assets during the six months ended June 30, 2020. The Registrants remeasure the funded status of each plan as of December 31 each year, and at an interim period when a curtailment, settlement, or material plan amendment occurs. On the measurement date, actuarial gains or losses are recognized in accumulated other comprehensive income, or when cost is recovered through regulated rates, as a regulatory asset or liability. During the six months ended June 30, 2020, the pension plan assets declined by approximately $8 million or 0.4% from December 31, 2019. The fair value of pension plan assets on the plan remeasurement date impacts the funded status, net period cost, and the required cash contributions; however, changes to pension plan assets do not impact the Condensed Statements of Consolidated Income or Condensed Consolidated Balance Sheets in interim periods when a plan remeasurement is not required. An interim remeasurement of the plans is not required as a result of plan asset decline in fair value, and therefore, an interim remeasurement did not occur during the six months ended June 30, 2020 as a result of changes to plan asset fair value.</w:t>
      </w:r>
    </w:p>
    <w:p>
      <w:pPr>
        <w:sectPr>
          <w:pgSz w:w="11900" w:h="16838" w:orient="portrait"/>
          <w:cols w:equalWidth="0" w:num="1">
            <w:col w:w="11240"/>
          </w:cols>
          <w:pgMar w:left="320" w:top="125" w:right="339"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Regulatory Matters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Return (CenterPoint Energy and Houston Electric)</w:t>
      </w:r>
    </w:p>
    <w:p>
      <w:pPr>
        <w:spacing w:after="0" w:line="225" w:lineRule="exact"/>
        <w:rPr>
          <w:sz w:val="20"/>
          <w:szCs w:val="20"/>
          <w:color w:val="auto"/>
        </w:rPr>
      </w:pPr>
    </w:p>
    <w:p>
      <w:pPr>
        <w:jc w:val="both"/>
        <w:ind w:left="60" w:firstLine="324"/>
        <w:spacing w:after="0" w:line="301" w:lineRule="auto"/>
        <w:rPr>
          <w:sz w:val="20"/>
          <w:szCs w:val="20"/>
          <w:color w:val="auto"/>
        </w:rPr>
      </w:pPr>
      <w:r>
        <w:rPr>
          <w:rFonts w:ascii="Arial" w:cs="Arial" w:eastAsia="Arial" w:hAnsi="Arial"/>
          <w:sz w:val="16"/>
          <w:szCs w:val="16"/>
          <w:color w:val="auto"/>
        </w:rPr>
        <w:t>As of June 30, 2020, CenterPoint Energy and Houston Electric have not recognized an allowed equity return of $154 million because such return will be recognized as it is recovered in future rates. The timing of CenterPoint Energy’s and Houston Electric’s recognition of the equity return will vary each period based on amounts actually collected during that period. The unrecognized equity return will be recognized as it is recovered in rates through 2024. The actual amounts recognized are adjusted at least annually to correct any over-collections or under-collections during the preceding 12 months.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4"/>
                <w:szCs w:val="14"/>
                <w:b w:val="1"/>
                <w:bCs w:val="1"/>
                <w:color w:val="auto"/>
                <w:w w:val="95"/>
              </w:rPr>
              <w:t>Three Months Ended June 30,</w:t>
            </w:r>
          </w:p>
        </w:tc>
        <w:tc>
          <w:tcPr>
            <w:tcW w:w="6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w w:val="98"/>
              </w:rPr>
              <w:t>Six Months Ended June 30,</w:t>
            </w:r>
          </w:p>
        </w:tc>
        <w:tc>
          <w:tcPr>
            <w:tcW w:w="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9"/>
              </w:rPr>
              <w:t>2020</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6"/>
              </w:rPr>
              <w:t>2020</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89"/>
              </w:rPr>
              <w:t>2019</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CenterPoint</w:t>
            </w:r>
          </w:p>
        </w:tc>
        <w:tc>
          <w:tcPr>
            <w:tcW w:w="14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Houston Electric</w:t>
            </w:r>
          </w:p>
        </w:tc>
        <w:tc>
          <w:tcPr>
            <w:tcW w:w="160" w:type="dxa"/>
            <w:vAlign w:val="bottom"/>
          </w:tcPr>
          <w:p>
            <w:pPr>
              <w:spacing w:after="0"/>
              <w:rPr>
                <w:sz w:val="13"/>
                <w:szCs w:val="13"/>
                <w:color w:val="auto"/>
              </w:rPr>
            </w:pPr>
          </w:p>
        </w:tc>
        <w:tc>
          <w:tcPr>
            <w:tcW w:w="880" w:type="dxa"/>
            <w:vAlign w:val="bottom"/>
          </w:tcPr>
          <w:p>
            <w:pPr>
              <w:jc w:val="center"/>
              <w:ind w:right="2"/>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4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Houston Electric</w:t>
            </w:r>
          </w:p>
        </w:tc>
        <w:tc>
          <w:tcPr>
            <w:tcW w:w="16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4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Houston Electric</w:t>
            </w:r>
          </w:p>
        </w:tc>
        <w:tc>
          <w:tcPr>
            <w:tcW w:w="140" w:type="dxa"/>
            <w:vAlign w:val="bottom"/>
          </w:tcPr>
          <w:p>
            <w:pPr>
              <w:spacing w:after="0"/>
              <w:rPr>
                <w:sz w:val="13"/>
                <w:szCs w:val="13"/>
                <w:color w:val="auto"/>
              </w:rPr>
            </w:pP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Houston Electric</w:t>
            </w: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Energy</w:t>
            </w:r>
          </w:p>
        </w:tc>
        <w:tc>
          <w:tcPr>
            <w:tcW w:w="14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2"/>
              </w:rPr>
              <w:t>Energy</w:t>
            </w:r>
          </w:p>
        </w:tc>
        <w:tc>
          <w:tcPr>
            <w:tcW w:w="14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4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80" w:type="dxa"/>
            <w:vAlign w:val="bottom"/>
            <w:gridSpan w:val="4"/>
          </w:tcPr>
          <w:p>
            <w:pPr>
              <w:jc w:val="right"/>
              <w:ind w:right="622"/>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Allowed equity</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return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recognized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1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Houston Electric Base Rate Case (CenterPoint Energy and Houston Electric)</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April 5, 2019, and subsequently adjusted in errata filings in May and June 2019, Houston Electric filed its base rate application with the PUCT and the cities in its service area to change its rates, seeking approval for revenue increases of approximately $194 million, among other requests. On January 23, 2020, Houston Electric filed a Stipulation and Settlement Agreement with the PUCT that provided for the following, among other things:</w:t>
      </w:r>
    </w:p>
    <w:p>
      <w:pPr>
        <w:spacing w:after="0" w:line="16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overall revenue requirement increase of approximately $13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ROE of 9.4%;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capital structure of 57.5% debt/42.5% equity;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refund of unprotected EDIT of $105 million plus carrying costs over approximately 30-36 months;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recovery of all retail transmission related costs through the TCRF.</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Also, Houston Electric is not required to make a one-time refund of capital recovery from its TCOS and DCRF mechanisms. Future TCOS filings will take into account both ADFIT and EDIT until the final order from Houston Electric’s next base rate proceeding. No rate base items are required to be written off; however, approximately $12 million in rate case expenses were written off in 2019. A base rate application must be filed for Houston Electric no later than four years from the date of the PUCT’s final order in the proceeding. Additionally, Houston Electric will not file a DCRF in 2020, nor will a subsequent separate proceeding with the PUCT be instituted regarding EDIT on Houston Electric’s securitized assets. Furthermore, under the terms of the Stipulation and Settlement Agreement, Houston Electric agreed to adopt certain ring-fencing measures to increase its financial separateness from CenterPoint Energy. The PUCT approved the Stipulation and Settlement Agreement at its February 14, 2020 open meeting and issued a final order on March 9, 2020. The PUCT declined to impose a dividend restriction in the final order. The rates were implemented on April 23, 2020.</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 and Houston Electric record pre-tax expense for (i) probable disallowances of capital investments and (ii) customer refund obligations and costs deferred in regulatory assets when recovery of such amounts is no longer considered probable.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Governors, public utility commissions and other authorities in the states in which the Registrants operate have issued a number of different orders related to the COVID-19 pandemic, including orders addressing customer non-payment and disconnection. CenterPoint Energy continues to support those customers who may need payment assistance, arrangements or extensions.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26, 2020, the PUCT issued two orders related to COVID-19 issues that affect Houston Electric. First, the PUCT issued an order related to accrual of regulatory assets granting authority for utilities to record as a regulatory asset expenses resulting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the effects of COVID-19. In the order, the PUCT noted that it will consider whether a utility’s request for recovery of the regulatory asset is reasonable and necessary in a future proceeding. Second, the PUCT issued an order related to the COVID-19 ERP, as modified, which, in light of the disaster declarations issued by the governor of Texas, authorized a customer assistance program for certain residential customers of electric service in areas of Texas open to customer choice, which includes Houston Electric’s service territory.</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COVID-19 ERP will end on August 31, 2020, unless otherwise extended by the PUCT. Final applications for the program must be filed by this date. The transmission and distribution utilities must file a tariff rider cancellation seven days before the date on which it is estimated that revenues from the COVID-19 ERP are approximately equal to its program expenses. Final program reports must be submitted to the PUCT by December 1, 2020. The COVID-19 ERP allows for any over/under collection of program expenses to be recorded as a regulatory asset or liability. Houston Electric may seek recovery of such regulatory asset or liability in its next DCRF or base rate case proceeding. CenterPoint Energy’s and Houston Electric’s COVID-19 ERP regulatory liability was approximately $1 million as of June 30, 2020.</w:t>
      </w:r>
    </w:p>
    <w:p>
      <w:pPr>
        <w:spacing w:after="0" w:line="17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Commissions in all of Indiana Electric’s and CenterPoint Energy’s and CERC’s NGD service territories have either (1) issued orders to record a regulatory asset for incremental bad debt expenses related to COVID-19, including costs associated with the suspension of disconnections and payment plans or (2) provided authority to recover bad debt expense through an existing tracking mechanism. CenterPoint Energy and CERC have recorded estimated incremental uncollectible receivables to the associated regulatory asset of $11 million and $9 million, respectively, as of June 30, 2020.</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some of the states in which the Registrants operate, public utility commissions have authorized utilities to employ deferred accounting authority for certain COVID-19 related costs which ensure the safety and health of customers, employees, and contractors, that would not have been incurred in the normal course of business. CERC’s NGD service territories in Minnesota and Arkansas will include any offsetting savings in the deferral. Other jurisdictions where the Registrants operate may require them to offset the deferral with savings as well.</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ERCOT Loan Agreement (CenterPoint Energy and Houston Electric)</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April 13, 2020, in connection with the PUCT’s COVID-19 ERP, Houston Electric entered into a no-interest loan agreement with ERCOT pursuant to which ERCOT loaned Houston Electric approximately $5 million to provide for an initial fund balance for reimbursement. As of June 30, 2020, $5 million of the loan was still outstanding. The ERCOT loan repayment date is September 26, 2020, unless extended by the PUCT.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Registrants are exposed to various market risks. These risks arise from transactions entered into in the normal course of business. The Registrants utilize derivative instruments such as swaps and options to mitigate the impact of changes in commodity prices, weather and interest rates on operating results and cash flows.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24, 2020, CenterPoint Energy, through its subsidiary CERC Corp., entered into the Equity Purchase Agreement to sell the Energy Services Disposal Group. The transaction closed on June 1, 2020. As a result, the following disclosures do not include the Energy Services Disposal Group. See Note 3 for further information.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Non-Trading Activities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Commodity Derivative Instruments (CenterPoint Energy). </w:t>
      </w:r>
      <w:r>
        <w:rPr>
          <w:rFonts w:ascii="Arial" w:cs="Arial" w:eastAsia="Arial" w:hAnsi="Arial"/>
          <w:sz w:val="17"/>
          <w:szCs w:val="17"/>
          <w:color w:val="auto"/>
        </w:rPr>
        <w:t>CenterPoint Energy, through its Indiana Utilities, enters into certain derivative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to mitigate the effects of commodity price movements.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Interest Rate Risk Derivative Instruments. </w:t>
      </w:r>
      <w:r>
        <w:rPr>
          <w:rFonts w:ascii="Arial" w:cs="Arial" w:eastAsia="Arial" w:hAnsi="Arial"/>
          <w:sz w:val="17"/>
          <w:szCs w:val="17"/>
          <w:color w:val="auto"/>
        </w:rPr>
        <w:t>From time to time, the Registrants may enter into interest rate derivatives that are designated as 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hedges or accounted for as economic hedges. The objective of these hedges is to offset risk associated with interest rates borne by the Registrants in connection with an anticipated future fixed rate debt offering or other exposure to variable rate debt. The Indiana Utilities have authority to refund and recover mark-to-market gains and losses associated with hedging financing activity, and thus the gains and losses on derivatives are deferred in a regulatory liability or asset. For the impacts of cash flow hedges to Accumulated other comprehensive income, see Note 19.</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Registrants’ outstanding interest rate hedging activity: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5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w w:val="90"/>
              </w:rPr>
              <w:t>December 31, 2019</w:t>
            </w:r>
          </w:p>
        </w:tc>
      </w:tr>
      <w:tr>
        <w:trPr>
          <w:trHeight w:val="250"/>
        </w:trPr>
        <w:tc>
          <w:tcPr>
            <w:tcW w:w="2040" w:type="dxa"/>
            <w:vAlign w:val="bottom"/>
          </w:tcPr>
          <w:p>
            <w:pPr>
              <w:spacing w:after="0"/>
              <w:rPr>
                <w:sz w:val="21"/>
                <w:szCs w:val="21"/>
                <w:color w:val="auto"/>
              </w:rPr>
            </w:pPr>
          </w:p>
        </w:tc>
        <w:tc>
          <w:tcPr>
            <w:tcW w:w="6280" w:type="dxa"/>
            <w:vAlign w:val="bottom"/>
            <w:gridSpan w:val="3"/>
          </w:tcPr>
          <w:p>
            <w:pPr>
              <w:jc w:val="right"/>
              <w:ind w:right="4288"/>
              <w:spacing w:after="0"/>
              <w:rPr>
                <w:sz w:val="20"/>
                <w:szCs w:val="20"/>
                <w:color w:val="auto"/>
              </w:rPr>
            </w:pPr>
            <w:r>
              <w:rPr>
                <w:rFonts w:ascii="Arial" w:cs="Arial" w:eastAsia="Arial" w:hAnsi="Arial"/>
                <w:sz w:val="14"/>
                <w:szCs w:val="14"/>
                <w:b w:val="1"/>
                <w:bCs w:val="1"/>
                <w:color w:val="auto"/>
              </w:rPr>
              <w:t>Hedging Classification</w:t>
            </w: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Notional Principal</w:t>
            </w:r>
          </w:p>
        </w:tc>
        <w:tc>
          <w:tcPr>
            <w:tcW w:w="1700" w:type="dxa"/>
            <w:vAlign w:val="bottom"/>
          </w:tcPr>
          <w:p>
            <w:pPr>
              <w:spacing w:after="0"/>
              <w:rPr>
                <w:sz w:val="21"/>
                <w:szCs w:val="21"/>
                <w:color w:val="auto"/>
              </w:rPr>
            </w:pPr>
          </w:p>
        </w:tc>
      </w:tr>
      <w:tr>
        <w:trPr>
          <w:trHeight w:val="264"/>
        </w:trPr>
        <w:tc>
          <w:tcPr>
            <w:tcW w:w="2040" w:type="dxa"/>
            <w:vAlign w:val="bottom"/>
            <w:tcBorders>
              <w:top w:val="single" w:sz="8" w:color="auto"/>
            </w:tcBorders>
          </w:tcPr>
          <w:p>
            <w:pPr>
              <w:spacing w:after="0"/>
              <w:rPr>
                <w:sz w:val="22"/>
                <w:szCs w:val="22"/>
                <w:color w:val="auto"/>
              </w:rPr>
            </w:pPr>
          </w:p>
        </w:tc>
        <w:tc>
          <w:tcPr>
            <w:tcW w:w="4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(in millions)</w:t>
            </w:r>
          </w:p>
        </w:tc>
        <w:tc>
          <w:tcPr>
            <w:tcW w:w="1700" w:type="dxa"/>
            <w:vAlign w:val="bottom"/>
            <w:tcBorders>
              <w:top w:val="single" w:sz="8" w:color="auto"/>
            </w:tcBorders>
          </w:tcPr>
          <w:p>
            <w:pPr>
              <w:spacing w:after="0"/>
              <w:rPr>
                <w:sz w:val="22"/>
                <w:szCs w:val="22"/>
                <w:color w:val="auto"/>
              </w:rPr>
            </w:pPr>
          </w:p>
        </w:tc>
      </w:tr>
      <w:tr>
        <w:trPr>
          <w:trHeight w:val="249"/>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Economic hedge (1)</w:t>
            </w:r>
          </w:p>
        </w:tc>
        <w:tc>
          <w:tcPr>
            <w:tcW w:w="6280" w:type="dxa"/>
            <w:vAlign w:val="bottom"/>
            <w:gridSpan w:val="3"/>
            <w:shd w:val="clear" w:color="auto" w:fill="CCEEFF"/>
          </w:tcPr>
          <w:p>
            <w:pPr>
              <w:jc w:val="right"/>
              <w:ind w:right="148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84</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84</w:t>
            </w:r>
          </w:p>
        </w:tc>
      </w:tr>
      <w:tr>
        <w:trPr>
          <w:trHeight w:val="27"/>
        </w:trPr>
        <w:tc>
          <w:tcPr>
            <w:tcW w:w="204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Relates to interest rate derivative instruments at SIGECO.</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Weather Hedges (CenterPoint Energy and CERC). </w:t>
      </w:r>
      <w:r>
        <w:rPr>
          <w:rFonts w:ascii="Arial" w:cs="Arial" w:eastAsia="Arial" w:hAnsi="Arial"/>
          <w:sz w:val="18"/>
          <w:szCs w:val="18"/>
          <w:color w:val="auto"/>
        </w:rPr>
        <w:t>CenterPoint Energy and CERC have weather normalization or other rate mechanisms that largely</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the impact of weather on NGD in Arkansas, Indiana, Louisiana, Mississippi, Minnesota, Ohio and Oklahoma, as applicable. CenterPoint Energy’s and CERC’s NGD in Texas and CenterPoint Energy’s electric operations in Texas and Indiana do not have such mechanisms, although fixed customer charges are historically higher in Texas for NGD compared to its other jurisdictions. As a result, fluctuations from normal weather may have a positive or negative effect on CenterPoint Energy’s and CERC’s NGD’s results in Texas and on CenterPoint Energy’s electric operations’ results in its Texas and Indiana service territories.</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CenterPoint Energy and CERC, as applicable, enter into winter season weather hedges from time to time for certain NGD jurisdictions and electric operations’ service territory to mitigate the effect of fluctuations from normal weather on results of operations and cash flows. These weather hedges are based on heating degree days at 10-year normal weather. Houston Electric and Indiana Electric do not enter into weather hedges.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Derivative Fair Values and Income Statement Impacts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present information about derivative instruments and hedging activities. The first table provides a balance sheet overview of Derivative Assets and Liabilities, while the last table provides a breakdown of the related income statement impacts.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 and Hedged Items (CenterPoint Energy)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gridSpan w:val="5"/>
          </w:tcPr>
          <w:p>
            <w:pPr>
              <w:jc w:val="right"/>
              <w:ind w:right="673"/>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left="151"/>
              <w:spacing w:after="0" w:line="153"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9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394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Balance Sheet Location</w:t>
            </w:r>
          </w:p>
        </w:tc>
        <w:tc>
          <w:tcPr>
            <w:tcW w:w="900" w:type="dxa"/>
            <w:vAlign w:val="bottom"/>
          </w:tcPr>
          <w:p>
            <w:pPr>
              <w:jc w:val="center"/>
              <w:ind w:left="171"/>
              <w:spacing w:after="0" w:line="149" w:lineRule="exact"/>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3940" w:type="dxa"/>
            <w:vAlign w:val="bottom"/>
            <w:gridSpan w:val="2"/>
            <w:vMerge w:val="continue"/>
          </w:tcPr>
          <w:p>
            <w:pPr>
              <w:spacing w:after="0"/>
              <w:rPr>
                <w:sz w:val="16"/>
                <w:szCs w:val="16"/>
                <w:color w:val="auto"/>
              </w:rPr>
            </w:pPr>
          </w:p>
        </w:tc>
        <w:tc>
          <w:tcPr>
            <w:tcW w:w="900" w:type="dxa"/>
            <w:vAlign w:val="bottom"/>
          </w:tcPr>
          <w:p>
            <w:pPr>
              <w:jc w:val="center"/>
              <w:ind w:left="171"/>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3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6440" w:type="dxa"/>
            <w:vAlign w:val="bottom"/>
            <w:gridSpan w:val="3"/>
          </w:tcPr>
          <w:p>
            <w:pPr>
              <w:ind w:left="40"/>
              <w:spacing w:after="0"/>
              <w:rPr>
                <w:sz w:val="20"/>
                <w:szCs w:val="20"/>
                <w:color w:val="auto"/>
              </w:rPr>
            </w:pPr>
            <w:r>
              <w:rPr>
                <w:rFonts w:ascii="Arial" w:cs="Arial" w:eastAsia="Arial" w:hAnsi="Arial"/>
                <w:sz w:val="13"/>
                <w:szCs w:val="13"/>
                <w:b w:val="1"/>
                <w:bCs w:val="1"/>
                <w:color w:val="auto"/>
              </w:rPr>
              <w:t>Derivatives not designated as hedging instruments: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Natural gas derivatives </w:t>
            </w:r>
            <w:r>
              <w:rPr>
                <w:rFonts w:ascii="Arial" w:cs="Arial" w:eastAsia="Arial" w:hAnsi="Arial"/>
                <w:sz w:val="8"/>
                <w:szCs w:val="8"/>
                <w:color w:val="auto"/>
              </w:rPr>
              <w:t>(1)</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 Liabilities: Non-trading derivative liabilities</w:t>
            </w: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62"/>
        </w:trPr>
        <w:tc>
          <w:tcPr>
            <w:tcW w:w="2500" w:type="dxa"/>
            <w:vAlign w:val="bottom"/>
          </w:tcPr>
          <w:p>
            <w:pPr>
              <w:ind w:left="40"/>
              <w:spacing w:after="0"/>
              <w:rPr>
                <w:sz w:val="20"/>
                <w:szCs w:val="20"/>
                <w:color w:val="auto"/>
              </w:rPr>
            </w:pPr>
            <w:r>
              <w:rPr>
                <w:rFonts w:ascii="Arial" w:cs="Arial" w:eastAsia="Arial" w:hAnsi="Arial"/>
                <w:sz w:val="13"/>
                <w:szCs w:val="13"/>
                <w:color w:val="auto"/>
              </w:rPr>
              <w:t xml:space="preserve">Natural gas derivatives </w:t>
            </w:r>
            <w:r>
              <w:rPr>
                <w:rFonts w:ascii="Arial" w:cs="Arial" w:eastAsia="Arial" w:hAnsi="Arial"/>
                <w:sz w:val="8"/>
                <w:szCs w:val="8"/>
                <w:color w:val="auto"/>
              </w:rPr>
              <w:t>(1)</w:t>
            </w:r>
          </w:p>
        </w:tc>
        <w:tc>
          <w:tcPr>
            <w:tcW w:w="3940" w:type="dxa"/>
            <w:vAlign w:val="bottom"/>
            <w:gridSpan w:val="2"/>
          </w:tcPr>
          <w:p>
            <w:pPr>
              <w:ind w:left="20"/>
              <w:spacing w:after="0"/>
              <w:rPr>
                <w:sz w:val="20"/>
                <w:szCs w:val="20"/>
                <w:color w:val="auto"/>
              </w:rPr>
            </w:pPr>
            <w:r>
              <w:rPr>
                <w:rFonts w:ascii="Arial" w:cs="Arial" w:eastAsia="Arial" w:hAnsi="Arial"/>
                <w:sz w:val="13"/>
                <w:szCs w:val="13"/>
                <w:color w:val="auto"/>
              </w:rPr>
              <w:t>Other Liabilities: Non-trading derivative liabilities</w:t>
            </w:r>
          </w:p>
        </w:tc>
        <w:tc>
          <w:tcPr>
            <w:tcW w:w="90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78"/>
        </w:trPr>
        <w:tc>
          <w:tcPr>
            <w:tcW w:w="2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rate derivatives</w:t>
            </w: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9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Indexed debt securities derivative</w:t>
            </w:r>
          </w:p>
        </w:tc>
        <w:tc>
          <w:tcPr>
            <w:tcW w:w="39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Current Liabilities</w:t>
            </w:r>
          </w:p>
        </w:tc>
        <w:tc>
          <w:tcPr>
            <w:tcW w:w="9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834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893</w:t>
            </w: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spacing w:after="0"/>
              <w:rPr>
                <w:sz w:val="21"/>
                <w:szCs w:val="21"/>
                <w:color w:val="auto"/>
              </w:rPr>
            </w:pPr>
          </w:p>
        </w:tc>
        <w:tc>
          <w:tcPr>
            <w:tcW w:w="394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w:t>
            </w: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879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925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gas contracts are subject to master netting arrangements. This netting applies to all undisputed amounts due or past due. However, the mark-to-market fair value of each natural gas contract is in a liability position with no offsetting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Hedge Accounting Activity (CenterPoint Energy)</w:t>
      </w:r>
    </w:p>
    <w:p>
      <w:pPr>
        <w:spacing w:after="0" w:line="234" w:lineRule="exact"/>
        <w:rPr>
          <w:sz w:val="20"/>
          <w:szCs w:val="20"/>
          <w:color w:val="auto"/>
        </w:rPr>
      </w:pPr>
    </w:p>
    <w:tbl>
      <w:tblPr>
        <w:tblLayout w:type="fixed"/>
        <w:tblInd w:w="266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2920" w:type="dxa"/>
            <w:vAlign w:val="bottom"/>
            <w:gridSpan w:val="2"/>
          </w:tcPr>
          <w:p>
            <w:pPr>
              <w:ind w:left="560"/>
              <w:spacing w:after="0"/>
              <w:rPr>
                <w:sz w:val="20"/>
                <w:szCs w:val="20"/>
                <w:color w:val="auto"/>
              </w:rPr>
            </w:pPr>
            <w:r>
              <w:rPr>
                <w:rFonts w:ascii="Arial" w:cs="Arial" w:eastAsia="Arial" w:hAnsi="Arial"/>
                <w:sz w:val="14"/>
                <w:szCs w:val="14"/>
                <w:b w:val="1"/>
                <w:bCs w:val="1"/>
                <w:color w:val="auto"/>
              </w:rPr>
              <w:t>Income Statement Location</w:t>
            </w:r>
          </w:p>
        </w:tc>
        <w:tc>
          <w:tcPr>
            <w:tcW w:w="1420" w:type="dxa"/>
            <w:vAlign w:val="bottom"/>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88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3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258"/>
        </w:trPr>
        <w:tc>
          <w:tcPr>
            <w:tcW w:w="2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880" w:type="dxa"/>
            <w:vAlign w:val="bottom"/>
            <w:tcBorders>
              <w:top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Borders>
              <w:top w:val="single" w:sz="8" w:color="auto"/>
            </w:tcBorders>
          </w:tcPr>
          <w:p>
            <w:pPr>
              <w:spacing w:after="0"/>
              <w:rPr>
                <w:sz w:val="22"/>
                <w:szCs w:val="22"/>
                <w:color w:val="auto"/>
              </w:rPr>
            </w:pPr>
          </w:p>
        </w:tc>
      </w:tr>
    </w:tbl>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Effects of derivatives not designated as hedging instruments on the income statement:</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Indexed debt securities derivative</w:t>
            </w:r>
          </w:p>
        </w:tc>
        <w:tc>
          <w:tcPr>
            <w:tcW w:w="3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Gain (loss) on indexed debt securities</w:t>
            </w:r>
          </w:p>
        </w:tc>
        <w:tc>
          <w:tcPr>
            <w:tcW w:w="58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243"/>
        </w:trPr>
        <w:tc>
          <w:tcPr>
            <w:tcW w:w="2460" w:type="dxa"/>
            <w:vAlign w:val="bottom"/>
          </w:tcPr>
          <w:p>
            <w:pPr>
              <w:ind w:left="1980"/>
              <w:spacing w:after="0"/>
              <w:rPr>
                <w:sz w:val="20"/>
                <w:szCs w:val="20"/>
                <w:color w:val="auto"/>
              </w:rPr>
            </w:pPr>
            <w:r>
              <w:rPr>
                <w:rFonts w:ascii="Arial" w:cs="Arial" w:eastAsia="Arial" w:hAnsi="Arial"/>
                <w:sz w:val="14"/>
                <w:szCs w:val="14"/>
                <w:b w:val="1"/>
                <w:bCs w:val="1"/>
                <w:color w:val="auto"/>
              </w:rPr>
              <w:t>Total</w:t>
            </w:r>
          </w:p>
        </w:tc>
        <w:tc>
          <w:tcPr>
            <w:tcW w:w="306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w:t>
            </w:r>
          </w:p>
        </w:tc>
      </w:tr>
      <w:tr>
        <w:trPr>
          <w:trHeight w:val="20"/>
        </w:trPr>
        <w:tc>
          <w:tcPr>
            <w:tcW w:w="24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18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170"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Level 2: Inputs, other than quoted prices included in Level 1, are observable for the asset or liability, either directly or indirectly. Level 2 inputs include quoted prices for similar instruments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17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Registrants determine the appropriate level for each financial asset and liability on a quarterly basis.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February 24, 2020, CenterPoint Energy, through its subsidiary CERC Corp., entered into the Equity Purchase Agreement to sell the Energy Services Disposal Group. The transaction closed on June 1, 2020. As a result, the following disclosures do not include the Energy Services Disposal Group.</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tables present information about the Registrants’ assets and liabilities (including derivatives that are presented net) measured at fair value on a recurring basis as of June 30, 2020 and December 31, 2019 and indicate the fair value hierarchy of the valuation techniques utilized by the Registrants to determine such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4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equities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Indexed debt securities derivative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264"/>
        </w:trPr>
        <w:tc>
          <w:tcPr>
            <w:tcW w:w="4160" w:type="dxa"/>
            <w:vAlign w:val="bottom"/>
          </w:tcPr>
          <w:p>
            <w:pPr>
              <w:ind w:left="180"/>
              <w:spacing w:after="0"/>
              <w:rPr>
                <w:sz w:val="20"/>
                <w:szCs w:val="20"/>
                <w:color w:val="auto"/>
              </w:rPr>
            </w:pPr>
            <w:r>
              <w:rPr>
                <w:rFonts w:ascii="Arial" w:cs="Arial" w:eastAsia="Arial" w:hAnsi="Arial"/>
                <w:sz w:val="14"/>
                <w:szCs w:val="14"/>
                <w:color w:val="auto"/>
              </w:rPr>
              <w:t>Interest rate derivatives</w:t>
            </w:r>
          </w:p>
        </w:tc>
        <w:tc>
          <w:tcPr>
            <w:tcW w:w="16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Natural gas derivatives</w:t>
            </w: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317"/>
        </w:trPr>
        <w:tc>
          <w:tcPr>
            <w:tcW w:w="4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Total</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0"/>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32</w:t>
            </w:r>
          </w:p>
        </w:tc>
      </w:tr>
      <w:tr>
        <w:trPr>
          <w:trHeight w:val="243"/>
        </w:trPr>
        <w:tc>
          <w:tcPr>
            <w:tcW w:w="4160" w:type="dxa"/>
            <w:vAlign w:val="bottom"/>
          </w:tcPr>
          <w:p>
            <w:pPr>
              <w:ind w:left="38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32</w:t>
            </w:r>
          </w:p>
        </w:tc>
      </w:tr>
      <w:tr>
        <w:trPr>
          <w:trHeight w:val="20"/>
        </w:trPr>
        <w:tc>
          <w:tcPr>
            <w:tcW w:w="4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Corporate equities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 xml:space="preserve">Investments, including money market funds </w:t>
      </w:r>
      <w:r>
        <w:rPr>
          <w:rFonts w:ascii="Arial" w:cs="Arial" w:eastAsia="Arial" w:hAnsi="Arial"/>
          <w:sz w:val="9"/>
          <w:szCs w:val="9"/>
          <w:color w:val="auto"/>
        </w:rPr>
        <w:t>(1)</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December 31, 2019</w:t>
            </w:r>
          </w:p>
        </w:tc>
        <w:tc>
          <w:tcPr>
            <w:tcW w:w="600" w:type="dxa"/>
            <w:vAlign w:val="bottom"/>
            <w:tcBorders>
              <w:bottom w:val="single" w:sz="8" w:color="auto"/>
            </w:tcBorders>
          </w:tcPr>
          <w:p>
            <w:pPr>
              <w:spacing w:after="0"/>
              <w:rPr>
                <w:sz w:val="16"/>
                <w:szCs w:val="16"/>
                <w:color w:val="auto"/>
              </w:rPr>
            </w:pPr>
          </w:p>
        </w:tc>
      </w:tr>
      <w:tr>
        <w:trPr>
          <w:trHeight w:val="317"/>
        </w:trPr>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Level 2</w:t>
            </w:r>
          </w:p>
        </w:tc>
        <w:tc>
          <w:tcPr>
            <w:tcW w:w="9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Level 3</w:t>
            </w: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Total</w:t>
            </w:r>
          </w:p>
        </w:tc>
      </w:tr>
      <w:tr>
        <w:trPr>
          <w:trHeight w:val="231"/>
        </w:trPr>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ind w:left="380"/>
              <w:spacing w:after="0"/>
              <w:rPr>
                <w:sz w:val="20"/>
                <w:szCs w:val="20"/>
                <w:color w:val="auto"/>
              </w:rPr>
            </w:pPr>
            <w:r>
              <w:rPr>
                <w:rFonts w:ascii="Arial" w:cs="Arial" w:eastAsia="Arial" w:hAnsi="Arial"/>
                <w:sz w:val="14"/>
                <w:szCs w:val="14"/>
                <w:color w:val="auto"/>
              </w:rPr>
              <w:t>—    $</w:t>
            </w:r>
          </w:p>
        </w:tc>
        <w:tc>
          <w:tcPr>
            <w:tcW w:w="900" w:type="dxa"/>
            <w:vAlign w:val="bottom"/>
            <w:gridSpan w:val="3"/>
          </w:tcPr>
          <w:p>
            <w:pPr>
              <w:ind w:left="380"/>
              <w:spacing w:after="0"/>
              <w:rPr>
                <w:sz w:val="20"/>
                <w:szCs w:val="20"/>
                <w:color w:val="auto"/>
              </w:rPr>
            </w:pPr>
            <w:r>
              <w:rPr>
                <w:rFonts w:ascii="Arial" w:cs="Arial" w:eastAsia="Arial" w:hAnsi="Arial"/>
                <w:sz w:val="14"/>
                <w:szCs w:val="14"/>
                <w:color w:val="auto"/>
              </w:rPr>
              <w:t>—    $</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2</w:t>
            </w:r>
          </w:p>
        </w:tc>
      </w:tr>
      <w:tr>
        <w:trPr>
          <w:trHeight w:val="276"/>
        </w:trPr>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w:t>
            </w:r>
          </w:p>
        </w:tc>
      </w:tr>
      <w:tr>
        <w:trPr>
          <w:trHeight w:val="236"/>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ind w:left="380"/>
              <w:spacing w:after="0"/>
              <w:rPr>
                <w:sz w:val="20"/>
                <w:szCs w:val="20"/>
                <w:color w:val="auto"/>
              </w:rPr>
            </w:pPr>
            <w:r>
              <w:rPr>
                <w:rFonts w:ascii="Arial" w:cs="Arial" w:eastAsia="Arial" w:hAnsi="Arial"/>
                <w:sz w:val="14"/>
                <w:szCs w:val="14"/>
                <w:color w:val="auto"/>
              </w:rPr>
              <w:t>—    $</w:t>
            </w:r>
          </w:p>
        </w:tc>
        <w:tc>
          <w:tcPr>
            <w:tcW w:w="900" w:type="dxa"/>
            <w:vAlign w:val="bottom"/>
            <w:gridSpan w:val="3"/>
          </w:tcPr>
          <w:p>
            <w:pPr>
              <w:ind w:left="380"/>
              <w:spacing w:after="0"/>
              <w:rPr>
                <w:sz w:val="20"/>
                <w:szCs w:val="20"/>
                <w:color w:val="auto"/>
              </w:rPr>
            </w:pPr>
            <w:r>
              <w:rPr>
                <w:rFonts w:ascii="Arial" w:cs="Arial" w:eastAsia="Arial" w:hAnsi="Arial"/>
                <w:sz w:val="14"/>
                <w:szCs w:val="14"/>
                <w:color w:val="auto"/>
              </w:rPr>
              <w:t>—    $</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13</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-530860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-187960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720"/>
            <w:col w:w="7080"/>
          </w:cols>
          <w:pgMar w:left="320" w:top="125" w:right="339" w:bottom="1440" w:gutter="0" w:footer="0" w:header="0"/>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Amounts are included in Prepaid expenses and other current assets in the Condensed Consolidated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Based on the severity of the decline in Enable’s common unit price during the three months ended March 31, 2020 primarily due to the macroeconomic conditions related in part to the COVID-19 pandemic, combined with Enable’s announcement on April 1, 2020 to reduce its quarterly distributions per common unit by 50%, and the market outlook indicating excess supply and continued depressed crude oil and natural gas prices impacting the midstream oil and gas industry, CenterPoint Energy determined, in connection with its preparation of the financial statements, that an other than temporary decrease in the value of its investment in Enable had occurred. The impairment analysis compared the estimated fair value of CenterPoint Energy’s investment in Enable to its carrying value. The fair value of the investment was determined using multiple valuation methodologies under both the market and income approaches. Both of these approaches incorporate significant estimates and assumptions, including: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 Approach</w:t>
      </w:r>
    </w:p>
    <w:p>
      <w:pPr>
        <w:spacing w:after="0" w:line="225" w:lineRule="exact"/>
        <w:rPr>
          <w:sz w:val="20"/>
          <w:szCs w:val="20"/>
          <w:color w:val="auto"/>
        </w:rPr>
      </w:pPr>
    </w:p>
    <w:p>
      <w:pPr>
        <w:ind w:left="760" w:hanging="10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quoted price of Enable’s common units;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recent market transactions of comparable companies; and</w:t>
      </w:r>
    </w:p>
    <w:p>
      <w:pPr>
        <w:spacing w:after="0" w:line="225" w:lineRule="exact"/>
        <w:rPr>
          <w:rFonts w:ascii="Arial" w:cs="Arial" w:eastAsia="Arial" w:hAnsi="Arial"/>
          <w:sz w:val="18"/>
          <w:szCs w:val="18"/>
          <w:color w:val="auto"/>
        </w:rPr>
      </w:pPr>
    </w:p>
    <w:p>
      <w:pPr>
        <w:ind w:left="340" w:right="5800" w:firstLine="316"/>
        <w:spacing w:after="0" w:line="500" w:lineRule="auto"/>
        <w:tabs>
          <w:tab w:leader="none" w:pos="7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EBITDA to total enterprise multiples for comparable companies. </w:t>
      </w:r>
      <w:r>
        <w:rPr>
          <w:rFonts w:ascii="Arial" w:cs="Arial" w:eastAsia="Arial" w:hAnsi="Arial"/>
          <w:sz w:val="18"/>
          <w:szCs w:val="18"/>
          <w:u w:val="single" w:color="auto"/>
          <w:color w:val="auto"/>
        </w:rPr>
        <w:t>Income Approach</w:t>
      </w:r>
    </w:p>
    <w:p>
      <w:pPr>
        <w:spacing w:after="0" w:line="1" w:lineRule="exact"/>
        <w:rPr>
          <w:rFonts w:ascii="Arial" w:cs="Arial" w:eastAsia="Arial" w:hAnsi="Arial"/>
          <w:sz w:val="18"/>
          <w:szCs w:val="18"/>
          <w:color w:val="auto"/>
        </w:rPr>
      </w:pPr>
    </w:p>
    <w:p>
      <w:pPr>
        <w:ind w:left="760" w:hanging="10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Enable’s forecasted cash distributions;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projected cash flows of incentive distribution rights;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forecasted growth rate of Enable’s cash distributions; and</w:t>
      </w:r>
    </w:p>
    <w:p>
      <w:pPr>
        <w:spacing w:after="0" w:line="225" w:lineRule="exact"/>
        <w:rPr>
          <w:rFonts w:ascii="Arial" w:cs="Arial" w:eastAsia="Arial" w:hAnsi="Arial"/>
          <w:sz w:val="18"/>
          <w:szCs w:val="18"/>
          <w:color w:val="auto"/>
        </w:rPr>
      </w:pPr>
    </w:p>
    <w:p>
      <w:pPr>
        <w:ind w:left="340" w:right="5560" w:firstLine="316"/>
        <w:spacing w:after="0" w:line="500" w:lineRule="auto"/>
        <w:tabs>
          <w:tab w:leader="none" w:pos="7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determination of the cost of equity, including market risk premiums. </w:t>
      </w:r>
      <w:r>
        <w:rPr>
          <w:rFonts w:ascii="Arial" w:cs="Arial" w:eastAsia="Arial" w:hAnsi="Arial"/>
          <w:sz w:val="18"/>
          <w:szCs w:val="18"/>
          <w:u w:val="single" w:color="auto"/>
          <w:color w:val="auto"/>
        </w:rPr>
        <w:t>Weighting of the Different Approaches</w:t>
      </w:r>
    </w:p>
    <w:p>
      <w:pPr>
        <w:spacing w:after="0" w:line="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Significant unobservable inputs used include the growth rate applied to the projected cash distributions beyond 2020 and the discount rate used to determine the present value of the estimated future cash flows. Based on the significant unobservable estimates and assumptions required, CenterPoint Energy concluded that the fair value estimate should be classified as a Level 3 measurement within the fair value hierarchy. As a result of this analysis, CenterPoint Energy recorded an other than temporary impairment on its investment in Enable of $1,541 million, reducing the fair value of the investment to $848 million as of March 31, 2020. See Note 9 for further discussion of the impairment. As of March 31, 2020, CenterPoint Energy recorded a goodwill impairment charge of $185 million in the Indiana Electric Integrated reporting unit. See Note 10 for further information. CenterPoint Energy and CERC did not identify triggering events in the three months ended June 30, 2020, and goodwill impairment tests were not required or performed as of June 30, 2020.</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CenterPoint Energy recognized a goodwill impairment charge of $82 million upon classifying the Infrastructure Services Disposal Group as held for sale, and CenterPoint Energy and CERC recognized a goodwill impairment charge of approximately $62 million and a loss on assets held for sale of approximately $70 million upon classifying the Energy Services Disposal Group as held for sale. Using a market approach, the fair value of the Infrastructure Services Disposal Group as of March 31, 2020 is determined to be approximately $864 million and the fair value of the Energy Services Disposal Group as of March 31, 2020 is determined to be approximately $402 million. CenterPoint Energy and CERC recognized a reduction to the loss on classification to held for sale of $39 million in connection with the sale of the Energy Services Disposal Group during the three months ended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June 30, 2020. For both Disposal Groups, CenterPoint Energy and CERC, as applicable, used the contractual sales price adjusted for estimated working capital and other contractual purchase price adjustments to determine fair value, which are Level 2 inputs. See Note 3 for further information.</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Estimated Fair Value of Financial Instruments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values of cash and cash equivalents, investments in debt and equity securities classified as “trading” and short-term borrowings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 2020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920" w:type="dxa"/>
            <w:vAlign w:val="bottom"/>
            <w:tcBorders>
              <w:bottom w:val="single" w:sz="8" w:color="auto"/>
            </w:tcBorders>
          </w:tcPr>
          <w:p>
            <w:pPr>
              <w:spacing w:after="0"/>
              <w:rPr>
                <w:sz w:val="16"/>
                <w:szCs w:val="16"/>
                <w:color w:val="auto"/>
              </w:rPr>
            </w:pPr>
          </w:p>
        </w:tc>
      </w:tr>
      <w:tr>
        <w:trPr>
          <w:trHeight w:val="152"/>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3"/>
                <w:szCs w:val="13"/>
                <w:color w:val="auto"/>
              </w:rPr>
            </w:pPr>
          </w:p>
        </w:tc>
        <w:tc>
          <w:tcPr>
            <w:tcW w:w="110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3"/>
                <w:szCs w:val="13"/>
                <w:color w:val="auto"/>
              </w:rPr>
            </w:pPr>
          </w:p>
        </w:tc>
        <w:tc>
          <w:tcPr>
            <w:tcW w:w="108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Carrying</w:t>
            </w:r>
          </w:p>
        </w:tc>
        <w:tc>
          <w:tcPr>
            <w:tcW w:w="640" w:type="dxa"/>
            <w:vAlign w:val="bottom"/>
          </w:tcPr>
          <w:p>
            <w:pPr>
              <w:spacing w:after="0"/>
              <w:rPr>
                <w:sz w:val="13"/>
                <w:szCs w:val="13"/>
                <w:color w:val="auto"/>
              </w:rPr>
            </w:pPr>
          </w:p>
        </w:tc>
        <w:tc>
          <w:tcPr>
            <w:tcW w:w="920" w:type="dxa"/>
            <w:vAlign w:val="bottom"/>
          </w:tcPr>
          <w:p>
            <w:pPr>
              <w:jc w:val="right"/>
              <w:ind w:right="517"/>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90"/>
              </w:rPr>
              <w:t>Value</w:t>
            </w:r>
          </w:p>
        </w:tc>
      </w:tr>
      <w:tr>
        <w:trPr>
          <w:trHeight w:val="244"/>
        </w:trPr>
        <w:tc>
          <w:tcPr>
            <w:tcW w:w="5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5"/>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CenterPoint Energy</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debt, including current maturities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12,850</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14,424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15,093</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16,067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Houston Electric</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debt, including current maturities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5,115</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4,950</w:t>
            </w:r>
          </w:p>
        </w:tc>
        <w:tc>
          <w:tcPr>
            <w:tcW w:w="6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5,457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CERC</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2,406</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2,743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2,546</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2,803</w:t>
            </w:r>
          </w:p>
        </w:tc>
      </w:tr>
      <w:tr>
        <w:trPr>
          <w:trHeight w:val="27"/>
        </w:trPr>
        <w:tc>
          <w:tcPr>
            <w:tcW w:w="5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Includes Securitization Bonds debt.</w:t>
      </w:r>
    </w:p>
    <w:p>
      <w:pPr>
        <w:spacing w:after="0" w:line="221"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Unconsolidated Affiliates (CenterPoint Energy and CERC)</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CenterPoint Energy has the ability to significantly influence the operating and financial policies of Enable, a publicly traded MLP, and, accordingly, accounts for its investment in Enable’s common units using the equity method of accounting. Enable is considered to be a VIE because the power to direct the activities that most significantly impact Enable’s economic performance does not reside with the holders of equity investment at risk. However, CenterPoint Energy is not considered the primary beneficiary of Enable since it does not have the power to direct the activities of Enable that are considered most significant to the economic performance of Enable. As of June 30, 2020, CenterPoint Energy’s maximum exposure to loss related to Enable is limited to its investment in unconsolidated affiliate, its investment in Enable Series A Preferred Units and outstanding current accounts receivable from Enable.</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Unconsolidated Affiliates (CenterPoint Energy):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1"/>
              </w:rPr>
              <w:t>December 31, 2019</w:t>
            </w:r>
          </w:p>
        </w:tc>
      </w:tr>
      <w:tr>
        <w:trPr>
          <w:trHeight w:val="250"/>
        </w:trPr>
        <w:tc>
          <w:tcPr>
            <w:tcW w:w="7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21"/>
                <w:szCs w:val="2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Enable</w:t>
            </w:r>
          </w:p>
        </w:tc>
        <w:tc>
          <w:tcPr>
            <w:tcW w:w="1440" w:type="dxa"/>
            <w:vAlign w:val="bottom"/>
            <w:tcBorders>
              <w:bottom w:val="single" w:sz="8" w:color="CCEEFF"/>
            </w:tcBorders>
            <w:shd w:val="clear" w:color="auto" w:fill="CCEEFF"/>
          </w:tcPr>
          <w:p>
            <w:pPr>
              <w:jc w:val="right"/>
              <w:ind w:right="125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2,406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21"/>
                <w:szCs w:val="21"/>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2</w:t>
            </w:r>
          </w:p>
        </w:tc>
      </w:tr>
      <w:tr>
        <w:trPr>
          <w:trHeight w:val="27"/>
        </w:trPr>
        <w:tc>
          <w:tcPr>
            <w:tcW w:w="73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CCEEFF"/>
          </w:tcPr>
          <w:p>
            <w:pPr>
              <w:jc w:val="right"/>
              <w:ind w:right="125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2,408</w:t>
            </w:r>
          </w:p>
        </w:tc>
      </w:tr>
      <w:tr>
        <w:trPr>
          <w:trHeight w:val="20"/>
        </w:trPr>
        <w:tc>
          <w:tcPr>
            <w:tcW w:w="7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CenterPoint Energy evaluates its equity method investments for impairment when factors indicate that a decrease in the value of its investment has occurred and the carrying amount of its investment may not be recoverable. An impairment loss, based on the excess of the carrying value over the estimated fair value of the investment, is recognized in earnings when an impairment is deemed to be other than temporary. Considerable judgment is used in determining if an impairment loss is other than temporary and the amount of any impairment. Based on the severity of the decline in Enable’s common unit price during the three months ended March 31, 2020 due to the macroeconomic conditions related in part to the COVID-19 pandemic, combined with Enable’s announcement on April 1, 2020 to reduce its quarterly distributions per common unit by 50%, and the market outlook indicating excess supply of crude oil and natural gas and continued depressed crude oil and natural gas prices impacting the midstream oil and gas industry, CenterPoint Energy determined, in connection with its preparation of the financial statements, that an other than temporary decrease in the value of its investment in Enable had occurred. CenterPoint Energy reduced the carrying value of its investment in Enable to its estimated fair value of $848 million as of March 31, 2020 and recognized an impairment charge of $1,541 million during the three months ended March 31, 2020. Both the income approach and market approach were utilized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estimate the fair value of CenterPoint Energy’s equity investment in Enable, which includes common units, general partner interest and incentive distribution rights held by CenterPoint Energy through CNP Midstream. The determination of fair value considered a number of relevant factors including Enable’s common unit price and forecasted distributions, recent comparable transactions and the limited float of Enable’s publicly traded common units. CenterPoint Energy did not identify a decrease in value as of June 30, 2020, and no impairments in its investment in Enable were recorded during the three months ended June 30, 2020. See Note 8 for further discussion of the determination of fair value of CenterPoint Energy’s investment in Enable as of March 31, 2020.</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Earnings (Losses) of Unconsolidated Affiliates, net (CenterPoint Energy):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080" w:type="dxa"/>
            <w:vAlign w:val="bottom"/>
          </w:tcPr>
          <w:p>
            <w:pPr>
              <w:spacing w:after="0"/>
              <w:rPr>
                <w:sz w:val="22"/>
                <w:szCs w:val="22"/>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Enable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136</w:t>
            </w:r>
          </w:p>
        </w:tc>
      </w:tr>
      <w:tr>
        <w:trPr>
          <w:trHeight w:val="20"/>
        </w:trPr>
        <w:tc>
          <w:tcPr>
            <w:tcW w:w="5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CenterPoint Energy recognized a loss of $1,432 million from its investment in Enable for the six months ended June 30, 2020. This loss included an impairment charge on its investment in Enable of $1,541 million discussed above.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Limited Partner Interest and Units Held in Enable (CenterPoint Energy):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June 30, 2020</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Limited Partner Interest</w:t>
            </w:r>
          </w:p>
        </w:tc>
        <w:tc>
          <w:tcPr>
            <w:tcW w:w="16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xml:space="preserve">Common Units </w:t>
            </w:r>
            <w:r>
              <w:rPr>
                <w:rFonts w:ascii="Arial" w:cs="Arial" w:eastAsia="Arial" w:hAnsi="Arial"/>
                <w:sz w:val="10"/>
                <w:szCs w:val="10"/>
                <w:b w:val="1"/>
                <w:bCs w:val="1"/>
                <w:color w:val="auto"/>
              </w:rPr>
              <w:t>(2)</w:t>
            </w:r>
          </w:p>
        </w:tc>
        <w:tc>
          <w:tcPr>
            <w:tcW w:w="1560" w:type="dxa"/>
            <w:vAlign w:val="bottom"/>
          </w:tcPr>
          <w:p>
            <w:pPr>
              <w:jc w:val="right"/>
              <w:ind w:right="216"/>
              <w:spacing w:after="0"/>
              <w:rPr>
                <w:sz w:val="20"/>
                <w:szCs w:val="20"/>
                <w:color w:val="auto"/>
              </w:rPr>
            </w:pPr>
            <w:r>
              <w:rPr>
                <w:rFonts w:ascii="Arial" w:cs="Arial" w:eastAsia="Arial" w:hAnsi="Arial"/>
                <w:sz w:val="14"/>
                <w:szCs w:val="14"/>
                <w:b w:val="1"/>
                <w:bCs w:val="1"/>
                <w:color w:val="auto"/>
              </w:rPr>
              <w:t>Enable Series A</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15"/>
                <w:szCs w:val="15"/>
                <w:color w:val="auto"/>
              </w:rPr>
            </w:pPr>
          </w:p>
        </w:tc>
        <w:tc>
          <w:tcPr>
            <w:tcW w:w="1660" w:type="dxa"/>
            <w:vAlign w:val="bottom"/>
          </w:tcPr>
          <w:p>
            <w:pPr>
              <w:jc w:val="right"/>
              <w:ind w:right="679"/>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560" w:type="dxa"/>
            <w:vAlign w:val="bottom"/>
          </w:tcPr>
          <w:p>
            <w:pPr>
              <w:jc w:val="right"/>
              <w:ind w:right="136"/>
              <w:spacing w:after="0"/>
              <w:rPr>
                <w:sz w:val="20"/>
                <w:szCs w:val="20"/>
                <w:color w:val="auto"/>
              </w:rPr>
            </w:pPr>
            <w:r>
              <w:rPr>
                <w:rFonts w:ascii="Arial" w:cs="Arial" w:eastAsia="Arial" w:hAnsi="Arial"/>
                <w:sz w:val="14"/>
                <w:szCs w:val="14"/>
                <w:b w:val="1"/>
                <w:bCs w:val="1"/>
                <w:color w:val="auto"/>
              </w:rPr>
              <w:t xml:space="preserve">Preferred Units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243"/>
        </w:trPr>
        <w:tc>
          <w:tcPr>
            <w:tcW w:w="6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233,856,623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14,520,000</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OGE</w:t>
            </w:r>
          </w:p>
        </w:tc>
        <w:tc>
          <w:tcPr>
            <w:tcW w:w="16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110,982,805</w:t>
            </w:r>
          </w:p>
        </w:tc>
        <w:tc>
          <w:tcPr>
            <w:tcW w:w="12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unitholders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90,614,781</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40" w:type="dxa"/>
            <w:vAlign w:val="bottom"/>
          </w:tcPr>
          <w:p>
            <w:pPr>
              <w:ind w:left="400"/>
              <w:spacing w:after="0"/>
              <w:rPr>
                <w:sz w:val="20"/>
                <w:szCs w:val="20"/>
                <w:color w:val="auto"/>
              </w:rPr>
            </w:pPr>
            <w:r>
              <w:rPr>
                <w:rFonts w:ascii="Arial" w:cs="Arial" w:eastAsia="Arial" w:hAnsi="Arial"/>
                <w:sz w:val="18"/>
                <w:szCs w:val="18"/>
                <w:color w:val="auto"/>
              </w:rPr>
              <w:t>Total units outstanding</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435,454,209</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14,520,000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the Enable Series A Preferred Units owned by CenterPoint Energy.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Held indirectly through CNP Midstream by CenterPoint Energy.</w:t>
      </w:r>
    </w:p>
    <w:p>
      <w:pPr>
        <w:spacing w:after="0" w:line="225" w:lineRule="exact"/>
        <w:rPr>
          <w:rFonts w:ascii="Arial" w:cs="Arial" w:eastAsia="Arial" w:hAnsi="Arial"/>
          <w:sz w:val="18"/>
          <w:szCs w:val="18"/>
          <w:color w:val="auto"/>
        </w:rPr>
      </w:pPr>
    </w:p>
    <w:p>
      <w:pPr>
        <w:ind w:left="980" w:hanging="648"/>
        <w:spacing w:after="0" w:line="311" w:lineRule="auto"/>
        <w:tabs>
          <w:tab w:leader="none" w:pos="65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carrying amount of the Enable Series A Preferred Units, reflected as Preferred units - unconsolidated affiliate on CenterPoint Energy’s Condensed Consolidated Balance Sheets, was $363 million as of June 30, 2020 and $363 million as of December 31, 2019. No impairment charges or adjustment due to observable price changes were required or recorded during the current or prior reporting periods.</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sales to any person or entity (including a series of sales to the same person or entity) of more than 5% of the aggregate of the common units CenterPoint Energy owns in Enable or sales to any person or entity (including a series of sales to the same person or entity) by OGE of more than 5% of the aggregate of the common units it owns in Enable are subject to mutual rights of first offer and first refusal set forth in Enable’s Agreement of Limited Partnership.</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Interests Held in Enable GP (CenterPoint Energy):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June 30, 2020</w:t>
            </w:r>
          </w:p>
        </w:tc>
      </w:tr>
      <w:tr>
        <w:trPr>
          <w:trHeight w:val="175"/>
        </w:trPr>
        <w:tc>
          <w:tcPr>
            <w:tcW w:w="7420" w:type="dxa"/>
            <w:vAlign w:val="bottom"/>
          </w:tcPr>
          <w:p>
            <w:pPr>
              <w:spacing w:after="0"/>
              <w:rPr>
                <w:sz w:val="15"/>
                <w:szCs w:val="15"/>
                <w:color w:val="auto"/>
              </w:rPr>
            </w:pPr>
          </w:p>
        </w:tc>
        <w:tc>
          <w:tcPr>
            <w:tcW w:w="140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Management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w w:val="94"/>
              </w:rPr>
              <w:t>Incentive Distribution Rights</w:t>
            </w:r>
          </w:p>
        </w:tc>
      </w:tr>
      <w:tr>
        <w:trPr>
          <w:trHeight w:val="176"/>
        </w:trPr>
        <w:tc>
          <w:tcPr>
            <w:tcW w:w="74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 xml:space="preserve">Rights </w:t>
            </w:r>
            <w:r>
              <w:rPr>
                <w:rFonts w:ascii="Arial" w:cs="Arial" w:eastAsia="Arial" w:hAnsi="Arial"/>
                <w:sz w:val="10"/>
                <w:szCs w:val="10"/>
                <w:b w:val="1"/>
                <w:bCs w:val="1"/>
                <w:color w:val="auto"/>
                <w:w w:val="93"/>
              </w:rPr>
              <w:t>(1)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60" w:type="dxa"/>
            <w:vAlign w:val="bottom"/>
            <w:tcBorders>
              <w:bottom w:val="single" w:sz="8" w:color="auto"/>
            </w:tcBorders>
          </w:tcPr>
          <w:p>
            <w:pPr>
              <w:jc w:val="right"/>
              <w:ind w:right="784"/>
              <w:spacing w:after="0"/>
              <w:rPr>
                <w:sz w:val="20"/>
                <w:szCs w:val="20"/>
                <w:color w:val="auto"/>
              </w:rPr>
            </w:pPr>
            <w:r>
              <w:rPr>
                <w:rFonts w:ascii="Arial" w:cs="Arial" w:eastAsia="Arial" w:hAnsi="Arial"/>
                <w:sz w:val="11"/>
                <w:szCs w:val="11"/>
                <w:b w:val="1"/>
                <w:bCs w:val="1"/>
                <w:color w:val="auto"/>
              </w:rPr>
              <w:t>(2)</w:t>
            </w:r>
          </w:p>
        </w:tc>
      </w:tr>
      <w:tr>
        <w:trPr>
          <w:trHeight w:val="243"/>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(3)</w:t>
            </w:r>
          </w:p>
        </w:tc>
        <w:tc>
          <w:tcPr>
            <w:tcW w:w="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4"/>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OGE</w:t>
            </w:r>
          </w:p>
        </w:tc>
        <w:tc>
          <w:tcPr>
            <w:tcW w:w="440" w:type="dxa"/>
            <w:vAlign w:val="bottom"/>
          </w:tcPr>
          <w:p>
            <w:pPr>
              <w:ind w:left="80"/>
              <w:spacing w:after="0"/>
              <w:rPr>
                <w:sz w:val="20"/>
                <w:szCs w:val="20"/>
                <w:color w:val="auto"/>
              </w:rPr>
            </w:pPr>
            <w:r>
              <w:rPr>
                <w:rFonts w:ascii="Arial" w:cs="Arial" w:eastAsia="Arial" w:hAnsi="Arial"/>
                <w:sz w:val="18"/>
                <w:szCs w:val="18"/>
                <w:color w:val="auto"/>
                <w:w w:val="94"/>
              </w:rPr>
              <w:t>50%</w:t>
            </w: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00" w:lineRule="exact"/>
        <w:rPr>
          <w:sz w:val="20"/>
          <w:szCs w:val="20"/>
          <w:color w:val="auto"/>
        </w:rPr>
      </w:pPr>
    </w:p>
    <w:p>
      <w:pPr>
        <w:spacing w:after="0" w:line="245" w:lineRule="exact"/>
        <w:rPr>
          <w:sz w:val="20"/>
          <w:szCs w:val="20"/>
          <w:color w:val="auto"/>
        </w:rPr>
      </w:pPr>
    </w:p>
    <w:p>
      <w:pPr>
        <w:ind w:left="980" w:hanging="648"/>
        <w:spacing w:after="0" w:line="263" w:lineRule="auto"/>
        <w:tabs>
          <w:tab w:leader="none" w:pos="6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Enable is controlled jointly by CenterPoint Energy and OGE. Sale of CenterPoint Energy’s or OGE’s ownership interests in Enable GP to a third party is subject to mutual rights of first offer and first refusal, and CenterPoint Energy is not permitted to dispose of less than all of its interest in Enable GP.</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80" w:hanging="648"/>
        <w:spacing w:after="0" w:line="257" w:lineRule="auto"/>
        <w:tabs>
          <w:tab w:leader="none" w:pos="6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cash distributions to Enable’s unitholders exceed $0.330625 per common unit in any quarter, Enable GP will receive increasing percentages or incentive distributions rights, up to 50%, of the cash Enable distributes in excess of that amount. In certain circumstances Enable GP will have the right to reset the minimum quarterly distribution and the target distribution levels at which the incentive distributions receive increasing percentages to higher levels based on Enable’s cash distributions at the time of the exercise of this reset election. To date, no incentive distributions have been made.</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Held indirectly through CNP Midstream.</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Distributions Received from Enable (CenterPoint Energy):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8"/>
              </w:rPr>
              <w:t>Six Months Ended June 30,</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6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w w:val="89"/>
              </w:rPr>
              <w:t>2019</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2020</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2019</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 Unit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 Unit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 Unit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 Unit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Distribution</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Distribution</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Distribution</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Distribution</w:t>
            </w:r>
          </w:p>
        </w:tc>
        <w:tc>
          <w:tcPr>
            <w:tcW w:w="0" w:type="dxa"/>
            <w:vAlign w:val="bottom"/>
          </w:tcPr>
          <w:p>
            <w:pPr>
              <w:spacing w:after="0"/>
              <w:rPr>
                <w:sz w:val="1"/>
                <w:szCs w:val="1"/>
                <w:color w:val="auto"/>
              </w:rPr>
            </w:pPr>
          </w:p>
        </w:tc>
      </w:tr>
      <w:tr>
        <w:trPr>
          <w:trHeight w:val="250"/>
        </w:trPr>
        <w:tc>
          <w:tcPr>
            <w:tcW w:w="2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8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w w:val="96"/>
              </w:rPr>
              <w:t>(in millions, except per unit amounts)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Enable common units (1)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0.16525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0.3180</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0.49575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0.6360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Enable Series A Preferred Units</w:t>
            </w:r>
          </w:p>
        </w:tc>
        <w:tc>
          <w:tcPr>
            <w:tcW w:w="14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0.62500</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0.6250</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1.2500</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1.2500</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460"/>
              <w:spacing w:after="0"/>
              <w:rPr>
                <w:sz w:val="20"/>
                <w:szCs w:val="20"/>
                <w:color w:val="auto"/>
              </w:rPr>
            </w:pPr>
            <w:r>
              <w:rPr>
                <w:rFonts w:ascii="Arial" w:cs="Arial" w:eastAsia="Arial" w:hAnsi="Arial"/>
                <w:sz w:val="14"/>
                <w:szCs w:val="14"/>
                <w:b w:val="1"/>
                <w:bCs w:val="1"/>
                <w:color w:val="auto"/>
              </w:rPr>
              <w:t>Total CenterPoint Energy</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On April 1, 2020, Enable announced a 50% reduction in its quarterly distribution per common unit from $0.3305 to $0.16525.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Enable (CenterPoint Energy and CERC):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transactions with Enable in the following tables exclude transactions with the Energy Services Disposal Group. See Note 3 for further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Six Months Ended June 30,</w:t>
            </w:r>
          </w:p>
        </w:tc>
        <w:tc>
          <w:tcPr>
            <w:tcW w:w="400" w:type="dxa"/>
            <w:vAlign w:val="bottom"/>
            <w:tcBorders>
              <w:bottom w:val="single" w:sz="8" w:color="auto"/>
            </w:tcBorders>
          </w:tcPr>
          <w:p>
            <w:pPr>
              <w:spacing w:after="0"/>
              <w:rPr>
                <w:sz w:val="16"/>
                <w:szCs w:val="16"/>
                <w:color w:val="auto"/>
              </w:rPr>
            </w:pPr>
          </w:p>
        </w:tc>
      </w:tr>
      <w:tr>
        <w:trPr>
          <w:trHeight w:val="263"/>
        </w:trPr>
        <w:tc>
          <w:tcPr>
            <w:tcW w:w="5520" w:type="dxa"/>
            <w:vAlign w:val="bottom"/>
          </w:tcPr>
          <w:p>
            <w:pPr>
              <w:spacing w:after="0"/>
              <w:rPr>
                <w:sz w:val="22"/>
                <w:szCs w:val="22"/>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r>
      <w:tr>
        <w:trPr>
          <w:trHeight w:val="244"/>
        </w:trPr>
        <w:tc>
          <w:tcPr>
            <w:tcW w:w="5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3"/>
          </w:tcPr>
          <w:p>
            <w:pPr>
              <w:jc w:val="right"/>
              <w:ind w:right="602"/>
              <w:spacing w:after="0"/>
              <w:rPr>
                <w:sz w:val="20"/>
                <w:szCs w:val="20"/>
                <w:color w:val="auto"/>
              </w:rPr>
            </w:pPr>
            <w:r>
              <w:rPr>
                <w:rFonts w:ascii="Arial" w:cs="Arial" w:eastAsia="Arial" w:hAnsi="Arial"/>
                <w:sz w:val="14"/>
                <w:szCs w:val="14"/>
                <w:b w:val="1"/>
                <w:bCs w:val="1"/>
                <w:color w:val="auto"/>
                <w:w w:val="99"/>
              </w:rPr>
              <w:t>(in millions)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5"/>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CenterPoint Energy</w:t>
            </w: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
        </w:trPr>
        <w:tc>
          <w:tcPr>
            <w:tcW w:w="5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Natural gas expenses, includes transportation and storage costs</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88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80" w:type="dxa"/>
            <w:vAlign w:val="bottom"/>
            <w:tcBorders>
              <w:bottom w:val="single" w:sz="8" w:color="CCEEFF"/>
            </w:tcBorders>
            <w:shd w:val="clear" w:color="auto" w:fill="CCEEFF"/>
          </w:tcPr>
          <w:p>
            <w:pPr>
              <w:jc w:val="right"/>
              <w:ind w:right="745"/>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45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CERC</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Natural gas expenses, includes transportation and storage costs</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45</w:t>
            </w:r>
          </w:p>
        </w:tc>
      </w:tr>
      <w:tr>
        <w:trPr>
          <w:trHeight w:val="615"/>
        </w:trPr>
        <w:tc>
          <w:tcPr>
            <w:tcW w:w="5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4"/>
                <w:szCs w:val="14"/>
                <w:b w:val="1"/>
                <w:bCs w:val="1"/>
                <w:color w:val="auto"/>
              </w:rPr>
              <w:t>June 30, 2020</w:t>
            </w: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4"/>
                <w:szCs w:val="14"/>
                <w:b w:val="1"/>
                <w:bCs w:val="1"/>
                <w:color w:val="auto"/>
                <w:w w:val="95"/>
              </w:rPr>
              <w:t>December 31, 2019</w:t>
            </w:r>
          </w:p>
        </w:tc>
      </w:tr>
      <w:tr>
        <w:trPr>
          <w:trHeight w:val="244"/>
        </w:trPr>
        <w:tc>
          <w:tcPr>
            <w:tcW w:w="5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3"/>
          </w:tcPr>
          <w:p>
            <w:pPr>
              <w:jc w:val="right"/>
              <w:ind w:right="885"/>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r>
      <w:tr>
        <w:trPr>
          <w:trHeight w:val="255"/>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CenterPoint Energy</w:t>
            </w: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7"/>
        </w:trPr>
        <w:tc>
          <w:tcPr>
            <w:tcW w:w="5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 for natural gas purchases from Enable</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9</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CERC</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 for natural gas purchases from Enable</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r>
      <w:tr>
        <w:trPr>
          <w:trHeight w:val="864"/>
        </w:trPr>
        <w:tc>
          <w:tcPr>
            <w:tcW w:w="55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unaudited consolidated income information for Enable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80" w:type="dxa"/>
            <w:vAlign w:val="bottom"/>
          </w:tcPr>
          <w:p>
            <w:pPr>
              <w:spacing w:after="0"/>
              <w:rPr>
                <w:sz w:val="22"/>
                <w:szCs w:val="22"/>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1,530</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Cost of sales, excluding depreciation and amortization</w:t>
            </w:r>
          </w:p>
        </w:tc>
        <w:tc>
          <w:tcPr>
            <w:tcW w:w="100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695</w:t>
            </w:r>
          </w:p>
        </w:tc>
      </w:tr>
      <w:tr>
        <w:trPr>
          <w:trHeight w:val="33"/>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Goodwill and long-lived assets impairments</w:t>
            </w:r>
          </w:p>
        </w:tc>
        <w:tc>
          <w:tcPr>
            <w:tcW w:w="100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Net income attributable to Enable common units</w:t>
            </w:r>
          </w:p>
        </w:tc>
        <w:tc>
          <w:tcPr>
            <w:tcW w:w="100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228</w:t>
            </w:r>
          </w:p>
        </w:tc>
      </w:tr>
      <w:tr>
        <w:trPr>
          <w:trHeight w:val="33"/>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 of Equity in Earnings (Losses), net:</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CenterPoint Energy’s interest</w:t>
            </w: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123</w:t>
            </w:r>
          </w:p>
        </w:tc>
      </w:tr>
      <w:tr>
        <w:trPr>
          <w:trHeight w:val="33"/>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Basis difference amortization (1)</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Loss on dilution, net of proportional basis difference recognition</w:t>
            </w:r>
          </w:p>
        </w:tc>
        <w:tc>
          <w:tcPr>
            <w:tcW w:w="100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5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Impairment of CenterPoint Energy’s equity method investment in Enable</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6"/>
                <w:szCs w:val="16"/>
                <w:color w:val="auto"/>
              </w:rPr>
              <w:t>CenterPoint Energy’s equity in earnings (losses), net</w:t>
            </w:r>
          </w:p>
        </w:tc>
        <w:tc>
          <w:tcPr>
            <w:tcW w:w="1000" w:type="dxa"/>
            <w:vAlign w:val="bottom"/>
            <w:tcBorders>
              <w:top w:val="single" w:sz="8" w:color="auto"/>
              <w:bottom w:val="single" w:sz="8" w:color="auto"/>
            </w:tcBorders>
          </w:tcPr>
          <w:p>
            <w:pPr>
              <w:jc w:val="right"/>
              <w:ind w:right="823"/>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136</w:t>
            </w:r>
          </w:p>
        </w:tc>
      </w:tr>
      <w:tr>
        <w:trPr>
          <w:trHeight w:val="20"/>
        </w:trPr>
        <w:tc>
          <w:tcPr>
            <w:tcW w:w="5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Equity in earnings of unconsolidated affiliate includes CenterPoint Energy’s share of Enable earnings adjusted for the amortization of the basis difference of CenterPoint Energy’s original investment in Enable and its underlying equity in net assets of Enable. The basis difference is being amortized through the year 2048.</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unaudited consolidated balance sheet information for Enable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8"/>
              </w:rPr>
              <w:t>December 31, 2019</w:t>
            </w:r>
          </w:p>
        </w:tc>
      </w:tr>
      <w:tr>
        <w:trPr>
          <w:trHeight w:val="250"/>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0" w:type="dxa"/>
            <w:vAlign w:val="bottom"/>
            <w:gridSpan w:val="4"/>
          </w:tcPr>
          <w:p>
            <w:pPr>
              <w:jc w:val="right"/>
              <w:ind w:right="137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11,687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11,877</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4,077</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Preferred equity</w:t>
            </w: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362</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Enable partners’ equity</w:t>
            </w:r>
          </w:p>
        </w:tc>
        <w:tc>
          <w:tcPr>
            <w:tcW w:w="3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7,013</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Investment in Enable:</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CenterPoint Energy’s ownership interest in Enable partners’ 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3,767</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CenterPoint Energy’s basis difference </w:t>
            </w:r>
            <w:r>
              <w:rPr>
                <w:rFonts w:ascii="Arial" w:cs="Arial" w:eastAsia="Arial" w:hAnsi="Arial"/>
                <w:sz w:val="14"/>
                <w:szCs w:val="14"/>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CenterPoint Energy’s equity method investment in Enable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2,406</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Includes the impairment of CenterPoint Energy’s equity method investment in Enable of $1,541 million recorded during the three months ended March 31, 2020. The basis difference is being amortized through the year 2048.</w:t>
      </w:r>
    </w:p>
    <w:p>
      <w:pPr>
        <w:spacing w:after="0" w:line="166" w:lineRule="exact"/>
        <w:rPr>
          <w:rFonts w:ascii="Arial" w:cs="Arial" w:eastAsia="Arial" w:hAnsi="Arial"/>
          <w:sz w:val="18"/>
          <w:szCs w:val="18"/>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Intangibles (CenterPoint Energy and CERC)</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Goodwill and intangible assets related to the Infrastructure Services and Energy Services Disposal Groups are classified as held for sale on CenterPoint Energy’s and CERC’s respective recast Condensed Consolidated Balance Sheets as of December 31, 2019, as applicable, and are excluded from the tabular disclosures below. See Note 3 for further information.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CenterPoint Energy’s goodwill by reportable segment as of June 30, 2020 and December 31, 2019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Impairment</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June 30, 2020</w:t>
            </w:r>
          </w:p>
        </w:tc>
      </w:tr>
      <w:tr>
        <w:trPr>
          <w:trHeight w:val="250"/>
        </w:trPr>
        <w:tc>
          <w:tcPr>
            <w:tcW w:w="5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Indiana Electric Integrated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936</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Natural Gas Distribution</w:t>
            </w:r>
          </w:p>
        </w:tc>
        <w:tc>
          <w:tcPr>
            <w:tcW w:w="2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3,312</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449</w:t>
            </w:r>
          </w:p>
        </w:tc>
      </w:tr>
      <w:tr>
        <w:trPr>
          <w:trHeight w:val="257"/>
        </w:trPr>
        <w:tc>
          <w:tcPr>
            <w:tcW w:w="564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4,697</w:t>
            </w: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CERC’s goodwill by reportable segment as of June 30, 2020 and December 31, 2019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5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Distribution</w:t>
            </w:r>
          </w:p>
        </w:tc>
        <w:tc>
          <w:tcPr>
            <w:tcW w:w="1360" w:type="dxa"/>
            <w:vAlign w:val="bottom"/>
            <w:tcBorders>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360" w:type="dxa"/>
            <w:vAlign w:val="bottom"/>
          </w:tcPr>
          <w:p>
            <w:pPr>
              <w:spacing w:after="0"/>
              <w:rPr>
                <w:sz w:val="21"/>
                <w:szCs w:val="21"/>
                <w:color w:val="auto"/>
              </w:rPr>
            </w:pPr>
          </w:p>
        </w:tc>
        <w:tc>
          <w:tcPr>
            <w:tcW w:w="44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7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757</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r>
      <w:tr>
        <w:trPr>
          <w:trHeight w:val="20"/>
        </w:trPr>
        <w:tc>
          <w:tcPr>
            <w:tcW w:w="7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CenterPoint Energy and CERC perform goodwill impairment tests at least annually and evaluate goodwill when events or changes in circumstances indicate that its carrying value may not be recoverable. The impairment evaluation for goodwill is performed by comparing the fair value of each reporting unit with the carrying amount of the reporting unit, including goodwill. The reporting units approximate the reportable segments, with the exception of ESG, which is a separate reporting unit but included in Corporate and Other at CenterPoint Energy. The estimated fair value of the reporting unit is primarily determined based on an income approach or a weighted combination of income and market approaches. If the carrying amount is in excess of the estimated fair value of the reporting unit, then the excess amount is recorded as an impairment charge, not to exceed the carrying amount of goodwill.</w:t>
      </w:r>
    </w:p>
    <w:p>
      <w:pPr>
        <w:spacing w:after="0" w:line="164" w:lineRule="exact"/>
        <w:rPr>
          <w:sz w:val="20"/>
          <w:szCs w:val="20"/>
          <w:color w:val="auto"/>
        </w:rPr>
      </w:pPr>
    </w:p>
    <w:p>
      <w:pPr>
        <w:jc w:val="both"/>
        <w:ind w:left="40" w:firstLine="324"/>
        <w:spacing w:after="0" w:line="259" w:lineRule="auto"/>
        <w:rPr>
          <w:sz w:val="20"/>
          <w:szCs w:val="20"/>
          <w:color w:val="auto"/>
        </w:rPr>
      </w:pPr>
      <w:r>
        <w:rPr>
          <w:rFonts w:ascii="Arial" w:cs="Arial" w:eastAsia="Arial" w:hAnsi="Arial"/>
          <w:sz w:val="18"/>
          <w:szCs w:val="18"/>
          <w:color w:val="auto"/>
        </w:rPr>
        <w:t>In connection with their preparation of the financial statements for the three months ended March 31, 2020, CenterPoint Energy and CERC identified triggering events to perform interim goodwill impairment tests for each of their reporting units due to the macroeconomic conditions related in part to the COVID-19 pandemic and the resulting decrease in CenterPoint Energy’s enterprise market capitalization below book value from the decline in CenterPoint Energy’s common stock price.</w:t>
      </w:r>
    </w:p>
    <w:p>
      <w:pPr>
        <w:spacing w:after="0" w:line="187" w:lineRule="exact"/>
        <w:rPr>
          <w:sz w:val="20"/>
          <w:szCs w:val="20"/>
          <w:color w:val="auto"/>
        </w:rPr>
      </w:pPr>
    </w:p>
    <w:p>
      <w:pPr>
        <w:jc w:val="both"/>
        <w:ind w:left="40" w:firstLine="324"/>
        <w:spacing w:after="0" w:line="259" w:lineRule="auto"/>
        <w:rPr>
          <w:sz w:val="20"/>
          <w:szCs w:val="20"/>
          <w:color w:val="auto"/>
        </w:rPr>
      </w:pPr>
      <w:r>
        <w:rPr>
          <w:rFonts w:ascii="Arial" w:cs="Arial" w:eastAsia="Arial" w:hAnsi="Arial"/>
          <w:sz w:val="18"/>
          <w:szCs w:val="18"/>
          <w:color w:val="auto"/>
        </w:rPr>
        <w:t>CenterPoint Energy’s interim impairment test in the three months ended March 31, 2020 resulted in a non-cash goodwill impairment charge in the amount of $185 million for the Indiana Electric Integrated reportable segment. The Indiana Electric Integrated reporting unit fair value analysis resulted in an implied fair value of goodwill of $936 million for this reporting unit as of March 31, 2020, and as a result, the non-cash impairment charge was recorded in the three months ended March 31, 2020.</w:t>
      </w:r>
    </w:p>
    <w:p>
      <w:pPr>
        <w:spacing w:after="0" w:line="187" w:lineRule="exact"/>
        <w:rPr>
          <w:sz w:val="20"/>
          <w:szCs w:val="20"/>
          <w:color w:val="auto"/>
        </w:rPr>
      </w:pPr>
    </w:p>
    <w:p>
      <w:pPr>
        <w:jc w:val="both"/>
        <w:ind w:left="40" w:firstLine="324"/>
        <w:spacing w:after="0" w:line="257" w:lineRule="auto"/>
        <w:rPr>
          <w:sz w:val="20"/>
          <w:szCs w:val="20"/>
          <w:color w:val="auto"/>
        </w:rPr>
      </w:pPr>
      <w:r>
        <w:rPr>
          <w:rFonts w:ascii="Arial" w:cs="Arial" w:eastAsia="Arial" w:hAnsi="Arial"/>
          <w:sz w:val="18"/>
          <w:szCs w:val="18"/>
          <w:color w:val="auto"/>
        </w:rPr>
        <w:t>CenterPoint Energy estimated the value of the Indiana Electric Integrated reporting unit using primarily an income approach. Under the income approach, the fair value of the reporting unit is determined by using the present value of future expected cash flows, which include management’s projections of the amount and timing of future capital expenditures and the cash inflows from the related regulatory recovery. These estimated future cash flows are then discounted using a rate that approximates the weighted average cost of capital of a market participant. The selection of the discount rate requires significant judgment.</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With the exception of Indiana Electric Integrated discussed above, the fair value of each of CenterPoint Energy’s and CERC’s reporting units exceeded their carrying value, resulting in no goodwill impairment from the March 31, 2020 interim impairment test. See Note 3 for goodwill impairments included within discontinued operations.</w:t>
      </w:r>
    </w:p>
    <w:p>
      <w:pPr>
        <w:spacing w:after="0" w:line="184" w:lineRule="exact"/>
        <w:rPr>
          <w:sz w:val="20"/>
          <w:szCs w:val="20"/>
          <w:color w:val="auto"/>
        </w:rPr>
      </w:pPr>
    </w:p>
    <w:p>
      <w:pPr>
        <w:ind w:left="40" w:firstLine="324"/>
        <w:spacing w:after="0" w:line="277" w:lineRule="auto"/>
        <w:rPr>
          <w:sz w:val="20"/>
          <w:szCs w:val="20"/>
          <w:color w:val="auto"/>
        </w:rPr>
      </w:pPr>
      <w:r>
        <w:rPr>
          <w:rFonts w:ascii="Arial" w:cs="Arial" w:eastAsia="Arial" w:hAnsi="Arial"/>
          <w:sz w:val="18"/>
          <w:szCs w:val="18"/>
          <w:color w:val="auto"/>
        </w:rPr>
        <w:t>CenterPoint Energy and CERC did not identify triggering events in the three months ended June 30, 2020, and goodwill impairment tests were not required or performed as of June 30,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tables below present information on CenterPoint Energy’s other intangible assets recorded in Other non-current assets on CenterPoint Energy’s Condensed Consolidated Balance Sheets and the related amortization expense included in Depreciation and amortization on CenterPoint Energy’s Condensed Statements of Consolidated Income, unless otherwise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December 31, 2019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12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Balance</w:t>
            </w:r>
          </w:p>
        </w:tc>
        <w:tc>
          <w:tcPr>
            <w:tcW w:w="112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Net Balance</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33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Construction backlog </w:t>
            </w:r>
            <w:r>
              <w:rPr>
                <w:rFonts w:ascii="Arial" w:cs="Arial" w:eastAsia="Arial" w:hAnsi="Arial"/>
                <w:sz w:val="14"/>
                <w:szCs w:val="14"/>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 xml:space="preserve">Operation and maintenance agreements </w:t>
            </w: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1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68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Amortization expense related to the operation and maintenance agreements and construction backlog is included in Non-utility cost of revenues, including natural gas on CenterPoint Energy’s Condensed Statements of Consolidated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5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8"/>
              </w:rPr>
              <w:t>Three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080" w:type="dxa"/>
            <w:vAlign w:val="bottom"/>
          </w:tcPr>
          <w:p>
            <w:pPr>
              <w:spacing w:after="0"/>
              <w:rPr>
                <w:sz w:val="22"/>
                <w:szCs w:val="22"/>
                <w:color w:val="auto"/>
              </w:rPr>
            </w:pPr>
          </w:p>
        </w:tc>
        <w:tc>
          <w:tcPr>
            <w:tcW w:w="10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5"/>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Amortization expense of intangible assets recorded in Depreciation</w:t>
            </w: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7"/>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and amortization </w:t>
            </w:r>
            <w:r>
              <w:rPr>
                <w:rFonts w:ascii="Arial" w:cs="Arial" w:eastAsia="Arial" w:hAnsi="Arial"/>
                <w:sz w:val="14"/>
                <w:szCs w:val="14"/>
                <w:color w:val="auto"/>
              </w:rPr>
              <w:t>(1)</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1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r>
      <w:tr>
        <w:trPr>
          <w:trHeight w:val="229"/>
        </w:trPr>
        <w:tc>
          <w:tcPr>
            <w:tcW w:w="5080" w:type="dxa"/>
            <w:vAlign w:val="bottom"/>
          </w:tcPr>
          <w:p>
            <w:pPr>
              <w:ind w:left="40"/>
              <w:spacing w:after="0"/>
              <w:rPr>
                <w:sz w:val="20"/>
                <w:szCs w:val="20"/>
                <w:color w:val="auto"/>
              </w:rPr>
            </w:pPr>
            <w:r>
              <w:rPr>
                <w:rFonts w:ascii="Arial" w:cs="Arial" w:eastAsia="Arial" w:hAnsi="Arial"/>
                <w:sz w:val="18"/>
                <w:szCs w:val="18"/>
                <w:color w:val="auto"/>
                <w:w w:val="97"/>
              </w:rPr>
              <w:t>Amortization expense of intangible assets recorded in Non-utility</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080" w:type="dxa"/>
            <w:vAlign w:val="bottom"/>
          </w:tcPr>
          <w:p>
            <w:pPr>
              <w:ind w:left="200"/>
              <w:spacing w:after="0"/>
              <w:rPr>
                <w:sz w:val="20"/>
                <w:szCs w:val="20"/>
                <w:color w:val="auto"/>
              </w:rPr>
            </w:pPr>
            <w:r>
              <w:rPr>
                <w:rFonts w:ascii="Arial" w:cs="Arial" w:eastAsia="Arial" w:hAnsi="Arial"/>
                <w:sz w:val="18"/>
                <w:szCs w:val="18"/>
                <w:color w:val="auto"/>
              </w:rPr>
              <w:t xml:space="preserve">cost of revenues, including natural gas </w:t>
            </w:r>
            <w:r>
              <w:rPr>
                <w:rFonts w:ascii="Arial" w:cs="Arial" w:eastAsia="Arial" w:hAnsi="Arial"/>
                <w:sz w:val="14"/>
                <w:szCs w:val="14"/>
                <w:color w:val="auto"/>
              </w:rPr>
              <w:t>(1) (2)</w:t>
            </w:r>
          </w:p>
        </w:tc>
        <w:tc>
          <w:tcPr>
            <w:tcW w:w="102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0"/>
                <w:szCs w:val="20"/>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w:t>
            </w:r>
          </w:p>
        </w:tc>
      </w:tr>
    </w:tbl>
    <w:p>
      <w:pPr>
        <w:spacing w:after="0" w:line="350"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Assets held for sale are not amortized. The table reflects amortization on continuing operations. For further information on discontinued operations, see Note 3.</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a $4 million benefit related to a cumulative catch-up for remeasurement of the purchase price allocation for the three months ended June 30, 2019 related to the operation and maintenance agreements and construction backlog intangibles acquired in the Merger.</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CenterPoint Energy estimates that amortization expense of intangible assets with finite lives for the next five years will be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3"/>
              </w:rPr>
              <w:t xml:space="preserve">Amortization Expense </w:t>
            </w:r>
            <w:r>
              <w:rPr>
                <w:rFonts w:ascii="Arial" w:cs="Arial" w:eastAsia="Arial" w:hAnsi="Arial"/>
                <w:sz w:val="10"/>
                <w:szCs w:val="10"/>
                <w:b w:val="1"/>
                <w:bCs w:val="1"/>
                <w:color w:val="auto"/>
                <w:w w:val="93"/>
              </w:rPr>
              <w:t>(1)</w:t>
            </w:r>
          </w:p>
        </w:tc>
      </w:tr>
      <w:tr>
        <w:trPr>
          <w:trHeight w:val="250"/>
        </w:trPr>
        <w:tc>
          <w:tcPr>
            <w:tcW w:w="94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CenterPoint Energy</w:t>
            </w:r>
          </w:p>
        </w:tc>
      </w:tr>
      <w:tr>
        <w:trPr>
          <w:trHeight w:val="244"/>
        </w:trPr>
        <w:tc>
          <w:tcPr>
            <w:tcW w:w="9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center"/>
              <w:ind w:right="16"/>
              <w:spacing w:after="0"/>
              <w:rPr>
                <w:sz w:val="20"/>
                <w:szCs w:val="20"/>
                <w:color w:val="auto"/>
              </w:rPr>
            </w:pPr>
            <w:r>
              <w:rPr>
                <w:rFonts w:ascii="Arial" w:cs="Arial" w:eastAsia="Arial" w:hAnsi="Arial"/>
                <w:sz w:val="14"/>
                <w:szCs w:val="14"/>
                <w:b w:val="1"/>
                <w:bCs w:val="1"/>
                <w:color w:val="auto"/>
                <w:w w:val="94"/>
              </w:rPr>
              <w:t>(in millions)</w:t>
            </w:r>
          </w:p>
        </w:tc>
      </w:tr>
      <w:tr>
        <w:trPr>
          <w:trHeight w:val="255"/>
        </w:trPr>
        <w:tc>
          <w:tcPr>
            <w:tcW w:w="9440" w:type="dxa"/>
            <w:vAlign w:val="bottom"/>
          </w:tcPr>
          <w:p>
            <w:pPr>
              <w:ind w:left="40"/>
              <w:spacing w:after="0"/>
              <w:rPr>
                <w:sz w:val="20"/>
                <w:szCs w:val="20"/>
                <w:color w:val="auto"/>
              </w:rPr>
            </w:pPr>
            <w:r>
              <w:rPr>
                <w:rFonts w:ascii="Arial" w:cs="Arial" w:eastAsia="Arial" w:hAnsi="Arial"/>
                <w:sz w:val="18"/>
                <w:szCs w:val="18"/>
                <w:color w:val="auto"/>
              </w:rPr>
              <w:t>Remaining six months of 2020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4</w:t>
            </w:r>
          </w:p>
        </w:tc>
      </w:tr>
      <w:tr>
        <w:trPr>
          <w:trHeight w:val="27"/>
        </w:trPr>
        <w:tc>
          <w:tcPr>
            <w:tcW w:w="9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6</w:t>
            </w:r>
          </w:p>
        </w:tc>
      </w:tr>
      <w:tr>
        <w:trPr>
          <w:trHeight w:val="27"/>
        </w:trPr>
        <w:tc>
          <w:tcPr>
            <w:tcW w:w="9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5</w:t>
            </w:r>
          </w:p>
        </w:tc>
      </w:tr>
      <w:tr>
        <w:trPr>
          <w:trHeight w:val="27"/>
        </w:trPr>
        <w:tc>
          <w:tcPr>
            <w:tcW w:w="9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9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r>
      <w:tr>
        <w:trPr>
          <w:trHeight w:val="27"/>
        </w:trPr>
        <w:tc>
          <w:tcPr>
            <w:tcW w:w="9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Assets held for sale are not amortized. The table reflects amortization on continuing operations. For further information on discontinued operations, see Note 3.</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Indexed Debt Securities (ZENS) and Securities Related to ZENS (CenterPoint Energy)</w:t>
      </w:r>
    </w:p>
    <w:p>
      <w:pPr>
        <w:spacing w:after="0" w:line="229" w:lineRule="exact"/>
        <w:rPr>
          <w:rFonts w:ascii="Arial" w:cs="Arial" w:eastAsia="Arial" w:hAnsi="Arial"/>
          <w:sz w:val="18"/>
          <w:szCs w:val="18"/>
          <w:b w:val="1"/>
          <w:bCs w:val="1"/>
          <w:color w:val="auto"/>
        </w:rPr>
      </w:pPr>
    </w:p>
    <w:p>
      <w:pPr>
        <w:ind w:left="420" w:hanging="250"/>
        <w:spacing w:after="0"/>
        <w:tabs>
          <w:tab w:leader="none" w:pos="420" w:val="left"/>
        </w:tabs>
        <w:numPr>
          <w:ilvl w:val="1"/>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in Securities Related to ZENS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subsidiary of CenterPoint Energy holds shares of certain securities detailed in the table below, which are classified as trading securities and are expected to be held to facilitate CenterPoint Energy’s ability to meet its obligation under the ZENS. Unrealized gains and losses resulting from changes in the market value of the ZENS-Related Securities are recorded in CenterPoint Energy’s Condensed Statements of Consolidated Income.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700" w:type="dxa"/>
            <w:vAlign w:val="bottom"/>
            <w:tcBorders>
              <w:bottom w:val="single" w:sz="8" w:color="auto"/>
            </w:tcBorders>
            <w:gridSpan w:val="3"/>
          </w:tcPr>
          <w:p>
            <w:pPr>
              <w:jc w:val="right"/>
              <w:ind w:right="1376"/>
              <w:spacing w:after="0"/>
              <w:rPr>
                <w:sz w:val="20"/>
                <w:szCs w:val="20"/>
                <w:color w:val="auto"/>
              </w:rPr>
            </w:pPr>
            <w:r>
              <w:rPr>
                <w:rFonts w:ascii="Arial" w:cs="Arial" w:eastAsia="Arial" w:hAnsi="Arial"/>
                <w:sz w:val="14"/>
                <w:szCs w:val="14"/>
                <w:b w:val="1"/>
                <w:bCs w:val="1"/>
                <w:color w:val="auto"/>
              </w:rPr>
              <w:t>Shares Held</w:t>
            </w:r>
          </w:p>
        </w:tc>
      </w:tr>
      <w:tr>
        <w:trPr>
          <w:trHeight w:val="217"/>
        </w:trPr>
        <w:tc>
          <w:tcPr>
            <w:tcW w:w="754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Arial" w:cs="Arial" w:eastAsia="Arial" w:hAnsi="Arial"/>
                <w:sz w:val="14"/>
                <w:szCs w:val="14"/>
                <w:b w:val="1"/>
                <w:bCs w:val="1"/>
                <w:color w:val="auto"/>
              </w:rPr>
              <w:t>June 30, 2020</w:t>
            </w:r>
          </w:p>
        </w:tc>
        <w:tc>
          <w:tcPr>
            <w:tcW w:w="1780" w:type="dxa"/>
            <w:vAlign w:val="bottom"/>
          </w:tcPr>
          <w:p>
            <w:pPr>
              <w:jc w:val="right"/>
              <w:ind w:right="216"/>
              <w:spacing w:after="0"/>
              <w:rPr>
                <w:sz w:val="20"/>
                <w:szCs w:val="20"/>
                <w:color w:val="auto"/>
              </w:rPr>
            </w:pPr>
            <w:r>
              <w:rPr>
                <w:rFonts w:ascii="Arial" w:cs="Arial" w:eastAsia="Arial" w:hAnsi="Arial"/>
                <w:sz w:val="14"/>
                <w:szCs w:val="14"/>
                <w:b w:val="1"/>
                <w:bCs w:val="1"/>
                <w:color w:val="auto"/>
              </w:rPr>
              <w:t>December 31, 2019</w:t>
            </w:r>
          </w:p>
        </w:tc>
      </w:tr>
      <w:tr>
        <w:trPr>
          <w:trHeight w:val="53"/>
        </w:trPr>
        <w:tc>
          <w:tcPr>
            <w:tcW w:w="7540" w:type="dxa"/>
            <w:vAlign w:val="bottom"/>
            <w:tcBorders>
              <w:bottom w:val="single" w:sz="8" w:color="CCEEFF"/>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AT&amp;T Common</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10,212,945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10,212,945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Charter Common</w:t>
            </w:r>
          </w:p>
        </w:tc>
        <w:tc>
          <w:tcPr>
            <w:tcW w:w="1800" w:type="dxa"/>
            <w:vAlign w:val="bottom"/>
          </w:tcPr>
          <w:p>
            <w:pPr>
              <w:jc w:val="right"/>
              <w:ind w:right="39"/>
              <w:spacing w:after="0"/>
              <w:rPr>
                <w:sz w:val="20"/>
                <w:szCs w:val="20"/>
                <w:color w:val="auto"/>
              </w:rPr>
            </w:pPr>
            <w:r>
              <w:rPr>
                <w:rFonts w:ascii="Arial" w:cs="Arial" w:eastAsia="Arial" w:hAnsi="Arial"/>
                <w:sz w:val="18"/>
                <w:szCs w:val="18"/>
                <w:color w:val="auto"/>
              </w:rPr>
              <w:t>872,503</w:t>
            </w:r>
          </w:p>
        </w:tc>
        <w:tc>
          <w:tcPr>
            <w:tcW w:w="120" w:type="dxa"/>
            <w:vAlign w:val="bottom"/>
          </w:tcPr>
          <w:p>
            <w:pPr>
              <w:spacing w:after="0"/>
              <w:rPr>
                <w:sz w:val="21"/>
                <w:szCs w:val="21"/>
                <w:color w:val="auto"/>
              </w:rPr>
            </w:pP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872,503</w:t>
            </w:r>
          </w:p>
        </w:tc>
      </w:tr>
    </w:tbl>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 ZENS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September 1999, CenterPoint Energy issued ZENS having an original principal amount of $1.0 billion of which $828 million remained outstanding as of June 30, 2020.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CenterPoint Energy’s reference shares for each ZENS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20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June 30, 2020</w:t>
            </w:r>
          </w:p>
        </w:tc>
        <w:tc>
          <w:tcPr>
            <w:tcW w:w="15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3"/>
              </w:rPr>
              <w:t>December 31, 2019</w:t>
            </w:r>
          </w:p>
        </w:tc>
      </w:tr>
      <w:tr>
        <w:trPr>
          <w:trHeight w:val="250"/>
        </w:trPr>
        <w:tc>
          <w:tcPr>
            <w:tcW w:w="754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(in shares)</w:t>
            </w:r>
          </w:p>
        </w:tc>
        <w:tc>
          <w:tcPr>
            <w:tcW w:w="150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AT&amp;T Common</w:t>
            </w:r>
          </w:p>
        </w:tc>
        <w:tc>
          <w:tcPr>
            <w:tcW w:w="22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8"/>
                <w:szCs w:val="18"/>
                <w:color w:val="auto"/>
              </w:rPr>
              <w:t>0.7185</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0.7185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Charter Common</w:t>
            </w:r>
          </w:p>
        </w:tc>
        <w:tc>
          <w:tcPr>
            <w:tcW w:w="2200" w:type="dxa"/>
            <w:vAlign w:val="bottom"/>
          </w:tcPr>
          <w:p>
            <w:pPr>
              <w:jc w:val="right"/>
              <w:ind w:right="439"/>
              <w:spacing w:after="0"/>
              <w:rPr>
                <w:sz w:val="20"/>
                <w:szCs w:val="20"/>
                <w:color w:val="auto"/>
              </w:rPr>
            </w:pPr>
            <w:r>
              <w:rPr>
                <w:rFonts w:ascii="Arial" w:cs="Arial" w:eastAsia="Arial" w:hAnsi="Arial"/>
                <w:sz w:val="18"/>
                <w:szCs w:val="18"/>
                <w:color w:val="auto"/>
              </w:rPr>
              <w:t>0.061382</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0.061382</w:t>
            </w: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June 30, 2020, the ZENS, having an original principal amount of $828 million and a contingent principal amount of $66 million, were outstanding and were exchangeable, at the option of the holders, for cash equal to 95% of the market value of the reference shares attributable to the ZENS.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Debt Transactions. </w:t>
      </w:r>
      <w:r>
        <w:rPr>
          <w:rFonts w:ascii="Arial" w:cs="Arial" w:eastAsia="Arial" w:hAnsi="Arial"/>
          <w:sz w:val="18"/>
          <w:szCs w:val="18"/>
          <w:color w:val="auto"/>
        </w:rPr>
        <w:t>In June 2020, Houston Electric issued $300 million aggregate principal amount of 2.90% general mortgage bonds maturing in</w:t>
      </w:r>
      <w:r>
        <w:rPr>
          <w:rFonts w:ascii="Arial" w:cs="Arial" w:eastAsia="Arial" w:hAnsi="Arial"/>
          <w:sz w:val="18"/>
          <w:szCs w:val="18"/>
          <w:i w:val="1"/>
          <w:iCs w:val="1"/>
          <w:color w:val="auto"/>
        </w:rPr>
        <w:t xml:space="preserve"> </w:t>
      </w:r>
      <w:r>
        <w:rPr>
          <w:rFonts w:ascii="Arial" w:cs="Arial" w:eastAsia="Arial" w:hAnsi="Arial"/>
          <w:sz w:val="18"/>
          <w:szCs w:val="18"/>
          <w:color w:val="auto"/>
        </w:rPr>
        <w:t>2050. Total proceeds, net of issuance expenses and fees, of approximately $296 million were used for general limited liability company purposes, including capital expenditures and the repayment of a portion of borrowings under the CenterPoint Energy money pool.</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Debt Repayments. </w:t>
      </w:r>
      <w:r>
        <w:rPr>
          <w:rFonts w:ascii="Arial" w:cs="Arial" w:eastAsia="Arial" w:hAnsi="Arial"/>
          <w:sz w:val="16"/>
          <w:szCs w:val="16"/>
          <w:color w:val="auto"/>
        </w:rPr>
        <w:t>In April 2020, VCC repaid the aggregate principal amount of its $200 million variable term loan, and VUHI refinanced a $100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6.28% guaranteed senior note that matured in April 2020. In June 2020, VUHI repaid the aggregate principal amount of its $300 million variable term loan. In addition, in June 2020, CenterPoint Energy repaid $300 million of principal on its outstanding $1.0 billion variable rate term loan.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The Registrants had the following revolving credit facilities as of June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3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Debt for</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Covenant</w:t>
            </w:r>
          </w:p>
        </w:tc>
        <w:tc>
          <w:tcPr>
            <w:tcW w:w="3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Borrowed</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Limit on Debt</w:t>
            </w:r>
          </w:p>
        </w:tc>
        <w:tc>
          <w:tcPr>
            <w:tcW w:w="3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Money to</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Execution</w:t>
            </w: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88"/>
              </w:rPr>
              <w:t>Size of</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Draw Rate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Borrowed</w:t>
            </w:r>
          </w:p>
        </w:tc>
        <w:tc>
          <w:tcPr>
            <w:tcW w:w="3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Capital</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gridSpan w:val="2"/>
            <w:vMerge w:val="continue"/>
          </w:tcPr>
          <w:p>
            <w:pPr>
              <w:spacing w:after="0"/>
              <w:rPr>
                <w:sz w:val="12"/>
                <w:szCs w:val="12"/>
                <w:color w:val="auto"/>
              </w:rPr>
            </w:pPr>
          </w:p>
        </w:tc>
        <w:tc>
          <w:tcPr>
            <w:tcW w:w="272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Registrant</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Money to</w:t>
            </w:r>
          </w:p>
        </w:tc>
        <w:tc>
          <w:tcPr>
            <w:tcW w:w="3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Ratio as of</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92"/>
        </w:trPr>
        <w:tc>
          <w:tcPr>
            <w:tcW w:w="1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Date</w:t>
            </w:r>
          </w:p>
        </w:tc>
        <w:tc>
          <w:tcPr>
            <w:tcW w:w="2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 xml:space="preserve">LIBOR plus </w:t>
            </w:r>
            <w:r>
              <w:rPr>
                <w:rFonts w:ascii="Arial" w:cs="Arial" w:eastAsia="Arial" w:hAnsi="Arial"/>
                <w:sz w:val="10"/>
                <w:szCs w:val="10"/>
                <w:b w:val="1"/>
                <w:bCs w:val="1"/>
                <w:color w:val="auto"/>
                <w:w w:val="99"/>
              </w:rPr>
              <w:t>(1)</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Capital Ratio</w:t>
            </w:r>
          </w:p>
        </w:tc>
        <w:tc>
          <w:tcPr>
            <w:tcW w:w="3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June 30, 2020 </w:t>
            </w:r>
            <w:r>
              <w:rPr>
                <w:rFonts w:ascii="Arial" w:cs="Arial" w:eastAsia="Arial" w:hAnsi="Arial"/>
                <w:sz w:val="10"/>
                <w:szCs w:val="10"/>
                <w:b w:val="1"/>
                <w:bCs w:val="1"/>
                <w:color w:val="auto"/>
                <w:w w:val="93"/>
              </w:rPr>
              <w:t>(2)</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March 3, 2016</w:t>
            </w:r>
          </w:p>
        </w:tc>
        <w:tc>
          <w:tcPr>
            <w:tcW w:w="27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CenterPoint Energy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3,300</w:t>
            </w:r>
          </w:p>
        </w:tc>
        <w:tc>
          <w:tcPr>
            <w:tcW w:w="11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1.500%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(3)</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52.4%</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March 3, 2022</w:t>
            </w:r>
          </w:p>
        </w:tc>
        <w:tc>
          <w:tcPr>
            <w:tcW w:w="0" w:type="dxa"/>
            <w:vAlign w:val="bottom"/>
          </w:tcPr>
          <w:p>
            <w:pPr>
              <w:spacing w:after="0"/>
              <w:rPr>
                <w:sz w:val="1"/>
                <w:szCs w:val="1"/>
                <w:color w:val="auto"/>
              </w:rPr>
            </w:pPr>
          </w:p>
        </w:tc>
      </w:tr>
      <w:tr>
        <w:trPr>
          <w:trHeight w:val="264"/>
        </w:trPr>
        <w:tc>
          <w:tcPr>
            <w:tcW w:w="17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July 14, 2017</w:t>
            </w:r>
          </w:p>
        </w:tc>
        <w:tc>
          <w:tcPr>
            <w:tcW w:w="2720" w:type="dxa"/>
            <w:vAlign w:val="bottom"/>
            <w:gridSpan w:val="2"/>
          </w:tcPr>
          <w:p>
            <w:pPr>
              <w:ind w:left="4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(4)</w:t>
            </w:r>
          </w:p>
        </w:tc>
        <w:tc>
          <w:tcPr>
            <w:tcW w:w="2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12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1.125%</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3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51.3%</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July 14, 2022</w:t>
            </w:r>
          </w:p>
        </w:tc>
        <w:tc>
          <w:tcPr>
            <w:tcW w:w="0" w:type="dxa"/>
            <w:vAlign w:val="bottom"/>
          </w:tcPr>
          <w:p>
            <w:pPr>
              <w:spacing w:after="0"/>
              <w:rPr>
                <w:sz w:val="1"/>
                <w:szCs w:val="1"/>
                <w:color w:val="auto"/>
              </w:rPr>
            </w:pPr>
          </w:p>
        </w:tc>
      </w:tr>
      <w:tr>
        <w:trPr>
          <w:trHeight w:val="276"/>
        </w:trPr>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July 14, 2017</w:t>
            </w:r>
          </w:p>
        </w:tc>
        <w:tc>
          <w:tcPr>
            <w:tcW w:w="27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(5)</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1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1.250%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56.8%</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July 14, 2022</w:t>
            </w:r>
          </w:p>
        </w:tc>
        <w:tc>
          <w:tcPr>
            <w:tcW w:w="0" w:type="dxa"/>
            <w:vAlign w:val="bottom"/>
          </w:tcPr>
          <w:p>
            <w:pPr>
              <w:spacing w:after="0"/>
              <w:rPr>
                <w:sz w:val="1"/>
                <w:szCs w:val="1"/>
                <w:color w:val="auto"/>
              </w:rPr>
            </w:pPr>
          </w:p>
        </w:tc>
      </w:tr>
      <w:tr>
        <w:trPr>
          <w:trHeight w:val="264"/>
        </w:trPr>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March 3, 2016</w:t>
            </w:r>
          </w:p>
        </w:tc>
        <w:tc>
          <w:tcPr>
            <w:tcW w:w="2720" w:type="dxa"/>
            <w:vAlign w:val="bottom"/>
            <w:gridSpan w:val="2"/>
          </w:tcPr>
          <w:p>
            <w:pPr>
              <w:ind w:left="40"/>
              <w:spacing w:after="0"/>
              <w:rPr>
                <w:sz w:val="20"/>
                <w:szCs w:val="20"/>
                <w:color w:val="auto"/>
              </w:rPr>
            </w:pPr>
            <w:r>
              <w:rPr>
                <w:rFonts w:ascii="Arial" w:cs="Arial" w:eastAsia="Arial" w:hAnsi="Arial"/>
                <w:sz w:val="14"/>
                <w:szCs w:val="14"/>
                <w:color w:val="auto"/>
              </w:rPr>
              <w:t>Houston Electric</w:t>
            </w:r>
          </w:p>
        </w:tc>
        <w:tc>
          <w:tcPr>
            <w:tcW w:w="2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112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1.250%</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(3)</w:t>
            </w: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53.9%</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March 3, 2022</w:t>
            </w:r>
          </w:p>
        </w:tc>
        <w:tc>
          <w:tcPr>
            <w:tcW w:w="0" w:type="dxa"/>
            <w:vAlign w:val="bottom"/>
          </w:tcPr>
          <w:p>
            <w:pPr>
              <w:spacing w:after="0"/>
              <w:rPr>
                <w:sz w:val="1"/>
                <w:szCs w:val="1"/>
                <w:color w:val="auto"/>
              </w:rPr>
            </w:pPr>
          </w:p>
        </w:tc>
      </w:tr>
      <w:tr>
        <w:trPr>
          <w:trHeight w:val="270"/>
        </w:trPr>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March 3, 2016</w:t>
            </w:r>
          </w:p>
        </w:tc>
        <w:tc>
          <w:tcPr>
            <w:tcW w:w="27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CERC</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900</w:t>
            </w:r>
          </w:p>
        </w:tc>
        <w:tc>
          <w:tcPr>
            <w:tcW w:w="11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1.125%</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50.7%</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March 3, 2022</w:t>
            </w: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current credit ratings.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defined in the revolving credit facility agreements, excluding Securitization Bonds.</w:t>
      </w:r>
    </w:p>
    <w:p>
      <w:pPr>
        <w:spacing w:after="0" w:line="225"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For CenterPoint Energy and Houston Electric, the financial covenant limit will temporarily increase from 65%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spacing w:after="0" w:line="17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credit facility was issued by VUHI, is guaranteed by SIGECO, Indiana Gas and VEDO and includes a $10 million swing line sublimit and a $20 million letter of credit sublimit. This credit facility backstops VUHI’s commercial paper program.</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credit facility was issued by VCC, is guaranteed by Vectren and includes a $40 million swing line sublimit and an $80 million letter of credit sublimit.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Registrants, including the subsidiaries of CenterPoint Energy discussed above, were in compliance with all financial debt covenants as of June 30,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utilization of the Registrants’ respective revolving credit facilities: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June 30, 2020</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26"/>
              <w:spacing w:after="0"/>
              <w:rPr>
                <w:sz w:val="20"/>
                <w:szCs w:val="20"/>
                <w:color w:val="auto"/>
              </w:rPr>
            </w:pPr>
            <w:r>
              <w:rPr>
                <w:rFonts w:ascii="Arial" w:cs="Arial" w:eastAsia="Arial" w:hAnsi="Arial"/>
                <w:sz w:val="14"/>
                <w:szCs w:val="14"/>
                <w:b w:val="1"/>
                <w:bCs w:val="1"/>
                <w:color w:val="auto"/>
              </w:rPr>
              <w:t>December 31, 2019</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Letters</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Commercial</w:t>
            </w:r>
          </w:p>
        </w:tc>
        <w:tc>
          <w:tcPr>
            <w:tcW w:w="12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Letters</w:t>
            </w:r>
          </w:p>
        </w:tc>
        <w:tc>
          <w:tcPr>
            <w:tcW w:w="140" w:type="dxa"/>
            <w:vAlign w:val="bottom"/>
          </w:tcPr>
          <w:p>
            <w:pPr>
              <w:spacing w:after="0"/>
              <w:rPr>
                <w:sz w:val="13"/>
                <w:szCs w:val="13"/>
                <w:color w:val="auto"/>
              </w:rPr>
            </w:pPr>
          </w:p>
        </w:tc>
        <w:tc>
          <w:tcPr>
            <w:tcW w:w="98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w w:val="97"/>
              </w:rPr>
              <w:t>Commercial</w:t>
            </w:r>
          </w:p>
        </w:tc>
        <w:tc>
          <w:tcPr>
            <w:tcW w:w="1140" w:type="dxa"/>
            <w:vAlign w:val="bottom"/>
          </w:tcPr>
          <w:p>
            <w:pPr>
              <w:jc w:val="center"/>
              <w:ind w:left="28"/>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16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Registrant</w:t>
            </w:r>
          </w:p>
        </w:tc>
        <w:tc>
          <w:tcPr>
            <w:tcW w:w="20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14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of Credit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Paper</w:t>
            </w:r>
          </w:p>
        </w:tc>
        <w:tc>
          <w:tcPr>
            <w:tcW w:w="12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4"/>
              </w:rPr>
              <w:t>Interest Rate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of Credit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Paper</w:t>
            </w:r>
          </w:p>
        </w:tc>
        <w:tc>
          <w:tcPr>
            <w:tcW w:w="11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40" w:type="dxa"/>
            <w:vAlign w:val="bottom"/>
            <w:gridSpan w:val="9"/>
          </w:tcPr>
          <w:p>
            <w:pPr>
              <w:ind w:left="620"/>
              <w:spacing w:after="0"/>
              <w:rPr>
                <w:sz w:val="20"/>
                <w:szCs w:val="20"/>
                <w:color w:val="auto"/>
              </w:rPr>
            </w:pPr>
            <w:r>
              <w:rPr>
                <w:rFonts w:ascii="Arial" w:cs="Arial" w:eastAsia="Arial" w:hAnsi="Arial"/>
                <w:sz w:val="14"/>
                <w:szCs w:val="14"/>
                <w:b w:val="1"/>
                <w:bCs w:val="1"/>
                <w:color w:val="auto"/>
              </w:rPr>
              <w:t>(in millions, except weighted average interest rate)</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1,633</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(2)</w:t>
            </w:r>
          </w:p>
        </w:tc>
        <w:tc>
          <w:tcPr>
            <w:tcW w:w="20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232</w:t>
            </w:r>
          </w:p>
        </w:tc>
        <w:tc>
          <w:tcPr>
            <w:tcW w:w="1140" w:type="dxa"/>
            <w:vAlign w:val="bottom"/>
          </w:tcPr>
          <w:p>
            <w:pPr>
              <w:jc w:val="right"/>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6"/>
              <w:spacing w:after="0"/>
              <w:rPr>
                <w:sz w:val="20"/>
                <w:szCs w:val="20"/>
                <w:color w:val="auto"/>
              </w:rPr>
            </w:pPr>
            <w:r>
              <w:rPr>
                <w:rFonts w:ascii="Arial" w:cs="Arial" w:eastAsia="Arial" w:hAnsi="Arial"/>
                <w:sz w:val="14"/>
                <w:szCs w:val="14"/>
                <w:color w:val="auto"/>
              </w:rPr>
              <w:t>268</w:t>
            </w:r>
          </w:p>
        </w:tc>
        <w:tc>
          <w:tcPr>
            <w:tcW w:w="1140" w:type="dxa"/>
            <w:vAlign w:val="bottom"/>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CenterPoint Energy </w:t>
            </w:r>
            <w:r>
              <w:rPr>
                <w:rFonts w:ascii="Arial" w:cs="Arial" w:eastAsia="Arial" w:hAnsi="Arial"/>
                <w:sz w:val="10"/>
                <w:szCs w:val="10"/>
                <w:color w:val="auto"/>
              </w:rPr>
              <w:t>(3)</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Houston Electric</w:t>
            </w:r>
          </w:p>
        </w:tc>
        <w:tc>
          <w:tcPr>
            <w:tcW w:w="20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CERC</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4"/>
                <w:szCs w:val="14"/>
                <w:color w:val="auto"/>
              </w:rPr>
              <w:t>377</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43"/>
        </w:trPr>
        <w:tc>
          <w:tcPr>
            <w:tcW w:w="2160" w:type="dxa"/>
            <w:vAlign w:val="bottom"/>
          </w:tcPr>
          <w:p>
            <w:pPr>
              <w:ind w:left="28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780</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6"/>
              <w:spacing w:after="0"/>
              <w:rPr>
                <w:sz w:val="20"/>
                <w:szCs w:val="20"/>
                <w:color w:val="auto"/>
              </w:rPr>
            </w:pPr>
            <w:r>
              <w:rPr>
                <w:rFonts w:ascii="Arial" w:cs="Arial" w:eastAsia="Arial" w:hAnsi="Arial"/>
                <w:sz w:val="14"/>
                <w:szCs w:val="14"/>
                <w:color w:val="auto"/>
              </w:rPr>
              <w:t>2,278</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CenterPoint Energy’s outstanding commercial paper generally has maturities of 60 days or less.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credit facility was issued by VUHI and is guaranteed by SIGECO, Indiana Gas and VEDO.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credit facility was issued by VCC and is guaranteed by Vectren.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As of June 30, 2020, certain financial institutions agreed to issue, from time to time, up to $50 million of letters of credit on behalf of Vectren and</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of its subsidiaries in exchange for customary fees. These agreements to issue letters of credit expire on December 31, 2020. As of June 30, 2020, such financial institutions had issued $7 million of letters of credit on behalf of Vectren and certain of its subsidiaries.</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Houston Electric had $68 million and $68 million of general mortgage bonds outstanding as of June 30, 2020 and December 31, 2019, respectively, as collateral for long-term debt of CenterPoint Energy that matures in 2028. These bonds are not reflected in Houston Electric’s consolidated financial statements because of the contingent nature of the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Registrants reported the following effective tax rates: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62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w w:val="97"/>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8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CenterPoint Energy - Continuing operations </w:t>
            </w:r>
            <w:r>
              <w:rPr>
                <w:rFonts w:ascii="Arial" w:cs="Arial" w:eastAsia="Arial" w:hAnsi="Arial"/>
                <w:sz w:val="14"/>
                <w:szCs w:val="14"/>
                <w:color w:val="auto"/>
              </w:rPr>
              <w:t>(1) (2)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 xml:space="preserve">CenterPoint Energy - Discontinued operations </w:t>
            </w:r>
            <w:r>
              <w:rPr>
                <w:rFonts w:ascii="Arial" w:cs="Arial" w:eastAsia="Arial" w:hAnsi="Arial"/>
                <w:sz w:val="14"/>
                <w:szCs w:val="14"/>
                <w:color w:val="auto"/>
              </w:rPr>
              <w:t>(3) (4)</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475 %</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Houston Electric </w:t>
            </w:r>
            <w:r>
              <w:rPr>
                <w:rFonts w:ascii="Arial" w:cs="Arial" w:eastAsia="Arial" w:hAnsi="Arial"/>
                <w:sz w:val="14"/>
                <w:szCs w:val="14"/>
                <w:color w:val="auto"/>
              </w:rPr>
              <w:t>(5)</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 xml:space="preserve">CERC - Continuing operations </w:t>
            </w:r>
            <w:r>
              <w:rPr>
                <w:rFonts w:ascii="Arial" w:cs="Arial" w:eastAsia="Arial" w:hAnsi="Arial"/>
                <w:sz w:val="14"/>
                <w:szCs w:val="14"/>
                <w:color w:val="auto"/>
              </w:rPr>
              <w:t>(6) (7)</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167%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CERC - Discontinued operations </w:t>
            </w:r>
            <w:r>
              <w:rPr>
                <w:rFonts w:ascii="Arial" w:cs="Arial" w:eastAsia="Arial" w:hAnsi="Arial"/>
                <w:sz w:val="14"/>
                <w:szCs w:val="14"/>
                <w:color w:val="auto"/>
              </w:rPr>
              <w:t>(8) (9)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200 %</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8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660" w:hanging="328"/>
        <w:spacing w:after="0" w:line="28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CenterPoint Energy’s higher effective tax rate on income from continuing operations for the three months ended June 30, 2020 compared to the three months ended June 30, 2019 was primarily driven by state tax impacts. In 2019, CenterPoint Energy recorded state deferred tax benefits as a result of the impact of state tax law changes and the release of a valuation allowance on certain state net operating losses.</w:t>
      </w:r>
    </w:p>
    <w:p>
      <w:pPr>
        <w:spacing w:after="0" w:line="165"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CenterPoint Energy’s higher effective tax rate on the loss from continuing operations for the six months ended June 30, 2020 compared to the six months ended June 30, 2019 was primarily due to lower earnings from the impairment of CenterPoint Energy’s investment in Enable. Other effective tax rate drivers included the non-deductible goodwill impairment at the Indiana Electric Integrated reporting unit, an increase in the amount of amortization of the net regulatory EDIT liability, and an increase in the amount of remeasurement of state tax liabilities for changes in apportionment, the effect of which was compounded by the book loss in the six months ended June 30, 2020.</w:t>
      </w:r>
    </w:p>
    <w:p>
      <w:pPr>
        <w:spacing w:after="0" w:line="17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CenterPoint Energy’s higher effective tax rate on income from discontinued operations for the three months ended June 30, 2020 compared to the three months ended June 30, 2019 was primarily due to the tax impacts from the sale of the Infrastructure Services Disposal Group on April 9, 2020 and the sale of the Energy Services Disposal Group on June 1, 2020, the effect of which was compounded by lower book earnings in the three months ended June 30, 2020. See Note 3 for further information.</w:t>
      </w:r>
    </w:p>
    <w:p>
      <w:pPr>
        <w:spacing w:after="0" w:line="186" w:lineRule="exact"/>
        <w:rPr>
          <w:rFonts w:ascii="Arial" w:cs="Arial" w:eastAsia="Arial" w:hAnsi="Arial"/>
          <w:sz w:val="18"/>
          <w:szCs w:val="18"/>
          <w:color w:val="auto"/>
        </w:rPr>
      </w:pPr>
    </w:p>
    <w:p>
      <w:pPr>
        <w:jc w:val="both"/>
        <w:ind w:left="660" w:right="2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CenterPoint Energy’s lower effective tax rate on the loss from discontinued operations for the six months ended June 30, 2020 compared to the six months ended June 30, 2019 was primarily due to the tax impacts from the sale of the Infrastructure Services Disposal Group on April 9, 2020 and the sale of the Energy Services Disposal Group on June 1, 2020, the effect of which was compounded by lower book earnings in the six months ended June 30, 2020. See Note 3 for further information.</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Houston Electric’s lower effective tax rate for the three and six months ended June 30, 2020 compared to the same periods for 2019 was primarily due to an increase in the amount of amortization of the net regulatory EDIT liability.</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CERC’s lower effective tax rate on income from continuing operations for the three months ended June 30, 2020 compared to the three months ended June 30, 2019 was driven by state tax impacts. In 2019, CERC recorded state deferred tax benefits as a result of the impact of state tax law changes, and the release of a valuation allowance on certain state net operating losses, the effect of which was compounded by the book loss in the three months ending June 30, 2019.</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CERC’s higher effective tax rate on income from continuing operations for the six months ended June 30, 2020 compared to the six months ended June 30, 2019 was primarily driven by the absence of state deferred tax benefits as result of state tax law changes and the release of a valuation allowance on certain state net operating losses in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left="660" w:hanging="328"/>
        <w:spacing w:after="0" w:line="28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CERC’s higher effective tax rate on income from discontinued operations for the three months ended June 30, 2020 compared to the three months ended June 30, 2019 was primarily due to the tax impacts from the sale of the Energy Services Disposal Group on June 1, 2020, the effect of which was compounded by lower book earnings in the three months ended June 30, 2020. See Note 3 for further information.</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CERC’s lower effective tax rate on the loss from discontinued operations for the six months ended June 30, 2020 was primarily due to the tax impacts from the sale of the Energy Services Disposal Group on June 1, 2020, the effect of which was compounded by lower book earnings in the six months ended June 30, 2020. See Note 3 for further information.</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27, 2020, the CARES Act was enacted in response to the COVID-19 pandemic. The CARES Act provides relief to corporate taxpayers by permitting a five-year carryback of 2018-2020 NOLs, deferring the payment of the employer share of payroll taxes for the remaining months of 2020 until 2021 and 2022, increasing the 30% limitation on interest expense deductibility to 50% of adjusted taxable income for 2019 and 2020, and accelerating refunds for minimum tax credit carryforwards, among other provisions. The tax effects of changes in tax laws are recognized in the period in which the law is enacted. As such, during the three months ended March 31, 2020, CenterPoint Energy recorded a $19 million benefit resulting from carryback claims expected to be filed to refund taxes paid.</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Registrants reported a net uncertain tax liability, inclusive of interest and penalties, of $7 million as of June 30, 2020. The net $1 million decrease during the three months ended June 30, 2020 was primarily driven by the transfer of the Infrastructure Services Disposal Group’s uncertain tax liability to PowerTeam Services as part of the April 2020 sale. The Registrants believe that it is reasonably possible that a decrease of up to $5 million in unrecognized tax benefits may occur in the next 12 months as a result of a lapse of statutes on older exposures and/or the filing of applications for accounting method changes. For CenterPoint Energy, tax years through 2018 have been audited and settled with the IRS. For the 2019 and 2020 tax years, CenterPoint Energy is a participant in the IRS’s Compliance Assurance Process. Legacy Vectren is not currently under audit with the IRS, and the 2017-2019 tax years are still open.</w:t>
      </w:r>
    </w:p>
    <w:p>
      <w:pPr>
        <w:spacing w:after="0" w:line="191"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660" w:hanging="328"/>
        <w:spacing w:after="0"/>
        <w:tabs>
          <w:tab w:leader="none" w:pos="660" w:val="left"/>
        </w:tabs>
        <w:numPr>
          <w:ilvl w:val="1"/>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Obligations (CenterPoint Energy and CERC)</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Commitments include minimum purchase obligations related to CenterPoint Energy’s and CERC’s Natural Gas Distribution reportable segment and CenterPoint Energy’s Indiana Electric Integrated reportable segment. Contracts with minimum payment provisions have various quantity requirements and durations and are not classified as non-trading derivative assets and liabilities in CenterPoint Energy’s and CERC’s Condensed Consolidated Balance Sheets as of June 30, 2020 and December 31, 2019. These contracts meet an exception as “normal purchases contracts” or do not meet the definition of a derivative. Natural gas and coal supply commitments also include transportation contracts that do not meet the definition of a derivative.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minimum purchase obligations are approximately: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CenterPoint Energy</w:t>
            </w:r>
          </w:p>
        </w:tc>
        <w:tc>
          <w:tcPr>
            <w:tcW w:w="6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CERC</w:t>
            </w:r>
          </w:p>
        </w:tc>
      </w:tr>
      <w:tr>
        <w:trPr>
          <w:trHeight w:val="250"/>
        </w:trPr>
        <w:tc>
          <w:tcPr>
            <w:tcW w:w="7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six months of 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356</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669</w:t>
            </w:r>
          </w:p>
        </w:tc>
        <w:tc>
          <w:tcPr>
            <w:tcW w:w="6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484</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499</w:t>
            </w:r>
          </w:p>
        </w:tc>
        <w:tc>
          <w:tcPr>
            <w:tcW w:w="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1"/>
                <w:szCs w:val="21"/>
                <w:color w:val="auto"/>
              </w:rPr>
            </w:pP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390</w:t>
            </w:r>
          </w:p>
        </w:tc>
        <w:tc>
          <w:tcPr>
            <w:tcW w:w="6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236</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321</w:t>
            </w:r>
          </w:p>
        </w:tc>
        <w:tc>
          <w:tcPr>
            <w:tcW w:w="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21"/>
                <w:szCs w:val="21"/>
                <w:color w:val="auto"/>
              </w:rPr>
            </w:pP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266</w:t>
            </w:r>
          </w:p>
        </w:tc>
        <w:tc>
          <w:tcPr>
            <w:tcW w:w="6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219</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2026 and beyond</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1,812</w:t>
            </w:r>
          </w:p>
        </w:tc>
        <w:tc>
          <w:tcPr>
            <w:tcW w:w="6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1,495</w:t>
            </w:r>
          </w:p>
        </w:tc>
      </w:tr>
      <w:tr>
        <w:trPr>
          <w:trHeight w:val="27"/>
        </w:trPr>
        <w:tc>
          <w:tcPr>
            <w:tcW w:w="7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Indiana Electric Integrated also has other purchased power agreements that do not have minimum thresholds but require payment when energy is generated by the provider. Costs arising from certain of these commitments are pass-through costs, generally collected dollar-for-dollar from retail customers through regulator-approved cost recovery mechanisms.</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CenterPoint Energy’s and CERC’s NGD have AMAs associated with their utility distribution service in Arkansas, Louisiana and Oklahoma with the Energy Services Disposal Group. The AMAs have varying terms, the longest of which expires in 2021. For further information, see Note 3.</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Guarantees and Product Warranties (CenterPoint Energy)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normal course of business, ESG enters into contracts requiring it to timely install infrastructure, operate facilities, pay vendors and subcontractors and support warranty obligations and, at times, issue payment and performance bonds and other forms of assurance in connection with these contracts.</w:t>
      </w:r>
    </w:p>
    <w:p>
      <w:pPr>
        <w:spacing w:after="0" w:line="1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Specific to ESG’s role as a general contractor in the performance contracting industry, as of June 30, 2020, there were 66 open surety bonds supporting future performance with an aggregate face amount of approximately $564 million. ESG’s exposure is less than the face amount of the surety bonds and is limited to the level of uncompleted work under the contracts. As of June 30, 2020, approximately 26% of the work was yet to be completed on projects with open surety bonds. Further, various subcontractors issue surety bonds to ESG. In addition to these performance obligations, ESG also warrants the functionality of certain installed infrastructure generally for one year and the associated energy savings over a specified number of years. Since ESG’s inception in 1994, CenterPoint Energy believes ESG has had a history of generally meeting its performance obligations and energy savings guarantees and its installed products operating effectively. CenterPoint Energy assessed the fair value of its obligation for such guarantees as of June 30, 2020 and no amounts were recorded on CenterPoint Energy’s Condensed Consolidated Balance Sheets.</w:t>
      </w:r>
    </w:p>
    <w:p>
      <w:pPr>
        <w:spacing w:after="0" w:line="1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CenterPoint Energy issues parent company level guarantees to certain vendors, customers and other commercial counterparties of ESG. These guarantees do not represent incremental consolidated obligations, but rather, represent guarantees of subsidiary obligations to allow those subsidiaries to conduct business without posting other forms of assurance. As of June 30, 2020, CenterPoint Energy, primarily through Vectren, has issued parent company level guarantees supporting ESG’s obligations. For those obligations where potential exposure can be estimated, management estimates the maximum exposure under these guarantees to be approximately $528 million as of June 30, 2020. This exposure primarily relates to energy savings guarantees on federal energy savings performance contracts. Other parent company level guarantees, certain of which do not contain a cap on potential liability, have been issued in support of federal operations and maintenance projects for which a maximum exposure cannot be estimated based on the nature of the projects. While there can be no assurance that performance under any of these parent company guarantees will not be required in the future, CenterPoint Energy considers the likelihood of a material amount being incurred as remote.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Guarantees and Product Warranties (CenterPoint Energy and CERC)</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normal course of business prior to June 1, 2020, the Energy Services Disposal Group through CES, traded natural gas under supply contracts and entered into natural gas related transactions under transportation, storage and other contracts. In connection with the Energy Services Disposal Group’s business activities prior to the transaction closing on June 1, 2020, CERC Corp. issued guarantees to CES’s counterparties to guarantee the payment of CES’s obligations. On February 24, 2020, CenterPoint Energy, through its subsidiary CERC Corp., entered into the Equity Purchase Agreement to sell the Energy Services Disposal Group. The transaction closed on June 1, 2020. When CES remained wholly owned by CERC Corp., these guarantees did not represent incremental consolidated obligations, but rather, these guarantees represented guarantees of CES’s obligations to allow it to conduct business without posting other forms of assurance.</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CERC Corp. guarantee primarily has a one- or two-year term, although CERC Corp. would generally not be released from obligations incurred by CES prior to the termination of such guarantee unless the beneficiary of the guarantee affirmatively released CERC Corp. from its obligations under the guarantee. Throughout CERC Corp.’s ownership of CES and subsequent to the sale of the Energy Services Disposal Group through June 30, 2020, CERC Corp. did not pay any amounts under guarantees of CES’s obligations.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terms of the Equity Purchase Agreement, Symmetry Energy Solutions Acquisition must generally use reasonable best efforts to replace existing CERC Corp. guarantees with credit support provided by a party other than CERC Corp. as of and after the closing of the transaction. Additionally, to the extent that CERC Corp. retains any exposure relating to certain specified guarantees of CES’s obligations 90 days after closing of the transaction, Symmetry Energy Solutions Acquisition will pay a 3% annualized fee on such exposure, increasing by 1% on an annualized basis every three months. Exposure under non-specified supply guarantees are expected to be immaterial after the 90-day period. No additional guarantees were provided by CERC Corp. to CES subsequent to the closing of the transaction on June 1, 2020.</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June 30, 2020, the estimated remaining exposure amount of CERC Corp.’s guarantees of CES’s obligations were approximately $103 million, excluding the effect of the obligation of Symmetry Energy Solutions Acquisition to indemnify CERC Corp. in the event of any losses related to the guarantees and of the credit support provided by a third party. While there can be no assurance that performance under any of these guarantees will not be required in the future, CenterPoint Energy and CERC consider the likelihood of a material amount being incurred as remote.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CenterPoint Energy and CERC recorded no amounts on their respective Condensed Consolidated Balance Sheets as of June 30, 2020 and December 31, 2019 related to the performance of these guarantees.</w:t>
      </w:r>
    </w:p>
    <w:p>
      <w:pPr>
        <w:spacing w:after="0" w:line="170" w:lineRule="exact"/>
        <w:rPr>
          <w:sz w:val="20"/>
          <w:szCs w:val="20"/>
          <w:color w:val="auto"/>
        </w:rPr>
      </w:pPr>
    </w:p>
    <w:p>
      <w:pPr>
        <w:ind w:left="180" w:right="7540" w:firstLine="152"/>
        <w:spacing w:after="0" w:line="500" w:lineRule="auto"/>
        <w:tabs>
          <w:tab w:leader="none" w:pos="666"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Environmental and Other Matters Legal Matters</w:t>
      </w:r>
    </w:p>
    <w:p>
      <w:pPr>
        <w:spacing w:after="0" w:line="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Minnehaha Academy (CenterPoint Energy and CERC). </w:t>
      </w:r>
      <w:r>
        <w:rPr>
          <w:rFonts w:ascii="Arial" w:cs="Arial" w:eastAsia="Arial" w:hAnsi="Arial"/>
          <w:sz w:val="18"/>
          <w:szCs w:val="18"/>
          <w:color w:val="auto"/>
        </w:rPr>
        <w:t>On August 2, 2017, a natural gas explosion occurred at the Minnehaha Academy in</w:t>
      </w:r>
      <w:r>
        <w:rPr>
          <w:rFonts w:ascii="Arial" w:cs="Arial" w:eastAsia="Arial" w:hAnsi="Arial"/>
          <w:sz w:val="18"/>
          <w:szCs w:val="18"/>
          <w:i w:val="1"/>
          <w:iCs w:val="1"/>
          <w:color w:val="auto"/>
        </w:rPr>
        <w:t xml:space="preserve"> </w:t>
      </w:r>
      <w:r>
        <w:rPr>
          <w:rFonts w:ascii="Arial" w:cs="Arial" w:eastAsia="Arial" w:hAnsi="Arial"/>
          <w:sz w:val="18"/>
          <w:szCs w:val="18"/>
          <w:color w:val="auto"/>
        </w:rPr>
        <w:t>Minneapolis, Minnesota, resulting in the deaths of two school employees, serious injuries to others and significant property damage to the school. CenterPoint Energy, certain of its subsidiaries, including CERC, and the contractor company working in the school have been named in litigation arising out of this incident. CenterPoint Energy and CERC have reached confidential settlement agreements on all wrongful death and property damage claims and with some personal injury claimants. Additionally, CenterPoint Energy and CERC cooperated with the investigation conducted by the National Transportation Safety Board, which concluded its investigation in December 2019 and issued a report without making any recommendations. Further, CenterPoint Energy and CERC contested and reached a settlement regarding approximately $200,000 in fines imposed by the Minnesota Office of Pipeline Safety. In early 2018, the Minnesota Occupational Safety and Health Administration concluded its investigation without any adverse findings against CenterPoint Energy or CERC. CenterPoint Energy’s and CERC’s general and excess liability insurance policies provide coverage for third party bodily injury and property damage claims.</w:t>
      </w:r>
    </w:p>
    <w:p>
      <w:pPr>
        <w:spacing w:after="0" w:line="1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Litigation Related to the Merger (CenterPoint Energy). </w:t>
      </w:r>
      <w:r>
        <w:rPr>
          <w:rFonts w:ascii="Arial" w:cs="Arial" w:eastAsia="Arial" w:hAnsi="Arial"/>
          <w:sz w:val="17"/>
          <w:szCs w:val="17"/>
          <w:color w:val="auto"/>
        </w:rPr>
        <w:t>With respect to the Merger, in July 2018, seven separate lawsuits were filed against Vectren</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individual directors of Vectren’s Board of Directors in the U.S. District Court for the Southern District of Indiana. These lawsuits alleged violations of Sections 14(a) of the Exchange Act and SEC Rule 14a-9 on the grounds that the Vectren Proxy Statement filed on June 18, 2018 was materially incomplete because it omitted material information concerning the Merger. In August 2018, the seven lawsuits were consolidated, and the Court denied the plaintiffs’ request for a preliminary injunction. In October 2018, the plaintiffs filed their Consolidated Amended Class Action Complaint. In December 2018, two plaintiffs voluntarily dismissed their lawsuits. In September 2019, the court granted the defendants’ motion to dismiss and dismissed the remaining plaintiffs’ claims with prejudice, which the plaintiffs appealed in October 2019. Appellate briefing is complete, and the U.S. Court of Appeals for the Seventh Circuit is scheduled to hear oral arguments in September 2020. The defendants believe that the allegations asserted are without merit and intend to vigorously defend themselves against the claims raised. CenterPoint Energy does not expect the ultimate outcome of this matter to have a material adverse effect on its financial condition, results of operations or cash flows.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MGP Sites. </w:t>
      </w:r>
      <w:r>
        <w:rPr>
          <w:rFonts w:ascii="Arial" w:cs="Arial" w:eastAsia="Arial" w:hAnsi="Arial"/>
          <w:sz w:val="18"/>
          <w:szCs w:val="18"/>
          <w:color w:val="auto"/>
        </w:rPr>
        <w:t>CenterPoint Energy, CERC and their predecessors operated MGPs in the past. In addition, certain of CenterPoint Energy’s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through the Merger operated MGPs in the past. The costs CenterPoint 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all costs which they presently are obligated to incur in connection with activities at these sites, it is possible that future events may require remedial activities which are not presently foreseen, and those costs may not be subject to PRP or insurance recovery.</w:t>
      </w:r>
    </w:p>
    <w:p>
      <w:pPr>
        <w:spacing w:after="0" w:line="192" w:lineRule="exact"/>
        <w:rPr>
          <w:sz w:val="20"/>
          <w:szCs w:val="20"/>
          <w:color w:val="auto"/>
        </w:rPr>
      </w:pPr>
    </w:p>
    <w:p>
      <w:pPr>
        <w:jc w:val="both"/>
        <w:ind w:left="660" w:hanging="328"/>
        <w:spacing w:after="0" w:line="28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Minnesota MGPs (CenterPoint Energy and CERC)</w:t>
      </w:r>
      <w:r>
        <w:rPr>
          <w:rFonts w:ascii="Arial" w:cs="Arial" w:eastAsia="Arial" w:hAnsi="Arial"/>
          <w:sz w:val="17"/>
          <w:szCs w:val="17"/>
          <w:color w:val="auto"/>
        </w:rPr>
        <w:t>. With respect to certain Minnesota MGP sites, CenterPoint Energy and CERC have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state-ordered remediation and continue state-ordered monitoring and water treatment. CenterPoint Energy and CERC recorded a liability as reflected in the table below for continued monitoring and any future remediation required by regulators in Minnesota.</w:t>
      </w:r>
    </w:p>
    <w:p>
      <w:pPr>
        <w:spacing w:after="0" w:line="165" w:lineRule="exact"/>
        <w:rPr>
          <w:rFonts w:ascii="Arial" w:cs="Arial" w:eastAsia="Arial" w:hAnsi="Arial"/>
          <w:sz w:val="17"/>
          <w:szCs w:val="17"/>
          <w:color w:val="auto"/>
        </w:rPr>
      </w:pPr>
    </w:p>
    <w:p>
      <w:pPr>
        <w:jc w:val="both"/>
        <w:ind w:left="660" w:hanging="328"/>
        <w:spacing w:after="0" w:line="293"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Indiana MGPs (CenterPoint Energy)</w:t>
      </w:r>
      <w:r>
        <w:rPr>
          <w:rFonts w:ascii="Arial" w:cs="Arial" w:eastAsia="Arial" w:hAnsi="Arial"/>
          <w:sz w:val="16"/>
          <w:szCs w:val="16"/>
          <w:color w:val="auto"/>
        </w:rPr>
        <w:t>. In the Indiana Gas service territory, the existence, location and certain general characteristics of 26 gas</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and storage sites have been identified for which CenterPoint Energy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spacing w:after="0" w:line="164"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Other MGPs (CenterPoint Energy and CERC). </w:t>
      </w:r>
      <w:r>
        <w:rPr>
          <w:rFonts w:ascii="Arial" w:cs="Arial" w:eastAsia="Arial" w:hAnsi="Arial"/>
          <w:sz w:val="16"/>
          <w:szCs w:val="16"/>
          <w:color w:val="auto"/>
        </w:rPr>
        <w:t>In addition to the Minnesota and Indiana sites, the EPA and other regulators have investigated</w:t>
      </w:r>
      <w:r>
        <w:rPr>
          <w:rFonts w:ascii="Arial" w:cs="Arial" w:eastAsia="Arial" w:hAnsi="Arial"/>
          <w:sz w:val="16"/>
          <w:szCs w:val="16"/>
          <w:i w:val="1"/>
          <w:iCs w:val="1"/>
          <w:color w:val="auto"/>
        </w:rPr>
        <w:t xml:space="preserve"> </w:t>
      </w:r>
      <w:r>
        <w:rPr>
          <w:rFonts w:ascii="Arial" w:cs="Arial" w:eastAsia="Arial" w:hAnsi="Arial"/>
          <w:sz w:val="16"/>
          <w:szCs w:val="16"/>
          <w:color w:val="auto"/>
        </w:rPr>
        <w:t>MGP sites that were owned or operated by CenterPoint Energy or CERC or may have been owned by one of their former affiliates.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June 30, 2020</w:t>
            </w:r>
          </w:p>
        </w:tc>
        <w:tc>
          <w:tcPr>
            <w:tcW w:w="1260" w:type="dxa"/>
            <w:vAlign w:val="bottom"/>
            <w:tcBorders>
              <w:bottom w:val="single" w:sz="8" w:color="auto"/>
            </w:tcBorders>
          </w:tcPr>
          <w:p>
            <w:pPr>
              <w:spacing w:after="0"/>
              <w:rPr>
                <w:sz w:val="16"/>
                <w:szCs w:val="16"/>
                <w:color w:val="auto"/>
              </w:rPr>
            </w:pPr>
          </w:p>
        </w:tc>
      </w:tr>
      <w:tr>
        <w:trPr>
          <w:trHeight w:val="263"/>
        </w:trPr>
        <w:tc>
          <w:tcPr>
            <w:tcW w:w="75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9"/>
              </w:rPr>
              <w:t>CenterPoint Energy</w:t>
            </w:r>
          </w:p>
        </w:tc>
        <w:tc>
          <w:tcPr>
            <w:tcW w:w="6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CERC</w:t>
            </w:r>
          </w:p>
        </w:tc>
      </w:tr>
      <w:tr>
        <w:trPr>
          <w:trHeight w:val="250"/>
        </w:trPr>
        <w:tc>
          <w:tcPr>
            <w:tcW w:w="7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00" w:type="dxa"/>
            <w:vAlign w:val="bottom"/>
            <w:gridSpan w:val="3"/>
          </w:tcPr>
          <w:p>
            <w:pPr>
              <w:jc w:val="right"/>
              <w:ind w:right="973"/>
              <w:spacing w:after="0"/>
              <w:rPr>
                <w:sz w:val="20"/>
                <w:szCs w:val="20"/>
                <w:color w:val="auto"/>
              </w:rPr>
            </w:pPr>
            <w:r>
              <w:rPr>
                <w:rFonts w:ascii="Arial" w:cs="Arial" w:eastAsia="Arial" w:hAnsi="Arial"/>
                <w:sz w:val="14"/>
                <w:szCs w:val="14"/>
                <w:b w:val="1"/>
                <w:bCs w:val="1"/>
                <w:color w:val="auto"/>
              </w:rPr>
              <w:t>(in millions, except years)</w:t>
            </w: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accrued for remediation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11</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Minimum estimated remediation costs</w:t>
            </w:r>
          </w:p>
        </w:tc>
        <w:tc>
          <w:tcPr>
            <w:tcW w:w="200" w:type="dxa"/>
            <w:vAlign w:val="bottom"/>
          </w:tcPr>
          <w:p>
            <w:pPr>
              <w:spacing w:after="0"/>
              <w:rPr>
                <w:sz w:val="21"/>
                <w:szCs w:val="21"/>
                <w:color w:val="auto"/>
              </w:rPr>
            </w:pPr>
          </w:p>
        </w:tc>
        <w:tc>
          <w:tcPr>
            <w:tcW w:w="1620" w:type="dxa"/>
            <w:vAlign w:val="bottom"/>
          </w:tcPr>
          <w:p>
            <w:pPr>
              <w:jc w:val="right"/>
              <w:ind w:right="57"/>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estimated remediation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53</w:t>
            </w:r>
          </w:p>
        </w:tc>
        <w:tc>
          <w:tcPr>
            <w:tcW w:w="6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Minimum years of remediation</w:t>
            </w:r>
          </w:p>
        </w:tc>
        <w:tc>
          <w:tcPr>
            <w:tcW w:w="200" w:type="dxa"/>
            <w:vAlign w:val="bottom"/>
          </w:tcPr>
          <w:p>
            <w:pPr>
              <w:spacing w:after="0"/>
              <w:rPr>
                <w:sz w:val="21"/>
                <w:szCs w:val="21"/>
                <w:color w:val="auto"/>
              </w:rPr>
            </w:pPr>
          </w:p>
        </w:tc>
        <w:tc>
          <w:tcPr>
            <w:tcW w:w="1620" w:type="dxa"/>
            <w:vAlign w:val="bottom"/>
          </w:tcPr>
          <w:p>
            <w:pPr>
              <w:jc w:val="right"/>
              <w:ind w:right="57"/>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7"/>
        </w:trPr>
        <w:tc>
          <w:tcPr>
            <w:tcW w:w="7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Maximum years of remediation</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7"/>
        </w:trPr>
        <w:tc>
          <w:tcPr>
            <w:tcW w:w="7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 and CERC do not expect the ultimate outcome of these matters to have a material adverse effect on the financial condition, results of operations or cash flows of either CenterPoint Energy or CERC.</w:t>
      </w:r>
    </w:p>
    <w:p>
      <w:pPr>
        <w:spacing w:after="0" w:line="211"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8"/>
          <w:szCs w:val="18"/>
          <w:i w:val="1"/>
          <w:iCs w:val="1"/>
          <w:color w:val="auto"/>
        </w:rPr>
        <w:t xml:space="preserve">Asbestos. </w:t>
      </w:r>
      <w:r>
        <w:rPr>
          <w:rFonts w:ascii="Arial" w:cs="Arial" w:eastAsia="Arial" w:hAnsi="Arial"/>
          <w:sz w:val="18"/>
          <w:szCs w:val="18"/>
          <w:color w:val="auto"/>
        </w:rPr>
        <w:t>Some facilities owned by the Registrants or their predecessors contain or have contained asbestos insulation and other asbestos-containing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CCR Rule (CenterPoint Energy). </w:t>
      </w:r>
      <w:r>
        <w:rPr>
          <w:rFonts w:ascii="Arial" w:cs="Arial" w:eastAsia="Arial" w:hAnsi="Arial"/>
          <w:sz w:val="18"/>
          <w:szCs w:val="18"/>
          <w:color w:val="auto"/>
        </w:rPr>
        <w:t>In April 2015, the EPA finalized its CCR Rule, which regulates ash as non-hazardous material under the RCRA.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final rule allows beneficial reuse of ash, 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While the EPA Phase I Reconsideration moves forward, the existing CCR compliance obligations remain in effect. In August 2019, the EPA proposed additional amendments to its CCR Rule with respect to beneficial reuse of ash and other materials. These amendments have not yet been finalized. The proposed revisions would not restrict Indiana Electric’s current beneficial reuse of its fly ash.</w:t>
      </w:r>
    </w:p>
    <w:p>
      <w:pPr>
        <w:spacing w:after="0" w:line="19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Indiana Electric has three ash ponds, two at the F.B. Culley facility (Culley East and Culley West) and one at the A.B. Brown facility. Under the existing CCR Rule, Indiana Electric is required to perform integrity assessments, including ground water monitoring, at its F.B. Culley and A.B. Brown generating stations. The ground water studies are necessary to determine the remaining service life of the ponds and whether a pond must be retrofitted with liners or closed in place, with bottom ash handling conversions completed. Indiana Electric’s Warrick generating unit is not included in the scope of the CCR Rule as this unit has historically been part of a larger generating station that predominantly serves an adjacent industrial facility. In March 2018, Indiana Electric began posting ground water data monitoring reports annually to its public website in accordance with the requirements of the CCR Rule. This data preliminarily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is required to cease disposal of new ash in the ponds and commence closure of the ponds by October 31, 2020. CenterPoint Energy plans to seek extensions available under the CCR Rule that would allow Indiana Electric to continue to use the ponds through December 31, 2023. The inability to take these extensions may result in increased and potentially significant operational costs in connection with the accelerated implementation of an alternative ash disposal system or adversely impact Indiana Electric’s future operations. Failure to comply with these requirements could also result in an enforcement proceeding including the imposition of fines and penalties. On April 24, 2019, Indiana Electric received an order from the IURC approving recovery in rates of costs associated with the closure of the Culley West pond, which has already commenced closure activities. CenterPoint Energy believes the language in the IURC order is favorable for future recovery of closure costs for Indiana Electric’s remaining ponds.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Indiana Electric continues to refine site specific estimates of closure costs. 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 In March 2019, Indiana Electric entered into agreements with third parties for the excavation and beneficial reuse of the ash at the A.B. Brown ash pond. On November 4, 2019, the EPA released a pre-publication copy of proposed revisions to the CCR Rule. CenterPoint Energy continues to evaluate the proposals to determine potential impacts to current compliance plans for its A.B. Brown and F.B. Culley generating stations.</w:t>
      </w:r>
    </w:p>
    <w:p>
      <w:pPr>
        <w:spacing w:after="0" w:line="1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with recovery of costs to begin upon approval of Indiana Electric’s pending ECA proceeding, expected later in 2020.</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June 30, 2020, CenterPoint Energy has recorded an approximate $72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the aforementioned insurance proceeding. In addition to these removal costs, Indiana Electric also anticipates equipment purchases of between $60 million and $80 million to complete the A.B. Brown closure project.</w:t>
      </w:r>
    </w:p>
    <w:p>
      <w:pPr>
        <w:spacing w:after="0" w:line="1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Other Environmental. </w:t>
      </w:r>
      <w:r>
        <w:rPr>
          <w:rFonts w:ascii="Arial" w:cs="Arial" w:eastAsia="Arial" w:hAnsi="Arial"/>
          <w:sz w:val="16"/>
          <w:szCs w:val="16"/>
          <w:color w:val="auto"/>
        </w:rPr>
        <w:t>From time to time, the Registrants identify the presence of environmental contaminants during operations or on property where</w:t>
      </w:r>
      <w:r>
        <w:rPr>
          <w:rFonts w:ascii="Arial" w:cs="Arial" w:eastAsia="Arial" w:hAnsi="Arial"/>
          <w:sz w:val="16"/>
          <w:szCs w:val="16"/>
          <w:i w:val="1"/>
          <w:iCs w:val="1"/>
          <w:color w:val="auto"/>
        </w:rPr>
        <w:t xml:space="preserve"> </w:t>
      </w:r>
      <w:r>
        <w:rPr>
          <w:rFonts w:ascii="Arial" w:cs="Arial" w:eastAsia="Arial" w:hAnsi="Arial"/>
          <w:sz w:val="16"/>
          <w:szCs w:val="16"/>
          <w:color w:val="auto"/>
        </w:rPr>
        <w:t>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Proceedings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 (CenterPoint Energy)</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Series C Preferred Stock issued in May 2020 are considered participating securities since these shares participate in dividends on Common Stock on a pari passu, pro rata, as-converted basis. See Note 19 for further information on the issuance of Series C Preferred Stock. As a result, beginning June 30, 2020, earnings per share on Common Stock is computed using the two-class method required for participating securities.</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two-class method uses an earnings allocation formula that treats participating securities as having rights to earnings that otherwise would have been available only to common shareholders. Under the two-class method, income (loss) available to common shareholders from continuing operations is derived by subtracting the following from income (loss) from continuing operations:</w:t>
      </w:r>
    </w:p>
    <w:p>
      <w:pPr>
        <w:spacing w:after="0" w:line="18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preferred share dividend requirement;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deemed dividends for the amortization of the beneficial conversion feature recognized at issuance of the Series C Preferred Stock; and</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allocation of undistributed earnings to preferred shareholders of participating securities (Series C Preferred Stock) based on the securities’ right to receive dividends.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Undistributed earnings are calculated by subtracting dividends declared on Common Stock, the preferred share dividend requirement and deemed dividends for the amortization of the beneficial conversion feature from net income. Net losses are not allocated to the Series C Preferred Stock as it does not have a contractual obligation to share in the losses of CenterPoint Energy.</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Series C Preferred Stock includes conversion features at a price that is below the fair value of the Common Stock on the commitment date. This beneficial conversion feature, which was approximately $32 million, represents the difference between the fair value per share of the Common Stock as of the commitment date and the conversion price, multiplied by the number of common shares issuable upon conversion. The beneficial conversion feature is recognized as a discount to Series C Preferred Stock and will be amortized as a deemed dividend over the period from the issue date to the first allowable conversion date, which is November 6, 2020. The amount amortized during the three and six months ended June 30, 2020 was approximately $9 million and $9 million, respectively.</w:t>
      </w:r>
    </w:p>
    <w:p>
      <w:pPr>
        <w:spacing w:after="0" w:line="192"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Basic earnings per common share is computed by dividing income available to common shareholders from continuing operations by the basic weighted average number of common shares outstanding during the period. Participating securities are excluded from basic weighted average number of common shares outstanding. Diluted earnings per common share is computed by dividing income available to common shareholders from continuing operations by the weighted average number of common shares outstanding, including all potentially dilutive common shares, if the effect of such common shares is dilutive.</w:t>
      </w:r>
    </w:p>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Diluted earnings per share reflects the dilutive effect of potential common shares from share-based awards and convertible preferred shares. The dilutive effect of the restricted stock, Series B Preferred Stock and Series C Preferred Stock is computed using the if-converted method, which assumes conversion of the restricted stock, Series B Preferred Stock and Series C Preferred Stock at the beginning of the period, giving income recognition for the add-back of the preferred share dividends, amortization of beneficial conversion feature, and undistributed earnings allocated to preferred shareholders.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numerators and denominators of CenterPoint Energy’s basic and diluted earnings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580" w:type="dxa"/>
            <w:vAlign w:val="bottom"/>
            <w:gridSpan w:val="5"/>
          </w:tcPr>
          <w:p>
            <w:pPr>
              <w:jc w:val="right"/>
              <w:ind w:right="4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4"/>
        </w:trPr>
        <w:tc>
          <w:tcPr>
            <w:tcW w:w="5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40" w:type="dxa"/>
            <w:vAlign w:val="bottom"/>
            <w:gridSpan w:val="8"/>
          </w:tcPr>
          <w:p>
            <w:pPr>
              <w:ind w:left="20"/>
              <w:spacing w:after="0"/>
              <w:rPr>
                <w:sz w:val="20"/>
                <w:szCs w:val="20"/>
                <w:color w:val="auto"/>
              </w:rPr>
            </w:pPr>
            <w:r>
              <w:rPr>
                <w:rFonts w:ascii="Arial" w:cs="Arial" w:eastAsia="Arial" w:hAnsi="Arial"/>
                <w:sz w:val="14"/>
                <w:szCs w:val="14"/>
                <w:b w:val="1"/>
                <w:bCs w:val="1"/>
                <w:color w:val="auto"/>
                <w:w w:val="90"/>
              </w:rPr>
              <w:t>(in millions, except per share and share amounts)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Continuing Operations Numerator:</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Less: Preferred stock dividend requirement</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Amortization of beneficial conversion feature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 xml:space="preserve">Less: Undistributed earnings allocated to preferred shareholders </w:t>
            </w:r>
            <w:r>
              <w:rPr>
                <w:rFonts w:ascii="Arial" w:cs="Arial" w:eastAsia="Arial" w:hAnsi="Arial"/>
                <w:sz w:val="14"/>
                <w:szCs w:val="14"/>
                <w:color w:val="auto"/>
              </w:rPr>
              <w:t>(1)</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available to common shareholders from continuing</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operations - basic</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 xml:space="preserve">Add back: Series B Preferred Stock dividend </w:t>
            </w:r>
            <w:r>
              <w:rPr>
                <w:rFonts w:ascii="Arial" w:cs="Arial" w:eastAsia="Arial" w:hAnsi="Arial"/>
                <w:sz w:val="14"/>
                <w:szCs w:val="14"/>
                <w:color w:val="auto"/>
              </w:rPr>
              <w:t>(2)</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Add back: Series C Preferred Stock dividend </w:t>
            </w:r>
            <w:r>
              <w:rPr>
                <w:rFonts w:ascii="Arial" w:cs="Arial" w:eastAsia="Arial" w:hAnsi="Arial"/>
                <w:sz w:val="14"/>
                <w:szCs w:val="14"/>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Add back: Amortization of beneficial conversion feature</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available to common shareholders from continuing</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34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 diluted</w:t>
            </w:r>
          </w:p>
        </w:tc>
        <w:tc>
          <w:tcPr>
            <w:tcW w:w="22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Discontinued Operations Numerator: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available to common shareholders from discontinuing</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7"/>
        </w:trPr>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 basic and diluted</w:t>
            </w:r>
          </w:p>
        </w:tc>
        <w:tc>
          <w:tcPr>
            <w:tcW w:w="22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528,066,000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502,200,000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515,227,000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501,862,000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Plus: Incremental shares from assumed conversions: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Restricted stock </w:t>
            </w:r>
            <w:r>
              <w:rPr>
                <w:rFonts w:ascii="Arial" w:cs="Arial" w:eastAsia="Arial" w:hAnsi="Arial"/>
                <w:sz w:val="14"/>
                <w:szCs w:val="14"/>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2,631,000</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 xml:space="preserve">Series B Preferred Stock </w:t>
            </w:r>
            <w:r>
              <w:rPr>
                <w:rFonts w:ascii="Arial" w:cs="Arial" w:eastAsia="Arial" w:hAnsi="Arial"/>
                <w:sz w:val="14"/>
                <w:szCs w:val="14"/>
                <w:color w:val="auto"/>
              </w:rPr>
              <w:t>(2)</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Series C Preferred Stock </w:t>
            </w:r>
            <w:r>
              <w:rPr>
                <w:rFonts w:ascii="Arial" w:cs="Arial" w:eastAsia="Arial" w:hAnsi="Arial"/>
                <w:sz w:val="14"/>
                <w:szCs w:val="14"/>
                <w:color w:val="auto"/>
              </w:rPr>
              <w:t>(3)</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530,837,000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504,831,000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515,227,000</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504,493,000</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Basic earnings (loss) per common share -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0.17</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common share -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Earnings (Loss) Per Common Share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311"/>
        </w:trPr>
        <w:tc>
          <w:tcPr>
            <w:tcW w:w="5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Diluted earnings (loss) per common share -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0.17</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 -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57"/>
        </w:trPr>
        <w:tc>
          <w:tcPr>
            <w:tcW w:w="5520" w:type="dxa"/>
            <w:vAlign w:val="bottom"/>
          </w:tcPr>
          <w:p>
            <w:pPr>
              <w:ind w:left="180"/>
              <w:spacing w:after="0"/>
              <w:rPr>
                <w:sz w:val="20"/>
                <w:szCs w:val="20"/>
                <w:color w:val="auto"/>
              </w:rPr>
            </w:pPr>
            <w:r>
              <w:rPr>
                <w:rFonts w:ascii="Arial" w:cs="Arial" w:eastAsia="Arial" w:hAnsi="Arial"/>
                <w:sz w:val="18"/>
                <w:szCs w:val="18"/>
                <w:b w:val="1"/>
                <w:bCs w:val="1"/>
                <w:color w:val="auto"/>
              </w:rPr>
              <w:t>Diluted Earnings (Loss) Per Common Share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were no undistributed earnings to be allocated to participating securities for the three and six months ended June 30, 2020.</w:t>
      </w:r>
    </w:p>
    <w:p>
      <w:pPr>
        <w:spacing w:after="0" w:line="225"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computation of diluted earnings per common share outstanding for the three and six months ended June 30, 2020 includes the reduction for Series B Preferred Stock dividends of $17 million and $34 million, respectively, within the numerator and excludes 35,940,000 and 35,923,000 potentially dilutive shares from the denominator, respectively, because the shares would be anti-dilutive. The computation of diluted earnings per common share outstanding for the three and six months ended June 30, 2019 includes the reduction for Series B Preferred Stock dividends of $17 million and $34 million, within the numerator, respectively, and excludes 32,121,000 and 32,121,000 potentially dilutive shares from the denominator, respectively, because the shares would be anti-dilutive.</w:t>
      </w:r>
    </w:p>
    <w:p>
      <w:pPr>
        <w:spacing w:after="0" w:line="19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computation of diluted earnings per common share outstanding for the three and six months ended June 30, 2020 includes the reduction for Series C Preferred Stock dividends of $7 million and $7 million, respectively, including deemed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dividends on the Series C Preferred Stock from the beneficial conversion feature of $9 million and $9 million, respectively, within the numerator and excludes 29,465,000 and 14,571,000 potentially dilutive shares, respectively, of Series C Preferred Stock from the denominator because the shares would be anti-dilutive.</w:t>
      </w:r>
    </w:p>
    <w:p>
      <w:pPr>
        <w:spacing w:after="0" w:line="184" w:lineRule="exact"/>
        <w:rPr>
          <w:sz w:val="20"/>
          <w:szCs w:val="20"/>
          <w:color w:val="auto"/>
        </w:rPr>
      </w:pPr>
    </w:p>
    <w:p>
      <w:pPr>
        <w:ind w:left="660" w:hanging="328"/>
        <w:spacing w:after="0" w:line="277"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2,771,000 incremental common shares from assumed conversions of restricted stock have not been included in the computation of diluted earnings (loss) per share for the six months ended June 30, 2020, respectively, as their inclusion would be anti-dilutive.</w:t>
      </w:r>
    </w:p>
    <w:p>
      <w:pPr>
        <w:spacing w:after="0" w:line="166" w:lineRule="exact"/>
        <w:rPr>
          <w:rFonts w:ascii="Arial" w:cs="Arial" w:eastAsia="Arial" w:hAnsi="Arial"/>
          <w:sz w:val="18"/>
          <w:szCs w:val="18"/>
          <w:color w:val="auto"/>
        </w:rPr>
      </w:pPr>
    </w:p>
    <w:p>
      <w:pPr>
        <w:ind w:left="360" w:hanging="352"/>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Registrants’ determination of reportable segments considers the strategic operating units under which the Registrants’ CODM manages sales, allocates resources and assesses performance of various products and services to wholesale or retail customers in differing regulatory environments. As of January 1, 2020, the Registrants’ CODM views net income as the measure of profit or loss for the reportable segments rather than the previous measure of operating income. Certain prior year amounts have been reclassified to conform to the current year presentation.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reportable segments by Registrant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Registrant</w:t>
            </w:r>
          </w:p>
        </w:tc>
        <w:tc>
          <w:tcPr>
            <w:tcW w:w="120" w:type="dxa"/>
            <w:vAlign w:val="bottom"/>
            <w:vMerge w:val="restart"/>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Houston Electric T&amp;D</w:t>
            </w:r>
          </w:p>
        </w:tc>
        <w:tc>
          <w:tcPr>
            <w:tcW w:w="100" w:type="dxa"/>
            <w:vAlign w:val="bottom"/>
            <w:vMerge w:val="restart"/>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Indiana Electric</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Natural Gas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Midstream</w:t>
            </w:r>
          </w:p>
        </w:tc>
        <w:tc>
          <w:tcPr>
            <w:tcW w:w="0" w:type="dxa"/>
            <w:vAlign w:val="bottom"/>
          </w:tcPr>
          <w:p>
            <w:pPr>
              <w:spacing w:after="0"/>
              <w:rPr>
                <w:sz w:val="1"/>
                <w:szCs w:val="1"/>
                <w:color w:val="auto"/>
              </w:rPr>
            </w:pPr>
          </w:p>
        </w:tc>
      </w:tr>
      <w:tr>
        <w:trPr>
          <w:trHeight w:val="192"/>
        </w:trPr>
        <w:tc>
          <w:tcPr>
            <w:tcW w:w="4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Integrated</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56"/>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CenterPoint Energy</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64"/>
        </w:trPr>
        <w:tc>
          <w:tcPr>
            <w:tcW w:w="5080" w:type="dxa"/>
            <w:vAlign w:val="bottom"/>
            <w:gridSpan w:val="2"/>
          </w:tcPr>
          <w:p>
            <w:pPr>
              <w:ind w:left="40"/>
              <w:spacing w:after="0"/>
              <w:rPr>
                <w:sz w:val="20"/>
                <w:szCs w:val="20"/>
                <w:color w:val="auto"/>
              </w:rPr>
            </w:pPr>
            <w:r>
              <w:rPr>
                <w:rFonts w:ascii="Arial" w:cs="Arial" w:eastAsia="Arial" w:hAnsi="Arial"/>
                <w:sz w:val="14"/>
                <w:szCs w:val="14"/>
                <w:color w:val="auto"/>
              </w:rPr>
              <w:t>Houston Electric</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CERC</w:t>
            </w: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CenterPoint Energy’s and Houston Electric’s Houston Electric T&amp;D reportable segment consists of electric transmission and distribution services in the Texas Gulf Coast area.</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CenterPoint Energy’s Indiana Electric Integrated reportable segment consists of electric transmission and distribution services primarily to southwestern Indiana and includes power generation and wholesale power operations.</w:t>
      </w:r>
    </w:p>
    <w:p>
      <w:pPr>
        <w:spacing w:after="0" w:line="170"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CenterPoint Energy’s Natural Gas Distribution reportable segment consists of (i) intrastate natural gas sales to, and natural gas transportation and distribution for residential, commercial, industrial and institutional customers in Arkansas, Indiana, Louisiana, Minnesota, Mississippi, Ohio, Oklahoma and Texas; (ii) permanent pipeline connections through interconnects with various interstate and intrastate pipeline companies through CEIP, formerly included in the Energy Services reportable segment; and (iii) temporary delivery of LNG and CNG throughout the contiguous 48 states through MES, formerly included in the Energy Services reportable segment.</w:t>
      </w:r>
    </w:p>
    <w:p>
      <w:pPr>
        <w:spacing w:after="0" w:line="176"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CERC’s Natural Gas Distribution reportable segment consists of (i) intrastate natural gas sales to, and natural gas transportation and distribution for residential, commercial, industrial and institutional customers in Arkansas, Louisiana, Minnesota, Mississippi, Oklahoma and Texas; (ii) permanent pipeline connections through interconnects with various interstate and intrastate pipeline companies through CEIP, formerly included in the Energy Services reportable segment; and (iii) temporary delivery of LNG and CNG throughout the contiguous 48 states through MES, formerly included in the Energy Services reportable segment.</w:t>
      </w:r>
    </w:p>
    <w:p>
      <w:pPr>
        <w:spacing w:after="0" w:line="18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CenterPoint Energy’s Midstream Investments reportable segment consists of the equity investment in Enable (excluding the Enable Series A Preferred Units).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CenterPoint Energy’s Corporate and Other consists of energy performance contracting and sustainable infrastructure services through ESG and other corporate operations which support all of the business operations of CenterPoint Energy. CERC’s Corporate and Other consists primarily of corporate operations which support all of the business operations of CERC.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On February 3, 2020, CenterPoint Energy, through its subsidiary VUSI, entered into the Securities Purchase Agreement to sell the Infrastructure Services Disposal Group, which consists of underground pipeline construction and repair services. Accordingly, the previously reported Infrastructure Services reportable segment has been eliminated. The transaction closed on April 9, 2020. See Note 3 for further information.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Additionally, on February 24, 2020, CenterPoint Energy, through its subsidiary CERC Corp., entered into the Equity Purchase Agreement to sell the Energy Services Disposal Group, which consists of non-rate regulated natural gas sales and service operations. Accordingly, the previously reported Energy Services reportable segment has been eliminated. The transaction closed on June 1, 2020. See Note 3 for further information.</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data for reportable segments is as follows, including Corporate and Other, Eliminations and Discontinued Operations for reconciliation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10"/>
          </w:tcPr>
          <w:p>
            <w:pPr>
              <w:jc w:val="center"/>
              <w:ind w:left="111"/>
              <w:spacing w:after="0"/>
              <w:rPr>
                <w:sz w:val="20"/>
                <w:szCs w:val="20"/>
                <w:color w:val="auto"/>
              </w:rPr>
            </w:pPr>
            <w:r>
              <w:rPr>
                <w:rFonts w:ascii="Arial" w:cs="Arial" w:eastAsia="Arial" w:hAnsi="Arial"/>
                <w:sz w:val="13"/>
                <w:szCs w:val="13"/>
                <w:b w:val="1"/>
                <w:bCs w:val="1"/>
                <w:color w:val="auto"/>
                <w:w w:val="87"/>
              </w:rPr>
              <w:t>Three Months Ended June 30,</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center"/>
              <w:ind w:right="57"/>
              <w:spacing w:after="0"/>
              <w:rPr>
                <w:sz w:val="20"/>
                <w:szCs w:val="20"/>
                <w:color w:val="auto"/>
              </w:rPr>
            </w:pPr>
            <w:r>
              <w:rPr>
                <w:rFonts w:ascii="Arial" w:cs="Arial" w:eastAsia="Arial" w:hAnsi="Arial"/>
                <w:sz w:val="13"/>
                <w:szCs w:val="13"/>
                <w:b w:val="1"/>
                <w:bCs w:val="1"/>
                <w:color w:val="auto"/>
                <w:w w:val="89"/>
              </w:rPr>
              <w:t>2020</w:t>
            </w: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114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5"/>
              </w:rPr>
              <w:t>Revenues from</w:t>
            </w:r>
          </w:p>
        </w:tc>
        <w:tc>
          <w:tcPr>
            <w:tcW w:w="340" w:type="dxa"/>
            <w:vAlign w:val="bottom"/>
          </w:tcPr>
          <w:p>
            <w:pPr>
              <w:spacing w:after="0"/>
              <w:rPr>
                <w:sz w:val="12"/>
                <w:szCs w:val="12"/>
                <w:color w:val="auto"/>
              </w:rPr>
            </w:pPr>
          </w:p>
        </w:tc>
        <w:tc>
          <w:tcPr>
            <w:tcW w:w="1500" w:type="dxa"/>
            <w:vAlign w:val="bottom"/>
            <w:gridSpan w:val="5"/>
          </w:tcPr>
          <w:p>
            <w:pPr>
              <w:jc w:val="center"/>
              <w:ind w:right="248"/>
              <w:spacing w:after="0" w:line="144" w:lineRule="exact"/>
              <w:rPr>
                <w:sz w:val="20"/>
                <w:szCs w:val="20"/>
                <w:color w:val="auto"/>
              </w:rPr>
            </w:pPr>
            <w:r>
              <w:rPr>
                <w:rFonts w:ascii="Arial" w:cs="Arial" w:eastAsia="Arial" w:hAnsi="Arial"/>
                <w:sz w:val="13"/>
                <w:szCs w:val="13"/>
                <w:b w:val="1"/>
                <w:bCs w:val="1"/>
                <w:color w:val="auto"/>
                <w:w w:val="89"/>
              </w:rPr>
              <w:t>Equity in Earnings</w:t>
            </w:r>
          </w:p>
        </w:tc>
        <w:tc>
          <w:tcPr>
            <w:tcW w:w="180" w:type="dxa"/>
            <w:vAlign w:val="bottom"/>
          </w:tcPr>
          <w:p>
            <w:pPr>
              <w:spacing w:after="0"/>
              <w:rPr>
                <w:sz w:val="12"/>
                <w:szCs w:val="12"/>
                <w:color w:val="auto"/>
              </w:rPr>
            </w:pPr>
          </w:p>
        </w:tc>
        <w:tc>
          <w:tcPr>
            <w:tcW w:w="1080" w:type="dxa"/>
            <w:vAlign w:val="bottom"/>
            <w:gridSpan w:val="5"/>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Depreciation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Income Tax</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1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3"/>
              </w:rPr>
              <w:t>External</w:t>
            </w:r>
          </w:p>
        </w:tc>
        <w:tc>
          <w:tcPr>
            <w:tcW w:w="340" w:type="dxa"/>
            <w:vAlign w:val="bottom"/>
          </w:tcPr>
          <w:p>
            <w:pPr>
              <w:spacing w:after="0"/>
              <w:rPr>
                <w:sz w:val="11"/>
                <w:szCs w:val="11"/>
                <w:color w:val="auto"/>
              </w:rPr>
            </w:pPr>
          </w:p>
        </w:tc>
        <w:tc>
          <w:tcPr>
            <w:tcW w:w="1500" w:type="dxa"/>
            <w:vAlign w:val="bottom"/>
            <w:gridSpan w:val="5"/>
          </w:tcPr>
          <w:p>
            <w:pPr>
              <w:jc w:val="center"/>
              <w:ind w:right="268"/>
              <w:spacing w:after="0" w:line="135" w:lineRule="exact"/>
              <w:rPr>
                <w:sz w:val="20"/>
                <w:szCs w:val="20"/>
                <w:color w:val="auto"/>
              </w:rPr>
            </w:pPr>
            <w:r>
              <w:rPr>
                <w:rFonts w:ascii="Arial" w:cs="Arial" w:eastAsia="Arial" w:hAnsi="Arial"/>
                <w:sz w:val="13"/>
                <w:szCs w:val="13"/>
                <w:b w:val="1"/>
                <w:bCs w:val="1"/>
                <w:color w:val="auto"/>
                <w:w w:val="84"/>
              </w:rPr>
              <w:t>of Unconsolidated</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center"/>
              <w:ind w:right="54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Expense</w:t>
            </w:r>
          </w:p>
        </w:tc>
        <w:tc>
          <w:tcPr>
            <w:tcW w:w="140" w:type="dxa"/>
            <w:vAlign w:val="bottom"/>
          </w:tcPr>
          <w:p>
            <w:pPr>
              <w:spacing w:after="0"/>
              <w:rPr>
                <w:sz w:val="11"/>
                <w:szCs w:val="11"/>
                <w:color w:val="auto"/>
              </w:rPr>
            </w:pPr>
          </w:p>
        </w:tc>
        <w:tc>
          <w:tcPr>
            <w:tcW w:w="8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8"/>
              </w:rPr>
              <w:t>Net Income</w:t>
            </w: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5"/>
              </w:rPr>
              <w:t>Customers</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left="117"/>
              <w:spacing w:after="0"/>
              <w:rPr>
                <w:sz w:val="20"/>
                <w:szCs w:val="20"/>
                <w:color w:val="auto"/>
              </w:rPr>
            </w:pPr>
            <w:r>
              <w:rPr>
                <w:rFonts w:ascii="Arial" w:cs="Arial" w:eastAsia="Arial" w:hAnsi="Arial"/>
                <w:sz w:val="13"/>
                <w:szCs w:val="13"/>
                <w:b w:val="1"/>
                <w:bCs w:val="1"/>
                <w:color w:val="auto"/>
                <w:w w:val="87"/>
              </w:rPr>
              <w:t>Affiliates</w:t>
            </w: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3"/>
                <w:szCs w:val="13"/>
                <w:b w:val="1"/>
                <w:bCs w:val="1"/>
                <w:color w:val="auto"/>
                <w:w w:val="90"/>
              </w:rPr>
              <w:t>Amortization</w:t>
            </w:r>
          </w:p>
        </w:tc>
        <w:tc>
          <w:tcPr>
            <w:tcW w:w="9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9"/>
              </w:rPr>
              <w:t>Interest Income</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w w:val="88"/>
              </w:rPr>
              <w:t>Interest Expense</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(Benefit)</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1"/>
              </w:rPr>
              <w:t>(Loss)</w:t>
            </w:r>
          </w:p>
        </w:tc>
        <w:tc>
          <w:tcPr>
            <w:tcW w:w="0" w:type="dxa"/>
            <w:vAlign w:val="bottom"/>
          </w:tcPr>
          <w:p>
            <w:pPr>
              <w:spacing w:after="0"/>
              <w:rPr>
                <w:sz w:val="1"/>
                <w:szCs w:val="1"/>
                <w:color w:val="auto"/>
              </w:rPr>
            </w:pPr>
          </w:p>
        </w:tc>
      </w:tr>
      <w:tr>
        <w:trPr>
          <w:trHeight w:val="249"/>
        </w:trPr>
        <w:tc>
          <w:tcPr>
            <w:tcW w:w="2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(in millions)</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Houston Electric T&amp;D</w:t>
            </w:r>
          </w:p>
        </w:tc>
        <w:tc>
          <w:tcPr>
            <w:tcW w:w="440" w:type="dxa"/>
            <w:vAlign w:val="bottom"/>
            <w:shd w:val="clear" w:color="auto" w:fill="CCEEFF"/>
          </w:tcPr>
          <w:p>
            <w:pPr>
              <w:jc w:val="right"/>
              <w:ind w:right="2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720</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2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88"/>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64"/>
        </w:trPr>
        <w:tc>
          <w:tcPr>
            <w:tcW w:w="2260" w:type="dxa"/>
            <w:vAlign w:val="bottom"/>
          </w:tcPr>
          <w:p>
            <w:pPr>
              <w:ind w:left="40"/>
              <w:spacing w:after="0"/>
              <w:rPr>
                <w:sz w:val="20"/>
                <w:szCs w:val="20"/>
                <w:color w:val="auto"/>
              </w:rPr>
            </w:pPr>
            <w:r>
              <w:rPr>
                <w:rFonts w:ascii="Arial" w:cs="Arial" w:eastAsia="Arial" w:hAnsi="Arial"/>
                <w:sz w:val="14"/>
                <w:szCs w:val="14"/>
                <w:color w:val="auto"/>
              </w:rPr>
              <w:t>Indiana Electric Integrated</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128</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gridSpan w:val="2"/>
          </w:tcPr>
          <w:p>
            <w:pPr>
              <w:jc w:val="right"/>
              <w:ind w:right="3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6"/>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Distribution</w:t>
            </w: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641</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64"/>
        </w:trPr>
        <w:tc>
          <w:tcPr>
            <w:tcW w:w="2260" w:type="dxa"/>
            <w:vAlign w:val="bottom"/>
          </w:tcPr>
          <w:p>
            <w:pPr>
              <w:ind w:left="40"/>
              <w:spacing w:after="0"/>
              <w:rPr>
                <w:sz w:val="20"/>
                <w:szCs w:val="20"/>
                <w:color w:val="auto"/>
              </w:rPr>
            </w:pPr>
            <w:r>
              <w:rPr>
                <w:rFonts w:ascii="Arial" w:cs="Arial" w:eastAsia="Arial" w:hAnsi="Arial"/>
                <w:sz w:val="14"/>
                <w:szCs w:val="14"/>
                <w:color w:val="auto"/>
              </w:rPr>
              <w:t>Midstream Investments</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86</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64"/>
        </w:trPr>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Eliminations</w:t>
            </w:r>
          </w:p>
        </w:tc>
        <w:tc>
          <w:tcPr>
            <w:tcW w:w="4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(29)</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Continuing Operations</w:t>
            </w:r>
          </w:p>
        </w:tc>
        <w:tc>
          <w:tcPr>
            <w:tcW w:w="440" w:type="dxa"/>
            <w:vAlign w:val="bottom"/>
            <w:shd w:val="clear" w:color="auto" w:fill="CCEEFF"/>
          </w:tcPr>
          <w:p>
            <w:pPr>
              <w:jc w:val="right"/>
              <w:ind w:right="2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1,575</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Discontinued Operations, net</w:t>
            </w:r>
          </w:p>
        </w:tc>
        <w:tc>
          <w:tcPr>
            <w:tcW w:w="4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43"/>
        </w:trPr>
        <w:tc>
          <w:tcPr>
            <w:tcW w:w="2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Consolidated</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gridSpan w:val="10"/>
            <w:vMerge w:val="restart"/>
          </w:tcPr>
          <w:p>
            <w:pPr>
              <w:jc w:val="center"/>
              <w:ind w:left="111"/>
              <w:spacing w:after="0"/>
              <w:rPr>
                <w:sz w:val="20"/>
                <w:szCs w:val="20"/>
                <w:color w:val="auto"/>
              </w:rPr>
            </w:pPr>
            <w:r>
              <w:rPr>
                <w:rFonts w:ascii="Arial" w:cs="Arial" w:eastAsia="Arial" w:hAnsi="Arial"/>
                <w:sz w:val="13"/>
                <w:szCs w:val="13"/>
                <w:b w:val="1"/>
                <w:bCs w:val="1"/>
                <w:color w:val="auto"/>
                <w:w w:val="87"/>
              </w:rPr>
              <w:t>Three Months Ended June 30,</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2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10"/>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center"/>
              <w:ind w:right="57"/>
              <w:spacing w:after="0"/>
              <w:rPr>
                <w:sz w:val="20"/>
                <w:szCs w:val="20"/>
                <w:color w:val="auto"/>
              </w:rPr>
            </w:pPr>
            <w:r>
              <w:rPr>
                <w:rFonts w:ascii="Arial" w:cs="Arial" w:eastAsia="Arial" w:hAnsi="Arial"/>
                <w:sz w:val="13"/>
                <w:szCs w:val="13"/>
                <w:b w:val="1"/>
                <w:bCs w:val="1"/>
                <w:color w:val="auto"/>
                <w:w w:val="89"/>
              </w:rPr>
              <w:t>2019</w:t>
            </w: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114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5"/>
              </w:rPr>
              <w:t>Revenues from</w:t>
            </w:r>
          </w:p>
        </w:tc>
        <w:tc>
          <w:tcPr>
            <w:tcW w:w="340" w:type="dxa"/>
            <w:vAlign w:val="bottom"/>
          </w:tcPr>
          <w:p>
            <w:pPr>
              <w:spacing w:after="0"/>
              <w:rPr>
                <w:sz w:val="12"/>
                <w:szCs w:val="12"/>
                <w:color w:val="auto"/>
              </w:rPr>
            </w:pPr>
          </w:p>
        </w:tc>
        <w:tc>
          <w:tcPr>
            <w:tcW w:w="1500" w:type="dxa"/>
            <w:vAlign w:val="bottom"/>
            <w:gridSpan w:val="5"/>
          </w:tcPr>
          <w:p>
            <w:pPr>
              <w:jc w:val="center"/>
              <w:ind w:right="248"/>
              <w:spacing w:after="0" w:line="144" w:lineRule="exact"/>
              <w:rPr>
                <w:sz w:val="20"/>
                <w:szCs w:val="20"/>
                <w:color w:val="auto"/>
              </w:rPr>
            </w:pPr>
            <w:r>
              <w:rPr>
                <w:rFonts w:ascii="Arial" w:cs="Arial" w:eastAsia="Arial" w:hAnsi="Arial"/>
                <w:sz w:val="13"/>
                <w:szCs w:val="13"/>
                <w:b w:val="1"/>
                <w:bCs w:val="1"/>
                <w:color w:val="auto"/>
                <w:w w:val="89"/>
              </w:rPr>
              <w:t>Equity in Earnings</w:t>
            </w:r>
          </w:p>
        </w:tc>
        <w:tc>
          <w:tcPr>
            <w:tcW w:w="180" w:type="dxa"/>
            <w:vAlign w:val="bottom"/>
          </w:tcPr>
          <w:p>
            <w:pPr>
              <w:spacing w:after="0"/>
              <w:rPr>
                <w:sz w:val="12"/>
                <w:szCs w:val="12"/>
                <w:color w:val="auto"/>
              </w:rPr>
            </w:pPr>
          </w:p>
        </w:tc>
        <w:tc>
          <w:tcPr>
            <w:tcW w:w="1080" w:type="dxa"/>
            <w:vAlign w:val="bottom"/>
            <w:gridSpan w:val="5"/>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Depreciation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Income Tax</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1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3"/>
              </w:rPr>
              <w:t>External</w:t>
            </w:r>
          </w:p>
        </w:tc>
        <w:tc>
          <w:tcPr>
            <w:tcW w:w="340" w:type="dxa"/>
            <w:vAlign w:val="bottom"/>
          </w:tcPr>
          <w:p>
            <w:pPr>
              <w:spacing w:after="0"/>
              <w:rPr>
                <w:sz w:val="11"/>
                <w:szCs w:val="11"/>
                <w:color w:val="auto"/>
              </w:rPr>
            </w:pPr>
          </w:p>
        </w:tc>
        <w:tc>
          <w:tcPr>
            <w:tcW w:w="1500" w:type="dxa"/>
            <w:vAlign w:val="bottom"/>
            <w:gridSpan w:val="5"/>
          </w:tcPr>
          <w:p>
            <w:pPr>
              <w:jc w:val="center"/>
              <w:ind w:right="268"/>
              <w:spacing w:after="0" w:line="135" w:lineRule="exact"/>
              <w:rPr>
                <w:sz w:val="20"/>
                <w:szCs w:val="20"/>
                <w:color w:val="auto"/>
              </w:rPr>
            </w:pPr>
            <w:r>
              <w:rPr>
                <w:rFonts w:ascii="Arial" w:cs="Arial" w:eastAsia="Arial" w:hAnsi="Arial"/>
                <w:sz w:val="13"/>
                <w:szCs w:val="13"/>
                <w:b w:val="1"/>
                <w:bCs w:val="1"/>
                <w:color w:val="auto"/>
                <w:w w:val="84"/>
              </w:rPr>
              <w:t>of Unconsolidated</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center"/>
              <w:ind w:right="54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Expense</w:t>
            </w:r>
          </w:p>
        </w:tc>
        <w:tc>
          <w:tcPr>
            <w:tcW w:w="140" w:type="dxa"/>
            <w:vAlign w:val="bottom"/>
          </w:tcPr>
          <w:p>
            <w:pPr>
              <w:spacing w:after="0"/>
              <w:rPr>
                <w:sz w:val="11"/>
                <w:szCs w:val="11"/>
                <w:color w:val="auto"/>
              </w:rPr>
            </w:pPr>
          </w:p>
        </w:tc>
        <w:tc>
          <w:tcPr>
            <w:tcW w:w="8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8"/>
              </w:rPr>
              <w:t>Net Income</w:t>
            </w: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5"/>
              </w:rPr>
              <w:t>Customers</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left="117"/>
              <w:spacing w:after="0"/>
              <w:rPr>
                <w:sz w:val="20"/>
                <w:szCs w:val="20"/>
                <w:color w:val="auto"/>
              </w:rPr>
            </w:pPr>
            <w:r>
              <w:rPr>
                <w:rFonts w:ascii="Arial" w:cs="Arial" w:eastAsia="Arial" w:hAnsi="Arial"/>
                <w:sz w:val="13"/>
                <w:szCs w:val="13"/>
                <w:b w:val="1"/>
                <w:bCs w:val="1"/>
                <w:color w:val="auto"/>
                <w:w w:val="87"/>
              </w:rPr>
              <w:t>Affiliates</w:t>
            </w: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3"/>
                <w:szCs w:val="13"/>
                <w:b w:val="1"/>
                <w:bCs w:val="1"/>
                <w:color w:val="auto"/>
                <w:w w:val="90"/>
              </w:rPr>
              <w:t>Amortization</w:t>
            </w:r>
          </w:p>
        </w:tc>
        <w:tc>
          <w:tcPr>
            <w:tcW w:w="9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9"/>
              </w:rPr>
              <w:t>Interest Income</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w w:val="88"/>
              </w:rPr>
              <w:t>Interest Expense</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(Benefit)</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1"/>
              </w:rPr>
              <w:t>(Loss)</w:t>
            </w:r>
          </w:p>
        </w:tc>
        <w:tc>
          <w:tcPr>
            <w:tcW w:w="0" w:type="dxa"/>
            <w:vAlign w:val="bottom"/>
          </w:tcPr>
          <w:p>
            <w:pPr>
              <w:spacing w:after="0"/>
              <w:rPr>
                <w:sz w:val="1"/>
                <w:szCs w:val="1"/>
                <w:color w:val="auto"/>
              </w:rPr>
            </w:pPr>
          </w:p>
        </w:tc>
      </w:tr>
      <w:tr>
        <w:trPr>
          <w:trHeight w:val="249"/>
        </w:trPr>
        <w:tc>
          <w:tcPr>
            <w:tcW w:w="2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(in millions)</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Houston Electric T&amp;D</w:t>
            </w:r>
          </w:p>
        </w:tc>
        <w:tc>
          <w:tcPr>
            <w:tcW w:w="440" w:type="dxa"/>
            <w:vAlign w:val="bottom"/>
            <w:shd w:val="clear" w:color="auto" w:fill="CCEEFF"/>
          </w:tcPr>
          <w:p>
            <w:pPr>
              <w:jc w:val="right"/>
              <w:ind w:right="2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765</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2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88"/>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2260" w:type="dxa"/>
            <w:vAlign w:val="bottom"/>
          </w:tcPr>
          <w:p>
            <w:pPr>
              <w:ind w:left="40"/>
              <w:spacing w:after="0"/>
              <w:rPr>
                <w:sz w:val="20"/>
                <w:szCs w:val="20"/>
                <w:color w:val="auto"/>
              </w:rPr>
            </w:pPr>
            <w:r>
              <w:rPr>
                <w:rFonts w:ascii="Arial" w:cs="Arial" w:eastAsia="Arial" w:hAnsi="Arial"/>
                <w:sz w:val="14"/>
                <w:szCs w:val="14"/>
                <w:color w:val="auto"/>
              </w:rPr>
              <w:t>Indiana Electric Integrated</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140</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gridSpan w:val="2"/>
          </w:tcPr>
          <w:p>
            <w:pPr>
              <w:jc w:val="right"/>
              <w:ind w:right="3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Distribution</w:t>
            </w: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673</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64"/>
        </w:trPr>
        <w:tc>
          <w:tcPr>
            <w:tcW w:w="2260" w:type="dxa"/>
            <w:vAlign w:val="bottom"/>
          </w:tcPr>
          <w:p>
            <w:pPr>
              <w:ind w:left="40"/>
              <w:spacing w:after="0"/>
              <w:rPr>
                <w:sz w:val="20"/>
                <w:szCs w:val="20"/>
                <w:color w:val="auto"/>
              </w:rPr>
            </w:pPr>
            <w:r>
              <w:rPr>
                <w:rFonts w:ascii="Arial" w:cs="Arial" w:eastAsia="Arial" w:hAnsi="Arial"/>
                <w:sz w:val="14"/>
                <w:szCs w:val="14"/>
                <w:color w:val="auto"/>
              </w:rPr>
              <w:t>Midstream Investments</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6"/>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4"/>
        </w:trPr>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Eliminations</w:t>
            </w:r>
          </w:p>
        </w:tc>
        <w:tc>
          <w:tcPr>
            <w:tcW w:w="4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(47)</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Consolidated</w:t>
            </w:r>
          </w:p>
        </w:tc>
        <w:tc>
          <w:tcPr>
            <w:tcW w:w="440" w:type="dxa"/>
            <w:vAlign w:val="bottom"/>
            <w:shd w:val="clear" w:color="auto" w:fill="CCEEFF"/>
          </w:tcPr>
          <w:p>
            <w:pPr>
              <w:jc w:val="right"/>
              <w:ind w:right="2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1,658</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Discontinued Operations, net</w:t>
            </w:r>
          </w:p>
        </w:tc>
        <w:tc>
          <w:tcPr>
            <w:tcW w:w="4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43"/>
        </w:trPr>
        <w:tc>
          <w:tcPr>
            <w:tcW w:w="2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Consolidated</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gridSpan w:val="10"/>
            <w:vMerge w:val="restart"/>
          </w:tcPr>
          <w:p>
            <w:pPr>
              <w:jc w:val="center"/>
              <w:ind w:left="551"/>
              <w:spacing w:after="0"/>
              <w:rPr>
                <w:sz w:val="20"/>
                <w:szCs w:val="20"/>
                <w:color w:val="auto"/>
              </w:rPr>
            </w:pPr>
            <w:r>
              <w:rPr>
                <w:rFonts w:ascii="Arial" w:cs="Arial" w:eastAsia="Arial" w:hAnsi="Arial"/>
                <w:sz w:val="13"/>
                <w:szCs w:val="13"/>
                <w:b w:val="1"/>
                <w:bCs w:val="1"/>
                <w:color w:val="auto"/>
                <w:w w:val="86"/>
              </w:rPr>
              <w:t>Six Months Ended June 30,</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10"/>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center"/>
              <w:ind w:left="252"/>
              <w:spacing w:after="0"/>
              <w:rPr>
                <w:sz w:val="20"/>
                <w:szCs w:val="20"/>
                <w:color w:val="auto"/>
              </w:rPr>
            </w:pPr>
            <w:r>
              <w:rPr>
                <w:rFonts w:ascii="Arial" w:cs="Arial" w:eastAsia="Arial" w:hAnsi="Arial"/>
                <w:sz w:val="13"/>
                <w:szCs w:val="13"/>
                <w:b w:val="1"/>
                <w:bCs w:val="1"/>
                <w:color w:val="auto"/>
                <w:w w:val="89"/>
              </w:rPr>
              <w:t>2020</w:t>
            </w: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5"/>
              </w:rPr>
              <w:t>Revenues from</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9"/>
              </w:rPr>
              <w:t>Equity in Earnings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60"/>
              <w:spacing w:after="0" w:line="144" w:lineRule="exact"/>
              <w:rPr>
                <w:sz w:val="20"/>
                <w:szCs w:val="20"/>
                <w:color w:val="auto"/>
              </w:rPr>
            </w:pPr>
            <w:r>
              <w:rPr>
                <w:rFonts w:ascii="Arial" w:cs="Arial" w:eastAsia="Arial" w:hAnsi="Arial"/>
                <w:sz w:val="13"/>
                <w:szCs w:val="13"/>
                <w:b w:val="1"/>
                <w:bCs w:val="1"/>
                <w:color w:val="auto"/>
                <w:w w:val="86"/>
              </w:rPr>
              <w:t>Depreciation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Income Tax</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External</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4"/>
              </w:rPr>
              <w:t>of Unconsolidated</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Expense</w:t>
            </w:r>
          </w:p>
        </w:tc>
        <w:tc>
          <w:tcPr>
            <w:tcW w:w="140" w:type="dxa"/>
            <w:vAlign w:val="bottom"/>
          </w:tcPr>
          <w:p>
            <w:pPr>
              <w:spacing w:after="0"/>
              <w:rPr>
                <w:sz w:val="11"/>
                <w:szCs w:val="11"/>
                <w:color w:val="auto"/>
              </w:rPr>
            </w:pPr>
          </w:p>
        </w:tc>
        <w:tc>
          <w:tcPr>
            <w:tcW w:w="8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8"/>
              </w:rPr>
              <w:t>Net Income</w:t>
            </w: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Customers</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Affiliates</w:t>
            </w: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w w:val="95"/>
              </w:rPr>
              <w:t>Interest Income</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3"/>
                <w:szCs w:val="13"/>
                <w:b w:val="1"/>
                <w:bCs w:val="1"/>
                <w:color w:val="auto"/>
                <w:w w:val="88"/>
              </w:rPr>
              <w:t>Interest Expense</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(Benefit)</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1"/>
              </w:rPr>
              <w:t>(Loss)</w:t>
            </w:r>
          </w:p>
        </w:tc>
        <w:tc>
          <w:tcPr>
            <w:tcW w:w="0" w:type="dxa"/>
            <w:vAlign w:val="bottom"/>
          </w:tcPr>
          <w:p>
            <w:pPr>
              <w:spacing w:after="0"/>
              <w:rPr>
                <w:sz w:val="1"/>
                <w:szCs w:val="1"/>
                <w:color w:val="auto"/>
              </w:rPr>
            </w:pPr>
          </w:p>
        </w:tc>
      </w:tr>
      <w:tr>
        <w:trPr>
          <w:trHeight w:val="248"/>
        </w:trPr>
        <w:tc>
          <w:tcPr>
            <w:tcW w:w="2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(in millions)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Houston Electric T&amp;D</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1,358</w:t>
            </w:r>
          </w:p>
        </w:tc>
        <w:tc>
          <w:tcPr>
            <w:tcW w:w="860" w:type="dxa"/>
            <w:vAlign w:val="bottom"/>
            <w:gridSpan w:val="3"/>
            <w:shd w:val="clear" w:color="auto" w:fill="CCEEFF"/>
          </w:tcPr>
          <w:p>
            <w:pPr>
              <w:jc w:val="right"/>
              <w:ind w:right="357"/>
              <w:spacing w:after="0"/>
              <w:rPr>
                <w:sz w:val="20"/>
                <w:szCs w:val="20"/>
                <w:color w:val="auto"/>
              </w:rPr>
            </w:pPr>
            <w:r>
              <w:rPr>
                <w:rFonts w:ascii="Arial" w:cs="Arial" w:eastAsia="Arial" w:hAnsi="Arial"/>
                <w:sz w:val="11"/>
                <w:szCs w:val="11"/>
                <w:color w:val="auto"/>
              </w:rPr>
              <w:t xml:space="preserve">(3)  </w:t>
            </w: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269</w:t>
            </w:r>
          </w:p>
        </w:tc>
        <w:tc>
          <w:tcPr>
            <w:tcW w:w="660" w:type="dxa"/>
            <w:vAlign w:val="bottom"/>
            <w:gridSpan w:val="3"/>
            <w:shd w:val="clear" w:color="auto" w:fill="CCEEFF"/>
          </w:tcPr>
          <w:p>
            <w:pPr>
              <w:jc w:val="center"/>
              <w:ind w:right="57"/>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3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 xml:space="preserve">(84) </w:t>
            </w:r>
            <w:r>
              <w:rPr>
                <w:rFonts w:ascii="Arial" w:cs="Arial" w:eastAsia="Arial" w:hAnsi="Arial"/>
                <w:sz w:val="10"/>
                <w:szCs w:val="10"/>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64"/>
        </w:trPr>
        <w:tc>
          <w:tcPr>
            <w:tcW w:w="2260" w:type="dxa"/>
            <w:vAlign w:val="bottom"/>
          </w:tcPr>
          <w:p>
            <w:pPr>
              <w:ind w:left="40"/>
              <w:spacing w:after="0"/>
              <w:rPr>
                <w:sz w:val="20"/>
                <w:szCs w:val="20"/>
                <w:color w:val="auto"/>
              </w:rPr>
            </w:pPr>
            <w:r>
              <w:rPr>
                <w:rFonts w:ascii="Arial" w:cs="Arial" w:eastAsia="Arial" w:hAnsi="Arial"/>
                <w:sz w:val="14"/>
                <w:szCs w:val="14"/>
                <w:color w:val="auto"/>
              </w:rPr>
              <w:t>Indiana Electric Integrated</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3"/>
          </w:tcPr>
          <w:p>
            <w:pPr>
              <w:jc w:val="right"/>
              <w:ind w:right="6"/>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6"/>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Distribution</w:t>
            </w: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1,959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ind w:right="6"/>
              <w:spacing w:after="0"/>
              <w:rPr>
                <w:sz w:val="20"/>
                <w:szCs w:val="20"/>
                <w:color w:val="auto"/>
              </w:rPr>
            </w:pPr>
            <w:r>
              <w:rPr>
                <w:rFonts w:ascii="Arial" w:cs="Arial" w:eastAsia="Arial" w:hAnsi="Arial"/>
                <w:sz w:val="14"/>
                <w:szCs w:val="14"/>
                <w:color w:val="auto"/>
              </w:rPr>
              <w:t>(61)</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64"/>
        </w:trPr>
        <w:tc>
          <w:tcPr>
            <w:tcW w:w="2260" w:type="dxa"/>
            <w:vAlign w:val="bottom"/>
          </w:tcPr>
          <w:p>
            <w:pPr>
              <w:ind w:left="40"/>
              <w:spacing w:after="0"/>
              <w:rPr>
                <w:sz w:val="20"/>
                <w:szCs w:val="20"/>
                <w:color w:val="auto"/>
              </w:rPr>
            </w:pPr>
            <w:r>
              <w:rPr>
                <w:rFonts w:ascii="Arial" w:cs="Arial" w:eastAsia="Arial" w:hAnsi="Arial"/>
                <w:sz w:val="14"/>
                <w:szCs w:val="14"/>
                <w:color w:val="auto"/>
              </w:rPr>
              <w:t>Midstream Investments</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4"/>
                <w:szCs w:val="14"/>
                <w:color w:val="auto"/>
              </w:rPr>
              <w:t>(1,432)</w:t>
            </w:r>
          </w:p>
        </w:tc>
        <w:tc>
          <w:tcPr>
            <w:tcW w:w="180" w:type="dxa"/>
            <w:vAlign w:val="bottom"/>
          </w:tcPr>
          <w:p>
            <w:pPr>
              <w:jc w:val="right"/>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3"/>
          </w:tcPr>
          <w:p>
            <w:pPr>
              <w:jc w:val="right"/>
              <w:ind w:right="6"/>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276"/>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75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ind w:right="6"/>
              <w:spacing w:after="0"/>
              <w:rPr>
                <w:sz w:val="20"/>
                <w:szCs w:val="20"/>
                <w:color w:val="auto"/>
              </w:rPr>
            </w:pPr>
            <w:r>
              <w:rPr>
                <w:rFonts w:ascii="Arial" w:cs="Arial" w:eastAsia="Arial" w:hAnsi="Arial"/>
                <w:sz w:val="14"/>
                <w:szCs w:val="14"/>
                <w:color w:val="auto"/>
              </w:rPr>
              <w:t>(163)</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Eliminations</w:t>
            </w:r>
          </w:p>
        </w:tc>
        <w:tc>
          <w:tcPr>
            <w:tcW w:w="4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(79)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Continuing Operations</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3,742</w:t>
            </w:r>
          </w:p>
        </w:tc>
        <w:tc>
          <w:tcPr>
            <w:tcW w:w="860" w:type="dxa"/>
            <w:vAlign w:val="bottom"/>
            <w:gridSpan w:val="3"/>
            <w:shd w:val="clear" w:color="auto" w:fill="CCEEFF"/>
          </w:tcPr>
          <w:p>
            <w:pPr>
              <w:jc w:val="right"/>
              <w:ind w:right="357"/>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(1,432)</w:t>
            </w:r>
          </w:p>
        </w:tc>
        <w:tc>
          <w:tcPr>
            <w:tcW w:w="1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579</w:t>
            </w:r>
          </w:p>
        </w:tc>
        <w:tc>
          <w:tcPr>
            <w:tcW w:w="660" w:type="dxa"/>
            <w:vAlign w:val="bottom"/>
            <w:gridSpan w:val="3"/>
            <w:shd w:val="clear" w:color="auto" w:fill="CCEEFF"/>
          </w:tcPr>
          <w:p>
            <w:pPr>
              <w:jc w:val="center"/>
              <w:ind w:right="57"/>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
              <w:spacing w:after="0"/>
              <w:rPr>
                <w:sz w:val="20"/>
                <w:szCs w:val="20"/>
                <w:color w:val="auto"/>
              </w:rPr>
            </w:pPr>
            <w:r>
              <w:rPr>
                <w:rFonts w:ascii="Arial" w:cs="Arial" w:eastAsia="Arial" w:hAnsi="Arial"/>
                <w:sz w:val="14"/>
                <w:szCs w:val="14"/>
                <w:color w:val="auto"/>
              </w:rPr>
              <w:t>(267)</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Discontinued Operations, net</w:t>
            </w:r>
          </w:p>
        </w:tc>
        <w:tc>
          <w:tcPr>
            <w:tcW w:w="4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43"/>
        </w:trPr>
        <w:tc>
          <w:tcPr>
            <w:tcW w:w="2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Consolidated</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993"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125" w:right="339" w:bottom="993" w:gutter="0" w:footer="0" w:header="0"/>
          <w:type w:val="continuous"/>
        </w:sectPr>
      </w:pPr>
    </w:p>
    <w:bookmarkStart w:id="65" w:name="page66"/>
    <w:bookmarkEnd w:id="6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center"/>
              <w:ind w:left="371"/>
              <w:spacing w:after="0"/>
              <w:rPr>
                <w:sz w:val="20"/>
                <w:szCs w:val="20"/>
                <w:color w:val="auto"/>
              </w:rPr>
            </w:pPr>
            <w:r>
              <w:rPr>
                <w:rFonts w:ascii="Arial" w:cs="Arial" w:eastAsia="Arial" w:hAnsi="Arial"/>
                <w:sz w:val="13"/>
                <w:szCs w:val="13"/>
                <w:b w:val="1"/>
                <w:bCs w:val="1"/>
                <w:color w:val="auto"/>
                <w:w w:val="86"/>
              </w:rPr>
              <w:t>Six Months Ended June 30,</w:t>
            </w: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50"/>
        </w:trPr>
        <w:tc>
          <w:tcPr>
            <w:tcW w:w="27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2019</w:t>
            </w:r>
          </w:p>
        </w:tc>
        <w:tc>
          <w:tcPr>
            <w:tcW w:w="3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144"/>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85"/>
              </w:rPr>
              <w:t>Revenues from</w:t>
            </w:r>
          </w:p>
        </w:tc>
        <w:tc>
          <w:tcPr>
            <w:tcW w:w="220" w:type="dxa"/>
            <w:vAlign w:val="bottom"/>
          </w:tcPr>
          <w:p>
            <w:pPr>
              <w:spacing w:after="0"/>
              <w:rPr>
                <w:sz w:val="12"/>
                <w:szCs w:val="12"/>
                <w:color w:val="auto"/>
              </w:rPr>
            </w:pPr>
          </w:p>
        </w:tc>
        <w:tc>
          <w:tcPr>
            <w:tcW w:w="1400" w:type="dxa"/>
            <w:vAlign w:val="bottom"/>
            <w:gridSpan w:val="3"/>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Equity in Earnings</w:t>
            </w:r>
          </w:p>
        </w:tc>
        <w:tc>
          <w:tcPr>
            <w:tcW w:w="140" w:type="dxa"/>
            <w:vAlign w:val="bottom"/>
          </w:tcPr>
          <w:p>
            <w:pPr>
              <w:spacing w:after="0"/>
              <w:rPr>
                <w:sz w:val="12"/>
                <w:szCs w:val="12"/>
                <w:color w:val="auto"/>
              </w:rPr>
            </w:pPr>
          </w:p>
        </w:tc>
        <w:tc>
          <w:tcPr>
            <w:tcW w:w="98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86"/>
              </w:rPr>
              <w:t>Depreciation</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Income Tax</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5"/>
        </w:trPr>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w w:val="93"/>
              </w:rPr>
              <w:t>External</w:t>
            </w:r>
          </w:p>
        </w:tc>
        <w:tc>
          <w:tcPr>
            <w:tcW w:w="220" w:type="dxa"/>
            <w:vAlign w:val="bottom"/>
          </w:tcPr>
          <w:p>
            <w:pPr>
              <w:spacing w:after="0"/>
              <w:rPr>
                <w:sz w:val="11"/>
                <w:szCs w:val="11"/>
                <w:color w:val="auto"/>
              </w:rPr>
            </w:pPr>
          </w:p>
        </w:tc>
        <w:tc>
          <w:tcPr>
            <w:tcW w:w="140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of Unconsolidated</w:t>
            </w:r>
          </w:p>
        </w:tc>
        <w:tc>
          <w:tcPr>
            <w:tcW w:w="140" w:type="dxa"/>
            <w:vAlign w:val="bottom"/>
          </w:tcPr>
          <w:p>
            <w:pPr>
              <w:spacing w:after="0"/>
              <w:rPr>
                <w:sz w:val="11"/>
                <w:szCs w:val="11"/>
                <w:color w:val="auto"/>
              </w:rPr>
            </w:pPr>
          </w:p>
        </w:tc>
        <w:tc>
          <w:tcPr>
            <w:tcW w:w="98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Expense</w:t>
            </w:r>
          </w:p>
        </w:tc>
        <w:tc>
          <w:tcPr>
            <w:tcW w:w="140" w:type="dxa"/>
            <w:vAlign w:val="bottom"/>
          </w:tcPr>
          <w:p>
            <w:pPr>
              <w:spacing w:after="0"/>
              <w:rPr>
                <w:sz w:val="11"/>
                <w:szCs w:val="11"/>
                <w:color w:val="auto"/>
              </w:rPr>
            </w:pPr>
          </w:p>
        </w:tc>
        <w:tc>
          <w:tcPr>
            <w:tcW w:w="860" w:type="dxa"/>
            <w:vAlign w:val="bottom"/>
          </w:tcPr>
          <w:p>
            <w:pPr>
              <w:jc w:val="right"/>
              <w:ind w:right="110"/>
              <w:spacing w:after="0" w:line="135" w:lineRule="exact"/>
              <w:rPr>
                <w:sz w:val="20"/>
                <w:szCs w:val="20"/>
                <w:color w:val="auto"/>
              </w:rPr>
            </w:pPr>
            <w:r>
              <w:rPr>
                <w:rFonts w:ascii="Arial" w:cs="Arial" w:eastAsia="Arial" w:hAnsi="Arial"/>
                <w:sz w:val="13"/>
                <w:szCs w:val="13"/>
                <w:b w:val="1"/>
                <w:bCs w:val="1"/>
                <w:color w:val="auto"/>
                <w:w w:val="94"/>
              </w:rPr>
              <w:t>Net Income</w:t>
            </w:r>
          </w:p>
        </w:tc>
      </w:tr>
      <w:tr>
        <w:trPr>
          <w:trHeight w:val="174"/>
        </w:trPr>
        <w:tc>
          <w:tcPr>
            <w:tcW w:w="2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5"/>
              </w:rPr>
              <w:t>Customers</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3"/>
                <w:szCs w:val="13"/>
                <w:b w:val="1"/>
                <w:bCs w:val="1"/>
                <w:color w:val="auto"/>
                <w:w w:val="87"/>
              </w:rPr>
              <w:t>Affiliates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3"/>
                <w:szCs w:val="13"/>
                <w:b w:val="1"/>
                <w:bCs w:val="1"/>
                <w:color w:val="auto"/>
                <w:w w:val="93"/>
              </w:rPr>
              <w:t>Interest Income</w:t>
            </w:r>
          </w:p>
        </w:tc>
        <w:tc>
          <w:tcPr>
            <w:tcW w:w="12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3"/>
                <w:szCs w:val="13"/>
                <w:b w:val="1"/>
                <w:bCs w:val="1"/>
                <w:color w:val="auto"/>
                <w:w w:val="88"/>
              </w:rPr>
              <w:t>Interest Expense</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(Benefit)</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(Loss)</w:t>
            </w:r>
          </w:p>
        </w:tc>
      </w:tr>
      <w:tr>
        <w:trPr>
          <w:trHeight w:val="248"/>
        </w:trPr>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(in millions)</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8"/>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Houston Electric T&amp;D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1,454</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(3)</w:t>
            </w: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351</w:t>
            </w:r>
          </w:p>
        </w:tc>
        <w:tc>
          <w:tcPr>
            <w:tcW w:w="760" w:type="dxa"/>
            <w:vAlign w:val="bottom"/>
            <w:gridSpan w:val="2"/>
            <w:shd w:val="clear" w:color="auto" w:fill="CCEEFF"/>
          </w:tcPr>
          <w:p>
            <w:pPr>
              <w:jc w:val="right"/>
              <w:ind w:right="497"/>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 xml:space="preserve">10  </w:t>
            </w:r>
            <w:r>
              <w:rPr>
                <w:rFonts w:ascii="Arial" w:cs="Arial" w:eastAsia="Arial" w:hAnsi="Arial"/>
                <w:sz w:val="10"/>
                <w:szCs w:val="10"/>
                <w:color w:val="auto"/>
              </w:rPr>
              <w:t>(1)</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 xml:space="preserve">(82) </w:t>
            </w:r>
            <w:r>
              <w:rPr>
                <w:rFonts w:ascii="Arial" w:cs="Arial" w:eastAsia="Arial" w:hAnsi="Arial"/>
                <w:sz w:val="10"/>
                <w:szCs w:val="10"/>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130</w:t>
            </w: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color w:val="auto"/>
              </w:rPr>
              <w:t>Indiana Electric Integrated</w:t>
            </w:r>
          </w:p>
        </w:tc>
        <w:tc>
          <w:tcPr>
            <w:tcW w:w="14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223</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7</w:t>
            </w:r>
          </w:p>
        </w:tc>
      </w:tr>
      <w:tr>
        <w:trPr>
          <w:trHeight w:val="2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Distribution</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2,088</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143</w:t>
            </w: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color w:val="auto"/>
              </w:rPr>
              <w:t>Midstream Investments</w:t>
            </w:r>
          </w:p>
        </w:tc>
        <w:tc>
          <w:tcPr>
            <w:tcW w:w="14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136</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74</w:t>
            </w:r>
          </w:p>
        </w:tc>
      </w:tr>
      <w:tr>
        <w:trPr>
          <w:trHeight w:val="2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122</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64"/>
        </w:trPr>
        <w:tc>
          <w:tcPr>
            <w:tcW w:w="2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Eliminations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r>
      <w:tr>
        <w:trPr>
          <w:trHeight w:val="243"/>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3,887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136</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622</w:t>
            </w:r>
          </w:p>
        </w:tc>
        <w:tc>
          <w:tcPr>
            <w:tcW w:w="760" w:type="dxa"/>
            <w:vAlign w:val="bottom"/>
            <w:gridSpan w:val="2"/>
            <w:shd w:val="clear" w:color="auto" w:fill="CCEEFF"/>
          </w:tcPr>
          <w:p>
            <w:pPr>
              <w:jc w:val="right"/>
              <w:ind w:right="497"/>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294</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Discontinued Operations, net</w:t>
            </w:r>
          </w:p>
        </w:tc>
        <w:tc>
          <w:tcPr>
            <w:tcW w:w="1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70</w:t>
            </w:r>
          </w:p>
        </w:tc>
      </w:tr>
      <w:tr>
        <w:trPr>
          <w:trHeight w:val="243"/>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Consolidated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364</w:t>
            </w:r>
          </w:p>
        </w:tc>
      </w:tr>
      <w:tr>
        <w:trPr>
          <w:trHeight w:val="20"/>
        </w:trPr>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2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Excludes interest income from Securitization Bonds of $-0- and $1 million for the three and six months ended June 30, 2020, respectively, and $1 million and $3 million for the three and six months ended June 30, 2019, respectively.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Excludes interest expense on Securitization Bonds of $7 million and $15 million for the three and six months ended June 30, 2020, respectively, and $10 million and $22 million for the three and six months ended June 30, 2019,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CenterPoint Energy’s Houston Electric T&amp;D’s revenues from major external customers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5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7"/>
              </w:rPr>
              <w:t>Three Months Ended 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20" w:type="dxa"/>
            <w:vAlign w:val="bottom"/>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5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Affiliates of NRG</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316</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Affiliates of Vistra Energy Corp.</w:t>
            </w:r>
          </w:p>
        </w:tc>
        <w:tc>
          <w:tcPr>
            <w:tcW w:w="9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80" w:type="dxa"/>
            <w:vAlign w:val="bottom"/>
          </w:tcPr>
          <w:p>
            <w:pPr>
              <w:spacing w:after="0"/>
              <w:rPr>
                <w:sz w:val="21"/>
                <w:szCs w:val="21"/>
                <w:color w:val="auto"/>
              </w:rPr>
            </w:pP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173</w:t>
            </w:r>
          </w:p>
        </w:tc>
        <w:tc>
          <w:tcPr>
            <w:tcW w:w="4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113</w:t>
            </w:r>
          </w:p>
        </w:tc>
      </w:tr>
    </w:tbl>
    <w:p>
      <w:pPr>
        <w:spacing w:after="0" w:line="200" w:lineRule="exact"/>
        <w:rPr>
          <w:sz w:val="20"/>
          <w:szCs w:val="20"/>
          <w:color w:val="auto"/>
        </w:rPr>
      </w:pPr>
    </w:p>
    <w:p>
      <w:pPr>
        <w:spacing w:after="0" w:line="245" w:lineRule="exact"/>
        <w:rPr>
          <w:sz w:val="20"/>
          <w:szCs w:val="20"/>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the impairment of CenterPoint Energy’s equity method investment in Enable of $1,541 million recorded during the three months ended March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29" w:lineRule="exact"/>
        <w:rPr>
          <w:sz w:val="20"/>
          <w:szCs w:val="20"/>
          <w:color w:val="auto"/>
        </w:rPr>
      </w:pPr>
    </w:p>
    <w:p>
      <w:pPr>
        <w:ind w:right="2120" w:firstLine="324"/>
        <w:spacing w:after="0" w:line="277" w:lineRule="auto"/>
        <w:rPr>
          <w:sz w:val="20"/>
          <w:szCs w:val="20"/>
          <w:color w:val="auto"/>
        </w:rPr>
      </w:pPr>
      <w:r>
        <w:rPr>
          <w:rFonts w:ascii="Arial" w:cs="Arial" w:eastAsia="Arial" w:hAnsi="Arial"/>
          <w:sz w:val="18"/>
          <w:szCs w:val="18"/>
          <w:color w:val="auto"/>
        </w:rPr>
        <w:t>Houston Electric consists of a single reportable segment; therefore, a tabular reportable segment presentation has not been included.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Houston Electric’s T&amp;D revenues from major external customers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5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7"/>
              </w:rPr>
              <w:t>Three Months Ended 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20" w:type="dxa"/>
            <w:vAlign w:val="bottom"/>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50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Affiliates of NRG</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316</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Affiliates of Vistra Energy Corp.</w:t>
            </w:r>
          </w:p>
        </w:tc>
        <w:tc>
          <w:tcPr>
            <w:tcW w:w="9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80" w:type="dxa"/>
            <w:vAlign w:val="bottom"/>
          </w:tcPr>
          <w:p>
            <w:pPr>
              <w:spacing w:after="0"/>
              <w:rPr>
                <w:sz w:val="21"/>
                <w:szCs w:val="21"/>
                <w:color w:val="auto"/>
              </w:rPr>
            </w:pP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173</w:t>
            </w:r>
          </w:p>
        </w:tc>
        <w:tc>
          <w:tcPr>
            <w:tcW w:w="4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113</w:t>
            </w:r>
          </w:p>
        </w:tc>
      </w:tr>
      <w:tr>
        <w:trPr>
          <w:trHeight w:val="891"/>
        </w:trPr>
        <w:tc>
          <w:tcPr>
            <w:tcW w:w="5020" w:type="dxa"/>
            <w:vAlign w:val="bottom"/>
          </w:tcPr>
          <w:p>
            <w:pPr>
              <w:spacing w:after="0"/>
              <w:rPr>
                <w:sz w:val="24"/>
                <w:szCs w:val="24"/>
                <w:color w:val="auto"/>
              </w:rPr>
            </w:pPr>
          </w:p>
        </w:tc>
        <w:tc>
          <w:tcPr>
            <w:tcW w:w="980" w:type="dxa"/>
            <w:vAlign w:val="bottom"/>
          </w:tcPr>
          <w:p>
            <w:pPr>
              <w:jc w:val="right"/>
              <w:ind w:right="259"/>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center"/>
              <w:ind w:left="72"/>
              <w:spacing w:after="0"/>
              <w:rPr>
                <w:sz w:val="20"/>
                <w:szCs w:val="20"/>
                <w:color w:val="auto"/>
              </w:rPr>
            </w:pPr>
            <w:r>
              <w:rPr>
                <w:rFonts w:ascii="Arial" w:cs="Arial" w:eastAsia="Arial" w:hAnsi="Arial"/>
                <w:sz w:val="13"/>
                <w:szCs w:val="13"/>
                <w:b w:val="1"/>
                <w:bCs w:val="1"/>
                <w:color w:val="auto"/>
                <w:w w:val="87"/>
              </w:rPr>
              <w:t>Three Months Ended June 30,</w:t>
            </w: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5"/>
          </w:tcPr>
          <w:p>
            <w:pPr>
              <w:jc w:val="center"/>
              <w:ind w:left="72"/>
              <w:spacing w:after="0"/>
              <w:rPr>
                <w:sz w:val="20"/>
                <w:szCs w:val="20"/>
                <w:color w:val="auto"/>
              </w:rPr>
            </w:pPr>
            <w:r>
              <w:rPr>
                <w:rFonts w:ascii="Arial" w:cs="Arial" w:eastAsia="Arial" w:hAnsi="Arial"/>
                <w:sz w:val="13"/>
                <w:szCs w:val="13"/>
                <w:b w:val="1"/>
                <w:bCs w:val="1"/>
                <w:color w:val="auto"/>
                <w:w w:val="89"/>
              </w:rPr>
              <w:t>2020</w:t>
            </w:r>
          </w:p>
        </w:tc>
        <w:tc>
          <w:tcPr>
            <w:tcW w:w="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260"/>
              <w:spacing w:after="0" w:line="144" w:lineRule="exact"/>
              <w:rPr>
                <w:sz w:val="20"/>
                <w:szCs w:val="20"/>
                <w:color w:val="auto"/>
              </w:rPr>
            </w:pPr>
            <w:r>
              <w:rPr>
                <w:rFonts w:ascii="Arial" w:cs="Arial" w:eastAsia="Arial" w:hAnsi="Arial"/>
                <w:sz w:val="13"/>
                <w:szCs w:val="13"/>
                <w:b w:val="1"/>
                <w:bCs w:val="1"/>
                <w:color w:val="auto"/>
                <w:w w:val="87"/>
              </w:rPr>
              <w:t>Revenues from</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Depreciation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300"/>
              <w:spacing w:after="0" w:line="144" w:lineRule="exact"/>
              <w:rPr>
                <w:sz w:val="20"/>
                <w:szCs w:val="20"/>
                <w:color w:val="auto"/>
              </w:rPr>
            </w:pPr>
            <w:r>
              <w:rPr>
                <w:rFonts w:ascii="Arial" w:cs="Arial" w:eastAsia="Arial" w:hAnsi="Arial"/>
                <w:sz w:val="13"/>
                <w:szCs w:val="13"/>
                <w:b w:val="1"/>
                <w:bCs w:val="1"/>
                <w:color w:val="auto"/>
                <w:w w:val="89"/>
              </w:rPr>
              <w:t>Income Tax</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External</w:t>
            </w:r>
          </w:p>
        </w:tc>
        <w:tc>
          <w:tcPr>
            <w:tcW w:w="14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2"/>
              </w:rPr>
              <w:t>Expense</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85"/>
              </w:rPr>
              <w:t>Customers</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0"/>
              </w:rPr>
              <w:t>Amortization</w:t>
            </w: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Interest Income</w:t>
            </w: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Interest Expense</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3"/>
                <w:szCs w:val="13"/>
                <w:b w:val="1"/>
                <w:bCs w:val="1"/>
                <w:color w:val="auto"/>
                <w:w w:val="90"/>
              </w:rPr>
              <w:t>(Benefit)</w:t>
            </w: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2"/>
              </w:rPr>
              <w:t>Net Income (Loss)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5"/>
          </w:tcPr>
          <w:p>
            <w:pPr>
              <w:jc w:val="center"/>
              <w:ind w:left="92"/>
              <w:spacing w:after="0"/>
              <w:rPr>
                <w:sz w:val="20"/>
                <w:szCs w:val="20"/>
                <w:color w:val="auto"/>
              </w:rPr>
            </w:pPr>
            <w:r>
              <w:rPr>
                <w:rFonts w:ascii="Arial" w:cs="Arial" w:eastAsia="Arial" w:hAnsi="Arial"/>
                <w:sz w:val="13"/>
                <w:szCs w:val="13"/>
                <w:b w:val="1"/>
                <w:bCs w:val="1"/>
                <w:color w:val="auto"/>
                <w:w w:val="87"/>
              </w:rPr>
              <w:t>(in millions)</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 Distribution</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480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614"/>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ind w:left="551"/>
              <w:spacing w:after="0"/>
              <w:rPr>
                <w:sz w:val="20"/>
                <w:szCs w:val="20"/>
                <w:color w:val="auto"/>
              </w:rPr>
            </w:pPr>
            <w:r>
              <w:rPr>
                <w:rFonts w:ascii="Arial" w:cs="Arial" w:eastAsia="Arial" w:hAnsi="Arial"/>
                <w:sz w:val="14"/>
                <w:szCs w:val="14"/>
                <w:color w:val="auto"/>
                <w:w w:val="76"/>
              </w:rPr>
              <w:t>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317"/>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ind w:left="188"/>
              <w:spacing w:after="0"/>
              <w:rPr>
                <w:sz w:val="20"/>
                <w:szCs w:val="20"/>
                <w:color w:val="auto"/>
              </w:rPr>
            </w:pPr>
            <w:r>
              <w:rPr>
                <w:rFonts w:ascii="Arial" w:cs="Arial" w:eastAsia="Arial" w:hAnsi="Arial"/>
                <w:sz w:val="14"/>
                <w:szCs w:val="14"/>
                <w:color w:val="auto"/>
                <w:w w:val="89"/>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920" w:type="dxa"/>
            <w:vAlign w:val="bottom"/>
            <w:gridSpan w:val="2"/>
          </w:tcPr>
          <w:p>
            <w:pPr>
              <w:ind w:left="20"/>
              <w:spacing w:after="0"/>
              <w:rPr>
                <w:sz w:val="20"/>
                <w:szCs w:val="20"/>
                <w:color w:val="auto"/>
              </w:rPr>
            </w:pPr>
            <w:r>
              <w:rPr>
                <w:rFonts w:ascii="Arial" w:cs="Arial" w:eastAsia="Arial" w:hAnsi="Arial"/>
                <w:sz w:val="14"/>
                <w:szCs w:val="14"/>
                <w:color w:val="auto"/>
              </w:rPr>
              <w:t>Corporate and Other</w:t>
            </w:r>
          </w:p>
        </w:tc>
        <w:tc>
          <w:tcPr>
            <w:tcW w:w="12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center"/>
              <w:ind w:left="551"/>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jc w:val="center"/>
              <w:ind w:left="248"/>
              <w:spacing w:after="0"/>
              <w:rPr>
                <w:sz w:val="20"/>
                <w:szCs w:val="20"/>
                <w:color w:val="auto"/>
              </w:rPr>
            </w:pPr>
            <w:r>
              <w:rPr>
                <w:rFonts w:ascii="Arial" w:cs="Arial" w:eastAsia="Arial" w:hAnsi="Arial"/>
                <w:sz w:val="14"/>
                <w:szCs w:val="14"/>
                <w:color w:val="auto"/>
                <w:w w:val="93"/>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20" w:type="dxa"/>
            <w:vAlign w:val="bottom"/>
            <w:gridSpan w:val="2"/>
          </w:tcPr>
          <w:p>
            <w:pPr>
              <w:ind w:left="160"/>
              <w:spacing w:after="0"/>
              <w:rPr>
                <w:sz w:val="20"/>
                <w:szCs w:val="20"/>
                <w:color w:val="auto"/>
              </w:rPr>
            </w:pPr>
            <w:r>
              <w:rPr>
                <w:rFonts w:ascii="Arial" w:cs="Arial" w:eastAsia="Arial" w:hAnsi="Arial"/>
                <w:sz w:val="14"/>
                <w:szCs w:val="14"/>
                <w:color w:val="auto"/>
              </w:rPr>
              <w:t>Continuing Operations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483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14"/>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left="551"/>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jc w:val="center"/>
              <w:ind w:left="188"/>
              <w:spacing w:after="0"/>
              <w:rPr>
                <w:sz w:val="20"/>
                <w:szCs w:val="20"/>
                <w:color w:val="auto"/>
              </w:rPr>
            </w:pPr>
            <w:r>
              <w:rPr>
                <w:rFonts w:ascii="Arial" w:cs="Arial" w:eastAsia="Arial" w:hAnsi="Arial"/>
                <w:sz w:val="14"/>
                <w:szCs w:val="14"/>
                <w:color w:val="auto"/>
                <w:w w:val="89"/>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9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Discontinued Operations, net</w:t>
            </w:r>
          </w:p>
        </w:tc>
        <w:tc>
          <w:tcPr>
            <w:tcW w:w="1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center"/>
              <w:ind w:left="248"/>
              <w:spacing w:after="0"/>
              <w:rPr>
                <w:sz w:val="20"/>
                <w:szCs w:val="20"/>
                <w:color w:val="auto"/>
              </w:rPr>
            </w:pPr>
            <w:r>
              <w:rPr>
                <w:rFonts w:ascii="Arial" w:cs="Arial" w:eastAsia="Arial" w:hAnsi="Arial"/>
                <w:sz w:val="14"/>
                <w:szCs w:val="14"/>
                <w:color w:val="auto"/>
                <w:w w:val="93"/>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gridSpan w:val="2"/>
          </w:tcPr>
          <w:p>
            <w:pPr>
              <w:ind w:left="280"/>
              <w:spacing w:after="0"/>
              <w:rPr>
                <w:sz w:val="20"/>
                <w:szCs w:val="20"/>
                <w:color w:val="auto"/>
              </w:rPr>
            </w:pPr>
            <w:r>
              <w:rPr>
                <w:rFonts w:ascii="Arial" w:cs="Arial" w:eastAsia="Arial" w:hAnsi="Arial"/>
                <w:sz w:val="14"/>
                <w:szCs w:val="14"/>
                <w:color w:val="auto"/>
              </w:rPr>
              <w:t>Consolidated</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bottom w:val="single" w:sz="8" w:color="auto"/>
            </w:tcBorders>
            <w:gridSpan w:val="2"/>
          </w:tcPr>
          <w:p>
            <w:pPr>
              <w:jc w:val="right"/>
              <w:ind w:right="317"/>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w w:val="89"/>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5"/>
            <w:vMerge w:val="restart"/>
          </w:tcPr>
          <w:p>
            <w:pPr>
              <w:jc w:val="center"/>
              <w:ind w:left="72"/>
              <w:spacing w:after="0"/>
              <w:rPr>
                <w:sz w:val="20"/>
                <w:szCs w:val="20"/>
                <w:color w:val="auto"/>
              </w:rPr>
            </w:pPr>
            <w:r>
              <w:rPr>
                <w:rFonts w:ascii="Arial" w:cs="Arial" w:eastAsia="Arial" w:hAnsi="Arial"/>
                <w:sz w:val="13"/>
                <w:szCs w:val="13"/>
                <w:b w:val="1"/>
                <w:bCs w:val="1"/>
                <w:color w:val="auto"/>
                <w:w w:val="87"/>
              </w:rPr>
              <w:t>Three Months Ended June 30,</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5"/>
          </w:tcPr>
          <w:p>
            <w:pPr>
              <w:jc w:val="center"/>
              <w:ind w:left="72"/>
              <w:spacing w:after="0"/>
              <w:rPr>
                <w:sz w:val="20"/>
                <w:szCs w:val="20"/>
                <w:color w:val="auto"/>
              </w:rPr>
            </w:pPr>
            <w:r>
              <w:rPr>
                <w:rFonts w:ascii="Arial" w:cs="Arial" w:eastAsia="Arial" w:hAnsi="Arial"/>
                <w:sz w:val="13"/>
                <w:szCs w:val="13"/>
                <w:b w:val="1"/>
                <w:bCs w:val="1"/>
                <w:color w:val="auto"/>
                <w:w w:val="89"/>
              </w:rPr>
              <w:t>2019</w:t>
            </w:r>
          </w:p>
        </w:tc>
        <w:tc>
          <w:tcPr>
            <w:tcW w:w="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260"/>
              <w:spacing w:after="0" w:line="144" w:lineRule="exact"/>
              <w:rPr>
                <w:sz w:val="20"/>
                <w:szCs w:val="20"/>
                <w:color w:val="auto"/>
              </w:rPr>
            </w:pPr>
            <w:r>
              <w:rPr>
                <w:rFonts w:ascii="Arial" w:cs="Arial" w:eastAsia="Arial" w:hAnsi="Arial"/>
                <w:sz w:val="13"/>
                <w:szCs w:val="13"/>
                <w:b w:val="1"/>
                <w:bCs w:val="1"/>
                <w:color w:val="auto"/>
                <w:w w:val="87"/>
              </w:rPr>
              <w:t>Revenues from</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Depreciation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External</w:t>
            </w:r>
          </w:p>
        </w:tc>
        <w:tc>
          <w:tcPr>
            <w:tcW w:w="14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85"/>
              </w:rPr>
              <w:t>Customers</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0"/>
              </w:rPr>
              <w:t>Amortization</w:t>
            </w: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Interest Income</w:t>
            </w: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Interest Expense</w:t>
            </w:r>
          </w:p>
        </w:tc>
        <w:tc>
          <w:tcPr>
            <w:tcW w:w="120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7"/>
              </w:rPr>
              <w:t>Income Tax Benefit</w:t>
            </w: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2"/>
              </w:rPr>
              <w:t>Net Income (Loss)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5"/>
          </w:tcPr>
          <w:p>
            <w:pPr>
              <w:jc w:val="center"/>
              <w:ind w:left="92"/>
              <w:spacing w:after="0"/>
              <w:rPr>
                <w:sz w:val="20"/>
                <w:szCs w:val="20"/>
                <w:color w:val="auto"/>
              </w:rPr>
            </w:pPr>
            <w:r>
              <w:rPr>
                <w:rFonts w:ascii="Arial" w:cs="Arial" w:eastAsia="Arial" w:hAnsi="Arial"/>
                <w:sz w:val="13"/>
                <w:szCs w:val="13"/>
                <w:b w:val="1"/>
                <w:bCs w:val="1"/>
                <w:color w:val="auto"/>
                <w:w w:val="87"/>
              </w:rPr>
              <w:t>(in millions)</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Natural Gas Distribution</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526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614"/>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317"/>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ind w:left="188"/>
              <w:spacing w:after="0"/>
              <w:rPr>
                <w:sz w:val="20"/>
                <w:szCs w:val="20"/>
                <w:color w:val="auto"/>
              </w:rPr>
            </w:pPr>
            <w:r>
              <w:rPr>
                <w:rFonts w:ascii="Arial" w:cs="Arial" w:eastAsia="Arial" w:hAnsi="Arial"/>
                <w:sz w:val="14"/>
                <w:szCs w:val="14"/>
                <w:color w:val="auto"/>
                <w:w w:val="89"/>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920" w:type="dxa"/>
            <w:vAlign w:val="bottom"/>
            <w:gridSpan w:val="2"/>
          </w:tcPr>
          <w:p>
            <w:pPr>
              <w:ind w:left="20"/>
              <w:spacing w:after="0"/>
              <w:rPr>
                <w:sz w:val="20"/>
                <w:szCs w:val="20"/>
                <w:color w:val="auto"/>
              </w:rPr>
            </w:pPr>
            <w:r>
              <w:rPr>
                <w:rFonts w:ascii="Arial" w:cs="Arial" w:eastAsia="Arial" w:hAnsi="Arial"/>
                <w:sz w:val="14"/>
                <w:szCs w:val="14"/>
                <w:color w:val="auto"/>
              </w:rPr>
              <w:t>Corporate and Other</w:t>
            </w:r>
          </w:p>
        </w:tc>
        <w:tc>
          <w:tcPr>
            <w:tcW w:w="120" w:type="dxa"/>
            <w:vAlign w:val="bottom"/>
          </w:tcPr>
          <w:p>
            <w:pPr>
              <w:spacing w:after="0"/>
              <w:rPr>
                <w:sz w:val="22"/>
                <w:szCs w:val="22"/>
                <w:color w:val="auto"/>
              </w:rPr>
            </w:pPr>
          </w:p>
        </w:tc>
        <w:tc>
          <w:tcPr>
            <w:tcW w:w="116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center"/>
              <w:ind w:left="551"/>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jc w:val="center"/>
              <w:ind w:left="248"/>
              <w:spacing w:after="0"/>
              <w:rPr>
                <w:sz w:val="20"/>
                <w:szCs w:val="20"/>
                <w:color w:val="auto"/>
              </w:rPr>
            </w:pPr>
            <w:r>
              <w:rPr>
                <w:rFonts w:ascii="Arial" w:cs="Arial" w:eastAsia="Arial" w:hAnsi="Arial"/>
                <w:sz w:val="14"/>
                <w:szCs w:val="14"/>
                <w:color w:val="auto"/>
                <w:w w:val="93"/>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Eliminations</w:t>
            </w:r>
          </w:p>
        </w:tc>
        <w:tc>
          <w:tcPr>
            <w:tcW w:w="120" w:type="dxa"/>
            <w:vAlign w:val="bottom"/>
            <w:shd w:val="clear" w:color="auto" w:fill="CCEEFF"/>
          </w:tcPr>
          <w:p>
            <w:pPr>
              <w:spacing w:after="0"/>
              <w:rPr>
                <w:sz w:val="23"/>
                <w:szCs w:val="23"/>
                <w:color w:val="auto"/>
              </w:rPr>
            </w:pPr>
          </w:p>
        </w:tc>
        <w:tc>
          <w:tcPr>
            <w:tcW w:w="116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jc w:val="center"/>
              <w:ind w:left="18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92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Continuing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526</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gridSpan w:val="2"/>
          </w:tcPr>
          <w:p>
            <w:pPr>
              <w:jc w:val="right"/>
              <w:ind w:right="614"/>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center"/>
              <w:ind w:left="551"/>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center"/>
              <w:ind w:left="24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Discontinued Operations, net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89"/>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gridSpan w:val="2"/>
          </w:tcPr>
          <w:p>
            <w:pPr>
              <w:ind w:left="280"/>
              <w:spacing w:after="0"/>
              <w:rPr>
                <w:sz w:val="20"/>
                <w:szCs w:val="20"/>
                <w:color w:val="auto"/>
              </w:rPr>
            </w:pPr>
            <w:r>
              <w:rPr>
                <w:rFonts w:ascii="Arial" w:cs="Arial" w:eastAsia="Arial" w:hAnsi="Arial"/>
                <w:sz w:val="14"/>
                <w:szCs w:val="14"/>
                <w:color w:val="auto"/>
              </w:rPr>
              <w:t>Consolidated</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bottom w:val="single" w:sz="8" w:color="auto"/>
            </w:tcBorders>
            <w:gridSpan w:val="2"/>
          </w:tcPr>
          <w:p>
            <w:pPr>
              <w:jc w:val="right"/>
              <w:ind w:right="317"/>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w w:val="89"/>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5"/>
            <w:vMerge w:val="restart"/>
          </w:tcPr>
          <w:p>
            <w:pPr>
              <w:jc w:val="center"/>
              <w:ind w:left="112"/>
              <w:spacing w:after="0"/>
              <w:rPr>
                <w:sz w:val="20"/>
                <w:szCs w:val="20"/>
                <w:color w:val="auto"/>
              </w:rPr>
            </w:pPr>
            <w:r>
              <w:rPr>
                <w:rFonts w:ascii="Arial" w:cs="Arial" w:eastAsia="Arial" w:hAnsi="Arial"/>
                <w:sz w:val="13"/>
                <w:szCs w:val="13"/>
                <w:b w:val="1"/>
                <w:bCs w:val="1"/>
                <w:color w:val="auto"/>
                <w:w w:val="86"/>
              </w:rPr>
              <w:t>Six Months Ended June 30,</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5"/>
          </w:tcPr>
          <w:p>
            <w:pPr>
              <w:jc w:val="center"/>
              <w:ind w:left="112"/>
              <w:spacing w:after="0"/>
              <w:rPr>
                <w:sz w:val="20"/>
                <w:szCs w:val="20"/>
                <w:color w:val="auto"/>
              </w:rPr>
            </w:pPr>
            <w:r>
              <w:rPr>
                <w:rFonts w:ascii="Arial" w:cs="Arial" w:eastAsia="Arial" w:hAnsi="Arial"/>
                <w:sz w:val="13"/>
                <w:szCs w:val="13"/>
                <w:b w:val="1"/>
                <w:bCs w:val="1"/>
                <w:color w:val="auto"/>
                <w:w w:val="89"/>
              </w:rPr>
              <w:t>2020</w:t>
            </w:r>
          </w:p>
        </w:tc>
        <w:tc>
          <w:tcPr>
            <w:tcW w:w="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Revenues from</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Depreciation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Income Tax</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center"/>
              <w:ind w:right="280"/>
              <w:spacing w:after="0" w:line="135" w:lineRule="exact"/>
              <w:rPr>
                <w:sz w:val="20"/>
                <w:szCs w:val="20"/>
                <w:color w:val="auto"/>
              </w:rPr>
            </w:pPr>
            <w:r>
              <w:rPr>
                <w:rFonts w:ascii="Arial" w:cs="Arial" w:eastAsia="Arial" w:hAnsi="Arial"/>
                <w:sz w:val="13"/>
                <w:szCs w:val="13"/>
                <w:b w:val="1"/>
                <w:bCs w:val="1"/>
                <w:color w:val="auto"/>
                <w:w w:val="93"/>
              </w:rPr>
              <w:t>External</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Expense</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85"/>
              </w:rPr>
              <w:t>Customers</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0"/>
              </w:rPr>
              <w:t>Amortization</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Interest Income</w:t>
            </w: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Interest Expense</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w w:val="87"/>
              </w:rPr>
              <w:t>(Benefit)</w:t>
            </w: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Net Income (Loss)</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5"/>
          </w:tcPr>
          <w:p>
            <w:pPr>
              <w:jc w:val="center"/>
              <w:ind w:left="112"/>
              <w:spacing w:after="0"/>
              <w:rPr>
                <w:sz w:val="20"/>
                <w:szCs w:val="20"/>
                <w:color w:val="auto"/>
              </w:rPr>
            </w:pPr>
            <w:r>
              <w:rPr>
                <w:rFonts w:ascii="Arial" w:cs="Arial" w:eastAsia="Arial" w:hAnsi="Arial"/>
                <w:sz w:val="13"/>
                <w:szCs w:val="13"/>
                <w:b w:val="1"/>
                <w:bCs w:val="1"/>
                <w:color w:val="auto"/>
                <w:w w:val="90"/>
              </w:rPr>
              <w:t>(in millions)</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Natural Gas Distribution</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1,488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574"/>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ind w:left="551"/>
              <w:spacing w:after="0"/>
              <w:rPr>
                <w:sz w:val="20"/>
                <w:szCs w:val="20"/>
                <w:color w:val="auto"/>
              </w:rPr>
            </w:pPr>
            <w:r>
              <w:rPr>
                <w:rFonts w:ascii="Arial" w:cs="Arial" w:eastAsia="Arial" w:hAnsi="Arial"/>
                <w:sz w:val="14"/>
                <w:szCs w:val="14"/>
                <w:color w:val="auto"/>
                <w:w w:val="89"/>
              </w:rPr>
              <w:t>45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ind w:left="188"/>
              <w:spacing w:after="0"/>
              <w:rPr>
                <w:sz w:val="20"/>
                <w:szCs w:val="20"/>
                <w:color w:val="auto"/>
              </w:rPr>
            </w:pPr>
            <w:r>
              <w:rPr>
                <w:rFonts w:ascii="Arial" w:cs="Arial" w:eastAsia="Arial" w:hAnsi="Arial"/>
                <w:sz w:val="14"/>
                <w:szCs w:val="14"/>
                <w:color w:val="auto"/>
                <w:w w:val="94"/>
              </w:rPr>
              <w:t>154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60" w:type="dxa"/>
            <w:vAlign w:val="bottom"/>
            <w:gridSpan w:val="3"/>
          </w:tcPr>
          <w:p>
            <w:pPr>
              <w:ind w:left="40"/>
              <w:spacing w:after="0"/>
              <w:rPr>
                <w:sz w:val="20"/>
                <w:szCs w:val="20"/>
                <w:color w:val="auto"/>
              </w:rPr>
            </w:pPr>
            <w:r>
              <w:rPr>
                <w:rFonts w:ascii="Arial" w:cs="Arial" w:eastAsia="Arial" w:hAnsi="Arial"/>
                <w:sz w:val="14"/>
                <w:szCs w:val="14"/>
                <w:color w:val="auto"/>
              </w:rPr>
              <w:t>Corporate and Other</w:t>
            </w:r>
          </w:p>
        </w:tc>
        <w:tc>
          <w:tcPr>
            <w:tcW w:w="12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46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center"/>
              <w:ind w:left="531"/>
              <w:spacing w:after="0"/>
              <w:rPr>
                <w:sz w:val="20"/>
                <w:szCs w:val="20"/>
                <w:color w:val="auto"/>
              </w:rPr>
            </w:pPr>
            <w:r>
              <w:rPr>
                <w:rFonts w:ascii="Arial" w:cs="Arial" w:eastAsia="Arial" w:hAnsi="Arial"/>
                <w:sz w:val="14"/>
                <w:szCs w:val="14"/>
                <w:color w:val="auto"/>
                <w:w w:val="96"/>
              </w:rPr>
              <w:t>(14)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Eliminations</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2"/>
            <w:shd w:val="clear" w:color="auto" w:fill="CCEEFF"/>
          </w:tcPr>
          <w:p>
            <w:pPr>
              <w:jc w:val="center"/>
              <w:ind w:left="531"/>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center"/>
              <w:ind w:left="24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Continuing Operations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1,494</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center"/>
              <w:ind w:left="551"/>
              <w:spacing w:after="0"/>
              <w:rPr>
                <w:sz w:val="20"/>
                <w:szCs w:val="20"/>
                <w:color w:val="auto"/>
              </w:rPr>
            </w:pPr>
            <w:r>
              <w:rPr>
                <w:rFonts w:ascii="Arial" w:cs="Arial" w:eastAsia="Arial" w:hAnsi="Arial"/>
                <w:sz w:val="14"/>
                <w:szCs w:val="14"/>
                <w:color w:val="auto"/>
                <w:w w:val="89"/>
              </w:rPr>
              <w:t>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w w:val="94"/>
              </w:rPr>
              <w:t>148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 w:type="dxa"/>
            <w:vAlign w:val="bottom"/>
            <w:shd w:val="clear" w:color="auto" w:fill="CCEEFF"/>
          </w:tcPr>
          <w:p>
            <w:pPr>
              <w:spacing w:after="0"/>
              <w:rPr>
                <w:sz w:val="21"/>
                <w:szCs w:val="21"/>
                <w:color w:val="auto"/>
              </w:rPr>
            </w:pPr>
          </w:p>
        </w:tc>
        <w:tc>
          <w:tcPr>
            <w:tcW w:w="3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Discontinued Operations, net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center"/>
              <w:ind w:left="248"/>
              <w:spacing w:after="0"/>
              <w:rPr>
                <w:sz w:val="20"/>
                <w:szCs w:val="20"/>
                <w:color w:val="auto"/>
              </w:rPr>
            </w:pPr>
            <w:r>
              <w:rPr>
                <w:rFonts w:ascii="Arial" w:cs="Arial" w:eastAsia="Arial" w:hAnsi="Arial"/>
                <w:sz w:val="14"/>
                <w:szCs w:val="14"/>
                <w:color w:val="auto"/>
                <w:w w:val="96"/>
              </w:rPr>
              <w:t>(68)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gridSpan w:val="2"/>
          </w:tcPr>
          <w:p>
            <w:pPr>
              <w:ind w:left="240"/>
              <w:spacing w:after="0"/>
              <w:rPr>
                <w:sz w:val="20"/>
                <w:szCs w:val="20"/>
                <w:color w:val="auto"/>
              </w:rPr>
            </w:pPr>
            <w:r>
              <w:rPr>
                <w:rFonts w:ascii="Arial" w:cs="Arial" w:eastAsia="Arial" w:hAnsi="Arial"/>
                <w:sz w:val="14"/>
                <w:szCs w:val="14"/>
                <w:color w:val="auto"/>
              </w:rPr>
              <w:t>Consolidated</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248"/>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5"/>
            <w:vMerge w:val="restart"/>
          </w:tcPr>
          <w:p>
            <w:pPr>
              <w:jc w:val="center"/>
              <w:ind w:left="112"/>
              <w:spacing w:after="0"/>
              <w:rPr>
                <w:sz w:val="20"/>
                <w:szCs w:val="20"/>
                <w:color w:val="auto"/>
              </w:rPr>
            </w:pPr>
            <w:r>
              <w:rPr>
                <w:rFonts w:ascii="Arial" w:cs="Arial" w:eastAsia="Arial" w:hAnsi="Arial"/>
                <w:sz w:val="13"/>
                <w:szCs w:val="13"/>
                <w:b w:val="1"/>
                <w:bCs w:val="1"/>
                <w:color w:val="auto"/>
                <w:w w:val="86"/>
              </w:rPr>
              <w:t>Six Months Ended June 30,</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5"/>
          </w:tcPr>
          <w:p>
            <w:pPr>
              <w:jc w:val="center"/>
              <w:ind w:left="112"/>
              <w:spacing w:after="0"/>
              <w:rPr>
                <w:sz w:val="20"/>
                <w:szCs w:val="20"/>
                <w:color w:val="auto"/>
              </w:rPr>
            </w:pPr>
            <w:r>
              <w:rPr>
                <w:rFonts w:ascii="Arial" w:cs="Arial" w:eastAsia="Arial" w:hAnsi="Arial"/>
                <w:sz w:val="13"/>
                <w:szCs w:val="13"/>
                <w:b w:val="1"/>
                <w:bCs w:val="1"/>
                <w:color w:val="auto"/>
                <w:w w:val="89"/>
              </w:rPr>
              <w:t>2019</w:t>
            </w:r>
          </w:p>
        </w:tc>
        <w:tc>
          <w:tcPr>
            <w:tcW w:w="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Revenues from</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Depreciation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Income Tax</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jc w:val="center"/>
              <w:ind w:right="280"/>
              <w:spacing w:after="0" w:line="135" w:lineRule="exact"/>
              <w:rPr>
                <w:sz w:val="20"/>
                <w:szCs w:val="20"/>
                <w:color w:val="auto"/>
              </w:rPr>
            </w:pPr>
            <w:r>
              <w:rPr>
                <w:rFonts w:ascii="Arial" w:cs="Arial" w:eastAsia="Arial" w:hAnsi="Arial"/>
                <w:sz w:val="13"/>
                <w:szCs w:val="13"/>
                <w:b w:val="1"/>
                <w:bCs w:val="1"/>
                <w:color w:val="auto"/>
                <w:w w:val="93"/>
              </w:rPr>
              <w:t>External</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and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Expense</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85"/>
              </w:rPr>
              <w:t>Customers</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0"/>
              </w:rPr>
              <w:t>Amortization</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Interest Income</w:t>
            </w: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Interest Expense</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w w:val="87"/>
              </w:rPr>
              <w:t>(Benefit)</w:t>
            </w: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Net Income (Loss)</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5"/>
          </w:tcPr>
          <w:p>
            <w:pPr>
              <w:jc w:val="center"/>
              <w:ind w:left="112"/>
              <w:spacing w:after="0"/>
              <w:rPr>
                <w:sz w:val="20"/>
                <w:szCs w:val="20"/>
                <w:color w:val="auto"/>
              </w:rPr>
            </w:pPr>
            <w:r>
              <w:rPr>
                <w:rFonts w:ascii="Arial" w:cs="Arial" w:eastAsia="Arial" w:hAnsi="Arial"/>
                <w:sz w:val="13"/>
                <w:szCs w:val="13"/>
                <w:b w:val="1"/>
                <w:bCs w:val="1"/>
                <w:color w:val="auto"/>
                <w:w w:val="90"/>
              </w:rPr>
              <w:t>(in millions)</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9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Natural Gas Distribution</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1,737</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574"/>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ind w:left="551"/>
              <w:spacing w:after="0"/>
              <w:rPr>
                <w:sz w:val="20"/>
                <w:szCs w:val="20"/>
                <w:color w:val="auto"/>
              </w:rPr>
            </w:pPr>
            <w:r>
              <w:rPr>
                <w:rFonts w:ascii="Arial" w:cs="Arial" w:eastAsia="Arial" w:hAnsi="Arial"/>
                <w:sz w:val="14"/>
                <w:szCs w:val="14"/>
                <w:color w:val="auto"/>
                <w:w w:val="89"/>
              </w:rPr>
              <w:t>26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ind w:left="188"/>
              <w:spacing w:after="0"/>
              <w:rPr>
                <w:sz w:val="20"/>
                <w:szCs w:val="20"/>
                <w:color w:val="auto"/>
              </w:rPr>
            </w:pPr>
            <w:r>
              <w:rPr>
                <w:rFonts w:ascii="Arial" w:cs="Arial" w:eastAsia="Arial" w:hAnsi="Arial"/>
                <w:sz w:val="14"/>
                <w:szCs w:val="14"/>
                <w:color w:val="auto"/>
                <w:w w:val="94"/>
              </w:rPr>
              <w:t>129</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60" w:type="dxa"/>
            <w:vAlign w:val="bottom"/>
            <w:gridSpan w:val="3"/>
          </w:tcPr>
          <w:p>
            <w:pPr>
              <w:ind w:left="40"/>
              <w:spacing w:after="0"/>
              <w:rPr>
                <w:sz w:val="20"/>
                <w:szCs w:val="20"/>
                <w:color w:val="auto"/>
              </w:rPr>
            </w:pPr>
            <w:r>
              <w:rPr>
                <w:rFonts w:ascii="Arial" w:cs="Arial" w:eastAsia="Arial" w:hAnsi="Arial"/>
                <w:sz w:val="14"/>
                <w:szCs w:val="14"/>
                <w:color w:val="auto"/>
              </w:rPr>
              <w:t>Corporate and Other</w:t>
            </w:r>
          </w:p>
        </w:tc>
        <w:tc>
          <w:tcPr>
            <w:tcW w:w="12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49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center"/>
              <w:ind w:left="531"/>
              <w:spacing w:after="0"/>
              <w:rPr>
                <w:sz w:val="20"/>
                <w:szCs w:val="20"/>
                <w:color w:val="auto"/>
              </w:rPr>
            </w:pPr>
            <w:r>
              <w:rPr>
                <w:rFonts w:ascii="Arial" w:cs="Arial" w:eastAsia="Arial" w:hAnsi="Arial"/>
                <w:sz w:val="14"/>
                <w:szCs w:val="14"/>
                <w:color w:val="auto"/>
                <w:w w:val="96"/>
              </w:rPr>
              <w:t>(13)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jc w:val="center"/>
              <w:ind w:left="248"/>
              <w:spacing w:after="0"/>
              <w:rPr>
                <w:sz w:val="20"/>
                <w:szCs w:val="20"/>
                <w:color w:val="auto"/>
              </w:rPr>
            </w:pPr>
            <w:r>
              <w:rPr>
                <w:rFonts w:ascii="Arial" w:cs="Arial" w:eastAsia="Arial" w:hAnsi="Arial"/>
                <w:sz w:val="14"/>
                <w:szCs w:val="14"/>
                <w:color w:val="auto"/>
                <w:w w:val="96"/>
              </w:rPr>
              <w:t>(17)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Eliminations</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gridSpan w:val="2"/>
            <w:shd w:val="clear" w:color="auto" w:fill="CCEEFF"/>
          </w:tcPr>
          <w:p>
            <w:pPr>
              <w:jc w:val="center"/>
              <w:ind w:left="531"/>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center"/>
              <w:ind w:left="24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Continuing Operations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1,738</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center"/>
              <w:ind w:left="551"/>
              <w:spacing w:after="0"/>
              <w:rPr>
                <w:sz w:val="20"/>
                <w:szCs w:val="20"/>
                <w:color w:val="auto"/>
              </w:rPr>
            </w:pPr>
            <w:r>
              <w:rPr>
                <w:rFonts w:ascii="Arial" w:cs="Arial" w:eastAsia="Arial" w:hAnsi="Arial"/>
                <w:sz w:val="14"/>
                <w:szCs w:val="14"/>
                <w:color w:val="auto"/>
                <w:w w:val="89"/>
              </w:rPr>
              <w:t>13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color w:val="auto"/>
                <w:w w:val="94"/>
              </w:rPr>
              <w:t>112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 w:type="dxa"/>
            <w:vAlign w:val="bottom"/>
            <w:shd w:val="clear" w:color="auto" w:fill="CCEEFF"/>
          </w:tcPr>
          <w:p>
            <w:pPr>
              <w:spacing w:after="0"/>
              <w:rPr>
                <w:sz w:val="21"/>
                <w:szCs w:val="21"/>
                <w:color w:val="auto"/>
              </w:rPr>
            </w:pPr>
          </w:p>
        </w:tc>
        <w:tc>
          <w:tcPr>
            <w:tcW w:w="3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Discontinued Operations, net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center"/>
              <w:ind w:left="248"/>
              <w:spacing w:after="0"/>
              <w:rPr>
                <w:sz w:val="20"/>
                <w:szCs w:val="20"/>
                <w:color w:val="auto"/>
              </w:rPr>
            </w:pPr>
            <w:r>
              <w:rPr>
                <w:rFonts w:ascii="Arial" w:cs="Arial" w:eastAsia="Arial" w:hAnsi="Arial"/>
                <w:sz w:val="14"/>
                <w:szCs w:val="14"/>
                <w:color w:val="auto"/>
              </w:rPr>
              <w:t>54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3920" w:type="dxa"/>
            <w:vAlign w:val="bottom"/>
            <w:gridSpan w:val="2"/>
          </w:tcPr>
          <w:p>
            <w:pPr>
              <w:ind w:left="240"/>
              <w:spacing w:after="0"/>
              <w:rPr>
                <w:sz w:val="20"/>
                <w:szCs w:val="20"/>
                <w:color w:val="auto"/>
              </w:rPr>
            </w:pPr>
            <w:r>
              <w:rPr>
                <w:rFonts w:ascii="Arial" w:cs="Arial" w:eastAsia="Arial" w:hAnsi="Arial"/>
                <w:sz w:val="14"/>
                <w:szCs w:val="14"/>
                <w:color w:val="auto"/>
              </w:rPr>
              <w:t>Consolidated</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188"/>
              <w:spacing w:after="0"/>
              <w:rPr>
                <w:sz w:val="20"/>
                <w:szCs w:val="20"/>
                <w:color w:val="auto"/>
              </w:rPr>
            </w:pPr>
            <w:r>
              <w:rPr>
                <w:rFonts w:ascii="Arial" w:cs="Arial" w:eastAsia="Arial" w:hAnsi="Arial"/>
                <w:sz w:val="14"/>
                <w:szCs w:val="14"/>
                <w:color w:val="auto"/>
                <w:w w:val="94"/>
              </w:rPr>
              <w:t>166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125" w:right="339" w:bottom="1440" w:gutter="0" w:footer="0" w:header="0"/>
          <w:type w:val="continuous"/>
        </w:sectPr>
      </w:pPr>
    </w:p>
    <w:bookmarkStart w:id="67" w:name="page68"/>
    <w:bookmarkEnd w:id="6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 and CERC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3"/>
                <w:szCs w:val="13"/>
                <w:b w:val="1"/>
                <w:bCs w:val="1"/>
                <w:color w:val="auto"/>
              </w:rPr>
              <w:t>Total Assets</w:t>
            </w:r>
          </w:p>
        </w:tc>
        <w:tc>
          <w:tcPr>
            <w:tcW w:w="10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263"/>
        </w:trPr>
        <w:tc>
          <w:tcPr>
            <w:tcW w:w="49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3"/>
                <w:szCs w:val="13"/>
                <w:b w:val="1"/>
                <w:bCs w:val="1"/>
                <w:color w:val="auto"/>
              </w:rPr>
              <w:t>June 30, 2020</w:t>
            </w:r>
          </w:p>
        </w:tc>
        <w:tc>
          <w:tcPr>
            <w:tcW w:w="96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2019</w:t>
            </w:r>
          </w:p>
        </w:tc>
        <w:tc>
          <w:tcPr>
            <w:tcW w:w="920" w:type="dxa"/>
            <w:vAlign w:val="bottom"/>
            <w:tcBorders>
              <w:bottom w:val="single" w:sz="8" w:color="auto"/>
            </w:tcBorders>
          </w:tcPr>
          <w:p>
            <w:pPr>
              <w:spacing w:after="0"/>
              <w:rPr>
                <w:sz w:val="22"/>
                <w:szCs w:val="22"/>
                <w:color w:val="auto"/>
              </w:rPr>
            </w:pPr>
          </w:p>
        </w:tc>
      </w:tr>
      <w:tr>
        <w:trPr>
          <w:trHeight w:val="144"/>
        </w:trPr>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580"/>
              <w:spacing w:after="0" w:line="144" w:lineRule="exact"/>
              <w:rPr>
                <w:sz w:val="20"/>
                <w:szCs w:val="20"/>
                <w:color w:val="auto"/>
              </w:rPr>
            </w:pPr>
            <w:r>
              <w:rPr>
                <w:rFonts w:ascii="Arial" w:cs="Arial" w:eastAsia="Arial" w:hAnsi="Arial"/>
                <w:sz w:val="13"/>
                <w:szCs w:val="13"/>
                <w:b w:val="1"/>
                <w:bCs w:val="1"/>
                <w:color w:val="auto"/>
                <w:w w:val="89"/>
              </w:rPr>
              <w:t>CenterPoint</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620"/>
              <w:spacing w:after="0" w:line="144" w:lineRule="exact"/>
              <w:rPr>
                <w:sz w:val="20"/>
                <w:szCs w:val="20"/>
                <w:color w:val="auto"/>
              </w:rPr>
            </w:pPr>
            <w:r>
              <w:rPr>
                <w:rFonts w:ascii="Arial" w:cs="Arial" w:eastAsia="Arial" w:hAnsi="Arial"/>
                <w:sz w:val="13"/>
                <w:szCs w:val="13"/>
                <w:b w:val="1"/>
                <w:bCs w:val="1"/>
                <w:color w:val="auto"/>
                <w:w w:val="89"/>
              </w:rPr>
              <w:t>CenterPoint</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4"/>
        </w:trPr>
        <w:tc>
          <w:tcPr>
            <w:tcW w:w="4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3"/>
                <w:szCs w:val="13"/>
                <w:b w:val="1"/>
                <w:bCs w:val="1"/>
                <w:color w:val="auto"/>
                <w:w w:val="86"/>
              </w:rPr>
              <w:t>Energy</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CERC</w:t>
            </w: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3"/>
                <w:szCs w:val="13"/>
                <w:b w:val="1"/>
                <w:bCs w:val="1"/>
                <w:color w:val="auto"/>
                <w:w w:val="86"/>
              </w:rPr>
              <w:t>Energy</w:t>
            </w: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CERC</w:t>
            </w:r>
          </w:p>
        </w:tc>
      </w:tr>
      <w:tr>
        <w:trPr>
          <w:trHeight w:val="251"/>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Houston Electric T&amp;D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11,097</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11,264</w:t>
            </w:r>
          </w:p>
        </w:tc>
        <w:tc>
          <w:tcPr>
            <w:tcW w:w="3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4960" w:type="dxa"/>
            <w:vAlign w:val="bottom"/>
          </w:tcPr>
          <w:p>
            <w:pPr>
              <w:ind w:left="40"/>
              <w:spacing w:after="0"/>
              <w:rPr>
                <w:sz w:val="20"/>
                <w:szCs w:val="20"/>
                <w:color w:val="auto"/>
              </w:rPr>
            </w:pPr>
            <w:r>
              <w:rPr>
                <w:rFonts w:ascii="Arial" w:cs="Arial" w:eastAsia="Arial" w:hAnsi="Arial"/>
                <w:sz w:val="14"/>
                <w:szCs w:val="14"/>
                <w:color w:val="auto"/>
              </w:rPr>
              <w:t>Indiana Electric Integrated</w:t>
            </w:r>
          </w:p>
        </w:tc>
        <w:tc>
          <w:tcPr>
            <w:tcW w:w="24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3,083</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3,168</w:t>
            </w: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Distribution</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14,055</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7,609</w:t>
            </w:r>
          </w:p>
        </w:tc>
        <w:tc>
          <w:tcPr>
            <w:tcW w:w="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14,105</w:t>
            </w:r>
          </w:p>
        </w:tc>
        <w:tc>
          <w:tcPr>
            <w:tcW w:w="3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7,698</w:t>
            </w:r>
          </w:p>
        </w:tc>
      </w:tr>
      <w:tr>
        <w:trPr>
          <w:trHeight w:val="264"/>
        </w:trPr>
        <w:tc>
          <w:tcPr>
            <w:tcW w:w="4960" w:type="dxa"/>
            <w:vAlign w:val="bottom"/>
          </w:tcPr>
          <w:p>
            <w:pPr>
              <w:ind w:left="40"/>
              <w:spacing w:after="0"/>
              <w:rPr>
                <w:sz w:val="20"/>
                <w:szCs w:val="20"/>
                <w:color w:val="auto"/>
              </w:rPr>
            </w:pPr>
            <w:r>
              <w:rPr>
                <w:rFonts w:ascii="Arial" w:cs="Arial" w:eastAsia="Arial" w:hAnsi="Arial"/>
                <w:sz w:val="14"/>
                <w:szCs w:val="14"/>
                <w:color w:val="auto"/>
              </w:rPr>
              <w:t>Midstream Investments</w:t>
            </w:r>
          </w:p>
        </w:tc>
        <w:tc>
          <w:tcPr>
            <w:tcW w:w="24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917</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2,473</w:t>
            </w: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 net of eliminations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2,996</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3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2,555</w:t>
            </w:r>
          </w:p>
        </w:tc>
        <w:tc>
          <w:tcPr>
            <w:tcW w:w="3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250"/>
        </w:trPr>
        <w:tc>
          <w:tcPr>
            <w:tcW w:w="4960" w:type="dxa"/>
            <w:vAlign w:val="bottom"/>
          </w:tcPr>
          <w:p>
            <w:pPr>
              <w:ind w:left="180"/>
              <w:spacing w:after="0"/>
              <w:rPr>
                <w:sz w:val="20"/>
                <w:szCs w:val="20"/>
                <w:color w:val="auto"/>
              </w:rPr>
            </w:pPr>
            <w:r>
              <w:rPr>
                <w:rFonts w:ascii="Arial" w:cs="Arial" w:eastAsia="Arial" w:hAnsi="Arial"/>
                <w:sz w:val="14"/>
                <w:szCs w:val="14"/>
                <w:color w:val="auto"/>
              </w:rPr>
              <w:t>Continuing Operations</w:t>
            </w:r>
          </w:p>
        </w:tc>
        <w:tc>
          <w:tcPr>
            <w:tcW w:w="2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32,148</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7,595</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33,565</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7,608</w:t>
            </w:r>
          </w:p>
        </w:tc>
      </w:tr>
      <w:tr>
        <w:trPr>
          <w:trHeight w:val="270"/>
        </w:trPr>
        <w:tc>
          <w:tcPr>
            <w:tcW w:w="4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Assets Held for Sale</w:t>
            </w:r>
          </w:p>
        </w:tc>
        <w:tc>
          <w:tcPr>
            <w:tcW w:w="2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1,964</w:t>
            </w: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904</w:t>
            </w:r>
          </w:p>
        </w:tc>
      </w:tr>
      <w:tr>
        <w:trPr>
          <w:trHeight w:val="242"/>
        </w:trPr>
        <w:tc>
          <w:tcPr>
            <w:tcW w:w="4960" w:type="dxa"/>
            <w:vAlign w:val="bottom"/>
          </w:tcPr>
          <w:p>
            <w:pPr>
              <w:ind w:left="280"/>
              <w:spacing w:after="0"/>
              <w:rPr>
                <w:sz w:val="20"/>
                <w:szCs w:val="20"/>
                <w:color w:val="auto"/>
              </w:rPr>
            </w:pPr>
            <w:r>
              <w:rPr>
                <w:rFonts w:ascii="Arial" w:cs="Arial" w:eastAsia="Arial" w:hAnsi="Arial"/>
                <w:sz w:val="14"/>
                <w:szCs w:val="14"/>
                <w:color w:val="auto"/>
              </w:rPr>
              <w:t>Consolidated</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32,148</w:t>
            </w:r>
          </w:p>
        </w:tc>
        <w:tc>
          <w:tcPr>
            <w:tcW w:w="34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7,595</w:t>
            </w:r>
          </w:p>
        </w:tc>
        <w:tc>
          <w:tcPr>
            <w:tcW w:w="3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35,529</w:t>
            </w:r>
          </w:p>
        </w:tc>
        <w:tc>
          <w:tcPr>
            <w:tcW w:w="3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8,512</w:t>
            </w: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Disclosure of Cash Flow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CenterPoint Energy and CERC elected not to separately disclose discontinued operations on their respective Condensed Statements of Consolidated Cash Flows. See Note 3 for certain supplemental cash flow disclosures related to the Infrastructure Services and Energy Services Disposal Groups. The table below provides supplemental disclosure of cash flow information and has not been recast to exclude the Infrastructure Services and Energy Services Disposal Groups prior to the closing of the respective transactions.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w w:val="93"/>
              </w:rPr>
              <w:t>Six Months Ended June 30,</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8"/>
              </w:rPr>
              <w:t>CenterPoint</w:t>
            </w:r>
          </w:p>
        </w:tc>
        <w:tc>
          <w:tcPr>
            <w:tcW w:w="260" w:type="dxa"/>
            <w:vAlign w:val="bottom"/>
          </w:tcPr>
          <w:p>
            <w:pPr>
              <w:spacing w:after="0"/>
              <w:rPr>
                <w:sz w:val="13"/>
                <w:szCs w:val="13"/>
                <w:color w:val="auto"/>
              </w:rPr>
            </w:pPr>
          </w:p>
        </w:tc>
        <w:tc>
          <w:tcPr>
            <w:tcW w:w="88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Houston</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3"/>
                <w:szCs w:val="13"/>
                <w:color w:val="auto"/>
              </w:rPr>
            </w:pPr>
          </w:p>
        </w:tc>
        <w:tc>
          <w:tcPr>
            <w:tcW w:w="9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5"/>
              </w:rPr>
              <w:t>CenterPoint</w:t>
            </w:r>
          </w:p>
        </w:tc>
        <w:tc>
          <w:tcPr>
            <w:tcW w:w="260" w:type="dxa"/>
            <w:vAlign w:val="bottom"/>
          </w:tcPr>
          <w:p>
            <w:pPr>
              <w:spacing w:after="0"/>
              <w:rPr>
                <w:sz w:val="13"/>
                <w:szCs w:val="13"/>
                <w:color w:val="auto"/>
              </w:rPr>
            </w:pPr>
          </w:p>
        </w:tc>
        <w:tc>
          <w:tcPr>
            <w:tcW w:w="84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Houston</w:t>
            </w:r>
          </w:p>
        </w:tc>
        <w:tc>
          <w:tcPr>
            <w:tcW w:w="300" w:type="dxa"/>
            <w:vAlign w:val="bottom"/>
          </w:tcPr>
          <w:p>
            <w:pPr>
              <w:spacing w:after="0"/>
              <w:rPr>
                <w:sz w:val="13"/>
                <w:szCs w:val="13"/>
                <w:color w:val="auto"/>
              </w:rPr>
            </w:pP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Energy</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Electric</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Energy</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Electric</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4"/>
          </w:tcPr>
          <w:p>
            <w:pPr>
              <w:jc w:val="right"/>
              <w:ind w:right="768"/>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00" w:type="dxa"/>
            <w:vAlign w:val="bottom"/>
          </w:tcPr>
          <w:p>
            <w:pPr>
              <w:ind w:left="180"/>
              <w:spacing w:after="0"/>
              <w:rPr>
                <w:sz w:val="20"/>
                <w:szCs w:val="20"/>
                <w:color w:val="auto"/>
              </w:rPr>
            </w:pPr>
            <w:r>
              <w:rPr>
                <w:rFonts w:ascii="Arial" w:cs="Arial" w:eastAsia="Arial" w:hAnsi="Arial"/>
                <w:sz w:val="14"/>
                <w:szCs w:val="14"/>
                <w:b w:val="1"/>
                <w:bCs w:val="1"/>
                <w:color w:val="auto"/>
              </w:rPr>
              <w:t>Cash Payments/Receipts: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net of capitalized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196</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64"/>
        </w:trPr>
        <w:tc>
          <w:tcPr>
            <w:tcW w:w="4400" w:type="dxa"/>
            <w:vAlign w:val="bottom"/>
          </w:tcPr>
          <w:p>
            <w:pPr>
              <w:ind w:left="280"/>
              <w:spacing w:after="0"/>
              <w:rPr>
                <w:sz w:val="20"/>
                <w:szCs w:val="20"/>
                <w:color w:val="auto"/>
              </w:rPr>
            </w:pPr>
            <w:r>
              <w:rPr>
                <w:rFonts w:ascii="Arial" w:cs="Arial" w:eastAsia="Arial" w:hAnsi="Arial"/>
                <w:sz w:val="14"/>
                <w:szCs w:val="14"/>
                <w:color w:val="auto"/>
              </w:rPr>
              <w:t>Income tax refunds, net</w:t>
            </w:r>
          </w:p>
        </w:tc>
        <w:tc>
          <w:tcPr>
            <w:tcW w:w="1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2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3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Non-cash transactions:</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00" w:type="dxa"/>
            <w:vAlign w:val="bottom"/>
          </w:tcPr>
          <w:p>
            <w:pPr>
              <w:ind w:left="280"/>
              <w:spacing w:after="0"/>
              <w:rPr>
                <w:sz w:val="20"/>
                <w:szCs w:val="20"/>
                <w:color w:val="auto"/>
              </w:rPr>
            </w:pPr>
            <w:r>
              <w:rPr>
                <w:rFonts w:ascii="Arial" w:cs="Arial" w:eastAsia="Arial" w:hAnsi="Arial"/>
                <w:sz w:val="14"/>
                <w:szCs w:val="14"/>
                <w:color w:val="auto"/>
              </w:rPr>
              <w:t>Accounts payable related to capital expenditures</w:t>
            </w:r>
          </w:p>
        </w:tc>
        <w:tc>
          <w:tcPr>
            <w:tcW w:w="1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195</w:t>
            </w:r>
          </w:p>
        </w:tc>
        <w:tc>
          <w:tcPr>
            <w:tcW w:w="26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76</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2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3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ROU assets obtained in exchange for lease liabilities </w:t>
            </w:r>
            <w:r>
              <w:rPr>
                <w:rFonts w:ascii="Arial" w:cs="Arial" w:eastAsia="Arial" w:hAnsi="Arial"/>
                <w:sz w:val="10"/>
                <w:szCs w:val="10"/>
                <w:color w:val="auto"/>
              </w:rPr>
              <w:t>(1)</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64"/>
        </w:trPr>
        <w:tc>
          <w:tcPr>
            <w:tcW w:w="4400" w:type="dxa"/>
            <w:vAlign w:val="bottom"/>
          </w:tcPr>
          <w:p>
            <w:pPr>
              <w:ind w:left="280"/>
              <w:spacing w:after="0"/>
              <w:rPr>
                <w:sz w:val="20"/>
                <w:szCs w:val="20"/>
                <w:color w:val="auto"/>
              </w:rPr>
            </w:pPr>
            <w:r>
              <w:rPr>
                <w:rFonts w:ascii="Arial" w:cs="Arial" w:eastAsia="Arial" w:hAnsi="Arial"/>
                <w:sz w:val="14"/>
                <w:szCs w:val="14"/>
                <w:color w:val="auto"/>
              </w:rPr>
              <w:t>Beneficial conversion feature</w:t>
            </w:r>
          </w:p>
        </w:tc>
        <w:tc>
          <w:tcPr>
            <w:tcW w:w="14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32</w:t>
            </w:r>
          </w:p>
        </w:tc>
        <w:tc>
          <w:tcPr>
            <w:tcW w:w="26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beneficial conversion feature</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2019 includes the transition impact of adoption of ASU 2016-02 Leases.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table below provides a reconciliation of cash, cash equivalents and restricted cash reported in the Condensed Consolidated Balance Sheets to the amount reported in the Condensed Statements of Consolidated Cash Flows and has not been recast to exclude the Infrastructure Services and Energy Services Disposal Groups as of December 31,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2020</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December 31, 2019</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Houston Electric</w:t>
            </w:r>
          </w:p>
        </w:tc>
        <w:tc>
          <w:tcPr>
            <w:tcW w:w="26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10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CenterPoint</w:t>
            </w:r>
          </w:p>
        </w:tc>
        <w:tc>
          <w:tcPr>
            <w:tcW w:w="100" w:type="dxa"/>
            <w:vAlign w:val="bottom"/>
          </w:tcPr>
          <w:p>
            <w:pPr>
              <w:spacing w:after="0"/>
              <w:rPr>
                <w:sz w:val="13"/>
                <w:szCs w:val="13"/>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60" w:type="dxa"/>
            <w:vAlign w:val="bottom"/>
          </w:tcPr>
          <w:p>
            <w:pPr>
              <w:spacing w:after="0"/>
              <w:rPr>
                <w:sz w:val="13"/>
                <w:szCs w:val="13"/>
                <w:color w:val="auto"/>
              </w:rPr>
            </w:pPr>
          </w:p>
        </w:tc>
        <w:tc>
          <w:tcPr>
            <w:tcW w:w="9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Energy</w:t>
            </w:r>
          </w:p>
        </w:tc>
        <w:tc>
          <w:tcPr>
            <w:tcW w:w="128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Energy</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00" w:type="dxa"/>
            <w:vAlign w:val="bottom"/>
            <w:gridSpan w:val="4"/>
          </w:tcPr>
          <w:p>
            <w:pPr>
              <w:jc w:val="right"/>
              <w:ind w:right="888"/>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7"/>
        </w:trPr>
        <w:tc>
          <w:tcPr>
            <w:tcW w:w="3500" w:type="dxa"/>
            <w:vAlign w:val="bottom"/>
          </w:tcPr>
          <w:p>
            <w:pPr>
              <w:ind w:left="180"/>
              <w:spacing w:after="0" w:line="157" w:lineRule="exact"/>
              <w:rPr>
                <w:sz w:val="20"/>
                <w:szCs w:val="20"/>
                <w:color w:val="auto"/>
              </w:rPr>
            </w:pPr>
            <w:r>
              <w:rPr>
                <w:rFonts w:ascii="Arial" w:cs="Arial" w:eastAsia="Arial" w:hAnsi="Arial"/>
                <w:sz w:val="14"/>
                <w:szCs w:val="14"/>
                <w:color w:val="auto"/>
                <w:w w:val="95"/>
              </w:rPr>
              <w:t>Restricted cash included in Prepaid expenses and other</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00" w:type="dxa"/>
            <w:vAlign w:val="bottom"/>
          </w:tcPr>
          <w:p>
            <w:pPr>
              <w:ind w:left="50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00" w:type="dxa"/>
            <w:vAlign w:val="bottom"/>
            <w:tcBorders>
              <w:top w:val="single" w:sz="8" w:color="CCEEFF"/>
            </w:tcBorders>
            <w:shd w:val="clear" w:color="auto" w:fill="CCEEFF"/>
          </w:tcPr>
          <w:p>
            <w:pPr>
              <w:ind w:left="360"/>
              <w:spacing w:after="0" w:line="143" w:lineRule="exact"/>
              <w:rPr>
                <w:sz w:val="20"/>
                <w:szCs w:val="20"/>
                <w:color w:val="auto"/>
              </w:rPr>
            </w:pPr>
            <w:r>
              <w:rPr>
                <w:rFonts w:ascii="Arial" w:cs="Arial" w:eastAsia="Arial" w:hAnsi="Arial"/>
                <w:sz w:val="14"/>
                <w:szCs w:val="14"/>
                <w:color w:val="auto"/>
              </w:rPr>
              <w:t>Total cash, cash equivalents and restricted cash</w:t>
            </w: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w w:val="96"/>
              </w:rPr>
              <w:t>shown in Condensed Statements of Consolidated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271</w:t>
            </w:r>
          </w:p>
        </w:tc>
        <w:tc>
          <w:tcPr>
            <w:tcW w:w="56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1"/>
        </w:trPr>
        <w:tc>
          <w:tcPr>
            <w:tcW w:w="35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Cash Flows</w:t>
            </w:r>
          </w:p>
        </w:tc>
        <w:tc>
          <w:tcPr>
            <w:tcW w:w="16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 (Houston Electric and CERC)</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Houston Electric and CERC participate in CenterPoint Energy’s money pool through which they can borrow or invest on a short-term basis. Funding needs are aggregated and external borrowing or investing is based on the net cash position. The net</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125" w:right="339" w:bottom="1440" w:gutter="0" w:footer="0" w:header="0"/>
          <w:type w:val="continuous"/>
        </w:sectPr>
      </w:pPr>
    </w:p>
    <w:bookmarkStart w:id="68" w:name="page69"/>
    <w:bookmarkEnd w:id="6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funding requirements of the CenterPoint Energy money pool are expected to be met with borrowings under CenterPoint Energy’s revolving credit facility or the sale of CenterPoint Energy’s commercial paper.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CenterPoint Energy money pool activity: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940" w:type="dxa"/>
            <w:vAlign w:val="bottom"/>
            <w:tcBorders>
              <w:bottom w:val="single" w:sz="8" w:color="auto"/>
            </w:tcBorders>
          </w:tcPr>
          <w:p>
            <w:pPr>
              <w:spacing w:after="0"/>
              <w:rPr>
                <w:sz w:val="16"/>
                <w:szCs w:val="16"/>
                <w:color w:val="auto"/>
              </w:rPr>
            </w:pPr>
          </w:p>
        </w:tc>
      </w:tr>
      <w:tr>
        <w:trPr>
          <w:trHeight w:val="250"/>
        </w:trPr>
        <w:tc>
          <w:tcPr>
            <w:tcW w:w="4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97"/>
              </w:rPr>
              <w:t>Houston Electric</w:t>
            </w:r>
          </w:p>
        </w:tc>
        <w:tc>
          <w:tcPr>
            <w:tcW w:w="5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CERC</w:t>
            </w:r>
          </w:p>
        </w:tc>
        <w:tc>
          <w:tcPr>
            <w:tcW w:w="13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97"/>
              </w:rPr>
              <w:t>Houston Electric</w:t>
            </w:r>
          </w:p>
        </w:tc>
        <w:tc>
          <w:tcPr>
            <w:tcW w:w="6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w w:val="95"/>
              </w:rPr>
              <w:t>CERC</w:t>
            </w:r>
          </w:p>
        </w:tc>
      </w:tr>
      <w:tr>
        <w:trPr>
          <w:trHeight w:val="196"/>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8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 except interest rates)</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pool investments (borrowings)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33</w:t>
            </w:r>
          </w:p>
        </w:tc>
        <w:tc>
          <w:tcPr>
            <w:tcW w:w="5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481</w:t>
            </w:r>
          </w:p>
        </w:tc>
        <w:tc>
          <w:tcPr>
            <w:tcW w:w="6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Weighted average interest rate</w:t>
            </w:r>
          </w:p>
        </w:tc>
        <w:tc>
          <w:tcPr>
            <w:tcW w:w="160" w:type="dxa"/>
            <w:vAlign w:val="bottom"/>
          </w:tcPr>
          <w:p>
            <w:pPr>
              <w:spacing w:after="0"/>
              <w:rPr>
                <w:sz w:val="20"/>
                <w:szCs w:val="20"/>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0.38%</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1.98%</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w:t>
            </w:r>
          </w:p>
        </w:tc>
      </w:tr>
    </w:tbl>
    <w:p>
      <w:pPr>
        <w:spacing w:after="0" w:line="235" w:lineRule="exact"/>
        <w:rPr>
          <w:sz w:val="20"/>
          <w:szCs w:val="20"/>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in Accounts and notes receivable (payable)–affiliated companies on Houston Electric’s and CERC’s respective Condensed Consolidated Balance Sheets.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Houston Electric and CERC affiliate related net interest income (expense)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w w:val="94"/>
              </w:rPr>
              <w:t>Six Months Ended June 30,</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2020</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89"/>
              </w:rPr>
              <w:t>2019</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89"/>
              </w:rPr>
              <w:t>2019</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Houston</w:t>
            </w:r>
          </w:p>
        </w:tc>
        <w:tc>
          <w:tcPr>
            <w:tcW w:w="320" w:type="dxa"/>
            <w:vAlign w:val="bottom"/>
          </w:tcPr>
          <w:p>
            <w:pPr>
              <w:spacing w:after="0"/>
              <w:rPr>
                <w:sz w:val="13"/>
                <w:szCs w:val="13"/>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Houston</w:t>
            </w:r>
          </w:p>
        </w:tc>
        <w:tc>
          <w:tcPr>
            <w:tcW w:w="42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1100" w:type="dxa"/>
            <w:vAlign w:val="bottom"/>
          </w:tcPr>
          <w:p>
            <w:pPr>
              <w:jc w:val="right"/>
              <w:ind w:right="446"/>
              <w:spacing w:after="0" w:line="153" w:lineRule="exact"/>
              <w:rPr>
                <w:sz w:val="20"/>
                <w:szCs w:val="20"/>
                <w:color w:val="auto"/>
              </w:rPr>
            </w:pPr>
            <w:r>
              <w:rPr>
                <w:rFonts w:ascii="Arial" w:cs="Arial" w:eastAsia="Arial" w:hAnsi="Arial"/>
                <w:sz w:val="14"/>
                <w:szCs w:val="14"/>
                <w:b w:val="1"/>
                <w:bCs w:val="1"/>
                <w:color w:val="auto"/>
                <w:w w:val="98"/>
              </w:rPr>
              <w:t>Houston</w:t>
            </w:r>
          </w:p>
        </w:tc>
        <w:tc>
          <w:tcPr>
            <w:tcW w:w="11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74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Houston</w:t>
            </w:r>
          </w:p>
        </w:tc>
        <w:tc>
          <w:tcPr>
            <w:tcW w:w="400" w:type="dxa"/>
            <w:vAlign w:val="bottom"/>
          </w:tcPr>
          <w:p>
            <w:pPr>
              <w:spacing w:after="0"/>
              <w:rPr>
                <w:sz w:val="13"/>
                <w:szCs w:val="13"/>
                <w:color w:val="auto"/>
              </w:rPr>
            </w:pPr>
          </w:p>
        </w:tc>
        <w:tc>
          <w:tcPr>
            <w:tcW w:w="80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Electric</w:t>
            </w:r>
          </w:p>
        </w:tc>
        <w:tc>
          <w:tcPr>
            <w:tcW w:w="110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80" w:type="dxa"/>
            <w:vAlign w:val="bottom"/>
            <w:gridSpan w:val="4"/>
          </w:tcPr>
          <w:p>
            <w:pPr>
              <w:jc w:val="right"/>
              <w:ind w:right="946"/>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 (expense) (1)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10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 income is included in Other income (expense), net and interest expense is included in Interest and other finance charges on Houston Electric’s and CERC’s respective Condensed Statements of Consolidated Income.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CenterPoint Energy provides some corporate services to Houston Electric and CERC. The costs of services have been charged directly to Houston Electric and CERC using methods that management believes are reasonable. These methods include negotiated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charged for these services were as follows and are included primarily in operation and maintenance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4"/>
                <w:szCs w:val="14"/>
                <w:b w:val="1"/>
                <w:bCs w:val="1"/>
                <w:color w:val="auto"/>
                <w:w w:val="93"/>
              </w:rPr>
              <w:t>Three Months Ended June 30,</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b w:val="1"/>
                <w:bCs w:val="1"/>
                <w:color w:val="auto"/>
                <w:w w:val="94"/>
              </w:rPr>
              <w:t>Six Months Ended June 30,</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2020</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89"/>
              </w:rPr>
              <w:t>2019</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2020</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89"/>
              </w:rPr>
              <w:t>2019</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84"/>
              <w:spacing w:after="0" w:line="153" w:lineRule="exact"/>
              <w:rPr>
                <w:sz w:val="20"/>
                <w:szCs w:val="20"/>
                <w:color w:val="auto"/>
              </w:rPr>
            </w:pPr>
            <w:r>
              <w:rPr>
                <w:rFonts w:ascii="Arial" w:cs="Arial" w:eastAsia="Arial" w:hAnsi="Arial"/>
                <w:sz w:val="14"/>
                <w:szCs w:val="14"/>
                <w:b w:val="1"/>
                <w:bCs w:val="1"/>
                <w:color w:val="auto"/>
              </w:rPr>
              <w:t>Houston</w:t>
            </w:r>
          </w:p>
        </w:tc>
        <w:tc>
          <w:tcPr>
            <w:tcW w:w="34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740" w:type="dxa"/>
            <w:vAlign w:val="bottom"/>
          </w:tcPr>
          <w:p>
            <w:pPr>
              <w:jc w:val="right"/>
              <w:ind w:right="84"/>
              <w:spacing w:after="0" w:line="153" w:lineRule="exact"/>
              <w:rPr>
                <w:sz w:val="20"/>
                <w:szCs w:val="20"/>
                <w:color w:val="auto"/>
              </w:rPr>
            </w:pPr>
            <w:r>
              <w:rPr>
                <w:rFonts w:ascii="Arial" w:cs="Arial" w:eastAsia="Arial" w:hAnsi="Arial"/>
                <w:sz w:val="14"/>
                <w:szCs w:val="14"/>
                <w:b w:val="1"/>
                <w:bCs w:val="1"/>
                <w:color w:val="auto"/>
                <w:w w:val="98"/>
              </w:rPr>
              <w:t>Houston</w:t>
            </w:r>
          </w:p>
        </w:tc>
        <w:tc>
          <w:tcPr>
            <w:tcW w:w="40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720" w:type="dxa"/>
            <w:vAlign w:val="bottom"/>
          </w:tcPr>
          <w:p>
            <w:pPr>
              <w:jc w:val="right"/>
              <w:ind w:right="64"/>
              <w:spacing w:after="0" w:line="153" w:lineRule="exact"/>
              <w:rPr>
                <w:sz w:val="20"/>
                <w:szCs w:val="20"/>
                <w:color w:val="auto"/>
              </w:rPr>
            </w:pPr>
            <w:r>
              <w:rPr>
                <w:rFonts w:ascii="Arial" w:cs="Arial" w:eastAsia="Arial" w:hAnsi="Arial"/>
                <w:sz w:val="14"/>
                <w:szCs w:val="14"/>
                <w:b w:val="1"/>
                <w:bCs w:val="1"/>
                <w:color w:val="auto"/>
                <w:w w:val="98"/>
              </w:rPr>
              <w:t>Houston</w:t>
            </w:r>
          </w:p>
        </w:tc>
        <w:tc>
          <w:tcPr>
            <w:tcW w:w="380" w:type="dxa"/>
            <w:vAlign w:val="bottom"/>
          </w:tcPr>
          <w:p>
            <w:pPr>
              <w:spacing w:after="0"/>
              <w:rPr>
                <w:sz w:val="13"/>
                <w:szCs w:val="13"/>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3"/>
                <w:szCs w:val="13"/>
                <w:color w:val="auto"/>
              </w:rPr>
            </w:pPr>
          </w:p>
        </w:tc>
        <w:tc>
          <w:tcPr>
            <w:tcW w:w="740" w:type="dxa"/>
            <w:vAlign w:val="bottom"/>
          </w:tcPr>
          <w:p>
            <w:pPr>
              <w:jc w:val="right"/>
              <w:ind w:right="64"/>
              <w:spacing w:after="0" w:line="153" w:lineRule="exact"/>
              <w:rPr>
                <w:sz w:val="20"/>
                <w:szCs w:val="20"/>
                <w:color w:val="auto"/>
              </w:rPr>
            </w:pPr>
            <w:r>
              <w:rPr>
                <w:rFonts w:ascii="Arial" w:cs="Arial" w:eastAsia="Arial" w:hAnsi="Arial"/>
                <w:sz w:val="14"/>
                <w:szCs w:val="14"/>
                <w:b w:val="1"/>
                <w:bCs w:val="1"/>
                <w:color w:val="auto"/>
              </w:rPr>
              <w:t>Houston</w:t>
            </w:r>
          </w:p>
        </w:tc>
        <w:tc>
          <w:tcPr>
            <w:tcW w:w="400" w:type="dxa"/>
            <w:vAlign w:val="bottom"/>
          </w:tcPr>
          <w:p>
            <w:pPr>
              <w:spacing w:after="0"/>
              <w:rPr>
                <w:sz w:val="13"/>
                <w:szCs w:val="13"/>
                <w:color w:val="auto"/>
              </w:rPr>
            </w:pPr>
          </w:p>
        </w:tc>
        <w:tc>
          <w:tcPr>
            <w:tcW w:w="8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Electric</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Electric</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Electric</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Electric</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service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0"/>
        </w:trPr>
        <w:tc>
          <w:tcPr>
            <w:tcW w:w="2380" w:type="dxa"/>
            <w:vAlign w:val="bottom"/>
          </w:tcPr>
          <w:p>
            <w:pPr>
              <w:ind w:left="40"/>
              <w:spacing w:after="0"/>
              <w:rPr>
                <w:sz w:val="20"/>
                <w:szCs w:val="20"/>
                <w:color w:val="auto"/>
              </w:rPr>
            </w:pPr>
            <w:r>
              <w:rPr>
                <w:rFonts w:ascii="Arial" w:cs="Arial" w:eastAsia="Arial" w:hAnsi="Arial"/>
                <w:sz w:val="16"/>
                <w:szCs w:val="16"/>
                <w:color w:val="auto"/>
              </w:rPr>
              <w:t>Net affiliate service charges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tcPr>
          <w:p>
            <w:pPr>
              <w:ind w:left="200"/>
              <w:spacing w:after="0"/>
              <w:rPr>
                <w:sz w:val="20"/>
                <w:szCs w:val="20"/>
                <w:color w:val="auto"/>
              </w:rPr>
            </w:pPr>
            <w:r>
              <w:rPr>
                <w:rFonts w:ascii="Arial" w:cs="Arial" w:eastAsia="Arial" w:hAnsi="Arial"/>
                <w:sz w:val="16"/>
                <w:szCs w:val="16"/>
                <w:color w:val="auto"/>
              </w:rPr>
              <w:t>(billings)</w:t>
            </w:r>
          </w:p>
        </w:tc>
        <w:tc>
          <w:tcPr>
            <w:tcW w:w="180" w:type="dxa"/>
            <w:vAlign w:val="bottom"/>
          </w:tcPr>
          <w:p>
            <w:pPr>
              <w:spacing w:after="0"/>
              <w:rPr>
                <w:sz w:val="17"/>
                <w:szCs w:val="17"/>
                <w:color w:val="auto"/>
              </w:rPr>
            </w:pPr>
          </w:p>
        </w:tc>
        <w:tc>
          <w:tcPr>
            <w:tcW w:w="1100" w:type="dxa"/>
            <w:vAlign w:val="bottom"/>
            <w:gridSpan w:val="2"/>
          </w:tcPr>
          <w:p>
            <w:pPr>
              <w:jc w:val="right"/>
              <w:ind w:right="224"/>
              <w:spacing w:after="0"/>
              <w:rPr>
                <w:sz w:val="20"/>
                <w:szCs w:val="20"/>
                <w:color w:val="auto"/>
              </w:rPr>
            </w:pPr>
            <w:r>
              <w:rPr>
                <w:rFonts w:ascii="Arial" w:cs="Arial" w:eastAsia="Arial" w:hAnsi="Arial"/>
                <w:sz w:val="16"/>
                <w:szCs w:val="16"/>
                <w:color w:val="auto"/>
              </w:rPr>
              <w:t>(4)</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84"/>
              <w:spacing w:after="0"/>
              <w:rPr>
                <w:sz w:val="20"/>
                <w:szCs w:val="20"/>
                <w:color w:val="auto"/>
              </w:rPr>
            </w:pPr>
            <w:r>
              <w:rPr>
                <w:rFonts w:ascii="Arial" w:cs="Arial" w:eastAsia="Arial" w:hAnsi="Arial"/>
                <w:sz w:val="16"/>
                <w:szCs w:val="16"/>
                <w:color w:val="auto"/>
              </w:rPr>
              <w:t>(2)</w:t>
            </w: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64"/>
              <w:spacing w:after="0"/>
              <w:rPr>
                <w:sz w:val="20"/>
                <w:szCs w:val="20"/>
                <w:color w:val="auto"/>
              </w:rPr>
            </w:pPr>
            <w:r>
              <w:rPr>
                <w:rFonts w:ascii="Arial" w:cs="Arial" w:eastAsia="Arial" w:hAnsi="Arial"/>
                <w:sz w:val="16"/>
                <w:szCs w:val="16"/>
                <w:color w:val="auto"/>
              </w:rPr>
              <w:t>(10)</w:t>
            </w:r>
          </w:p>
        </w:tc>
        <w:tc>
          <w:tcPr>
            <w:tcW w:w="820" w:type="dxa"/>
            <w:vAlign w:val="bottom"/>
          </w:tcPr>
          <w:p>
            <w:pPr>
              <w:jc w:val="right"/>
              <w:ind w:right="24"/>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84"/>
              <w:spacing w:after="0"/>
              <w:rPr>
                <w:sz w:val="20"/>
                <w:szCs w:val="20"/>
                <w:color w:val="auto"/>
              </w:rPr>
            </w:pPr>
            <w:r>
              <w:rPr>
                <w:rFonts w:ascii="Arial" w:cs="Arial" w:eastAsia="Arial" w:hAnsi="Arial"/>
                <w:sz w:val="16"/>
                <w:szCs w:val="16"/>
                <w:color w:val="auto"/>
              </w:rPr>
              <w:t>(4)</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transactions among Houston Electric, CERC and their parent, Utility Holding.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w w:val="93"/>
              </w:rPr>
              <w:t>Three Months Ended June 30,</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b w:val="1"/>
                <w:bCs w:val="1"/>
                <w:color w:val="auto"/>
                <w:w w:val="94"/>
              </w:rPr>
              <w:t>Six Months Ended June 30,</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2020</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89"/>
              </w:rPr>
              <w:t>2019</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2020</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89"/>
              </w:rPr>
              <w:t>2019</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83"/>
              <w:spacing w:after="0" w:line="153" w:lineRule="exact"/>
              <w:rPr>
                <w:sz w:val="20"/>
                <w:szCs w:val="20"/>
                <w:color w:val="auto"/>
              </w:rPr>
            </w:pPr>
            <w:r>
              <w:rPr>
                <w:rFonts w:ascii="Arial" w:cs="Arial" w:eastAsia="Arial" w:hAnsi="Arial"/>
                <w:sz w:val="14"/>
                <w:szCs w:val="14"/>
                <w:b w:val="1"/>
                <w:bCs w:val="1"/>
                <w:color w:val="auto"/>
              </w:rPr>
              <w:t>Houston</w:t>
            </w:r>
          </w:p>
        </w:tc>
        <w:tc>
          <w:tcPr>
            <w:tcW w:w="34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740" w:type="dxa"/>
            <w:vAlign w:val="bottom"/>
          </w:tcPr>
          <w:p>
            <w:pPr>
              <w:jc w:val="right"/>
              <w:ind w:right="83"/>
              <w:spacing w:after="0" w:line="153" w:lineRule="exact"/>
              <w:rPr>
                <w:sz w:val="20"/>
                <w:szCs w:val="20"/>
                <w:color w:val="auto"/>
              </w:rPr>
            </w:pPr>
            <w:r>
              <w:rPr>
                <w:rFonts w:ascii="Arial" w:cs="Arial" w:eastAsia="Arial" w:hAnsi="Arial"/>
                <w:sz w:val="14"/>
                <w:szCs w:val="14"/>
                <w:b w:val="1"/>
                <w:bCs w:val="1"/>
                <w:color w:val="auto"/>
                <w:w w:val="98"/>
              </w:rPr>
              <w:t>Houston</w:t>
            </w:r>
          </w:p>
        </w:tc>
        <w:tc>
          <w:tcPr>
            <w:tcW w:w="40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3"/>
                <w:szCs w:val="13"/>
                <w:color w:val="auto"/>
              </w:rPr>
            </w:pPr>
          </w:p>
        </w:tc>
        <w:tc>
          <w:tcPr>
            <w:tcW w:w="720" w:type="dxa"/>
            <w:vAlign w:val="bottom"/>
          </w:tcPr>
          <w:p>
            <w:pPr>
              <w:jc w:val="right"/>
              <w:ind w:right="63"/>
              <w:spacing w:after="0" w:line="153" w:lineRule="exact"/>
              <w:rPr>
                <w:sz w:val="20"/>
                <w:szCs w:val="20"/>
                <w:color w:val="auto"/>
              </w:rPr>
            </w:pPr>
            <w:r>
              <w:rPr>
                <w:rFonts w:ascii="Arial" w:cs="Arial" w:eastAsia="Arial" w:hAnsi="Arial"/>
                <w:sz w:val="14"/>
                <w:szCs w:val="14"/>
                <w:b w:val="1"/>
                <w:bCs w:val="1"/>
                <w:color w:val="auto"/>
                <w:w w:val="98"/>
              </w:rPr>
              <w:t>Houston</w:t>
            </w:r>
          </w:p>
        </w:tc>
        <w:tc>
          <w:tcPr>
            <w:tcW w:w="380" w:type="dxa"/>
            <w:vAlign w:val="bottom"/>
          </w:tcPr>
          <w:p>
            <w:pPr>
              <w:spacing w:after="0"/>
              <w:rPr>
                <w:sz w:val="13"/>
                <w:szCs w:val="13"/>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3"/>
                <w:szCs w:val="13"/>
                <w:color w:val="auto"/>
              </w:rPr>
            </w:pPr>
          </w:p>
        </w:tc>
        <w:tc>
          <w:tcPr>
            <w:tcW w:w="740" w:type="dxa"/>
            <w:vAlign w:val="bottom"/>
          </w:tcPr>
          <w:p>
            <w:pPr>
              <w:jc w:val="right"/>
              <w:ind w:right="63"/>
              <w:spacing w:after="0" w:line="153" w:lineRule="exact"/>
              <w:rPr>
                <w:sz w:val="20"/>
                <w:szCs w:val="20"/>
                <w:color w:val="auto"/>
              </w:rPr>
            </w:pPr>
            <w:r>
              <w:rPr>
                <w:rFonts w:ascii="Arial" w:cs="Arial" w:eastAsia="Arial" w:hAnsi="Arial"/>
                <w:sz w:val="14"/>
                <w:szCs w:val="14"/>
                <w:b w:val="1"/>
                <w:bCs w:val="1"/>
                <w:color w:val="auto"/>
              </w:rPr>
              <w:t>Houston</w:t>
            </w:r>
          </w:p>
        </w:tc>
        <w:tc>
          <w:tcPr>
            <w:tcW w:w="400" w:type="dxa"/>
            <w:vAlign w:val="bottom"/>
          </w:tcPr>
          <w:p>
            <w:pPr>
              <w:spacing w:after="0"/>
              <w:rPr>
                <w:sz w:val="13"/>
                <w:szCs w:val="13"/>
                <w:color w:val="auto"/>
              </w:rPr>
            </w:pPr>
          </w:p>
        </w:tc>
        <w:tc>
          <w:tcPr>
            <w:tcW w:w="8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Electric</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Electric</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Electric</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Electric</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paid to parent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Cash contribution from parent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590</w:t>
            </w:r>
          </w:p>
        </w:tc>
        <w:tc>
          <w:tcPr>
            <w:tcW w:w="40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distribution to parent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associated with the sale of CES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Declared and Paid (CenterPoint Energy)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CenterPoint Energy paid dividends on its Common Stock during the six months ended June 30, 2020 and 2019 as presented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Declaration Date</w:t>
            </w:r>
          </w:p>
        </w:tc>
        <w:tc>
          <w:tcPr>
            <w:tcW w:w="120" w:type="dxa"/>
            <w:vAlign w:val="bottom"/>
            <w:vMerge w:val="restart"/>
          </w:tcPr>
          <w:p>
            <w:pPr>
              <w:spacing w:after="0"/>
              <w:rPr>
                <w:sz w:val="14"/>
                <w:szCs w:val="14"/>
                <w:color w:val="auto"/>
              </w:rPr>
            </w:pPr>
          </w:p>
        </w:tc>
        <w:tc>
          <w:tcPr>
            <w:tcW w:w="24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Record Date</w:t>
            </w:r>
          </w:p>
        </w:tc>
        <w:tc>
          <w:tcPr>
            <w:tcW w:w="120" w:type="dxa"/>
            <w:vAlign w:val="bottom"/>
            <w:vMerge w:val="restart"/>
          </w:tcPr>
          <w:p>
            <w:pPr>
              <w:spacing w:after="0"/>
              <w:rPr>
                <w:sz w:val="14"/>
                <w:szCs w:val="14"/>
                <w:color w:val="auto"/>
              </w:rPr>
            </w:pPr>
          </w:p>
        </w:tc>
        <w:tc>
          <w:tcPr>
            <w:tcW w:w="24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Payment Date</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0"/>
                <w:szCs w:val="10"/>
                <w:b w:val="1"/>
                <w:bCs w:val="1"/>
                <w:color w:val="auto"/>
              </w:rPr>
              <w:t>(1)</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6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February 3, 2020</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20, 2020</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12, 2020</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0.2900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7"/>
        </w:trPr>
        <w:tc>
          <w:tcPr>
            <w:tcW w:w="2600" w:type="dxa"/>
            <w:vAlign w:val="bottom"/>
            <w:gridSpan w:val="2"/>
          </w:tcPr>
          <w:p>
            <w:pPr>
              <w:ind w:left="40"/>
              <w:spacing w:after="0"/>
              <w:rPr>
                <w:sz w:val="20"/>
                <w:szCs w:val="20"/>
                <w:color w:val="auto"/>
              </w:rPr>
            </w:pPr>
            <w:r>
              <w:rPr>
                <w:rFonts w:ascii="Arial" w:cs="Arial" w:eastAsia="Arial" w:hAnsi="Arial"/>
                <w:sz w:val="16"/>
                <w:szCs w:val="16"/>
                <w:color w:val="auto"/>
              </w:rPr>
              <w:t>April 24, 2020</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May 21, 2020</w:t>
            </w:r>
          </w:p>
        </w:tc>
        <w:tc>
          <w:tcPr>
            <w:tcW w:w="2580" w:type="dxa"/>
            <w:vAlign w:val="bottom"/>
            <w:gridSpan w:val="2"/>
          </w:tcPr>
          <w:p>
            <w:pPr>
              <w:ind w:left="20"/>
              <w:spacing w:after="0"/>
              <w:rPr>
                <w:sz w:val="20"/>
                <w:szCs w:val="20"/>
                <w:color w:val="auto"/>
              </w:rPr>
            </w:pPr>
            <w:r>
              <w:rPr>
                <w:rFonts w:ascii="Arial" w:cs="Arial" w:eastAsia="Arial" w:hAnsi="Arial"/>
                <w:sz w:val="16"/>
                <w:szCs w:val="16"/>
                <w:color w:val="auto"/>
              </w:rPr>
              <w:t>June 11, 2020</w:t>
            </w:r>
          </w:p>
        </w:tc>
        <w:tc>
          <w:tcPr>
            <w:tcW w:w="28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0.1500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b w:val="1"/>
                <w:bCs w:val="1"/>
                <w:color w:val="auto"/>
              </w:rPr>
              <w:t>Total 2020</w:t>
            </w:r>
          </w:p>
        </w:tc>
        <w:tc>
          <w:tcPr>
            <w:tcW w:w="2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0.4400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12, 2018</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21, 2019</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14, 2019</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0.2875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37"/>
        </w:trPr>
        <w:tc>
          <w:tcPr>
            <w:tcW w:w="2600" w:type="dxa"/>
            <w:vAlign w:val="bottom"/>
            <w:gridSpan w:val="2"/>
          </w:tcPr>
          <w:p>
            <w:pPr>
              <w:ind w:left="40"/>
              <w:spacing w:after="0"/>
              <w:rPr>
                <w:sz w:val="20"/>
                <w:szCs w:val="20"/>
                <w:color w:val="auto"/>
              </w:rPr>
            </w:pPr>
            <w:r>
              <w:rPr>
                <w:rFonts w:ascii="Arial" w:cs="Arial" w:eastAsia="Arial" w:hAnsi="Arial"/>
                <w:sz w:val="16"/>
                <w:szCs w:val="16"/>
                <w:color w:val="auto"/>
              </w:rPr>
              <w:t>April 25, 2019</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May 16, 2019</w:t>
            </w:r>
          </w:p>
        </w:tc>
        <w:tc>
          <w:tcPr>
            <w:tcW w:w="2580" w:type="dxa"/>
            <w:vAlign w:val="bottom"/>
            <w:gridSpan w:val="2"/>
          </w:tcPr>
          <w:p>
            <w:pPr>
              <w:ind w:left="20"/>
              <w:spacing w:after="0"/>
              <w:rPr>
                <w:sz w:val="20"/>
                <w:szCs w:val="20"/>
                <w:color w:val="auto"/>
              </w:rPr>
            </w:pPr>
            <w:r>
              <w:rPr>
                <w:rFonts w:ascii="Arial" w:cs="Arial" w:eastAsia="Arial" w:hAnsi="Arial"/>
                <w:sz w:val="16"/>
                <w:szCs w:val="16"/>
                <w:color w:val="auto"/>
              </w:rPr>
              <w:t>June 13, 2019</w:t>
            </w:r>
          </w:p>
        </w:tc>
        <w:tc>
          <w:tcPr>
            <w:tcW w:w="28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0.2875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b w:val="1"/>
                <w:bCs w:val="1"/>
                <w:color w:val="auto"/>
              </w:rPr>
              <w:t>Total 2019</w:t>
            </w:r>
          </w:p>
        </w:tc>
        <w:tc>
          <w:tcPr>
            <w:tcW w:w="2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0.5750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April 1, 2020, in response to the reduction in cash flow related to the reduction in Enable quarterly common unit distributions announced by Enable on April 1, 2020, CenterPoint Energy announced a reduction of its quarterly Common Stock dividend per share from $0.2900 to $0.1500.</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CenterPoint Energy paid dividends on its Series A Preferred Stock during the six months ended June 30, 2020 and 2019 as presented in the table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vMerge w:val="restart"/>
          </w:tcPr>
          <w:p>
            <w:pPr>
              <w:spacing w:after="0"/>
              <w:rPr>
                <w:sz w:val="14"/>
                <w:szCs w:val="14"/>
                <w:color w:val="auto"/>
              </w:rPr>
            </w:pPr>
          </w:p>
        </w:tc>
        <w:tc>
          <w:tcPr>
            <w:tcW w:w="24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Record Date</w:t>
            </w:r>
          </w:p>
        </w:tc>
        <w:tc>
          <w:tcPr>
            <w:tcW w:w="120" w:type="dxa"/>
            <w:vAlign w:val="bottom"/>
            <w:vMerge w:val="restart"/>
          </w:tcPr>
          <w:p>
            <w:pPr>
              <w:spacing w:after="0"/>
              <w:rPr>
                <w:sz w:val="14"/>
                <w:szCs w:val="14"/>
                <w:color w:val="auto"/>
              </w:rPr>
            </w:pPr>
          </w:p>
        </w:tc>
        <w:tc>
          <w:tcPr>
            <w:tcW w:w="24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Payment Date</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Per Share</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6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2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February 3, 2020</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14, 2020</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2, 2020</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30.6250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83"/>
        </w:trPr>
        <w:tc>
          <w:tcPr>
            <w:tcW w:w="26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Total 2020</w:t>
            </w:r>
          </w:p>
        </w:tc>
        <w:tc>
          <w:tcPr>
            <w:tcW w:w="2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30.6250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11"/>
        </w:trPr>
        <w:tc>
          <w:tcPr>
            <w:tcW w:w="2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00" w:type="dxa"/>
            <w:vAlign w:val="bottom"/>
            <w:gridSpan w:val="2"/>
          </w:tcPr>
          <w:p>
            <w:pPr>
              <w:ind w:left="40"/>
              <w:spacing w:after="0"/>
              <w:rPr>
                <w:sz w:val="20"/>
                <w:szCs w:val="20"/>
                <w:color w:val="auto"/>
              </w:rPr>
            </w:pPr>
            <w:r>
              <w:rPr>
                <w:rFonts w:ascii="Arial" w:cs="Arial" w:eastAsia="Arial" w:hAnsi="Arial"/>
                <w:sz w:val="16"/>
                <w:szCs w:val="16"/>
                <w:color w:val="auto"/>
              </w:rPr>
              <w:t>December 12, 2018</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February 15, 2019</w:t>
            </w:r>
          </w:p>
        </w:tc>
        <w:tc>
          <w:tcPr>
            <w:tcW w:w="2580" w:type="dxa"/>
            <w:vAlign w:val="bottom"/>
            <w:gridSpan w:val="2"/>
          </w:tcPr>
          <w:p>
            <w:pPr>
              <w:ind w:left="20"/>
              <w:spacing w:after="0"/>
              <w:rPr>
                <w:sz w:val="20"/>
                <w:szCs w:val="20"/>
                <w:color w:val="auto"/>
              </w:rPr>
            </w:pPr>
            <w:r>
              <w:rPr>
                <w:rFonts w:ascii="Arial" w:cs="Arial" w:eastAsia="Arial" w:hAnsi="Arial"/>
                <w:sz w:val="16"/>
                <w:szCs w:val="16"/>
                <w:color w:val="auto"/>
              </w:rPr>
              <w:t>March 1, 2019</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32.1563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1"/>
              </w:rPr>
              <w:t>Total 2019</w:t>
            </w:r>
          </w:p>
        </w:tc>
        <w:tc>
          <w:tcPr>
            <w:tcW w:w="2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32.1563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CenterPoint Energy paid dividends on its Series B Preferred Stock during the six months ended June 30, 2020 and 2019 as presented in the table below:</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Declaration Date</w:t>
            </w:r>
          </w:p>
        </w:tc>
        <w:tc>
          <w:tcPr>
            <w:tcW w:w="120" w:type="dxa"/>
            <w:vAlign w:val="bottom"/>
            <w:vMerge w:val="restart"/>
          </w:tcPr>
          <w:p>
            <w:pPr>
              <w:spacing w:after="0"/>
              <w:rPr>
                <w:sz w:val="14"/>
                <w:szCs w:val="14"/>
                <w:color w:val="auto"/>
              </w:rPr>
            </w:pPr>
          </w:p>
        </w:tc>
        <w:tc>
          <w:tcPr>
            <w:tcW w:w="258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Record Date</w:t>
            </w:r>
          </w:p>
        </w:tc>
        <w:tc>
          <w:tcPr>
            <w:tcW w:w="120" w:type="dxa"/>
            <w:vAlign w:val="bottom"/>
            <w:vMerge w:val="restart"/>
          </w:tcPr>
          <w:p>
            <w:pPr>
              <w:spacing w:after="0"/>
              <w:rPr>
                <w:sz w:val="14"/>
                <w:szCs w:val="14"/>
                <w:color w:val="auto"/>
              </w:rPr>
            </w:pPr>
          </w:p>
        </w:tc>
        <w:tc>
          <w:tcPr>
            <w:tcW w:w="24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Per Share</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6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3, 2020</w:t>
            </w: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14, 2020</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2, 2020</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17.5000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April 24, 2020</w:t>
            </w:r>
          </w:p>
        </w:tc>
        <w:tc>
          <w:tcPr>
            <w:tcW w:w="2700" w:type="dxa"/>
            <w:vAlign w:val="bottom"/>
            <w:gridSpan w:val="2"/>
          </w:tcPr>
          <w:p>
            <w:pPr>
              <w:ind w:left="20"/>
              <w:spacing w:after="0"/>
              <w:rPr>
                <w:sz w:val="20"/>
                <w:szCs w:val="20"/>
                <w:color w:val="auto"/>
              </w:rPr>
            </w:pPr>
            <w:r>
              <w:rPr>
                <w:rFonts w:ascii="Arial" w:cs="Arial" w:eastAsia="Arial" w:hAnsi="Arial"/>
                <w:sz w:val="16"/>
                <w:szCs w:val="16"/>
                <w:color w:val="auto"/>
              </w:rPr>
              <w:t>May 15, 2020</w:t>
            </w:r>
          </w:p>
        </w:tc>
        <w:tc>
          <w:tcPr>
            <w:tcW w:w="2560" w:type="dxa"/>
            <w:vAlign w:val="bottom"/>
            <w:gridSpan w:val="2"/>
          </w:tcPr>
          <w:p>
            <w:pPr>
              <w:ind w:left="20"/>
              <w:spacing w:after="0"/>
              <w:rPr>
                <w:sz w:val="20"/>
                <w:szCs w:val="20"/>
                <w:color w:val="auto"/>
              </w:rPr>
            </w:pPr>
            <w:r>
              <w:rPr>
                <w:rFonts w:ascii="Arial" w:cs="Arial" w:eastAsia="Arial" w:hAnsi="Arial"/>
                <w:sz w:val="16"/>
                <w:szCs w:val="16"/>
                <w:color w:val="auto"/>
              </w:rPr>
              <w:t>June 1, 2020</w:t>
            </w:r>
          </w:p>
        </w:tc>
        <w:tc>
          <w:tcPr>
            <w:tcW w:w="3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17.5000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b w:val="1"/>
                <w:bCs w:val="1"/>
                <w:color w:val="auto"/>
              </w:rPr>
              <w:t>Total 2020</w:t>
            </w:r>
          </w:p>
        </w:tc>
        <w:tc>
          <w:tcPr>
            <w:tcW w:w="2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12, 2018</w:t>
            </w: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15, 2019</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1, 2019</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April 25, 2019</w:t>
            </w:r>
          </w:p>
        </w:tc>
        <w:tc>
          <w:tcPr>
            <w:tcW w:w="2700" w:type="dxa"/>
            <w:vAlign w:val="bottom"/>
            <w:gridSpan w:val="2"/>
          </w:tcPr>
          <w:p>
            <w:pPr>
              <w:ind w:left="20"/>
              <w:spacing w:after="0"/>
              <w:rPr>
                <w:sz w:val="20"/>
                <w:szCs w:val="20"/>
                <w:color w:val="auto"/>
              </w:rPr>
            </w:pPr>
            <w:r>
              <w:rPr>
                <w:rFonts w:ascii="Arial" w:cs="Arial" w:eastAsia="Arial" w:hAnsi="Arial"/>
                <w:sz w:val="16"/>
                <w:szCs w:val="16"/>
                <w:color w:val="auto"/>
              </w:rPr>
              <w:t>May 15, 2019</w:t>
            </w:r>
          </w:p>
        </w:tc>
        <w:tc>
          <w:tcPr>
            <w:tcW w:w="2560" w:type="dxa"/>
            <w:vAlign w:val="bottom"/>
            <w:gridSpan w:val="2"/>
          </w:tcPr>
          <w:p>
            <w:pPr>
              <w:ind w:left="20"/>
              <w:spacing w:after="0"/>
              <w:rPr>
                <w:sz w:val="20"/>
                <w:szCs w:val="20"/>
                <w:color w:val="auto"/>
              </w:rPr>
            </w:pPr>
            <w:r>
              <w:rPr>
                <w:rFonts w:ascii="Arial" w:cs="Arial" w:eastAsia="Arial" w:hAnsi="Arial"/>
                <w:sz w:val="16"/>
                <w:szCs w:val="16"/>
                <w:color w:val="auto"/>
              </w:rPr>
              <w:t>June 3, 2019</w:t>
            </w:r>
          </w:p>
        </w:tc>
        <w:tc>
          <w:tcPr>
            <w:tcW w:w="32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17.5000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b w:val="1"/>
                <w:bCs w:val="1"/>
                <w:color w:val="auto"/>
              </w:rPr>
              <w:t>Total 2019</w:t>
            </w:r>
          </w:p>
        </w:tc>
        <w:tc>
          <w:tcPr>
            <w:tcW w:w="2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CenterPoint Energy paid dividends on its Series C Preferred Stock during the six months ended June 30, 2020 as presented in the table below:</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Declaration Date</w:t>
            </w:r>
          </w:p>
        </w:tc>
        <w:tc>
          <w:tcPr>
            <w:tcW w:w="340" w:type="dxa"/>
            <w:vAlign w:val="bottom"/>
          </w:tcPr>
          <w:p>
            <w:pPr>
              <w:spacing w:after="0"/>
              <w:rPr>
                <w:sz w:val="14"/>
                <w:szCs w:val="14"/>
                <w:color w:val="auto"/>
              </w:rPr>
            </w:pPr>
          </w:p>
        </w:tc>
        <w:tc>
          <w:tcPr>
            <w:tcW w:w="24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Record Date</w:t>
            </w:r>
          </w:p>
        </w:tc>
        <w:tc>
          <w:tcPr>
            <w:tcW w:w="120" w:type="dxa"/>
            <w:vAlign w:val="bottom"/>
            <w:vMerge w:val="restart"/>
          </w:tcPr>
          <w:p>
            <w:pPr>
              <w:spacing w:after="0"/>
              <w:rPr>
                <w:sz w:val="14"/>
                <w:szCs w:val="14"/>
                <w:color w:val="auto"/>
              </w:rPr>
            </w:pPr>
          </w:p>
        </w:tc>
        <w:tc>
          <w:tcPr>
            <w:tcW w:w="24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Payment Date</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vMerge w:val="restart"/>
          </w:tcPr>
          <w:p>
            <w:pPr>
              <w:jc w:val="right"/>
              <w:ind w:right="442"/>
              <w:spacing w:after="0"/>
              <w:rPr>
                <w:sz w:val="20"/>
                <w:szCs w:val="20"/>
                <w:color w:val="auto"/>
              </w:rPr>
            </w:pPr>
            <w:r>
              <w:rPr>
                <w:rFonts w:ascii="Arial" w:cs="Arial" w:eastAsia="Arial" w:hAnsi="Arial"/>
                <w:sz w:val="14"/>
                <w:szCs w:val="14"/>
                <w:b w:val="1"/>
                <w:bCs w:val="1"/>
                <w:color w:val="auto"/>
              </w:rPr>
              <w:t>Per Share</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ind w:right="5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2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24, 2020</w:t>
            </w:r>
          </w:p>
        </w:tc>
        <w:tc>
          <w:tcPr>
            <w:tcW w:w="2920" w:type="dxa"/>
            <w:vAlign w:val="bottom"/>
            <w:gridSpan w:val="3"/>
            <w:shd w:val="clear" w:color="auto" w:fill="CCEEFF"/>
          </w:tcPr>
          <w:p>
            <w:pPr>
              <w:ind w:left="20"/>
              <w:spacing w:after="0"/>
              <w:rPr>
                <w:sz w:val="20"/>
                <w:szCs w:val="20"/>
                <w:color w:val="auto"/>
              </w:rPr>
            </w:pPr>
            <w:r>
              <w:rPr>
                <w:rFonts w:ascii="Arial" w:cs="Arial" w:eastAsia="Arial" w:hAnsi="Arial"/>
                <w:sz w:val="21"/>
                <w:szCs w:val="21"/>
                <w:color w:val="auto"/>
                <w:vertAlign w:val="subscript"/>
              </w:rPr>
              <w:t>(1)</w:t>
            </w:r>
            <w:r>
              <w:rPr>
                <w:rFonts w:ascii="Arial" w:cs="Arial" w:eastAsia="Arial" w:hAnsi="Arial"/>
                <w:sz w:val="16"/>
                <w:szCs w:val="16"/>
                <w:color w:val="auto"/>
              </w:rPr>
              <w:t xml:space="preserve">    May 21, 2020</w:t>
            </w:r>
          </w:p>
        </w:tc>
        <w:tc>
          <w:tcPr>
            <w:tcW w:w="2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June 11, 2020</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0.1500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4"/>
        </w:trPr>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1"/>
              </w:rPr>
              <w:t>Total 2020</w:t>
            </w:r>
          </w:p>
        </w:tc>
        <w:tc>
          <w:tcPr>
            <w:tcW w:w="3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0.1500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86"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Declaration date for dividends on Common Stock. The Series C Preferred Stock is entitled to participate in any dividend or distribution (excluding those payable in Common Stock) with the Common Stock on a pari passu, pro rata, as-converted basis. The per share amount reflects the dividend per share of Common Stock as if the Series C Preferred Stock were converted into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Allocated to Preferred Shareholders (CenterPoint Energy)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080" w:type="dxa"/>
            <w:vAlign w:val="bottom"/>
          </w:tcPr>
          <w:p>
            <w:pPr>
              <w:spacing w:after="0"/>
              <w:rPr>
                <w:sz w:val="22"/>
                <w:szCs w:val="22"/>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Stock</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Series B Preferred Stock</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34</w:t>
            </w: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C Preferred Stock</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080" w:type="dxa"/>
            <w:vAlign w:val="bottom"/>
          </w:tcPr>
          <w:p>
            <w:pPr>
              <w:ind w:left="340"/>
              <w:spacing w:after="0"/>
              <w:rPr>
                <w:sz w:val="20"/>
                <w:szCs w:val="20"/>
                <w:color w:val="auto"/>
              </w:rPr>
            </w:pPr>
            <w:r>
              <w:rPr>
                <w:rFonts w:ascii="Arial" w:cs="Arial" w:eastAsia="Arial" w:hAnsi="Arial"/>
                <w:sz w:val="18"/>
                <w:szCs w:val="18"/>
                <w:color w:val="auto"/>
              </w:rPr>
              <w:t>Preferred dividend requirement</w:t>
            </w:r>
          </w:p>
        </w:tc>
        <w:tc>
          <w:tcPr>
            <w:tcW w:w="10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w:t>
            </w: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beneficial conversion feature</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080" w:type="dxa"/>
            <w:vAlign w:val="bottom"/>
          </w:tcPr>
          <w:p>
            <w:pPr>
              <w:ind w:left="520"/>
              <w:spacing w:after="0"/>
              <w:rPr>
                <w:sz w:val="20"/>
                <w:szCs w:val="20"/>
                <w:color w:val="auto"/>
              </w:rPr>
            </w:pPr>
            <w:r>
              <w:rPr>
                <w:rFonts w:ascii="Arial" w:cs="Arial" w:eastAsia="Arial" w:hAnsi="Arial"/>
                <w:sz w:val="18"/>
                <w:szCs w:val="18"/>
                <w:color w:val="auto"/>
              </w:rPr>
              <w:t>Total income allocated to preferred shareholders</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w:t>
            </w:r>
          </w:p>
        </w:tc>
      </w:tr>
      <w:tr>
        <w:trPr>
          <w:trHeight w:val="20"/>
        </w:trPr>
        <w:tc>
          <w:tcPr>
            <w:tcW w:w="5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accumulated comprehensive income (loss)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 June 30,</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9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Houston Electric</w:t>
            </w:r>
          </w:p>
        </w:tc>
        <w:tc>
          <w:tcPr>
            <w:tcW w:w="160" w:type="dxa"/>
            <w:vAlign w:val="bottom"/>
          </w:tcPr>
          <w:p>
            <w:pPr>
              <w:spacing w:after="0"/>
              <w:rPr>
                <w:sz w:val="13"/>
                <w:szCs w:val="13"/>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3"/>
                <w:szCs w:val="13"/>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w w:val="94"/>
              </w:rPr>
              <w:t>Amounts reclassified from accumulated other comprehensive loss:</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Prior service cost (2)</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20" w:type="dxa"/>
            <w:vAlign w:val="bottom"/>
          </w:tcPr>
          <w:p>
            <w:pPr>
              <w:ind w:left="360"/>
              <w:spacing w:after="0"/>
              <w:rPr>
                <w:sz w:val="20"/>
                <w:szCs w:val="20"/>
                <w:color w:val="auto"/>
              </w:rPr>
            </w:pPr>
            <w:r>
              <w:rPr>
                <w:rFonts w:ascii="Arial" w:cs="Arial" w:eastAsia="Arial" w:hAnsi="Arial"/>
                <w:sz w:val="14"/>
                <w:szCs w:val="14"/>
                <w:color w:val="auto"/>
              </w:rPr>
              <w:t>Actuarial losses (2)</w:t>
            </w: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92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9"/>
              </w:rPr>
              <w:t>Reclassification of deferred loss from cash flow hedges to</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regulatory assets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Tax expense</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392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6"/>
                <w:szCs w:val="16"/>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Six Months Ended June 30,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Houston Electric</w:t>
            </w:r>
          </w:p>
        </w:tc>
        <w:tc>
          <w:tcPr>
            <w:tcW w:w="20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CenterPoint</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3"/>
                <w:szCs w:val="13"/>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Deferred gain (loss) from interest rate derivatives </w:t>
            </w:r>
            <w:r>
              <w:rPr>
                <w:rFonts w:ascii="Arial" w:cs="Arial" w:eastAsia="Arial" w:hAnsi="Arial"/>
                <w:sz w:val="10"/>
                <w:szCs w:val="10"/>
                <w:color w:val="auto"/>
              </w:rPr>
              <w:t>(1)</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20" w:type="dxa"/>
            <w:vAlign w:val="bottom"/>
          </w:tcPr>
          <w:p>
            <w:pPr>
              <w:ind w:left="360"/>
              <w:spacing w:after="0"/>
              <w:rPr>
                <w:sz w:val="20"/>
                <w:szCs w:val="20"/>
                <w:color w:val="auto"/>
              </w:rPr>
            </w:pPr>
            <w:r>
              <w:rPr>
                <w:rFonts w:ascii="Arial" w:cs="Arial" w:eastAsia="Arial" w:hAnsi="Arial"/>
                <w:sz w:val="14"/>
                <w:szCs w:val="14"/>
                <w:color w:val="auto"/>
              </w:rPr>
              <w:t>Other comprehensive loss from unconsolidated affiliates</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Amounts reclassified from accumulated other comprehensive loss:</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20" w:type="dxa"/>
            <w:vAlign w:val="bottom"/>
          </w:tcPr>
          <w:p>
            <w:pPr>
              <w:ind w:left="36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0"/>
                <w:szCs w:val="10"/>
                <w:color w:val="auto"/>
              </w:rPr>
              <w:t>(2)</w:t>
            </w: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0"/>
                <w:szCs w:val="10"/>
                <w:color w:val="auto"/>
              </w:rPr>
              <w:t>(2)</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920" w:type="dxa"/>
            <w:vAlign w:val="bottom"/>
          </w:tcPr>
          <w:p>
            <w:pPr>
              <w:ind w:left="360"/>
              <w:spacing w:after="0" w:line="157" w:lineRule="exact"/>
              <w:rPr>
                <w:sz w:val="20"/>
                <w:szCs w:val="20"/>
                <w:color w:val="auto"/>
              </w:rPr>
            </w:pPr>
            <w:r>
              <w:rPr>
                <w:rFonts w:ascii="Arial" w:cs="Arial" w:eastAsia="Arial" w:hAnsi="Arial"/>
                <w:sz w:val="14"/>
                <w:szCs w:val="14"/>
                <w:color w:val="auto"/>
              </w:rPr>
              <w:t>Reclassification of deferred loss from cash flow hedges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520"/>
              <w:spacing w:after="0"/>
              <w:rPr>
                <w:sz w:val="20"/>
                <w:szCs w:val="20"/>
                <w:color w:val="auto"/>
              </w:rPr>
            </w:pPr>
            <w:r>
              <w:rPr>
                <w:rFonts w:ascii="Arial" w:cs="Arial" w:eastAsia="Arial" w:hAnsi="Arial"/>
                <w:sz w:val="14"/>
                <w:szCs w:val="14"/>
                <w:color w:val="auto"/>
              </w:rPr>
              <w:t>realized in net income</w:t>
            </w:r>
          </w:p>
        </w:tc>
        <w:tc>
          <w:tcPr>
            <w:tcW w:w="1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92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6"/>
              </w:rPr>
              <w:t>Reclassification of net deferred loss from cash flow hedges</w:t>
            </w: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3920" w:type="dxa"/>
            <w:vAlign w:val="bottom"/>
            <w:shd w:val="clear" w:color="auto" w:fill="CCEEFF"/>
          </w:tcPr>
          <w:p>
            <w:pPr>
              <w:ind w:left="520"/>
              <w:spacing w:after="0"/>
              <w:rPr>
                <w:sz w:val="20"/>
                <w:szCs w:val="20"/>
                <w:color w:val="auto"/>
              </w:rPr>
            </w:pPr>
            <w:r>
              <w:rPr>
                <w:rFonts w:ascii="Arial" w:cs="Arial" w:eastAsia="Arial" w:hAnsi="Arial"/>
                <w:sz w:val="11"/>
                <w:szCs w:val="11"/>
                <w:color w:val="auto"/>
              </w:rPr>
              <w:t>(3)</w:t>
            </w:r>
          </w:p>
        </w:tc>
        <w:tc>
          <w:tcPr>
            <w:tcW w:w="14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Tax expense</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current period other comprehensive income (loss)</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311"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Gains and losses are reclassified from Accumulated other comprehensive income into income when the hedged transactions affect earnings. The reclassification amounts are included in Interest and other finance charges in each of the Registrants’ respective Statements of Consolidated Income. Over the next twelve months estimated amortization from Accumulated Comprehensive Income into income is expected to be immaterial.</w:t>
      </w:r>
    </w:p>
    <w:p>
      <w:pPr>
        <w:spacing w:after="0" w:line="1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are included in the computation of net periodic cost and are reflected in Other income (expense), net in each of the Registrants’ respective Statements of Consolidated Income.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debt approved by the PUCT as part of Houston Electric’s Stipulation and Settlement Agreement included unrealized gains and losses on interest rate hedges. Accordingly, deferred gains and losses on interest rate hedges were reclassified to regulatory assets or liabilities, as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Private Placement (CenterPoint Energy)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6, 2020, CenterPoint Energy entered into agreements for the private placement of 725,000 shares of its Series C Preferred Stock, at a price of $1,000 share, resulting in net proceeds of $724 million after issuance costs.</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Series C Preferred Stock is entitled to participate in any dividend or distribution (excluding those payable in Common Stock) with the Common Stock on a pari passu, pro rata, as-converted basis. At liquidation, the Series C Preferred Stock will rank pari passu to the existing Series A Preferred Stock and Series B Preferred Stock and senior to the Common Stock, but will participate in a liquidation only on an as-converted to Common Stock basis.</w:t>
      </w:r>
    </w:p>
    <w:p>
      <w:pPr>
        <w:spacing w:after="0" w:line="14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Conversion of the Series C Preferred Stock is mandatory upon the occurrence of any of the following triggers: (i) the 12-month anniversary date of the preferred stock purchase agreements, (ii) a bankruptcy event, and (iii) a fundamental change in CenterPoint Energy, including, among other things certain change of control events. Upon a mandatory conversion, each share of Series C Preferred Stock will convert into the number of Common Stock equal to the quotient of $1,000 divided by the prevailing conversion price, which is initially $15.31. In a conversion at the 12-month anniversary date, in lieu of issuing Common Stock, CenterPoint Energy may, at its election, make a cash payment equal to the product of (i) the then current market price of the Common Stock multiplied by (ii) the number of shares of Common Stock that such holder would have been entitled to receive in a conversion. Following the six-month anniversary date of the issuance of the Series C Preferred Stock, holders of Series C Preferred Stock also have an optional right to convert their holdings to Common Stock at any time, subject to a limit on conversion of no more than 4.9% of the outstanding Common Stock. The conversion price is subject to adjustment for subdivisions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combinations, dividends or distributions payable in common stock. If all of the 725,000 shares of Series C Preferred Stock converted at the initial conversion price, CenterPoint Energy would issue an incremental 47,354,670 shares of Common Stock.</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 may not issue more than a specified amount of outstanding Common Stock upon conversion of Preferred Stock. Once such specified amount has been reached, each Series C Preferred Stock holder electing to convert or subject to mandatory conversion will receive a cash payment equal to the product of (i) the market price of the Common Stock multiplied by (ii) the number of shares of Common Stock that such holder would have been entitled to receive in a conversion. On June 1, 2020, CenterPoint Energy filed a shelf registration statement with the SEC registering 58,051,121 shares of Common Stock, equal to the maximum number of shares of Common Stock issuable in the aggregate upon conversion of the Series C Preferred Stock pursuant to the preferred stock purchase agreements.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Series C Preferred Stock holders have no voting rights, except that the affirmative vote of a majority of outstanding Series C Preferred Stock is required for the company to (i) create any class or series of securities that is senior to the Series C Preferred Stock; (ii) reclassify or amend any authorized securities of CenterPoint Energy if reclassification would render the relevant security senior to the Series C Preferred Stock; or (iii) increase the authorized amount or issue any additional shares of Series C Preferred Stock.</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vote of at least 66 2/3% of the outstanding shares of Series C Preferred Stock is needed to amend the terms of the Series C Preferred Stock in any manner that would adversely alter or change the rights of the Series C Preferred Stock, subject to certain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Private Placement (CenterPoint Energy)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May 6, 2020, CenterPoint Energy entered into agreements for the private placement of 41,977,612 shares of its Common Stock, at a price of $16.08 share, resulting in net proceeds of $673 million after issuance costs. On June 1, 2020, CenterPoint Energy filed a shelf registration statement with the SEC registering these 41,977,612 shares of Common Stock.</w:t>
      </w:r>
    </w:p>
    <w:p>
      <w:pPr>
        <w:spacing w:after="0" w:line="180" w:lineRule="exact"/>
        <w:rPr>
          <w:sz w:val="20"/>
          <w:szCs w:val="20"/>
          <w:color w:val="auto"/>
        </w:rPr>
      </w:pPr>
    </w:p>
    <w:p>
      <w:pPr>
        <w:jc w:val="center"/>
        <w:ind w:right="7720"/>
        <w:spacing w:after="0"/>
        <w:rPr>
          <w:sz w:val="20"/>
          <w:szCs w:val="20"/>
          <w:color w:val="auto"/>
        </w:rPr>
      </w:pPr>
      <w:r>
        <w:rPr>
          <w:rFonts w:ascii="Arial" w:cs="Arial" w:eastAsia="Arial" w:hAnsi="Arial"/>
          <w:sz w:val="16"/>
          <w:szCs w:val="16"/>
          <w:b w:val="1"/>
          <w:bCs w:val="1"/>
          <w:color w:val="auto"/>
        </w:rPr>
        <w:t>(20) Subsequent Events (CenterPoint Energy)</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CenterPoint Energy Dividend Declarations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Equity Instrument</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Per Share</w:t>
            </w:r>
          </w:p>
        </w:tc>
      </w:tr>
      <w:tr>
        <w:trPr>
          <w:trHeight w:val="236"/>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July 29, 2020</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August 20, 2020</w:t>
            </w: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September 10, 2020</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0.1500</w:t>
            </w:r>
          </w:p>
        </w:tc>
      </w:tr>
      <w:tr>
        <w:trPr>
          <w:trHeight w:val="237"/>
        </w:trPr>
        <w:tc>
          <w:tcPr>
            <w:tcW w:w="4180" w:type="dxa"/>
            <w:vAlign w:val="bottom"/>
            <w:gridSpan w:val="2"/>
          </w:tcPr>
          <w:p>
            <w:pPr>
              <w:ind w:left="40"/>
              <w:spacing w:after="0"/>
              <w:rPr>
                <w:sz w:val="20"/>
                <w:szCs w:val="20"/>
                <w:color w:val="auto"/>
              </w:rPr>
            </w:pPr>
            <w:r>
              <w:rPr>
                <w:rFonts w:ascii="Arial" w:cs="Arial" w:eastAsia="Arial" w:hAnsi="Arial"/>
                <w:sz w:val="16"/>
                <w:szCs w:val="16"/>
                <w:color w:val="auto"/>
              </w:rPr>
              <w:t>Series A Preferred Stock</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July 29, 2020</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August 14, 2020</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September 1, 2020</w:t>
            </w: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30.6250</w:t>
            </w:r>
          </w:p>
        </w:tc>
      </w:tr>
      <w:tr>
        <w:trPr>
          <w:trHeight w:val="33"/>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Series B Preferred Stock</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July 29, 2020</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August 14, 2020</w:t>
            </w:r>
          </w:p>
        </w:tc>
        <w:tc>
          <w:tcPr>
            <w:tcW w:w="1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September 1, 2020</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17.5000</w:t>
            </w:r>
          </w:p>
        </w:tc>
      </w:tr>
      <w:tr>
        <w:trPr>
          <w:trHeight w:val="237"/>
        </w:trPr>
        <w:tc>
          <w:tcPr>
            <w:tcW w:w="4180" w:type="dxa"/>
            <w:vAlign w:val="bottom"/>
            <w:gridSpan w:val="2"/>
          </w:tcPr>
          <w:p>
            <w:pPr>
              <w:ind w:left="40"/>
              <w:spacing w:after="0"/>
              <w:rPr>
                <w:sz w:val="20"/>
                <w:szCs w:val="20"/>
                <w:color w:val="auto"/>
              </w:rPr>
            </w:pPr>
            <w:r>
              <w:rPr>
                <w:rFonts w:ascii="Arial" w:cs="Arial" w:eastAsia="Arial" w:hAnsi="Arial"/>
                <w:sz w:val="16"/>
                <w:szCs w:val="16"/>
                <w:color w:val="auto"/>
              </w:rPr>
              <w:t xml:space="preserve">Series C Preferred Stock </w:t>
            </w:r>
            <w:r>
              <w:rPr>
                <w:rFonts w:ascii="Arial" w:cs="Arial" w:eastAsia="Arial" w:hAnsi="Arial"/>
                <w:sz w:val="12"/>
                <w:szCs w:val="12"/>
                <w:color w:val="auto"/>
              </w:rPr>
              <w:t>(1)</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July 29, 2020</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August 20, 2020</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September 10, 2020</w:t>
            </w: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0.1500</w:t>
            </w:r>
          </w:p>
        </w:tc>
      </w:tr>
    </w:tbl>
    <w:p>
      <w:pPr>
        <w:spacing w:after="0" w:line="200" w:lineRule="exact"/>
        <w:rPr>
          <w:sz w:val="20"/>
          <w:szCs w:val="20"/>
          <w:color w:val="auto"/>
        </w:rPr>
      </w:pPr>
    </w:p>
    <w:p>
      <w:pPr>
        <w:spacing w:after="0" w:line="251" w:lineRule="exact"/>
        <w:rPr>
          <w:sz w:val="20"/>
          <w:szCs w:val="20"/>
          <w:color w:val="auto"/>
        </w:rPr>
      </w:pPr>
    </w:p>
    <w:p>
      <w:pPr>
        <w:jc w:val="both"/>
        <w:ind w:left="660" w:hanging="328"/>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Series C Preferred Stock is entitled to participate in any dividend or distribution (excluding those payable in Common Stock) with the Common Stock on a pari passu, pro rata, as-converted basis. The per share amount reflects the dividend per share of Common Stock as if the Series C Preferred Stock were converted into Common Stock.</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Enable Distributions Declarations (CenterPoint Energy)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 Unit</w:t>
            </w:r>
          </w:p>
        </w:tc>
        <w:tc>
          <w:tcPr>
            <w:tcW w:w="160" w:type="dxa"/>
            <w:vAlign w:val="bottom"/>
          </w:tcPr>
          <w:p>
            <w:pPr>
              <w:spacing w:after="0"/>
              <w:rPr>
                <w:sz w:val="14"/>
                <w:szCs w:val="14"/>
                <w:color w:val="auto"/>
              </w:rPr>
            </w:pPr>
          </w:p>
        </w:tc>
        <w:tc>
          <w:tcPr>
            <w:tcW w:w="1180" w:type="dxa"/>
            <w:vAlign w:val="bottom"/>
          </w:tcPr>
          <w:p>
            <w:pPr>
              <w:jc w:val="right"/>
              <w:ind w:right="144"/>
              <w:spacing w:after="0"/>
              <w:rPr>
                <w:sz w:val="20"/>
                <w:szCs w:val="20"/>
                <w:color w:val="auto"/>
              </w:rPr>
            </w:pPr>
            <w:r>
              <w:rPr>
                <w:rFonts w:ascii="Arial" w:cs="Arial" w:eastAsia="Arial" w:hAnsi="Arial"/>
                <w:sz w:val="14"/>
                <w:szCs w:val="14"/>
                <w:b w:val="1"/>
                <w:bCs w:val="1"/>
                <w:color w:val="auto"/>
                <w:w w:val="93"/>
              </w:rPr>
              <w:t>Expected Cash</w:t>
            </w:r>
          </w:p>
        </w:tc>
        <w:tc>
          <w:tcPr>
            <w:tcW w:w="0" w:type="dxa"/>
            <w:vAlign w:val="bottom"/>
          </w:tcPr>
          <w:p>
            <w:pPr>
              <w:spacing w:after="0"/>
              <w:rPr>
                <w:sz w:val="1"/>
                <w:szCs w:val="1"/>
                <w:color w:val="auto"/>
              </w:rPr>
            </w:pPr>
          </w:p>
        </w:tc>
      </w:tr>
      <w:tr>
        <w:trPr>
          <w:trHeight w:val="148"/>
        </w:trPr>
        <w:tc>
          <w:tcPr>
            <w:tcW w:w="258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Equity Instrument</w:t>
            </w:r>
          </w:p>
        </w:tc>
        <w:tc>
          <w:tcPr>
            <w:tcW w:w="120" w:type="dxa"/>
            <w:vAlign w:val="bottom"/>
            <w:vMerge w:val="restart"/>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vMerge w:val="restart"/>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20" w:type="dxa"/>
            <w:vAlign w:val="bottom"/>
            <w:vMerge w:val="restart"/>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224"/>
              <w:spacing w:after="0" w:line="149" w:lineRule="exact"/>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Distribution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Enable common units</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August 4, 2020</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August 18, 2020</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August 25, 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0.16525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2700" w:type="dxa"/>
            <w:vAlign w:val="bottom"/>
            <w:gridSpan w:val="2"/>
          </w:tcPr>
          <w:p>
            <w:pPr>
              <w:ind w:left="40"/>
              <w:spacing w:after="0"/>
              <w:rPr>
                <w:sz w:val="20"/>
                <w:szCs w:val="20"/>
                <w:color w:val="auto"/>
              </w:rPr>
            </w:pPr>
            <w:r>
              <w:rPr>
                <w:rFonts w:ascii="Arial" w:cs="Arial" w:eastAsia="Arial" w:hAnsi="Arial"/>
                <w:sz w:val="16"/>
                <w:szCs w:val="16"/>
                <w:color w:val="auto"/>
              </w:rPr>
              <w:t>Enable Series A Preferred Units</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4, 2020</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4, 2020</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August 14, 2020</w:t>
            </w:r>
          </w:p>
        </w:tc>
        <w:tc>
          <w:tcPr>
            <w:tcW w:w="200" w:type="dxa"/>
            <w:vAlign w:val="bottom"/>
          </w:tcPr>
          <w:p>
            <w:pPr>
              <w:spacing w:after="0"/>
              <w:rPr>
                <w:sz w:val="20"/>
                <w:szCs w:val="20"/>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0.62500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4"/>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both"/>
        <w:ind w:left="82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OF CENTERPOINT ENERGY, INC. AND SUBSIDIARIES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The following combined discussion and analysis should be read in combination with the Interim Condensed Financial Statements contained in this Form 10-Q and the Registrants’ combined 2019 Form 10-K. When discussing CenterPoint Energy’s consolidated financial information, it includes the results of Houston Electric and CERC, which, along with CenterPoint Energy, are collectively referred to as the Registrants. Where appropriate, information relating to a specific Registrant has been segregated and labeled as such. In this Form 10-Q, the terms “our,” “we” and “us” are used as abbreviated references to CenterPoint Energy, Inc. together with its consolidated subsidiaries. No Registrant makes any representations as to the information related solely to CenterPoint Energy or the subsidiaries of CenterPoint Energy other than itself.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b w:val="1"/>
          <w:bCs w:val="1"/>
          <w:i w:val="1"/>
          <w:iCs w:val="1"/>
          <w:color w:val="auto"/>
        </w:rPr>
        <w:t xml:space="preserve">COVID-19 Impacts. </w:t>
      </w:r>
      <w:r>
        <w:rPr>
          <w:rFonts w:ascii="Arial" w:cs="Arial" w:eastAsia="Arial" w:hAnsi="Arial"/>
          <w:sz w:val="17"/>
          <w:szCs w:val="17"/>
          <w:color w:val="auto"/>
        </w:rPr>
        <w:t>On March 11, 2020, the World Health Organization declared the current COVID-19 outbreak to be a global pandemic, and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13, 2020, the United States declared a national emergency. In response to these declarations and the rapid spread of COVID-19, federal, state and local governments have imposed varying degrees of restrictions on business and social activities to contain COVID-19, including business shutdowns and closures, travel restrictions, quarantines, curfews, shelter in place and “stay-at-home” orders in our service territories. State and local authorities have also implemented multi-step policies with the goal of re-opening various sectors of the economy such as retail establishments, health and personal care businesses, and restaurants, among others. However, despite extensive planning and mitigation efforts by the states in our service territories, COVID-19 cases continued to increase, requiring governing authorities to continuously reassess re-opening plans for their jurisdictions. For example, the governor of the state of Texas issued orders in April 2020 to allow businesses to re-open at varying levels of capacity in May and June 2020. To address the June 2020 spike in COVID-19 cases, including in Houston, such reopening activities were temporarily paused or scaled back, and also included closing certain establishments. Similarly, the governor of the state of Indiana announced that the state would delay entering the final phase of its re-opening plan. We have experienced some resulting disruptions to our business operations, as these restrictions have significantly impacted many sectors of the economy with various businesses curtailing or ceasing normal operations. For example, since mid-March, we have had to restrict access to our administrative offices around the United States. However, we continue to be productive through alternate work arrangements, leveraging a strong technology platform to support our employees working remotely at home to perform their duties or directly from their vehicles to serve our customers. Where we must maintain a presence in the field, we have adjusted our operational protocols to minimize exposure and risk to our field personnel, customers and the communities we serve, including, among other things, modifying our work schedules and reporting locations, delaying certain work types, such as maintenance and capital projects, and adjusting project scope and scale to adhere to safety protocols, while continuing to maintain the work activities necessary for safe and reliable service to our customers with increased safety precautions.</w:t>
      </w:r>
    </w:p>
    <w:p>
      <w:pPr>
        <w:spacing w:after="0" w:line="19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Our first priority in our response to this crisis has been the health and safety of our employees, our customers and other business counterparties. Because we provide a critical service to our customers, it is paramount that we keep our employees who operate our business safe and informed, and we have taken and are updating precautions for that purpose. We have implemented preventative measures and developed corporate and regional response plans to minimize unnecessary risk of exposure and prevent infection, while supporting our customers’ operations under the circumstances. When an employee tests positive for COVID-19, we investigate appropriately and take action to identify and notify potentially exposed individuals, coordinate testing and clean work locations, among other precautionary measures. If our employees feel sick or are awaiting COVID-19 test results, they do not report to their respective work locations in an effort to protect the health and safety of other employees. In addition, we have assessed and updated our existing business continuity plans for each of our business units in the context of this pandemic. We have a corporate response planning team who assesses risks to the business, including for health, safety and environmental matters and personnel issues, and addresses various impacts of the situation, as they have been developing. We also have modified certain business practices (including those related to employee travel, employee work locations and participation in meetings, events and conferences) to conform to government restrictions and best practices encouraged by the Centers for Disease Control and Prevention, the World Health Organization and other governmental and regulatory authorities. We are continuing to address concerns to protect the health and safety of our employees and those of our customers and other business counterparties, and this includes changes to comply with health-related guidelines as they are modified and supplemented. We are continuing to work with our suppliers to understand the potential impacts to our supply chain, including identifying any negative impacts to material supplies, working to mitigate them and pre-planning for longer-term emergency response protocols. Since March 2020, we have not experienced significant disruptions or challenges with respect to our supply chain from the COVID-19 pandemic as a result of the aforementioned efforts with our core vendors and suppliers. This is a continuously evolving situation and could lead to further disruption of economic activity in our markets; we will continue to monitor developments affecting our workforce, our customers and our suppliers and take additional precautions as we believe are warranted.</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extended slowdown of economic growth, decreased demand for commodities and/or material changes in governmental or regulatory policy in the United States has resulted in, and could continue to result in, lower growth, including customer growth,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and reduced demand for and usage of electricity and natural gas in our service territories as customer facilities continue to close or remain closed. While residential electric usage has increased as individuals continue to stay at home or work remotely, our business has experienced reduced demand and usage among our electric and natural gas commercial and industrial customers as well as a decrease in revenues from disconnections and reconnections due to the disconnect moratorium across our service territories due to COVID-19. Certain aspects of Houston Electric’s rate design could mitigate the negative impact of reduced demand among commercial and industrial users. The ability of our customers, contractors and suppliers to meet their obligations to us, including payment obligations, has also been negatively impacted under the current economic conditions. For Houston Electric, we are following PUCT orders regarding disconnection practices related to those customers impacted by COVID-19. Although one of Houston Electric’s REPs filed for bankruptcy in April 2020 due to COVID-19, Houston Electric has not experienced significant impacts with respect to its customers meeting their payment obligations since March 2020. In our NGD service territories and for Indiana Electric, we have informed customers that disconnections for non-payment have been temporarily suspended and in certain service territories continue to be temporarily suspended. Consequently, as a result of the disconnect moratorium across our NGD service territories and other payment deferrals or arrangements, days outstanding on receivables and uncollectible accounts have increased, resulting in an increase to allowance for doubtful accounts. To the extent these conditions in our service territories persist, our bad debt expense from uncollectible accounts could continue to increase, negatively impacting our financial condition, results of operations and cash flows. Our NGD service territories and Indiana Electric have either (1) received authority from their public utility commissions to defer bad debt expense associated with COVID-19 as a regulatory asset or (2) exercised existing authority to recover bad debt expense through an existing tracking mechanism. Additionally, while we have not experienced delays to date due to COVID-19 with respect to our regulatory proceedings, we could experience significant delays in scheduling proceedings or hearings and in obtaining orders from regulatory agencies. Any such delays could adversely affect our future results of operations.</w:t>
      </w:r>
    </w:p>
    <w:p>
      <w:pPr>
        <w:spacing w:after="0" w:line="1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macroeconomic conditions and the decline in our Common Stock price, we identified a triggering event to perform an interim goodwill impairment test as of March 31, 2020 and recognized a non-cash goodwill impairment charge of $185 million in our Indiana Electric Integrated reporting unit for the three months ended March 31, 2020. For further discussion of this impairment, see Note 10 to the Interim Condensed Financial Statements. CenterPoint Energy and CERC did not identify triggering events in the three months ended June 30, 2020, and goodwill impairment tests were not required or performed as of June 30, 2020.</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As of the date of this Form 10-Q, our efforts to respond to the challenges presented by the conditions described above and minimize the impacts to our business have been successful. Our electric facilities and natural gas distribution systems have remained operational and our customers have continued to receive service. Although we continue to assess the COVID-19 situation, we cannot estimate with any degree of certainty the full financial impact of the COVID-19 pandemic on our business. Nor can we predict the effect that the significant disruption and volatility currently being experienced in the markets will have on our business, cash flows, liquidity, financial condition and results of operations at this time. However, we expect the COVID-19 pandemic to adversely impact us in future quarters due to the considerable uncertainty regarding the extent to which COVID-19 will continue to spread and the extent and duration of governmental and other measures implemented to try to slow the spread of COVID-19, such as large-scale travel bans and restrictions, border closures, quarantines, shelter-in-place orders and business and government shutdowns. Restrictions of this nature have caused, and may continue to cause, us, our suppliers and other business counterparties to experience operational delays, closures or disruptions, among other things. The ultimate impacts to our business, financial condition, results of operations, liquidity and cash flows will depend on future developments and evolving factors, including, among others, the ultimate duration, scope and spread of COVID-19, the consequences of governmental and other measures designed to prevent the spread of COVID-19, the development of effective treatments, actions taken by governmental authorities, customers, suppliers and other third parties, workforce availability and the timing and extent to which normal economic and operating conditions resume. For additional discussion regarding risks associated with the COVID-19 pandemic, see </w:t>
      </w:r>
      <w:r>
        <w:rPr>
          <w:rFonts w:ascii="Arial" w:cs="Arial" w:eastAsia="Arial" w:hAnsi="Arial"/>
          <w:sz w:val="16"/>
          <w:szCs w:val="16"/>
          <w:u w:val="single" w:color="auto"/>
          <w:color w:val="0563C1"/>
        </w:rPr>
        <w:t>“Risk Factors” in Item 1A of Part II of this Form 10-Q</w:t>
      </w:r>
      <w:r>
        <w:rPr>
          <w:rFonts w:ascii="Arial" w:cs="Arial" w:eastAsia="Arial" w:hAnsi="Arial"/>
          <w:sz w:val="16"/>
          <w:szCs w:val="16"/>
          <w:color w:val="auto"/>
        </w:rPr>
        <w: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Enable Quarterly Distributions. </w:t>
      </w:r>
      <w:r>
        <w:rPr>
          <w:rFonts w:ascii="Arial" w:cs="Arial" w:eastAsia="Arial" w:hAnsi="Arial"/>
          <w:sz w:val="16"/>
          <w:szCs w:val="16"/>
          <w:color w:val="auto"/>
        </w:rPr>
        <w:t>The price of, and global demand for, natural gas, NGLs and crude oil have declined significantly in part as a result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ongoing spread and economic effects of the COVID-19 pandemic and the significant governmental measures being implemented to control the spread of COVID-19. In addition, the recent dispute over crude oil production levels between Russia and members of the Organization of the Petroleum Exporting Countries led by Saudi Arabia have exacerbated the sharp decline in the price of NGLs and crude oil. Despite the subsequent agreement in April 2020 by a coalition of nations including Russia and Saudi Arabia to reduce production of crude oil, the price of NGLs and crude oil have remained depressed relative to pre-pandemic levels. Further, financial market declines and volatility, together with deteriorating credit, liquidity concerns, decreasing production, and increasing inventories, are conditions that are associated with a general economic downturn. Producers have announced and begun to implement plans to reduce production and decrease the drilling and completion of wells in response to these conditions, which include reductions in the exploration, development and production activity across Enable’s areas of operation. As a result, the effects of the COVID-19 pandemic and the decline in demand and price for natural gas, NGLs and crude oil have and may continue to negatively impact the demand for midstream services. In response to the impacts of these developments on its business, on April 1, 2020, Enable announced a reduction in its quarterly distributions per common unit from $0.3305 distributed for the fourth quarter 2019 to $0.16525, representing a 50% reduction. To the extent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economic conditions persist or further deteriorate, quarterly distributions on Enable’s common units may be subject to further reductions. For further information, see “—Liquidity and Capital Resources—Future Sources and Uses of Cash” below.</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CenterPoint Energy Financial Measures. </w:t>
      </w:r>
      <w:r>
        <w:rPr>
          <w:rFonts w:ascii="Arial" w:cs="Arial" w:eastAsia="Arial" w:hAnsi="Arial"/>
          <w:sz w:val="18"/>
          <w:szCs w:val="18"/>
          <w:color w:val="auto"/>
        </w:rPr>
        <w:t>On April 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12529"/>
        </w:rPr>
        <w:t>in response to the current business environment and to strengthen its financial position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12529"/>
        </w:rPr>
        <w:t xml:space="preserve">and adjust for the reduction in cash flow related to the reduction in Enable quarterly common unit distributions, </w:t>
      </w:r>
      <w:r>
        <w:rPr>
          <w:rFonts w:ascii="Arial" w:cs="Arial" w:eastAsia="Arial" w:hAnsi="Arial"/>
          <w:sz w:val="18"/>
          <w:szCs w:val="18"/>
          <w:color w:val="000000"/>
        </w:rPr>
        <w:t>CenterPoint Energy announced targeted</w:t>
      </w:r>
      <w:r>
        <w:rPr>
          <w:rFonts w:ascii="Arial" w:cs="Arial" w:eastAsia="Arial" w:hAnsi="Arial"/>
          <w:sz w:val="18"/>
          <w:szCs w:val="18"/>
          <w:color w:val="212529"/>
        </w:rPr>
        <w:t xml:space="preserve"> </w:t>
      </w:r>
      <w:r>
        <w:rPr>
          <w:rFonts w:ascii="Arial" w:cs="Arial" w:eastAsia="Arial" w:hAnsi="Arial"/>
          <w:sz w:val="18"/>
          <w:szCs w:val="18"/>
          <w:color w:val="000000"/>
        </w:rPr>
        <w:t>reductions in (i) its quarterly common stock dividend to $0.1500 per share; (ii) 2020 operation and maintenance expenses, excluding certain merger costs, utility costs to achieve savings, severance and amounts with revenue offsets; and (iii) 2020 capital spending. For further information, see “—Liquidity and Capital Resources—Future Sources and Uses of Cash” below.</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Enable Investment Impairment. </w:t>
      </w:r>
      <w:r>
        <w:rPr>
          <w:rFonts w:ascii="Arial" w:cs="Arial" w:eastAsia="Arial" w:hAnsi="Arial"/>
          <w:sz w:val="18"/>
          <w:szCs w:val="18"/>
          <w:color w:val="auto"/>
        </w:rPr>
        <w:t>CenterPoint Energy recognized a loss of $1,432 million on its investment in Enable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This loss included an impairment charge on its investment in Enable of $1,541 million during the three months ended March 31, 2020. For further discussion, see Note 9 to the Interim Condensed Financial Statements.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CenterPoint Energy Leadership Transition. </w:t>
      </w:r>
      <w:r>
        <w:rPr>
          <w:rFonts w:ascii="Arial" w:cs="Arial" w:eastAsia="Arial" w:hAnsi="Arial"/>
          <w:sz w:val="18"/>
          <w:szCs w:val="18"/>
          <w:color w:val="auto"/>
        </w:rPr>
        <w:t>On June 30, 2020, the Board of Directors appointed David J. Lesar to the position of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effective July 1, 2020. On April 1, 2020, the Board of Directors appointed Kristie L. Colvin to the position of Interim Executive Vice President and Chief Financial Officer in addition to her position as Chief Accounting Officer.</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Board of Directors Appointments and Formation of Business Review and Evaluation Committee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6, 2020, the Board of Directors appointed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David J. Lesar and Barry T. Smitherman to the Board of Directors effective immediately, and, on June 30, 2020, the Board of Directors appointed Earl M. Cummings to the Board of Directors, effective July 1, 2020, to replace John W. Somerhalder II, who also resigned from his position as Interim President and Chief Executive Officer, effective June 30, 2020. On May 6, 2020, the Board of Directors established a Business Review and Evaluation Committee, which will assist the Board of Directors in evaluating and optimizing the various businesses, assets and ownership interests currently held by CenterPoint Energy.</w:t>
      </w:r>
    </w:p>
    <w:p>
      <w:pPr>
        <w:spacing w:after="0" w:line="1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Business Divestitures. </w:t>
      </w:r>
      <w:r>
        <w:rPr>
          <w:rFonts w:ascii="Arial" w:cs="Arial" w:eastAsia="Arial" w:hAnsi="Arial"/>
          <w:sz w:val="18"/>
          <w:szCs w:val="18"/>
          <w:color w:val="auto"/>
        </w:rPr>
        <w:t>On February 3, 2020, CenterPoint Energy, through its subsidiary VUSI, entered into the Securities Purchase Agreement to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Infrastructure Services Disposal Group. The transaction closed on April 9, 2020. On February 24, 2020, CenterPoint Energy, through its subsidiary CERC Corp., entered into the Equity Purchase Agreement to sell the Energy Services Disposal Group. The transaction closed on June 1, 2020. For further information, see Note 3 to the Interim Condensed Financial Statements.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Regulatory Proceedings. </w:t>
      </w:r>
      <w:r>
        <w:rPr>
          <w:rFonts w:ascii="Arial" w:cs="Arial" w:eastAsia="Arial" w:hAnsi="Arial"/>
          <w:sz w:val="18"/>
          <w:szCs w:val="18"/>
          <w:color w:val="auto"/>
        </w:rPr>
        <w:t>On April 5, 2019, and subsequently adjusted in errata filings in May and June 2019, Houston Electric filed its base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 with the PUCT and the cities in its service area to change its rates. A settlement was reached and a final order from the PUCT was received on March 9, 2020. New rates were implemented on April 23, 2020. For details related to our pending and completed regulatory proceedings and orders related to the TCJA to date in 2020, see “—Liquidity and Capital Resources —Regulatory Matters” below.</w:t>
      </w:r>
    </w:p>
    <w:p>
      <w:pPr>
        <w:spacing w:after="0" w:line="18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b w:val="1"/>
          <w:bCs w:val="1"/>
          <w:i w:val="1"/>
          <w:iCs w:val="1"/>
          <w:color w:val="auto"/>
        </w:rPr>
        <w:t xml:space="preserve">Equity Transactions. </w:t>
      </w:r>
      <w:r>
        <w:rPr>
          <w:rFonts w:ascii="Arial" w:cs="Arial" w:eastAsia="Arial" w:hAnsi="Arial"/>
          <w:sz w:val="17"/>
          <w:szCs w:val="17"/>
          <w:color w:val="auto"/>
        </w:rPr>
        <w:t>On May 6, 2020, CenterPoint Energy entered into agreements for the private placements of its Series C Preferred Stock and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For more information about the private placements, see Note 19 to the Interim Condensed Financial Statements.</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Debt Transactions. </w:t>
      </w:r>
      <w:r>
        <w:rPr>
          <w:rFonts w:ascii="Arial" w:cs="Arial" w:eastAsia="Arial" w:hAnsi="Arial"/>
          <w:sz w:val="18"/>
          <w:szCs w:val="18"/>
          <w:color w:val="auto"/>
        </w:rPr>
        <w:t>In June 2020, Houston Electric issued $300 million aggregate principal amount of general mortgage bonds. For more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Note 12 to the Interim Condensed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CONSOLIDATED 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information regarding factors that may affect the future results of our consolidated operations, please read “Risk Factors” in Item 1A of Part I of the Registrants’ combined 2019 Form 10-K and in Item 1A of Part II of this Form 10-Q.</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31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84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484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250"/>
        </w:trPr>
        <w:tc>
          <w:tcPr>
            <w:tcW w:w="4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8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millions, except per share amounts)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6"/>
        </w:trPr>
        <w:tc>
          <w:tcPr>
            <w:tcW w:w="4840" w:type="dxa"/>
            <w:vAlign w:val="bottom"/>
            <w:shd w:val="clear" w:color="auto" w:fill="BFE4FF"/>
          </w:tcPr>
          <w:p>
            <w:pPr>
              <w:ind w:left="40"/>
              <w:spacing w:after="0"/>
              <w:rPr>
                <w:sz w:val="20"/>
                <w:szCs w:val="20"/>
                <w:color w:val="auto"/>
              </w:rPr>
            </w:pPr>
            <w:r>
              <w:rPr>
                <w:rFonts w:ascii="Arial" w:cs="Arial" w:eastAsia="Arial" w:hAnsi="Arial"/>
                <w:sz w:val="14"/>
                <w:szCs w:val="14"/>
                <w:color w:val="auto"/>
              </w:rPr>
              <w:t>Revenues</w:t>
            </w:r>
          </w:p>
        </w:tc>
        <w:tc>
          <w:tcPr>
            <w:tcW w:w="960" w:type="dxa"/>
            <w:vAlign w:val="bottom"/>
            <w:shd w:val="clear" w:color="auto" w:fill="BFE4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1,575</w:t>
            </w: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1,658</w:t>
            </w:r>
          </w:p>
        </w:tc>
        <w:tc>
          <w:tcPr>
            <w:tcW w:w="100" w:type="dxa"/>
            <w:vAlign w:val="bottom"/>
            <w:shd w:val="clear" w:color="auto" w:fill="BFE4FF"/>
          </w:tcPr>
          <w:p>
            <w:pPr>
              <w:spacing w:after="0"/>
              <w:rPr>
                <w:sz w:val="24"/>
                <w:szCs w:val="24"/>
                <w:color w:val="auto"/>
              </w:rPr>
            </w:pPr>
          </w:p>
        </w:tc>
        <w:tc>
          <w:tcPr>
            <w:tcW w:w="380" w:type="dxa"/>
            <w:vAlign w:val="bottom"/>
            <w:shd w:val="clear" w:color="auto" w:fill="BFE4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3,742</w:t>
            </w:r>
          </w:p>
        </w:tc>
        <w:tc>
          <w:tcPr>
            <w:tcW w:w="100" w:type="dxa"/>
            <w:vAlign w:val="bottom"/>
            <w:shd w:val="clear" w:color="auto" w:fill="BFE4FF"/>
          </w:tcPr>
          <w:p>
            <w:pPr>
              <w:spacing w:after="0"/>
              <w:rPr>
                <w:sz w:val="24"/>
                <w:szCs w:val="24"/>
                <w:color w:val="auto"/>
              </w:rPr>
            </w:pPr>
          </w:p>
        </w:tc>
        <w:tc>
          <w:tcPr>
            <w:tcW w:w="380" w:type="dxa"/>
            <w:vAlign w:val="bottom"/>
            <w:shd w:val="clear" w:color="auto" w:fill="BFE4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3,887</w:t>
            </w:r>
          </w:p>
        </w:tc>
      </w:tr>
      <w:tr>
        <w:trPr>
          <w:trHeight w:val="264"/>
        </w:trPr>
        <w:tc>
          <w:tcPr>
            <w:tcW w:w="4840" w:type="dxa"/>
            <w:vAlign w:val="bottom"/>
            <w:tcBorders>
              <w:bottom w:val="single" w:sz="8" w:color="BFE4FF"/>
            </w:tcBorders>
          </w:tcPr>
          <w:p>
            <w:pPr>
              <w:ind w:left="40"/>
              <w:spacing w:after="0"/>
              <w:rPr>
                <w:sz w:val="20"/>
                <w:szCs w:val="20"/>
                <w:color w:val="auto"/>
              </w:rPr>
            </w:pPr>
            <w:r>
              <w:rPr>
                <w:rFonts w:ascii="Arial" w:cs="Arial" w:eastAsia="Arial" w:hAnsi="Arial"/>
                <w:sz w:val="14"/>
                <w:szCs w:val="14"/>
                <w:color w:val="auto"/>
              </w:rPr>
              <w:t>Expenses</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1,340</w:t>
            </w:r>
          </w:p>
        </w:tc>
        <w:tc>
          <w:tcPr>
            <w:tcW w:w="120" w:type="dxa"/>
            <w:vAlign w:val="bottom"/>
            <w:tcBorders>
              <w:bottom w:val="single" w:sz="8" w:color="BFE4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1,429</w:t>
            </w:r>
          </w:p>
        </w:tc>
        <w:tc>
          <w:tcPr>
            <w:tcW w:w="100" w:type="dxa"/>
            <w:vAlign w:val="bottom"/>
            <w:tcBorders>
              <w:bottom w:val="single" w:sz="8" w:color="BFE4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3,290</w:t>
            </w:r>
          </w:p>
        </w:tc>
        <w:tc>
          <w:tcPr>
            <w:tcW w:w="100" w:type="dxa"/>
            <w:vAlign w:val="bottom"/>
            <w:tcBorders>
              <w:bottom w:val="single" w:sz="8" w:color="BFE4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3,447</w:t>
            </w:r>
          </w:p>
        </w:tc>
      </w:tr>
      <w:tr>
        <w:trPr>
          <w:trHeight w:val="256"/>
        </w:trPr>
        <w:tc>
          <w:tcPr>
            <w:tcW w:w="4840" w:type="dxa"/>
            <w:vAlign w:val="bottom"/>
            <w:shd w:val="clear" w:color="auto" w:fill="BFE4FF"/>
          </w:tcPr>
          <w:p>
            <w:pPr>
              <w:ind w:left="40"/>
              <w:spacing w:after="0"/>
              <w:rPr>
                <w:sz w:val="20"/>
                <w:szCs w:val="20"/>
                <w:color w:val="auto"/>
              </w:rPr>
            </w:pPr>
            <w:r>
              <w:rPr>
                <w:rFonts w:ascii="Arial" w:cs="Arial" w:eastAsia="Arial" w:hAnsi="Arial"/>
                <w:sz w:val="14"/>
                <w:szCs w:val="14"/>
                <w:color w:val="auto"/>
              </w:rPr>
              <w:t>Operating Income</w:t>
            </w:r>
          </w:p>
        </w:tc>
        <w:tc>
          <w:tcPr>
            <w:tcW w:w="960" w:type="dxa"/>
            <w:vAlign w:val="bottom"/>
            <w:shd w:val="clear" w:color="auto" w:fill="BFE4FF"/>
          </w:tcPr>
          <w:p>
            <w:pPr>
              <w:spacing w:after="0"/>
              <w:rPr>
                <w:sz w:val="22"/>
                <w:szCs w:val="22"/>
                <w:color w:val="auto"/>
              </w:rPr>
            </w:pPr>
          </w:p>
        </w:tc>
        <w:tc>
          <w:tcPr>
            <w:tcW w:w="52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BFE4FF"/>
          </w:tcPr>
          <w:p>
            <w:pPr>
              <w:spacing w:after="0"/>
              <w:rPr>
                <w:sz w:val="22"/>
                <w:szCs w:val="22"/>
                <w:color w:val="auto"/>
              </w:rPr>
            </w:pPr>
          </w:p>
        </w:tc>
        <w:tc>
          <w:tcPr>
            <w:tcW w:w="260" w:type="dxa"/>
            <w:vAlign w:val="bottom"/>
            <w:shd w:val="clear" w:color="auto" w:fill="BFE4FF"/>
          </w:tcPr>
          <w:p>
            <w:pPr>
              <w:spacing w:after="0"/>
              <w:rPr>
                <w:sz w:val="22"/>
                <w:szCs w:val="22"/>
                <w:color w:val="auto"/>
              </w:rPr>
            </w:pPr>
          </w:p>
        </w:tc>
        <w:tc>
          <w:tcPr>
            <w:tcW w:w="12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BFE4FF"/>
          </w:tcPr>
          <w:p>
            <w:pPr>
              <w:spacing w:after="0"/>
              <w:rPr>
                <w:sz w:val="22"/>
                <w:szCs w:val="22"/>
                <w:color w:val="auto"/>
              </w:rPr>
            </w:pPr>
          </w:p>
        </w:tc>
        <w:tc>
          <w:tcPr>
            <w:tcW w:w="380" w:type="dxa"/>
            <w:vAlign w:val="bottom"/>
            <w:shd w:val="clear" w:color="auto" w:fill="BFE4FF"/>
          </w:tcPr>
          <w:p>
            <w:pPr>
              <w:spacing w:after="0"/>
              <w:rPr>
                <w:sz w:val="22"/>
                <w:szCs w:val="22"/>
                <w:color w:val="auto"/>
              </w:rPr>
            </w:pPr>
          </w:p>
        </w:tc>
        <w:tc>
          <w:tcPr>
            <w:tcW w:w="11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BFE4FF"/>
          </w:tcPr>
          <w:p>
            <w:pPr>
              <w:spacing w:after="0"/>
              <w:rPr>
                <w:sz w:val="22"/>
                <w:szCs w:val="22"/>
                <w:color w:val="auto"/>
              </w:rPr>
            </w:pPr>
          </w:p>
        </w:tc>
        <w:tc>
          <w:tcPr>
            <w:tcW w:w="380" w:type="dxa"/>
            <w:vAlign w:val="bottom"/>
            <w:shd w:val="clear" w:color="auto" w:fill="BFE4FF"/>
          </w:tcPr>
          <w:p>
            <w:pPr>
              <w:spacing w:after="0"/>
              <w:rPr>
                <w:sz w:val="22"/>
                <w:szCs w:val="22"/>
                <w:color w:val="auto"/>
              </w:rPr>
            </w:pPr>
          </w:p>
        </w:tc>
        <w:tc>
          <w:tcPr>
            <w:tcW w:w="11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440</w:t>
            </w: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Interest Expense and Other Finance Charges</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(255)</w:t>
            </w:r>
          </w:p>
        </w:tc>
      </w:tr>
      <w:tr>
        <w:trPr>
          <w:trHeight w:val="276"/>
        </w:trPr>
        <w:tc>
          <w:tcPr>
            <w:tcW w:w="4840" w:type="dxa"/>
            <w:vAlign w:val="bottom"/>
            <w:shd w:val="clear" w:color="auto" w:fill="BFE4FF"/>
          </w:tcPr>
          <w:p>
            <w:pPr>
              <w:ind w:left="40"/>
              <w:spacing w:after="0"/>
              <w:rPr>
                <w:sz w:val="20"/>
                <w:szCs w:val="20"/>
                <w:color w:val="auto"/>
              </w:rPr>
            </w:pPr>
            <w:r>
              <w:rPr>
                <w:rFonts w:ascii="Arial" w:cs="Arial" w:eastAsia="Arial" w:hAnsi="Arial"/>
                <w:sz w:val="14"/>
                <w:szCs w:val="14"/>
                <w:color w:val="auto"/>
              </w:rPr>
              <w:t>Interest Expense on Securitization Bonds</w:t>
            </w:r>
          </w:p>
        </w:tc>
        <w:tc>
          <w:tcPr>
            <w:tcW w:w="960" w:type="dxa"/>
            <w:vAlign w:val="bottom"/>
            <w:shd w:val="clear" w:color="auto" w:fill="BFE4FF"/>
          </w:tcPr>
          <w:p>
            <w:pPr>
              <w:spacing w:after="0"/>
              <w:rPr>
                <w:sz w:val="24"/>
                <w:szCs w:val="24"/>
                <w:color w:val="auto"/>
              </w:rPr>
            </w:pPr>
          </w:p>
        </w:tc>
        <w:tc>
          <w:tcPr>
            <w:tcW w:w="5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12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BFE4FF"/>
          </w:tcPr>
          <w:p>
            <w:pPr>
              <w:spacing w:after="0"/>
              <w:rPr>
                <w:sz w:val="24"/>
                <w:szCs w:val="24"/>
                <w:color w:val="auto"/>
              </w:rPr>
            </w:pPr>
          </w:p>
        </w:tc>
        <w:tc>
          <w:tcPr>
            <w:tcW w:w="380" w:type="dxa"/>
            <w:vAlign w:val="bottom"/>
            <w:shd w:val="clear" w:color="auto" w:fill="BFE4FF"/>
          </w:tcPr>
          <w:p>
            <w:pPr>
              <w:spacing w:after="0"/>
              <w:rPr>
                <w:sz w:val="24"/>
                <w:szCs w:val="24"/>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BFE4FF"/>
          </w:tcPr>
          <w:p>
            <w:pPr>
              <w:spacing w:after="0"/>
              <w:rPr>
                <w:sz w:val="24"/>
                <w:szCs w:val="24"/>
                <w:color w:val="auto"/>
              </w:rPr>
            </w:pPr>
          </w:p>
        </w:tc>
        <w:tc>
          <w:tcPr>
            <w:tcW w:w="380" w:type="dxa"/>
            <w:vAlign w:val="bottom"/>
            <w:shd w:val="clear" w:color="auto" w:fill="BFE4FF"/>
          </w:tcPr>
          <w:p>
            <w:pPr>
              <w:spacing w:after="0"/>
              <w:rPr>
                <w:sz w:val="24"/>
                <w:szCs w:val="24"/>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(22)</w:t>
            </w: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Equity in Earnings of Unconsolidated Affiliates, net</w:t>
            </w:r>
          </w:p>
        </w:tc>
        <w:tc>
          <w:tcPr>
            <w:tcW w:w="9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136</w:t>
            </w:r>
          </w:p>
        </w:tc>
      </w:tr>
      <w:tr>
        <w:trPr>
          <w:trHeight w:val="276"/>
        </w:trPr>
        <w:tc>
          <w:tcPr>
            <w:tcW w:w="4840" w:type="dxa"/>
            <w:vAlign w:val="bottom"/>
            <w:shd w:val="clear" w:color="auto" w:fill="BFE4FF"/>
          </w:tcPr>
          <w:p>
            <w:pPr>
              <w:ind w:left="40"/>
              <w:spacing w:after="0"/>
              <w:rPr>
                <w:sz w:val="20"/>
                <w:szCs w:val="20"/>
                <w:color w:val="auto"/>
              </w:rPr>
            </w:pPr>
            <w:r>
              <w:rPr>
                <w:rFonts w:ascii="Arial" w:cs="Arial" w:eastAsia="Arial" w:hAnsi="Arial"/>
                <w:sz w:val="14"/>
                <w:szCs w:val="14"/>
                <w:color w:val="auto"/>
              </w:rPr>
              <w:t>Interest Income</w:t>
            </w:r>
          </w:p>
        </w:tc>
        <w:tc>
          <w:tcPr>
            <w:tcW w:w="960" w:type="dxa"/>
            <w:vAlign w:val="bottom"/>
            <w:shd w:val="clear" w:color="auto" w:fill="BFE4FF"/>
          </w:tcPr>
          <w:p>
            <w:pPr>
              <w:spacing w:after="0"/>
              <w:rPr>
                <w:sz w:val="24"/>
                <w:szCs w:val="24"/>
                <w:color w:val="auto"/>
              </w:rPr>
            </w:pPr>
          </w:p>
        </w:tc>
        <w:tc>
          <w:tcPr>
            <w:tcW w:w="52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12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BFE4FF"/>
          </w:tcPr>
          <w:p>
            <w:pPr>
              <w:spacing w:after="0"/>
              <w:rPr>
                <w:sz w:val="24"/>
                <w:szCs w:val="24"/>
                <w:color w:val="auto"/>
              </w:rPr>
            </w:pPr>
          </w:p>
        </w:tc>
        <w:tc>
          <w:tcPr>
            <w:tcW w:w="38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BFE4FF"/>
          </w:tcPr>
          <w:p>
            <w:pPr>
              <w:spacing w:after="0"/>
              <w:rPr>
                <w:sz w:val="24"/>
                <w:szCs w:val="24"/>
                <w:color w:val="auto"/>
              </w:rPr>
            </w:pPr>
          </w:p>
        </w:tc>
        <w:tc>
          <w:tcPr>
            <w:tcW w:w="380" w:type="dxa"/>
            <w:vAlign w:val="bottom"/>
            <w:shd w:val="clear" w:color="auto" w:fill="BFE4FF"/>
          </w:tcPr>
          <w:p>
            <w:pPr>
              <w:spacing w:after="0"/>
              <w:rPr>
                <w:sz w:val="24"/>
                <w:szCs w:val="24"/>
                <w:color w:val="auto"/>
              </w:rPr>
            </w:pPr>
          </w:p>
        </w:tc>
        <w:tc>
          <w:tcPr>
            <w:tcW w:w="11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13</w:t>
            </w: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Interest Income from Securitization Bonds</w:t>
            </w:r>
          </w:p>
        </w:tc>
        <w:tc>
          <w:tcPr>
            <w:tcW w:w="96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4840" w:type="dxa"/>
            <w:vAlign w:val="bottom"/>
            <w:shd w:val="clear" w:color="auto" w:fill="BFE4FF"/>
          </w:tcPr>
          <w:p>
            <w:pPr>
              <w:ind w:left="40"/>
              <w:spacing w:after="0"/>
              <w:rPr>
                <w:sz w:val="20"/>
                <w:szCs w:val="20"/>
                <w:color w:val="auto"/>
              </w:rPr>
            </w:pPr>
            <w:r>
              <w:rPr>
                <w:rFonts w:ascii="Arial" w:cs="Arial" w:eastAsia="Arial" w:hAnsi="Arial"/>
                <w:sz w:val="14"/>
                <w:szCs w:val="14"/>
                <w:color w:val="auto"/>
              </w:rPr>
              <w:t>Other Income (Expense), net</w:t>
            </w:r>
          </w:p>
        </w:tc>
        <w:tc>
          <w:tcPr>
            <w:tcW w:w="960" w:type="dxa"/>
            <w:vAlign w:val="bottom"/>
            <w:tcBorders>
              <w:bottom w:val="single" w:sz="8" w:color="auto"/>
            </w:tcBorders>
            <w:shd w:val="clear" w:color="auto" w:fill="BFE4FF"/>
          </w:tcPr>
          <w:p>
            <w:pPr>
              <w:spacing w:after="0"/>
              <w:rPr>
                <w:sz w:val="23"/>
                <w:szCs w:val="23"/>
                <w:color w:val="auto"/>
              </w:rPr>
            </w:pPr>
          </w:p>
        </w:tc>
        <w:tc>
          <w:tcPr>
            <w:tcW w:w="52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BFE4FF"/>
          </w:tcPr>
          <w:p>
            <w:pPr>
              <w:spacing w:after="0"/>
              <w:rPr>
                <w:sz w:val="23"/>
                <w:szCs w:val="23"/>
                <w:color w:val="auto"/>
              </w:rPr>
            </w:pPr>
          </w:p>
        </w:tc>
        <w:tc>
          <w:tcPr>
            <w:tcW w:w="260" w:type="dxa"/>
            <w:vAlign w:val="bottom"/>
            <w:tcBorders>
              <w:bottom w:val="single" w:sz="8" w:color="auto"/>
            </w:tcBorders>
            <w:shd w:val="clear" w:color="auto" w:fill="BFE4FF"/>
          </w:tcPr>
          <w:p>
            <w:pPr>
              <w:spacing w:after="0"/>
              <w:rPr>
                <w:sz w:val="23"/>
                <w:szCs w:val="23"/>
                <w:color w:val="auto"/>
              </w:rPr>
            </w:pPr>
          </w:p>
        </w:tc>
        <w:tc>
          <w:tcPr>
            <w:tcW w:w="122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BFE4FF"/>
          </w:tcPr>
          <w:p>
            <w:pPr>
              <w:spacing w:after="0"/>
              <w:rPr>
                <w:sz w:val="23"/>
                <w:szCs w:val="23"/>
                <w:color w:val="auto"/>
              </w:rPr>
            </w:pPr>
          </w:p>
        </w:tc>
        <w:tc>
          <w:tcPr>
            <w:tcW w:w="380" w:type="dxa"/>
            <w:vAlign w:val="bottom"/>
            <w:tcBorders>
              <w:bottom w:val="single" w:sz="8" w:color="auto"/>
            </w:tcBorders>
            <w:shd w:val="clear" w:color="auto" w:fill="BFE4FF"/>
          </w:tcPr>
          <w:p>
            <w:pPr>
              <w:spacing w:after="0"/>
              <w:rPr>
                <w:sz w:val="23"/>
                <w:szCs w:val="23"/>
                <w:color w:val="auto"/>
              </w:rPr>
            </w:pPr>
          </w:p>
        </w:tc>
        <w:tc>
          <w:tcPr>
            <w:tcW w:w="11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BFE4FF"/>
          </w:tcPr>
          <w:p>
            <w:pPr>
              <w:spacing w:after="0"/>
              <w:rPr>
                <w:sz w:val="23"/>
                <w:szCs w:val="23"/>
                <w:color w:val="auto"/>
              </w:rPr>
            </w:pPr>
          </w:p>
        </w:tc>
        <w:tc>
          <w:tcPr>
            <w:tcW w:w="380" w:type="dxa"/>
            <w:vAlign w:val="bottom"/>
            <w:tcBorders>
              <w:bottom w:val="single" w:sz="8" w:color="auto"/>
            </w:tcBorders>
            <w:shd w:val="clear" w:color="auto" w:fill="BFE4FF"/>
          </w:tcPr>
          <w:p>
            <w:pPr>
              <w:spacing w:after="0"/>
              <w:rPr>
                <w:sz w:val="23"/>
                <w:szCs w:val="23"/>
                <w:color w:val="auto"/>
              </w:rPr>
            </w:pPr>
          </w:p>
        </w:tc>
        <w:tc>
          <w:tcPr>
            <w:tcW w:w="11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8</w:t>
            </w:r>
          </w:p>
        </w:tc>
      </w:tr>
      <w:tr>
        <w:trPr>
          <w:trHeight w:val="250"/>
        </w:trPr>
        <w:tc>
          <w:tcPr>
            <w:tcW w:w="4840" w:type="dxa"/>
            <w:vAlign w:val="bottom"/>
          </w:tcPr>
          <w:p>
            <w:pPr>
              <w:ind w:left="40"/>
              <w:spacing w:after="0"/>
              <w:rPr>
                <w:sz w:val="20"/>
                <w:szCs w:val="20"/>
                <w:color w:val="auto"/>
              </w:rPr>
            </w:pPr>
            <w:r>
              <w:rPr>
                <w:rFonts w:ascii="Arial" w:cs="Arial" w:eastAsia="Arial" w:hAnsi="Arial"/>
                <w:sz w:val="14"/>
                <w:szCs w:val="14"/>
                <w:color w:val="auto"/>
              </w:rPr>
              <w:t>Income (Loss) from Continuing Operations Before Income Taxes</w:t>
            </w:r>
          </w:p>
        </w:tc>
        <w:tc>
          <w:tcPr>
            <w:tcW w:w="960" w:type="dxa"/>
            <w:vAlign w:val="bottom"/>
          </w:tcPr>
          <w:p>
            <w:pPr>
              <w:spacing w:after="0"/>
              <w:rPr>
                <w:sz w:val="21"/>
                <w:szCs w:val="21"/>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323</w:t>
            </w:r>
          </w:p>
        </w:tc>
      </w:tr>
      <w:tr>
        <w:trPr>
          <w:trHeight w:val="270"/>
        </w:trPr>
        <w:tc>
          <w:tcPr>
            <w:tcW w:w="4840" w:type="dxa"/>
            <w:vAlign w:val="bottom"/>
            <w:shd w:val="clear" w:color="auto" w:fill="BFE4FF"/>
          </w:tcPr>
          <w:p>
            <w:pPr>
              <w:ind w:left="40"/>
              <w:spacing w:after="0"/>
              <w:rPr>
                <w:sz w:val="20"/>
                <w:szCs w:val="20"/>
                <w:color w:val="auto"/>
              </w:rPr>
            </w:pPr>
            <w:r>
              <w:rPr>
                <w:rFonts w:ascii="Arial" w:cs="Arial" w:eastAsia="Arial" w:hAnsi="Arial"/>
                <w:sz w:val="14"/>
                <w:szCs w:val="14"/>
                <w:color w:val="auto"/>
              </w:rPr>
              <w:t>Income Tax Expense (Benefit)</w:t>
            </w:r>
          </w:p>
        </w:tc>
        <w:tc>
          <w:tcPr>
            <w:tcW w:w="960" w:type="dxa"/>
            <w:vAlign w:val="bottom"/>
            <w:tcBorders>
              <w:bottom w:val="single" w:sz="8" w:color="auto"/>
            </w:tcBorders>
            <w:shd w:val="clear" w:color="auto" w:fill="BFE4FF"/>
          </w:tcPr>
          <w:p>
            <w:pPr>
              <w:spacing w:after="0"/>
              <w:rPr>
                <w:sz w:val="23"/>
                <w:szCs w:val="23"/>
                <w:color w:val="auto"/>
              </w:rPr>
            </w:pPr>
          </w:p>
        </w:tc>
        <w:tc>
          <w:tcPr>
            <w:tcW w:w="52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BFE4FF"/>
          </w:tcPr>
          <w:p>
            <w:pPr>
              <w:spacing w:after="0"/>
              <w:rPr>
                <w:sz w:val="23"/>
                <w:szCs w:val="23"/>
                <w:color w:val="auto"/>
              </w:rPr>
            </w:pPr>
          </w:p>
        </w:tc>
        <w:tc>
          <w:tcPr>
            <w:tcW w:w="260" w:type="dxa"/>
            <w:vAlign w:val="bottom"/>
            <w:tcBorders>
              <w:bottom w:val="single" w:sz="8" w:color="auto"/>
            </w:tcBorders>
            <w:shd w:val="clear" w:color="auto" w:fill="BFE4FF"/>
          </w:tcPr>
          <w:p>
            <w:pPr>
              <w:spacing w:after="0"/>
              <w:rPr>
                <w:sz w:val="23"/>
                <w:szCs w:val="23"/>
                <w:color w:val="auto"/>
              </w:rPr>
            </w:pPr>
          </w:p>
        </w:tc>
        <w:tc>
          <w:tcPr>
            <w:tcW w:w="122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BFE4FF"/>
          </w:tcPr>
          <w:p>
            <w:pPr>
              <w:spacing w:after="0"/>
              <w:rPr>
                <w:sz w:val="23"/>
                <w:szCs w:val="23"/>
                <w:color w:val="auto"/>
              </w:rPr>
            </w:pPr>
          </w:p>
        </w:tc>
        <w:tc>
          <w:tcPr>
            <w:tcW w:w="380" w:type="dxa"/>
            <w:vAlign w:val="bottom"/>
            <w:tcBorders>
              <w:bottom w:val="single" w:sz="8" w:color="auto"/>
            </w:tcBorders>
            <w:shd w:val="clear" w:color="auto" w:fill="BFE4FF"/>
          </w:tcPr>
          <w:p>
            <w:pPr>
              <w:spacing w:after="0"/>
              <w:rPr>
                <w:sz w:val="23"/>
                <w:szCs w:val="23"/>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BFE4FF"/>
          </w:tcPr>
          <w:p>
            <w:pPr>
              <w:spacing w:after="0"/>
              <w:rPr>
                <w:sz w:val="23"/>
                <w:szCs w:val="23"/>
                <w:color w:val="auto"/>
              </w:rPr>
            </w:pPr>
          </w:p>
        </w:tc>
        <w:tc>
          <w:tcPr>
            <w:tcW w:w="380" w:type="dxa"/>
            <w:vAlign w:val="bottom"/>
            <w:tcBorders>
              <w:bottom w:val="single" w:sz="8" w:color="auto"/>
            </w:tcBorders>
            <w:shd w:val="clear" w:color="auto" w:fill="BFE4FF"/>
          </w:tcPr>
          <w:p>
            <w:pPr>
              <w:spacing w:after="0"/>
              <w:rPr>
                <w:sz w:val="23"/>
                <w:szCs w:val="23"/>
                <w:color w:val="auto"/>
              </w:rPr>
            </w:pPr>
          </w:p>
        </w:tc>
        <w:tc>
          <w:tcPr>
            <w:tcW w:w="11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29</w:t>
            </w:r>
          </w:p>
        </w:tc>
      </w:tr>
      <w:tr>
        <w:trPr>
          <w:trHeight w:val="250"/>
        </w:trPr>
        <w:tc>
          <w:tcPr>
            <w:tcW w:w="4840" w:type="dxa"/>
            <w:vAlign w:val="bottom"/>
          </w:tcPr>
          <w:p>
            <w:pPr>
              <w:ind w:left="40"/>
              <w:spacing w:after="0"/>
              <w:rPr>
                <w:sz w:val="20"/>
                <w:szCs w:val="20"/>
                <w:color w:val="auto"/>
              </w:rPr>
            </w:pPr>
            <w:r>
              <w:rPr>
                <w:rFonts w:ascii="Arial" w:cs="Arial" w:eastAsia="Arial" w:hAnsi="Arial"/>
                <w:sz w:val="14"/>
                <w:szCs w:val="14"/>
                <w:color w:val="auto"/>
              </w:rPr>
              <w:t>Income (Loss) from Continuing Operations</w:t>
            </w:r>
          </w:p>
        </w:tc>
        <w:tc>
          <w:tcPr>
            <w:tcW w:w="960" w:type="dxa"/>
            <w:vAlign w:val="bottom"/>
          </w:tcPr>
          <w:p>
            <w:pPr>
              <w:spacing w:after="0"/>
              <w:rPr>
                <w:sz w:val="21"/>
                <w:szCs w:val="21"/>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294</w:t>
            </w:r>
          </w:p>
        </w:tc>
      </w:tr>
      <w:tr>
        <w:trPr>
          <w:trHeight w:val="163"/>
        </w:trPr>
        <w:tc>
          <w:tcPr>
            <w:tcW w:w="4840" w:type="dxa"/>
            <w:vAlign w:val="bottom"/>
            <w:shd w:val="clear" w:color="auto" w:fill="BFE4FF"/>
          </w:tcPr>
          <w:p>
            <w:pPr>
              <w:ind w:left="40"/>
              <w:spacing w:after="0"/>
              <w:rPr>
                <w:sz w:val="20"/>
                <w:szCs w:val="20"/>
                <w:color w:val="auto"/>
              </w:rPr>
            </w:pPr>
            <w:r>
              <w:rPr>
                <w:rFonts w:ascii="Arial" w:cs="Arial" w:eastAsia="Arial" w:hAnsi="Arial"/>
                <w:sz w:val="14"/>
                <w:szCs w:val="14"/>
                <w:color w:val="auto"/>
                <w:w w:val="94"/>
              </w:rPr>
              <w:t>Income (Loss) from Discontinued Operations (net of tax expense of $38, $14, $21</w:t>
            </w:r>
          </w:p>
        </w:tc>
        <w:tc>
          <w:tcPr>
            <w:tcW w:w="960" w:type="dxa"/>
            <w:vAlign w:val="bottom"/>
            <w:shd w:val="clear" w:color="auto" w:fill="BFE4FF"/>
          </w:tcPr>
          <w:p>
            <w:pPr>
              <w:spacing w:after="0"/>
              <w:rPr>
                <w:sz w:val="14"/>
                <w:szCs w:val="14"/>
                <w:color w:val="auto"/>
              </w:rPr>
            </w:pPr>
          </w:p>
        </w:tc>
        <w:tc>
          <w:tcPr>
            <w:tcW w:w="52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260" w:type="dxa"/>
            <w:vAlign w:val="bottom"/>
            <w:shd w:val="clear" w:color="auto" w:fill="BFE4FF"/>
          </w:tcPr>
          <w:p>
            <w:pPr>
              <w:spacing w:after="0"/>
              <w:rPr>
                <w:sz w:val="14"/>
                <w:szCs w:val="14"/>
                <w:color w:val="auto"/>
              </w:rPr>
            </w:pPr>
          </w:p>
        </w:tc>
        <w:tc>
          <w:tcPr>
            <w:tcW w:w="122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380" w:type="dxa"/>
            <w:vAlign w:val="bottom"/>
            <w:shd w:val="clear" w:color="auto" w:fill="BFE4FF"/>
          </w:tcPr>
          <w:p>
            <w:pPr>
              <w:spacing w:after="0"/>
              <w:rPr>
                <w:sz w:val="14"/>
                <w:szCs w:val="14"/>
                <w:color w:val="auto"/>
              </w:rPr>
            </w:pPr>
          </w:p>
        </w:tc>
        <w:tc>
          <w:tcPr>
            <w:tcW w:w="1180" w:type="dxa"/>
            <w:vAlign w:val="bottom"/>
            <w:shd w:val="clear" w:color="auto" w:fill="BFE4FF"/>
          </w:tcPr>
          <w:p>
            <w:pPr>
              <w:spacing w:after="0"/>
              <w:rPr>
                <w:sz w:val="14"/>
                <w:szCs w:val="14"/>
                <w:color w:val="auto"/>
              </w:rPr>
            </w:pPr>
          </w:p>
        </w:tc>
        <w:tc>
          <w:tcPr>
            <w:tcW w:w="100" w:type="dxa"/>
            <w:vAlign w:val="bottom"/>
            <w:shd w:val="clear" w:color="auto" w:fill="BFE4FF"/>
          </w:tcPr>
          <w:p>
            <w:pPr>
              <w:spacing w:after="0"/>
              <w:rPr>
                <w:sz w:val="14"/>
                <w:szCs w:val="14"/>
                <w:color w:val="auto"/>
              </w:rPr>
            </w:pPr>
          </w:p>
        </w:tc>
        <w:tc>
          <w:tcPr>
            <w:tcW w:w="380" w:type="dxa"/>
            <w:vAlign w:val="bottom"/>
            <w:shd w:val="clear" w:color="auto" w:fill="BFE4FF"/>
          </w:tcPr>
          <w:p>
            <w:pPr>
              <w:spacing w:after="0"/>
              <w:rPr>
                <w:sz w:val="14"/>
                <w:szCs w:val="14"/>
                <w:color w:val="auto"/>
              </w:rPr>
            </w:pPr>
          </w:p>
        </w:tc>
        <w:tc>
          <w:tcPr>
            <w:tcW w:w="1180" w:type="dxa"/>
            <w:vAlign w:val="bottom"/>
            <w:shd w:val="clear" w:color="auto" w:fill="BFE4FF"/>
          </w:tcPr>
          <w:p>
            <w:pPr>
              <w:spacing w:after="0"/>
              <w:rPr>
                <w:sz w:val="14"/>
                <w:szCs w:val="14"/>
                <w:color w:val="auto"/>
              </w:rPr>
            </w:pPr>
          </w:p>
        </w:tc>
      </w:tr>
      <w:tr>
        <w:trPr>
          <w:trHeight w:val="188"/>
        </w:trPr>
        <w:tc>
          <w:tcPr>
            <w:tcW w:w="4840" w:type="dxa"/>
            <w:vAlign w:val="bottom"/>
            <w:shd w:val="clear" w:color="auto" w:fill="BFE4FF"/>
          </w:tcPr>
          <w:p>
            <w:pPr>
              <w:ind w:left="200"/>
              <w:spacing w:after="0"/>
              <w:rPr>
                <w:sz w:val="20"/>
                <w:szCs w:val="20"/>
                <w:color w:val="auto"/>
              </w:rPr>
            </w:pPr>
            <w:r>
              <w:rPr>
                <w:rFonts w:ascii="Arial" w:cs="Arial" w:eastAsia="Arial" w:hAnsi="Arial"/>
                <w:sz w:val="14"/>
                <w:szCs w:val="14"/>
                <w:color w:val="auto"/>
              </w:rPr>
              <w:t>and $22, respectively)</w:t>
            </w:r>
          </w:p>
        </w:tc>
        <w:tc>
          <w:tcPr>
            <w:tcW w:w="960" w:type="dxa"/>
            <w:vAlign w:val="bottom"/>
            <w:tcBorders>
              <w:bottom w:val="single" w:sz="8" w:color="auto"/>
            </w:tcBorders>
            <w:shd w:val="clear" w:color="auto" w:fill="BFE4FF"/>
          </w:tcPr>
          <w:p>
            <w:pPr>
              <w:spacing w:after="0"/>
              <w:rPr>
                <w:sz w:val="16"/>
                <w:szCs w:val="16"/>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BFE4FF"/>
          </w:tcPr>
          <w:p>
            <w:pPr>
              <w:spacing w:after="0"/>
              <w:rPr>
                <w:sz w:val="16"/>
                <w:szCs w:val="16"/>
                <w:color w:val="auto"/>
              </w:rPr>
            </w:pPr>
          </w:p>
        </w:tc>
        <w:tc>
          <w:tcPr>
            <w:tcW w:w="260" w:type="dxa"/>
            <w:vAlign w:val="bottom"/>
            <w:tcBorders>
              <w:bottom w:val="single" w:sz="8" w:color="auto"/>
            </w:tcBorders>
            <w:shd w:val="clear" w:color="auto" w:fill="BFE4FF"/>
          </w:tcPr>
          <w:p>
            <w:pPr>
              <w:spacing w:after="0"/>
              <w:rPr>
                <w:sz w:val="16"/>
                <w:szCs w:val="16"/>
                <w:color w:val="auto"/>
              </w:rPr>
            </w:pPr>
          </w:p>
        </w:tc>
        <w:tc>
          <w:tcPr>
            <w:tcW w:w="122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BFE4FF"/>
          </w:tcPr>
          <w:p>
            <w:pPr>
              <w:spacing w:after="0"/>
              <w:rPr>
                <w:sz w:val="16"/>
                <w:szCs w:val="16"/>
                <w:color w:val="auto"/>
              </w:rPr>
            </w:pPr>
          </w:p>
        </w:tc>
        <w:tc>
          <w:tcPr>
            <w:tcW w:w="380" w:type="dxa"/>
            <w:vAlign w:val="bottom"/>
            <w:tcBorders>
              <w:bottom w:val="single" w:sz="8" w:color="auto"/>
            </w:tcBorders>
            <w:shd w:val="clear" w:color="auto" w:fill="BFE4FF"/>
          </w:tcPr>
          <w:p>
            <w:pPr>
              <w:spacing w:after="0"/>
              <w:rPr>
                <w:sz w:val="16"/>
                <w:szCs w:val="16"/>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BFE4FF"/>
          </w:tcPr>
          <w:p>
            <w:pPr>
              <w:spacing w:after="0"/>
              <w:rPr>
                <w:sz w:val="16"/>
                <w:szCs w:val="16"/>
                <w:color w:val="auto"/>
              </w:rPr>
            </w:pPr>
          </w:p>
        </w:tc>
        <w:tc>
          <w:tcPr>
            <w:tcW w:w="380" w:type="dxa"/>
            <w:vAlign w:val="bottom"/>
            <w:tcBorders>
              <w:bottom w:val="single" w:sz="8" w:color="auto"/>
            </w:tcBorders>
            <w:shd w:val="clear" w:color="auto" w:fill="BFE4FF"/>
          </w:tcPr>
          <w:p>
            <w:pPr>
              <w:spacing w:after="0"/>
              <w:rPr>
                <w:sz w:val="16"/>
                <w:szCs w:val="16"/>
                <w:color w:val="auto"/>
              </w:rPr>
            </w:pPr>
          </w:p>
        </w:tc>
        <w:tc>
          <w:tcPr>
            <w:tcW w:w="11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70</w:t>
            </w:r>
          </w:p>
        </w:tc>
      </w:tr>
      <w:tr>
        <w:trPr>
          <w:trHeight w:val="250"/>
        </w:trPr>
        <w:tc>
          <w:tcPr>
            <w:tcW w:w="48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960" w:type="dxa"/>
            <w:vAlign w:val="bottom"/>
          </w:tcPr>
          <w:p>
            <w:pPr>
              <w:spacing w:after="0"/>
              <w:rPr>
                <w:sz w:val="21"/>
                <w:szCs w:val="21"/>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364</w:t>
            </w:r>
          </w:p>
        </w:tc>
      </w:tr>
      <w:tr>
        <w:trPr>
          <w:trHeight w:val="270"/>
        </w:trPr>
        <w:tc>
          <w:tcPr>
            <w:tcW w:w="4840" w:type="dxa"/>
            <w:vAlign w:val="bottom"/>
            <w:shd w:val="clear" w:color="auto" w:fill="BFE4FF"/>
          </w:tcPr>
          <w:p>
            <w:pPr>
              <w:ind w:left="40"/>
              <w:spacing w:after="0"/>
              <w:rPr>
                <w:sz w:val="20"/>
                <w:szCs w:val="20"/>
                <w:color w:val="auto"/>
              </w:rPr>
            </w:pPr>
            <w:r>
              <w:rPr>
                <w:rFonts w:ascii="Arial" w:cs="Arial" w:eastAsia="Arial" w:hAnsi="Arial"/>
                <w:sz w:val="14"/>
                <w:szCs w:val="14"/>
                <w:color w:val="auto"/>
              </w:rPr>
              <w:t>Income Allocated to Preferred Shareholders</w:t>
            </w:r>
          </w:p>
        </w:tc>
        <w:tc>
          <w:tcPr>
            <w:tcW w:w="960" w:type="dxa"/>
            <w:vAlign w:val="bottom"/>
            <w:tcBorders>
              <w:bottom w:val="single" w:sz="8" w:color="auto"/>
            </w:tcBorders>
            <w:shd w:val="clear" w:color="auto" w:fill="BFE4FF"/>
          </w:tcPr>
          <w:p>
            <w:pPr>
              <w:spacing w:after="0"/>
              <w:rPr>
                <w:sz w:val="23"/>
                <w:szCs w:val="23"/>
                <w:color w:val="auto"/>
              </w:rPr>
            </w:pPr>
          </w:p>
        </w:tc>
        <w:tc>
          <w:tcPr>
            <w:tcW w:w="52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BFE4FF"/>
          </w:tcPr>
          <w:p>
            <w:pPr>
              <w:spacing w:after="0"/>
              <w:rPr>
                <w:sz w:val="23"/>
                <w:szCs w:val="23"/>
                <w:color w:val="auto"/>
              </w:rPr>
            </w:pPr>
          </w:p>
        </w:tc>
        <w:tc>
          <w:tcPr>
            <w:tcW w:w="260" w:type="dxa"/>
            <w:vAlign w:val="bottom"/>
            <w:tcBorders>
              <w:bottom w:val="single" w:sz="8" w:color="auto"/>
            </w:tcBorders>
            <w:shd w:val="clear" w:color="auto" w:fill="BFE4FF"/>
          </w:tcPr>
          <w:p>
            <w:pPr>
              <w:spacing w:after="0"/>
              <w:rPr>
                <w:sz w:val="23"/>
                <w:szCs w:val="23"/>
                <w:color w:val="auto"/>
              </w:rPr>
            </w:pPr>
          </w:p>
        </w:tc>
        <w:tc>
          <w:tcPr>
            <w:tcW w:w="122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BFE4FF"/>
          </w:tcPr>
          <w:p>
            <w:pPr>
              <w:spacing w:after="0"/>
              <w:rPr>
                <w:sz w:val="23"/>
                <w:szCs w:val="23"/>
                <w:color w:val="auto"/>
              </w:rPr>
            </w:pPr>
          </w:p>
        </w:tc>
        <w:tc>
          <w:tcPr>
            <w:tcW w:w="380" w:type="dxa"/>
            <w:vAlign w:val="bottom"/>
            <w:tcBorders>
              <w:bottom w:val="single" w:sz="8" w:color="auto"/>
            </w:tcBorders>
            <w:shd w:val="clear" w:color="auto" w:fill="BFE4FF"/>
          </w:tcPr>
          <w:p>
            <w:pPr>
              <w:spacing w:after="0"/>
              <w:rPr>
                <w:sz w:val="23"/>
                <w:szCs w:val="23"/>
                <w:color w:val="auto"/>
              </w:rPr>
            </w:pPr>
          </w:p>
        </w:tc>
        <w:tc>
          <w:tcPr>
            <w:tcW w:w="11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BFE4FF"/>
          </w:tcPr>
          <w:p>
            <w:pPr>
              <w:spacing w:after="0"/>
              <w:rPr>
                <w:sz w:val="23"/>
                <w:szCs w:val="23"/>
                <w:color w:val="auto"/>
              </w:rPr>
            </w:pPr>
          </w:p>
        </w:tc>
        <w:tc>
          <w:tcPr>
            <w:tcW w:w="380" w:type="dxa"/>
            <w:vAlign w:val="bottom"/>
            <w:tcBorders>
              <w:bottom w:val="single" w:sz="8" w:color="auto"/>
            </w:tcBorders>
            <w:shd w:val="clear" w:color="auto" w:fill="BFE4FF"/>
          </w:tcPr>
          <w:p>
            <w:pPr>
              <w:spacing w:after="0"/>
              <w:rPr>
                <w:sz w:val="23"/>
                <w:szCs w:val="23"/>
                <w:color w:val="auto"/>
              </w:rPr>
            </w:pPr>
          </w:p>
        </w:tc>
        <w:tc>
          <w:tcPr>
            <w:tcW w:w="11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59</w:t>
            </w:r>
          </w:p>
        </w:tc>
      </w:tr>
      <w:tr>
        <w:trPr>
          <w:trHeight w:val="283"/>
        </w:trPr>
        <w:tc>
          <w:tcPr>
            <w:tcW w:w="4840" w:type="dxa"/>
            <w:vAlign w:val="bottom"/>
            <w:tcBorders>
              <w:bottom w:val="single" w:sz="8" w:color="BFE4FF"/>
            </w:tcBorders>
          </w:tcPr>
          <w:p>
            <w:pPr>
              <w:ind w:left="40"/>
              <w:spacing w:after="0"/>
              <w:rPr>
                <w:sz w:val="20"/>
                <w:szCs w:val="20"/>
                <w:color w:val="auto"/>
              </w:rPr>
            </w:pPr>
            <w:r>
              <w:rPr>
                <w:rFonts w:ascii="Arial" w:cs="Arial" w:eastAsia="Arial" w:hAnsi="Arial"/>
                <w:sz w:val="14"/>
                <w:szCs w:val="14"/>
                <w:color w:val="auto"/>
              </w:rPr>
              <w:t>Income (Loss) Available to Common Shareholders</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BFE4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BFE4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w:t>
            </w:r>
          </w:p>
        </w:tc>
        <w:tc>
          <w:tcPr>
            <w:tcW w:w="100" w:type="dxa"/>
            <w:vAlign w:val="bottom"/>
            <w:tcBorders>
              <w:bottom w:val="single" w:sz="8" w:color="BFE4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305</w:t>
            </w:r>
          </w:p>
        </w:tc>
      </w:tr>
      <w:tr>
        <w:trPr>
          <w:trHeight w:val="251"/>
        </w:trPr>
        <w:tc>
          <w:tcPr>
            <w:tcW w:w="4840" w:type="dxa"/>
            <w:vAlign w:val="bottom"/>
            <w:shd w:val="clear" w:color="auto" w:fill="BFE4FF"/>
          </w:tcPr>
          <w:p>
            <w:pPr>
              <w:ind w:left="40"/>
              <w:spacing w:after="0"/>
              <w:rPr>
                <w:sz w:val="20"/>
                <w:szCs w:val="20"/>
                <w:color w:val="auto"/>
              </w:rPr>
            </w:pPr>
            <w:r>
              <w:rPr>
                <w:rFonts w:ascii="Arial" w:cs="Arial" w:eastAsia="Arial" w:hAnsi="Arial"/>
                <w:sz w:val="14"/>
                <w:szCs w:val="14"/>
                <w:b w:val="1"/>
                <w:bCs w:val="1"/>
                <w:color w:val="auto"/>
              </w:rPr>
              <w:t>Basic Earnings (Loss) Per Common Share:</w:t>
            </w:r>
          </w:p>
        </w:tc>
        <w:tc>
          <w:tcPr>
            <w:tcW w:w="960" w:type="dxa"/>
            <w:vAlign w:val="bottom"/>
            <w:shd w:val="clear" w:color="auto" w:fill="BFE4FF"/>
          </w:tcPr>
          <w:p>
            <w:pPr>
              <w:spacing w:after="0"/>
              <w:rPr>
                <w:sz w:val="21"/>
                <w:szCs w:val="21"/>
                <w:color w:val="auto"/>
              </w:rPr>
            </w:pPr>
          </w:p>
        </w:tc>
        <w:tc>
          <w:tcPr>
            <w:tcW w:w="52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22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380" w:type="dxa"/>
            <w:vAlign w:val="bottom"/>
            <w:shd w:val="clear" w:color="auto" w:fill="BFE4FF"/>
          </w:tcPr>
          <w:p>
            <w:pPr>
              <w:spacing w:after="0"/>
              <w:rPr>
                <w:sz w:val="21"/>
                <w:szCs w:val="21"/>
                <w:color w:val="auto"/>
              </w:rPr>
            </w:pPr>
          </w:p>
        </w:tc>
        <w:tc>
          <w:tcPr>
            <w:tcW w:w="118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380" w:type="dxa"/>
            <w:vAlign w:val="bottom"/>
            <w:shd w:val="clear" w:color="auto" w:fill="BFE4FF"/>
          </w:tcPr>
          <w:p>
            <w:pPr>
              <w:spacing w:after="0"/>
              <w:rPr>
                <w:sz w:val="21"/>
                <w:szCs w:val="21"/>
                <w:color w:val="auto"/>
              </w:rPr>
            </w:pPr>
          </w:p>
        </w:tc>
        <w:tc>
          <w:tcPr>
            <w:tcW w:w="1180" w:type="dxa"/>
            <w:vAlign w:val="bottom"/>
            <w:shd w:val="clear" w:color="auto" w:fill="BFE4FF"/>
          </w:tcPr>
          <w:p>
            <w:pPr>
              <w:spacing w:after="0"/>
              <w:rPr>
                <w:sz w:val="21"/>
                <w:szCs w:val="21"/>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Basic earnings (loss) per common share - continuing operations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0.47</w:t>
            </w:r>
          </w:p>
        </w:tc>
      </w:tr>
      <w:tr>
        <w:trPr>
          <w:trHeight w:val="270"/>
        </w:trPr>
        <w:tc>
          <w:tcPr>
            <w:tcW w:w="4840" w:type="dxa"/>
            <w:vAlign w:val="bottom"/>
            <w:shd w:val="clear" w:color="auto" w:fill="BFE4FF"/>
          </w:tcPr>
          <w:p>
            <w:pPr>
              <w:ind w:left="40"/>
              <w:spacing w:after="0"/>
              <w:rPr>
                <w:sz w:val="20"/>
                <w:szCs w:val="20"/>
                <w:color w:val="auto"/>
              </w:rPr>
            </w:pPr>
            <w:r>
              <w:rPr>
                <w:rFonts w:ascii="Arial" w:cs="Arial" w:eastAsia="Arial" w:hAnsi="Arial"/>
                <w:sz w:val="14"/>
                <w:szCs w:val="14"/>
                <w:color w:val="auto"/>
              </w:rPr>
              <w:t>Basic earnings (loss) per common share - discontinued operations</w:t>
            </w:r>
          </w:p>
        </w:tc>
        <w:tc>
          <w:tcPr>
            <w:tcW w:w="960" w:type="dxa"/>
            <w:vAlign w:val="bottom"/>
            <w:tcBorders>
              <w:bottom w:val="single" w:sz="8" w:color="auto"/>
            </w:tcBorders>
            <w:shd w:val="clear" w:color="auto" w:fill="BFE4FF"/>
          </w:tcPr>
          <w:p>
            <w:pPr>
              <w:spacing w:after="0"/>
              <w:rPr>
                <w:sz w:val="23"/>
                <w:szCs w:val="23"/>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BFE4FF"/>
          </w:tcPr>
          <w:p>
            <w:pPr>
              <w:spacing w:after="0"/>
              <w:rPr>
                <w:sz w:val="23"/>
                <w:szCs w:val="23"/>
                <w:color w:val="auto"/>
              </w:rPr>
            </w:pPr>
          </w:p>
        </w:tc>
        <w:tc>
          <w:tcPr>
            <w:tcW w:w="260" w:type="dxa"/>
            <w:vAlign w:val="bottom"/>
            <w:tcBorders>
              <w:bottom w:val="single" w:sz="8" w:color="auto"/>
            </w:tcBorders>
            <w:shd w:val="clear" w:color="auto" w:fill="BFE4FF"/>
          </w:tcPr>
          <w:p>
            <w:pPr>
              <w:spacing w:after="0"/>
              <w:rPr>
                <w:sz w:val="23"/>
                <w:szCs w:val="23"/>
                <w:color w:val="auto"/>
              </w:rPr>
            </w:pPr>
          </w:p>
        </w:tc>
        <w:tc>
          <w:tcPr>
            <w:tcW w:w="122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BFE4FF"/>
          </w:tcPr>
          <w:p>
            <w:pPr>
              <w:spacing w:after="0"/>
              <w:rPr>
                <w:sz w:val="23"/>
                <w:szCs w:val="23"/>
                <w:color w:val="auto"/>
              </w:rPr>
            </w:pPr>
          </w:p>
        </w:tc>
        <w:tc>
          <w:tcPr>
            <w:tcW w:w="380" w:type="dxa"/>
            <w:vAlign w:val="bottom"/>
            <w:tcBorders>
              <w:bottom w:val="single" w:sz="8" w:color="auto"/>
            </w:tcBorders>
            <w:shd w:val="clear" w:color="auto" w:fill="BFE4FF"/>
          </w:tcPr>
          <w:p>
            <w:pPr>
              <w:spacing w:after="0"/>
              <w:rPr>
                <w:sz w:val="23"/>
                <w:szCs w:val="23"/>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shd w:val="clear" w:color="auto" w:fill="BFE4FF"/>
          </w:tcPr>
          <w:p>
            <w:pPr>
              <w:spacing w:after="0"/>
              <w:rPr>
                <w:sz w:val="23"/>
                <w:szCs w:val="23"/>
                <w:color w:val="auto"/>
              </w:rPr>
            </w:pPr>
          </w:p>
        </w:tc>
        <w:tc>
          <w:tcPr>
            <w:tcW w:w="380" w:type="dxa"/>
            <w:vAlign w:val="bottom"/>
            <w:tcBorders>
              <w:bottom w:val="single" w:sz="8" w:color="auto"/>
            </w:tcBorders>
            <w:shd w:val="clear" w:color="auto" w:fill="BFE4FF"/>
          </w:tcPr>
          <w:p>
            <w:pPr>
              <w:spacing w:after="0"/>
              <w:rPr>
                <w:sz w:val="23"/>
                <w:szCs w:val="23"/>
                <w:color w:val="auto"/>
              </w:rPr>
            </w:pPr>
          </w:p>
        </w:tc>
        <w:tc>
          <w:tcPr>
            <w:tcW w:w="11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0.14</w:t>
            </w:r>
          </w:p>
        </w:tc>
      </w:tr>
      <w:tr>
        <w:trPr>
          <w:trHeight w:val="283"/>
        </w:trPr>
        <w:tc>
          <w:tcPr>
            <w:tcW w:w="4840" w:type="dxa"/>
            <w:vAlign w:val="bottom"/>
            <w:tcBorders>
              <w:bottom w:val="single" w:sz="8" w:color="BFE4FF"/>
            </w:tcBorders>
          </w:tcPr>
          <w:p>
            <w:pPr>
              <w:ind w:left="40"/>
              <w:spacing w:after="0"/>
              <w:rPr>
                <w:sz w:val="20"/>
                <w:szCs w:val="20"/>
                <w:color w:val="auto"/>
              </w:rPr>
            </w:pPr>
            <w:r>
              <w:rPr>
                <w:rFonts w:ascii="Arial" w:cs="Arial" w:eastAsia="Arial" w:hAnsi="Arial"/>
                <w:sz w:val="14"/>
                <w:szCs w:val="14"/>
                <w:color w:val="auto"/>
              </w:rPr>
              <w:t>Basic Earnings (Loss) Per Common Share</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0.11</w:t>
            </w:r>
          </w:p>
        </w:tc>
        <w:tc>
          <w:tcPr>
            <w:tcW w:w="120" w:type="dxa"/>
            <w:vAlign w:val="bottom"/>
            <w:tcBorders>
              <w:bottom w:val="single" w:sz="8" w:color="BFE4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0.33</w:t>
            </w:r>
          </w:p>
        </w:tc>
        <w:tc>
          <w:tcPr>
            <w:tcW w:w="100" w:type="dxa"/>
            <w:vAlign w:val="bottom"/>
            <w:tcBorders>
              <w:bottom w:val="single" w:sz="8" w:color="BFE4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Borders>
              <w:bottom w:val="single" w:sz="8" w:color="BFE4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0.61</w:t>
            </w:r>
          </w:p>
        </w:tc>
      </w:tr>
      <w:tr>
        <w:trPr>
          <w:trHeight w:val="250"/>
        </w:trPr>
        <w:tc>
          <w:tcPr>
            <w:tcW w:w="4840" w:type="dxa"/>
            <w:vAlign w:val="bottom"/>
            <w:shd w:val="clear" w:color="auto" w:fill="BFE4FF"/>
          </w:tcPr>
          <w:p>
            <w:pPr>
              <w:ind w:left="40"/>
              <w:spacing w:after="0"/>
              <w:rPr>
                <w:sz w:val="20"/>
                <w:szCs w:val="20"/>
                <w:color w:val="auto"/>
              </w:rPr>
            </w:pPr>
            <w:r>
              <w:rPr>
                <w:rFonts w:ascii="Arial" w:cs="Arial" w:eastAsia="Arial" w:hAnsi="Arial"/>
                <w:sz w:val="14"/>
                <w:szCs w:val="14"/>
                <w:b w:val="1"/>
                <w:bCs w:val="1"/>
                <w:color w:val="auto"/>
              </w:rPr>
              <w:t>Diluted Earnings (Loss) Per Common Share:</w:t>
            </w:r>
          </w:p>
        </w:tc>
        <w:tc>
          <w:tcPr>
            <w:tcW w:w="960" w:type="dxa"/>
            <w:vAlign w:val="bottom"/>
            <w:shd w:val="clear" w:color="auto" w:fill="BFE4FF"/>
          </w:tcPr>
          <w:p>
            <w:pPr>
              <w:spacing w:after="0"/>
              <w:rPr>
                <w:sz w:val="21"/>
                <w:szCs w:val="21"/>
                <w:color w:val="auto"/>
              </w:rPr>
            </w:pPr>
          </w:p>
        </w:tc>
        <w:tc>
          <w:tcPr>
            <w:tcW w:w="52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22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380" w:type="dxa"/>
            <w:vAlign w:val="bottom"/>
            <w:shd w:val="clear" w:color="auto" w:fill="BFE4FF"/>
          </w:tcPr>
          <w:p>
            <w:pPr>
              <w:spacing w:after="0"/>
              <w:rPr>
                <w:sz w:val="21"/>
                <w:szCs w:val="21"/>
                <w:color w:val="auto"/>
              </w:rPr>
            </w:pPr>
          </w:p>
        </w:tc>
        <w:tc>
          <w:tcPr>
            <w:tcW w:w="118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380" w:type="dxa"/>
            <w:vAlign w:val="bottom"/>
            <w:shd w:val="clear" w:color="auto" w:fill="BFE4FF"/>
          </w:tcPr>
          <w:p>
            <w:pPr>
              <w:spacing w:after="0"/>
              <w:rPr>
                <w:sz w:val="21"/>
                <w:szCs w:val="21"/>
                <w:color w:val="auto"/>
              </w:rPr>
            </w:pPr>
          </w:p>
        </w:tc>
        <w:tc>
          <w:tcPr>
            <w:tcW w:w="1180" w:type="dxa"/>
            <w:vAlign w:val="bottom"/>
            <w:shd w:val="clear" w:color="auto" w:fill="BFE4FF"/>
          </w:tcPr>
          <w:p>
            <w:pPr>
              <w:spacing w:after="0"/>
              <w:rPr>
                <w:sz w:val="21"/>
                <w:szCs w:val="21"/>
                <w:color w:val="auto"/>
              </w:rPr>
            </w:pPr>
          </w:p>
        </w:tc>
      </w:tr>
      <w:tr>
        <w:trPr>
          <w:trHeight w:val="264"/>
        </w:trPr>
        <w:tc>
          <w:tcPr>
            <w:tcW w:w="4840" w:type="dxa"/>
            <w:vAlign w:val="bottom"/>
          </w:tcPr>
          <w:p>
            <w:pPr>
              <w:ind w:left="40"/>
              <w:spacing w:after="0"/>
              <w:rPr>
                <w:sz w:val="20"/>
                <w:szCs w:val="20"/>
                <w:color w:val="auto"/>
              </w:rPr>
            </w:pPr>
            <w:r>
              <w:rPr>
                <w:rFonts w:ascii="Arial" w:cs="Arial" w:eastAsia="Arial" w:hAnsi="Arial"/>
                <w:sz w:val="14"/>
                <w:szCs w:val="14"/>
                <w:color w:val="auto"/>
              </w:rPr>
              <w:t>Diluted earnings (loss) per common share - continuing operations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0.47</w:t>
            </w:r>
          </w:p>
        </w:tc>
      </w:tr>
      <w:tr>
        <w:trPr>
          <w:trHeight w:val="270"/>
        </w:trPr>
        <w:tc>
          <w:tcPr>
            <w:tcW w:w="4840" w:type="dxa"/>
            <w:vAlign w:val="bottom"/>
            <w:shd w:val="clear" w:color="auto" w:fill="BFE4FF"/>
          </w:tcPr>
          <w:p>
            <w:pPr>
              <w:ind w:left="40"/>
              <w:spacing w:after="0"/>
              <w:rPr>
                <w:sz w:val="20"/>
                <w:szCs w:val="20"/>
                <w:color w:val="auto"/>
              </w:rPr>
            </w:pPr>
            <w:r>
              <w:rPr>
                <w:rFonts w:ascii="Arial" w:cs="Arial" w:eastAsia="Arial" w:hAnsi="Arial"/>
                <w:sz w:val="14"/>
                <w:szCs w:val="14"/>
                <w:color w:val="auto"/>
              </w:rPr>
              <w:t>Diluted earnings (loss) per common share - discontinued operations</w:t>
            </w:r>
          </w:p>
        </w:tc>
        <w:tc>
          <w:tcPr>
            <w:tcW w:w="960" w:type="dxa"/>
            <w:vAlign w:val="bottom"/>
            <w:tcBorders>
              <w:bottom w:val="single" w:sz="8" w:color="auto"/>
            </w:tcBorders>
            <w:shd w:val="clear" w:color="auto" w:fill="BFE4FF"/>
          </w:tcPr>
          <w:p>
            <w:pPr>
              <w:spacing w:after="0"/>
              <w:rPr>
                <w:sz w:val="23"/>
                <w:szCs w:val="23"/>
                <w:color w:val="auto"/>
              </w:rPr>
            </w:pPr>
          </w:p>
        </w:tc>
        <w:tc>
          <w:tcPr>
            <w:tcW w:w="5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BFE4FF"/>
          </w:tcPr>
          <w:p>
            <w:pPr>
              <w:spacing w:after="0"/>
              <w:rPr>
                <w:sz w:val="23"/>
                <w:szCs w:val="23"/>
                <w:color w:val="auto"/>
              </w:rPr>
            </w:pPr>
          </w:p>
        </w:tc>
        <w:tc>
          <w:tcPr>
            <w:tcW w:w="260" w:type="dxa"/>
            <w:vAlign w:val="bottom"/>
            <w:tcBorders>
              <w:bottom w:val="single" w:sz="8" w:color="auto"/>
            </w:tcBorders>
            <w:shd w:val="clear" w:color="auto" w:fill="BFE4FF"/>
          </w:tcPr>
          <w:p>
            <w:pPr>
              <w:spacing w:after="0"/>
              <w:rPr>
                <w:sz w:val="23"/>
                <w:szCs w:val="23"/>
                <w:color w:val="auto"/>
              </w:rPr>
            </w:pPr>
          </w:p>
        </w:tc>
        <w:tc>
          <w:tcPr>
            <w:tcW w:w="122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BFE4FF"/>
          </w:tcPr>
          <w:p>
            <w:pPr>
              <w:spacing w:after="0"/>
              <w:rPr>
                <w:sz w:val="23"/>
                <w:szCs w:val="23"/>
                <w:color w:val="auto"/>
              </w:rPr>
            </w:pPr>
          </w:p>
        </w:tc>
        <w:tc>
          <w:tcPr>
            <w:tcW w:w="380" w:type="dxa"/>
            <w:vAlign w:val="bottom"/>
            <w:tcBorders>
              <w:bottom w:val="single" w:sz="8" w:color="auto"/>
            </w:tcBorders>
            <w:shd w:val="clear" w:color="auto" w:fill="BFE4FF"/>
          </w:tcPr>
          <w:p>
            <w:pPr>
              <w:spacing w:after="0"/>
              <w:rPr>
                <w:sz w:val="23"/>
                <w:szCs w:val="23"/>
                <w:color w:val="auto"/>
              </w:rPr>
            </w:pP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shd w:val="clear" w:color="auto" w:fill="BFE4FF"/>
          </w:tcPr>
          <w:p>
            <w:pPr>
              <w:spacing w:after="0"/>
              <w:rPr>
                <w:sz w:val="23"/>
                <w:szCs w:val="23"/>
                <w:color w:val="auto"/>
              </w:rPr>
            </w:pPr>
          </w:p>
        </w:tc>
        <w:tc>
          <w:tcPr>
            <w:tcW w:w="380" w:type="dxa"/>
            <w:vAlign w:val="bottom"/>
            <w:tcBorders>
              <w:bottom w:val="single" w:sz="8" w:color="auto"/>
            </w:tcBorders>
            <w:shd w:val="clear" w:color="auto" w:fill="BFE4FF"/>
          </w:tcPr>
          <w:p>
            <w:pPr>
              <w:spacing w:after="0"/>
              <w:rPr>
                <w:sz w:val="23"/>
                <w:szCs w:val="23"/>
                <w:color w:val="auto"/>
              </w:rPr>
            </w:pPr>
          </w:p>
        </w:tc>
        <w:tc>
          <w:tcPr>
            <w:tcW w:w="11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0.14</w:t>
            </w:r>
          </w:p>
        </w:tc>
      </w:tr>
      <w:tr>
        <w:trPr>
          <w:trHeight w:val="243"/>
        </w:trPr>
        <w:tc>
          <w:tcPr>
            <w:tcW w:w="4840" w:type="dxa"/>
            <w:vAlign w:val="bottom"/>
          </w:tcPr>
          <w:p>
            <w:pPr>
              <w:ind w:left="40"/>
              <w:spacing w:after="0"/>
              <w:rPr>
                <w:sz w:val="20"/>
                <w:szCs w:val="20"/>
                <w:color w:val="auto"/>
              </w:rPr>
            </w:pPr>
            <w:r>
              <w:rPr>
                <w:rFonts w:ascii="Arial" w:cs="Arial" w:eastAsia="Arial" w:hAnsi="Arial"/>
                <w:sz w:val="14"/>
                <w:szCs w:val="14"/>
                <w:color w:val="auto"/>
              </w:rPr>
              <w:t>Diluted Earnings (Loss) Per Common Share</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0.61</w:t>
            </w:r>
          </w:p>
        </w:tc>
      </w:tr>
      <w:tr>
        <w:trPr>
          <w:trHeight w:val="20"/>
        </w:trPr>
        <w:tc>
          <w:tcPr>
            <w:tcW w:w="4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CenterPoint Energy reported income available to common shareholders of $59 million ($0.11 per diluted share) for the three months ended June 30, 2020 compared to income available to common shareholders of $165 million ($0.33 per diluted share) for the three months ended June 30, 2019.</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of $106 million in income available to common shareholders was primarily due to the following key factors:</w:t>
      </w:r>
    </w:p>
    <w:p>
      <w:pPr>
        <w:spacing w:after="0" w:line="225" w:lineRule="exact"/>
        <w:rPr>
          <w:sz w:val="20"/>
          <w:szCs w:val="20"/>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$74 million decrease in income from discontinued operations, net related to the Infrastructure Services and Energy Services Disposal Groups further discussed in Note 3 to the Interim Condensed Financial Statements;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$26 million decrease in net income from the Midstream Investments reportable segment further discussed under Results of Operations by Reportable Segment below;</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$16 million increase in Income allocated to preferred shareholders due to the issuance of the Series C Preferred Stock;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$13 million decrease in net income from the Houston Electric T&amp;D reportable segment further discussed under Results of Operations by Reportable Segment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decreases were partially offset by the following:</w:t>
      </w:r>
    </w:p>
    <w:p>
      <w:pPr>
        <w:spacing w:after="0" w:line="22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$10 million decrease in the net loss from Corporate and Other further discussed under Results of Operations by Reportable Segment below;</w:t>
      </w:r>
    </w:p>
    <w:p>
      <w:pPr>
        <w:sectPr>
          <w:pgSz w:w="11900" w:h="16838" w:orient="portrait"/>
          <w:cols w:equalWidth="0" w:num="1">
            <w:col w:w="11240"/>
          </w:cols>
          <w:pgMar w:left="320" w:top="125" w:right="339"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240"/>
          </w:cols>
          <w:pgMar w:left="320" w:top="125" w:right="339" w:bottom="1440" w:gutter="0" w:footer="0" w:header="0"/>
          <w:type w:val="continuous"/>
        </w:sectPr>
      </w:pPr>
    </w:p>
    <w:bookmarkStart w:id="77" w:name="page78"/>
    <w:bookmarkEnd w:id="7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right="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$10 million increase in net income from the Natural Gas Distribution reportable segment further discussed under Results of Operations by Reportable Segment below;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$3 million increase in net income from the Indiana Electric Integrated reportable segment further discussed under Results of Operations by Reportable Segment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CenterPoint Energy reported a loss available to common shareholders of $1,169 million ($2.27 loss per diluted common share) for the six months ended June 30, 2020 compared to income available to common shareholders of $305 million ($0.61 per diluted common share) for the six months ended June 30, 2019.</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of $1,474 million in income available to common shareholders was primarily due to the following key factors:</w:t>
      </w:r>
    </w:p>
    <w:p>
      <w:pPr>
        <w:spacing w:after="0" w:line="225" w:lineRule="exact"/>
        <w:rPr>
          <w:sz w:val="20"/>
          <w:szCs w:val="20"/>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$1,177 million decrease in net income from the Midstream Investments reportable segment further discussed under Results of Operations by Reportable Segment below;</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$246 million increase in loss from discontinued operations, net related to the Infrastructure Services and Energy Services Disposal Groups further discussed in Note 3 to the Interim Condensed Financial Statements;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$159 million decrease in net income from the Indiana Electric Integrated reportable segment further discussed under Results of Operations by Reportable Segment below;</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$16 million increase in Income allocated to preferred shareholders due to the issuance of the Series C Preferred Stock;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$6 million decrease in net income from the Houston Electric T&amp;D reportable segment further discussed under Results of Operations by Reportable Segment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decreases were partially offset by the following:</w:t>
      </w:r>
    </w:p>
    <w:p>
      <w:pPr>
        <w:spacing w:after="0" w:line="225" w:lineRule="exact"/>
        <w:rPr>
          <w:sz w:val="20"/>
          <w:szCs w:val="20"/>
          <w:color w:val="auto"/>
        </w:rPr>
      </w:pPr>
    </w:p>
    <w:p>
      <w:pPr>
        <w:ind w:left="660" w:right="2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$94 million increase in net income from the Natural Gas Distribution reportable segment further discussed under Results of Operations by Reportable Segment below;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$36 million decrease in the net loss from Corporate and Other further discussed under Results of Operations by Reportable Segment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 Continuing Operations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CenterPoint Energy’s effective tax rate from continuing operations reported for the three months ended June 30, 2020 was 18% compared to 9% for the three months ended June 30, 2019. CenterPoint Energy’s effective tax rate from continuing operations reported for the six months ended June 30, 2020 was 26% compared to 9% for the six months ended June 30, 2019. The higher effective tax rate for the three months ended June 30, 2020 compared to the three months ended June 30, 2019 was primarily driven by state tax impacts. In 2019, CenterPoint Energy recorded state deferred tax benefits as a result of the impact of state tax law changes and the release of a valuation allowance on certain state net operating losses. The higher effective tax rate for the six months ended June 30, 2020 compared to the six months ended June 30, 2019 was primarily due to lower earnings from the impairment of CenterPoint Energy’s investment in Enable. Other effective tax rate drivers included the non-deductible goodwill impairment at the Indiana Electric Integrated reporting unit, an increase in the amount of amortization of the net regulatory EDIT liability, and an increase in the amount of remeasurement of state tax liabilities for changes in apportionment, the effect of which was compounded by the book loss in the six months ended June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 Discontinued Operations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CenterPoint Energy’s effective tax rate from discontinued operations reported for the three months ended June 30, 2020 was 475% compared to 24% for the three months ended June 30, 2019. CenterPoint Energy’s effective tax rate from discontinued operations reported for the six months ended June 30, 2020 was (14%) compared to 24% for the six months ended June 30, 2019. The higher effective tax rate on income from discontinued operations for the three months ended June 30, 2020 was primarily due to the tax impacts from the sale of the Infrastructure Services Disposal Group on April 9, 2020 and the sale of the Energy Services Disposal Group on June 1, 2020, the effect of which was compounded by lower book earnings in the three months ended June 30, 2020. The lower effective tax rate on the loss from discontinued operations for the six months ended June 30, 2020 was primarily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tax impacts from the sale of the Infrastructure Services Disposal Group on April 9, 2020 and the sale of the Energy Services Disposal Group on June 1, 2020, the effects of which were compounded by lower book earnings in the six months ended June 30,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ELECTRIC’S MANAGEMENT’S NARRATIVE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CONSOLIDATED RESULTS OF OPERATIONS</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Associated with Our Consolidated Financial Condition,” “— Risk Factors Affecting Electric Generation, Transmission and Distribution Businesses” and “— Other Risk Factors Affecting Our Businesses or CenterPoint Energy’s Interests in Enable Midstream Partners, LP” in Item 1A of Part I of the Registrants’ combined 2019 Form 10-K and in Item 1A of Part II of this Form 10-Q.</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080" w:type="dxa"/>
            <w:vAlign w:val="bottom"/>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96"/>
        </w:trPr>
        <w:tc>
          <w:tcPr>
            <w:tcW w:w="5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14"/>
                <w:szCs w:val="14"/>
                <w:color w:val="auto"/>
              </w:rPr>
              <w:t>(1)</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1,451</w:t>
            </w:r>
          </w:p>
        </w:tc>
      </w:tr>
      <w:tr>
        <w:trPr>
          <w:trHeight w:val="243"/>
        </w:trPr>
        <w:tc>
          <w:tcPr>
            <w:tcW w:w="5080" w:type="dxa"/>
            <w:vAlign w:val="bottom"/>
          </w:tcPr>
          <w:p>
            <w:pPr>
              <w:ind w:left="720"/>
              <w:spacing w:after="0"/>
              <w:rPr>
                <w:sz w:val="20"/>
                <w:szCs w:val="20"/>
                <w:color w:val="auto"/>
              </w:rPr>
            </w:pPr>
            <w:r>
              <w:rPr>
                <w:rFonts w:ascii="Arial" w:cs="Arial" w:eastAsia="Arial" w:hAnsi="Arial"/>
                <w:sz w:val="18"/>
                <w:szCs w:val="18"/>
                <w:color w:val="auto"/>
              </w:rPr>
              <w:t>Expenses</w:t>
            </w: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1,201</w:t>
            </w:r>
          </w:p>
        </w:tc>
      </w:tr>
      <w:tr>
        <w:trPr>
          <w:trHeight w:val="27"/>
        </w:trPr>
        <w:tc>
          <w:tcPr>
            <w:tcW w:w="5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Interest Expense and Other Finance Charges</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on Securitization Bonds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from Securitization Bonds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5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r>
      <w:tr>
        <w:trPr>
          <w:trHeight w:val="20"/>
        </w:trPr>
        <w:tc>
          <w:tcPr>
            <w:tcW w:w="5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Excludes weather hedge gains of $-0- and $4 million for the three and six months ended June 30, 2020, respectively, and weather hedge gains of $-0- and $3 million for the three and six months ended June 30, 2019, respectively, recorded in Utility revenues on CenterPoint Energy’s Condensed Statements of Consolidated Income. See Note 7(a) to the Interim Condensed Financial Statements for more information on the weather hedge.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Houston Electric reported net income of $87 million for the three months ended June 30, 2020 compared to net income of $100 million for the three months ended June 30, 2019.</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decrease of $13 million in net income from the Houston Electric T&amp;D reportable segment is discussed below in Results of Operations by Reportable Segment, exclusive of weather hedges recorded at CenterPoint Energy.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Houston Electric reported net income of $120 million for the six months ended June 30, 2020 compared to net income of $127 million for the six months ended June 30, 2019.</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decrease of $7 million in net income from the Houston Electric T&amp;D reportable segment is discussed below in Results of Operations by Reportable Segment, exclusive of weather hedges recorded at CenterPoint Energy.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Houston Electric’s effective tax rate reported for the three months ended June 30, 2020 was 16% compared to 19% for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Houston Electric’s effective tax rate reported for the six months ended June 30, 2020 was 15% compared to 19% for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 The lower effective tax rate for both the three and six months ended</w:t>
      </w:r>
    </w:p>
    <w:p>
      <w:pPr>
        <w:sectPr>
          <w:pgSz w:w="11900" w:h="16838" w:orient="portrait"/>
          <w:cols w:equalWidth="0" w:num="1">
            <w:col w:w="11240"/>
          </w:cols>
          <w:pgMar w:left="320" w:top="125"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June 30, 2020 was primarily due to an increase in the amount of amortization of the net regulatory EDIT liability as decreed by regulators in certain jurisdictions.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CERC’S MANAGEMENT’S NARRATIVE ANALYSIS OF CONSOLIDATED RESULTS OF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CERC’s results of operations are affected by seasonal fluctuations in the demand for natural gas and price movements of energy commodities as well as the optimization of margins through natural gas basis differentials. CERC’s results of operations are also affected by, among other things, the actions of various federal, state and local governmental authorities having jurisdiction over rates CERC charges, competition in CERC’s various business operations, the effectiveness of CERC’s risk management activities, debt service costs and income tax expense. For more information regarding factors that may affect the future results of operations for CERC’s business,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2019 Form 10-K and in Item 1A of Part II of this Form 10-Q.</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80" w:type="dxa"/>
            <w:vAlign w:val="bottom"/>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Expenses</w:t>
            </w: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1,551</w:t>
            </w:r>
          </w:p>
        </w:tc>
      </w:tr>
      <w:tr>
        <w:trPr>
          <w:trHeight w:val="27"/>
        </w:trPr>
        <w:tc>
          <w:tcPr>
            <w:tcW w:w="5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Expense and Other Finance Charges</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98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5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r>
      <w:tr>
        <w:trPr>
          <w:trHeight w:val="229"/>
        </w:trPr>
        <w:tc>
          <w:tcPr>
            <w:tcW w:w="5080" w:type="dxa"/>
            <w:vAlign w:val="bottom"/>
          </w:tcPr>
          <w:p>
            <w:pPr>
              <w:ind w:left="40"/>
              <w:spacing w:after="0"/>
              <w:rPr>
                <w:sz w:val="20"/>
                <w:szCs w:val="20"/>
                <w:color w:val="auto"/>
              </w:rPr>
            </w:pPr>
            <w:r>
              <w:rPr>
                <w:rFonts w:ascii="Arial" w:cs="Arial" w:eastAsia="Arial" w:hAnsi="Arial"/>
                <w:sz w:val="18"/>
                <w:szCs w:val="18"/>
                <w:color w:val="auto"/>
                <w:w w:val="97"/>
              </w:rPr>
              <w:t>Income (Loss) from Discontinued Operations (net of tax expense</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080" w:type="dxa"/>
            <w:vAlign w:val="bottom"/>
          </w:tcPr>
          <w:p>
            <w:pPr>
              <w:ind w:left="200"/>
              <w:spacing w:after="0"/>
              <w:rPr>
                <w:sz w:val="20"/>
                <w:szCs w:val="20"/>
                <w:color w:val="auto"/>
              </w:rPr>
            </w:pPr>
            <w:r>
              <w:rPr>
                <w:rFonts w:ascii="Arial" w:cs="Arial" w:eastAsia="Arial" w:hAnsi="Arial"/>
                <w:sz w:val="18"/>
                <w:szCs w:val="18"/>
                <w:color w:val="auto"/>
              </w:rPr>
              <w:t>(benefit) of $8, $5, ($3) and $13, respectively)</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
        </w:trPr>
        <w:tc>
          <w:tcPr>
            <w:tcW w:w="5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r>
      <w:tr>
        <w:trPr>
          <w:trHeight w:val="20"/>
        </w:trPr>
        <w:tc>
          <w:tcPr>
            <w:tcW w:w="5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CERC reported net income of $13 million for the three months ended June 30, 2020 compared to $28 million for the three months ended June 30, 2019.</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net income of $15 million was primarily due to a $30 million decrease in income from discontinued operations, net of tax, discussed further in Note 3 to the Interim Condensed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decrease in net income was partially offset by the following:</w:t>
      </w:r>
    </w:p>
    <w:p>
      <w:pPr>
        <w:spacing w:after="0" w:line="225" w:lineRule="exact"/>
        <w:rPr>
          <w:sz w:val="20"/>
          <w:szCs w:val="20"/>
          <w:color w:val="auto"/>
        </w:rPr>
      </w:pPr>
    </w:p>
    <w:p>
      <w:pPr>
        <w:ind w:left="660" w:right="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$10 million increase in net income from the Natural Gas Distribution reportable segment discussed further under Results of Operations by Reportable Segment below;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$5 million decrease in the net loss from 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CERC reported net income of $80 million for the six months ended June 30, 2020 compared to net income of $166 million for the six months ended June 30, 2019.</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decrease in net income of $86 million was primarily due to a $122 million decrease in income from discontinued operations, net of tax, discussed further in Note 3 to the Interim Condensed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decrease in net income was partially offset by the following:</w:t>
      </w:r>
    </w:p>
    <w:p>
      <w:pPr>
        <w:spacing w:after="0" w:line="225" w:lineRule="exact"/>
        <w:rPr>
          <w:sz w:val="20"/>
          <w:szCs w:val="20"/>
          <w:color w:val="auto"/>
        </w:rPr>
      </w:pPr>
    </w:p>
    <w:p>
      <w:pPr>
        <w:ind w:left="660" w:right="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$25 million increase in net income from the Natural Gas Distribution reportable segment discussed further under Results of Operations by Reportable Segment below; and</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$11 million decrease in the net loss from 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 Continuing Operations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CERC’s effective tax rate on income from continuing operations for the three months ended June 30, 2020 was (31%) compared to 167% for the three months ended June 30, 2019. CERC’s effective tax rate on income from continuing operations for the six months ended June 30, 2020 was 17% compared to 10% for the six months ended June 30, 2019. CERC’s lower effective tax rate on income from continuing operations for the three months ended June 30, 2020 compared to the same period in 2019 was driven by state tax impacts. In 2019, CERC recorded state deferred tax benefits as a result of the impact of state tax law changes and the release of a valuation allowance on certain state net operating losses, the effect of which was compounded by the book loss in the three month period ending June 30, 2019. CERC’s higher effective tax rate on income from continuing operations for the six months ended June 30, 2020 compared to the six months ended June 30, 2019 was primarily driven by the absence of state deferred tax benefits as result of state tax law changes and the release of a valuation allowance on certain state net operating losses in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 Discontinued Operations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CERC’s effective tax rate from discontinued operations reported for the three months ended June 30, 2020 was 200% compared to 16% for the three months ended June 30, 2019. CERC’s effective tax rate from discontinued operations reported for the six months ended June 30, 2020 was 4% compared to 19% for the six months ended June 30, 2019. Both were driven by the tax impacts from the sale of the Energy Services Disposal Group on June 1, 2020, the effect of which was compounded by lower book earnings in both the three and six months ended June 30, 2020. See Note 3 for further information.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January 1, 2020, the Registrants’ CODM views net income as the measure of profit or loss for the reportable segments rather than the previous measure of operating income. Certain prior year amounts have been reclassified to conform to the current year presentation.</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Discontinued Operations. </w:t>
      </w:r>
      <w:r>
        <w:rPr>
          <w:rFonts w:ascii="Arial" w:cs="Arial" w:eastAsia="Arial" w:hAnsi="Arial"/>
          <w:sz w:val="17"/>
          <w:szCs w:val="17"/>
          <w:color w:val="auto"/>
        </w:rPr>
        <w:t>On February 3, 2020, CenterPoint Energy, through its subsidiary VUSI, entered into the Securities Purchase Agreement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sell the Infrastructure Services Disposal Group. Accordingly, the previously reported Infrastructure Services reportable segment has been eliminated. The transaction closed on April 9, 2020. For further information, see Note 3 to the Interim Condensed Financial Statements.</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on February 24, 2020, CenterPoint Energy, through its subsidiary CERC Corp., entered into the Equity Purchase Agreement to sell the Energy Services Disposal Group. Accordingly, the previously reported Energy Services reportable segment has been eliminated. The transaction closed on June 1, 2020. For further information, see Note 3 to the Interim Condensed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2020, reportable segments by Registrant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Registrant</w:t>
            </w:r>
          </w:p>
        </w:tc>
        <w:tc>
          <w:tcPr>
            <w:tcW w:w="120" w:type="dxa"/>
            <w:vAlign w:val="bottom"/>
            <w:vMerge w:val="restart"/>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Houston Electric T&amp;D</w:t>
            </w:r>
          </w:p>
        </w:tc>
        <w:tc>
          <w:tcPr>
            <w:tcW w:w="120" w:type="dxa"/>
            <w:vAlign w:val="bottom"/>
            <w:vMerge w:val="restart"/>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Indiana Electric</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Natural Gas Distribution</w:t>
            </w:r>
          </w:p>
        </w:tc>
        <w:tc>
          <w:tcPr>
            <w:tcW w:w="100" w:type="dxa"/>
            <w:vAlign w:val="bottom"/>
            <w:vMerge w:val="restart"/>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Midstream Investments</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Integrated</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64"/>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Houston Electric</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CERC</w:t>
            </w: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Included in revenues are intersegment sales, which are accounted for as if the sales were to third parties at current market prices. See Note 16 to the Interim Condensed Financial Statements for details of reportable segments by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 T&amp;D (CenterPoint Energy)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regarding factors that may affect the future results of operations of the Houston Electric T&amp;D reportable segment, please read “Risk Factors — Risk Factors Associated with Our Consolidated Financial Condition,” “— Risk Factors Affecting Electric Generation, Transmission and Distribution Businesses” and “— Other Risk Factors Affecting Our Businesses or CenterPoint Energy’s Interests in Enable Midstream Partners, LP” in Item 1A of Part I of the Registrants’ combined 2019 Form 10-K and in Item 1A of Part II of this Form 10-Q.</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the Houston Electric T&amp;D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6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4"/>
        </w:trPr>
        <w:tc>
          <w:tcPr>
            <w:tcW w:w="5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380" w:type="dxa"/>
            <w:vAlign w:val="bottom"/>
            <w:gridSpan w:val="9"/>
          </w:tcPr>
          <w:p>
            <w:pPr>
              <w:jc w:val="right"/>
              <w:ind w:right="188"/>
              <w:spacing w:after="0"/>
              <w:rPr>
                <w:sz w:val="20"/>
                <w:szCs w:val="20"/>
                <w:color w:val="auto"/>
              </w:rPr>
            </w:pPr>
            <w:r>
              <w:rPr>
                <w:rFonts w:ascii="Arial" w:cs="Arial" w:eastAsia="Arial" w:hAnsi="Arial"/>
                <w:sz w:val="14"/>
                <w:szCs w:val="14"/>
                <w:b w:val="1"/>
                <w:bCs w:val="1"/>
                <w:color w:val="auto"/>
                <w:w w:val="91"/>
              </w:rPr>
              <w:t>(in millions, except throughput and customer data)</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20" w:type="dxa"/>
            <w:vAlign w:val="bottom"/>
          </w:tcPr>
          <w:p>
            <w:pPr>
              <w:ind w:left="40"/>
              <w:spacing w:after="0"/>
              <w:rPr>
                <w:sz w:val="20"/>
                <w:szCs w:val="20"/>
                <w:color w:val="auto"/>
              </w:rPr>
            </w:pPr>
            <w:r>
              <w:rPr>
                <w:rFonts w:ascii="Arial" w:cs="Arial" w:eastAsia="Arial" w:hAnsi="Arial"/>
                <w:sz w:val="14"/>
                <w:szCs w:val="14"/>
                <w:color w:val="auto"/>
              </w:rPr>
              <w:t>Utility Revenues: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TDU </w:t>
            </w:r>
            <w:r>
              <w:rPr>
                <w:rFonts w:ascii="Arial" w:cs="Arial" w:eastAsia="Arial" w:hAnsi="Arial"/>
                <w:sz w:val="10"/>
                <w:szCs w:val="10"/>
                <w:color w:val="auto"/>
              </w:rPr>
              <w:t>(1)</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1,272</w:t>
            </w:r>
          </w:p>
        </w:tc>
        <w:tc>
          <w:tcPr>
            <w:tcW w:w="4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Bond Companies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56"/>
        </w:trPr>
        <w:tc>
          <w:tcPr>
            <w:tcW w:w="5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utility revenues</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258"/>
        </w:trPr>
        <w:tc>
          <w:tcPr>
            <w:tcW w:w="5520" w:type="dxa"/>
            <w:vAlign w:val="bottom"/>
          </w:tcPr>
          <w:p>
            <w:pPr>
              <w:ind w:left="40"/>
              <w:spacing w:after="0"/>
              <w:rPr>
                <w:sz w:val="20"/>
                <w:szCs w:val="20"/>
                <w:color w:val="auto"/>
              </w:rPr>
            </w:pPr>
            <w:r>
              <w:rPr>
                <w:rFonts w:ascii="Arial" w:cs="Arial" w:eastAsia="Arial" w:hAnsi="Arial"/>
                <w:sz w:val="14"/>
                <w:szCs w:val="14"/>
                <w:color w:val="auto"/>
              </w:rPr>
              <w:t>Expenses: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Operation and maintenance, excluding Bond Companies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264"/>
        </w:trPr>
        <w:tc>
          <w:tcPr>
            <w:tcW w:w="5520" w:type="dxa"/>
            <w:vAlign w:val="bottom"/>
          </w:tcPr>
          <w:p>
            <w:pPr>
              <w:ind w:left="180"/>
              <w:spacing w:after="0"/>
              <w:rPr>
                <w:sz w:val="20"/>
                <w:szCs w:val="20"/>
                <w:color w:val="auto"/>
              </w:rPr>
            </w:pPr>
            <w:r>
              <w:rPr>
                <w:rFonts w:ascii="Arial" w:cs="Arial" w:eastAsia="Arial" w:hAnsi="Arial"/>
                <w:sz w:val="14"/>
                <w:szCs w:val="14"/>
                <w:color w:val="auto"/>
              </w:rPr>
              <w:t>Depreciation and amortization, excluding Bond Companies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 other than income taxes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Bond Companies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expenses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250"/>
        </w:trPr>
        <w:tc>
          <w:tcPr>
            <w:tcW w:w="55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180"/>
              <w:spacing w:after="0"/>
              <w:rPr>
                <w:sz w:val="20"/>
                <w:szCs w:val="20"/>
                <w:color w:val="auto"/>
              </w:rPr>
            </w:pPr>
            <w:r>
              <w:rPr>
                <w:rFonts w:ascii="Arial" w:cs="Arial" w:eastAsia="Arial" w:hAnsi="Arial"/>
                <w:sz w:val="14"/>
                <w:szCs w:val="14"/>
                <w:color w:val="auto"/>
              </w:rPr>
              <w:t>Interest expense and other finance charges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on Securitization Bonds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552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 from Securitization Bonds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6"/>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Net Income </w:t>
            </w:r>
            <w:r>
              <w:rPr>
                <w:rFonts w:ascii="Arial" w:cs="Arial" w:eastAsia="Arial" w:hAnsi="Arial"/>
                <w:sz w:val="10"/>
                <w:szCs w:val="10"/>
                <w:color w:val="auto"/>
              </w:rPr>
              <w:t>(1)</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Throughput (in GWh):</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5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Residential</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13,791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13,168</w:t>
            </w:r>
          </w:p>
        </w:tc>
        <w:tc>
          <w:tcPr>
            <w:tcW w:w="0" w:type="dxa"/>
            <w:vAlign w:val="bottom"/>
          </w:tcPr>
          <w:p>
            <w:pPr>
              <w:spacing w:after="0"/>
              <w:rPr>
                <w:sz w:val="1"/>
                <w:szCs w:val="1"/>
                <w:color w:val="auto"/>
              </w:rPr>
            </w:pPr>
          </w:p>
        </w:tc>
      </w:tr>
      <w:tr>
        <w:trPr>
          <w:trHeight w:val="264"/>
        </w:trPr>
        <w:tc>
          <w:tcPr>
            <w:tcW w:w="5520" w:type="dxa"/>
            <w:vAlign w:val="bottom"/>
          </w:tcPr>
          <w:p>
            <w:pPr>
              <w:ind w:left="380"/>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23,160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43,262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43,037</w:t>
            </w: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Number of metered customers at end of period:</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20" w:type="dxa"/>
            <w:vAlign w:val="bottom"/>
          </w:tcPr>
          <w:p>
            <w:pPr>
              <w:ind w:left="380"/>
              <w:spacing w:after="0"/>
              <w:rPr>
                <w:sz w:val="20"/>
                <w:szCs w:val="20"/>
                <w:color w:val="auto"/>
              </w:rPr>
            </w:pPr>
            <w:r>
              <w:rPr>
                <w:rFonts w:ascii="Arial" w:cs="Arial" w:eastAsia="Arial" w:hAnsi="Arial"/>
                <w:sz w:val="14"/>
                <w:szCs w:val="14"/>
                <w:color w:val="auto"/>
              </w:rPr>
              <w:t>Residential</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2,275,006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2,217,326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2,275,006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2,217,326</w:t>
            </w:r>
          </w:p>
        </w:tc>
        <w:tc>
          <w:tcPr>
            <w:tcW w:w="0" w:type="dxa"/>
            <w:vAlign w:val="bottom"/>
          </w:tcPr>
          <w:p>
            <w:pPr>
              <w:spacing w:after="0"/>
              <w:rPr>
                <w:sz w:val="1"/>
                <w:szCs w:val="1"/>
                <w:color w:val="auto"/>
              </w:rPr>
            </w:pPr>
          </w:p>
        </w:tc>
      </w:tr>
      <w:tr>
        <w:trPr>
          <w:trHeight w:val="276"/>
        </w:trPr>
        <w:tc>
          <w:tcPr>
            <w:tcW w:w="5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2,567,699</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2,506,124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2,567,699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2,506,124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96"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Net income for CenterPoint Energy’s Houston Electric T&amp;D reportable segment differs from net income for Houston Electric due to weather hedge gains (losses) recorded at CenterPoint Energy that are not recorded at Houston Electric. Utility revenues in CenterPoint Energy’s Condensed Statements of Consolidated Income included weather hedge gains (losses) of $-0- and $4 million for the three and six months ended June 30, 2020, respectively, and $-0- and $3 million for the three and six months ended June 30, 2019, respectively, for CenterPoint Energy’s Houston Electric T&amp;D reportable segment. See Note 7(a) to the Interim Condensed Financial Statements for more information on weather hedges.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225" w:lineRule="exact"/>
        <w:rPr>
          <w:sz w:val="20"/>
          <w:szCs w:val="20"/>
          <w:color w:val="auto"/>
        </w:rPr>
      </w:pPr>
    </w:p>
    <w:p>
      <w:pPr>
        <w:ind w:left="60" w:right="580" w:firstLine="324"/>
        <w:spacing w:after="0" w:line="277" w:lineRule="auto"/>
        <w:rPr>
          <w:sz w:val="20"/>
          <w:szCs w:val="20"/>
          <w:color w:val="auto"/>
        </w:rPr>
      </w:pPr>
      <w:r>
        <w:rPr>
          <w:rFonts w:ascii="Arial" w:cs="Arial" w:eastAsia="Arial" w:hAnsi="Arial"/>
          <w:sz w:val="18"/>
          <w:szCs w:val="18"/>
          <w:color w:val="auto"/>
        </w:rPr>
        <w:t>CenterPoint Energy’s Houston Electric T&amp;D reportable segment reported net income of $87 million for the three months ended June 30, 2020, compared to $100 million for the three months ended June 30, 2019.</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income decreased $13 million, primarily due to the following key factors:</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lower revenues of $67 million due to changes in customer rates and overall rate design;</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125" w:right="339" w:bottom="1440" w:gutter="0" w:footer="0" w:header="0"/>
          <w:type w:val="continuous"/>
        </w:sectPr>
      </w:pPr>
    </w:p>
    <w:bookmarkStart w:id="82" w:name="page83"/>
    <w:bookmarkEnd w:id="8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lower distribution revenue of $18 million due to changes in customer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higher depreciation and amortization expense, primarily because of ongoing additions to plant in service, and other taxes of $11 million;</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lower usage of $9 million primarily due to the negative effects of COVID-19 of $17 million, partially offset by favorable weather and other usage of $3 million and higher 2020 revenues of $5 million resulting from increased peak demand in 2019;</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lower revenues of $9 million due to the refund of protected and unprotected EDIT to customers, which has a corresponding benefit in tax expense;</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decreased interest income of $6 million, primarily due to lower investments in the CenterPoint Energy money pool, and increased interest expense of $1 million;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lower equity return of $5 million, primarily related to the annual true-up of transition charges to correct over-collections that occurred during the preceding 12 months.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higher transmission-related revenues of $97 million primarily due to changes in rate design, partially offset by higher transmission costs billed by transmission providers of $17 million;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decreased operation and maintenance expenses of $12 million, primarily due to lower labor and benefits costs and lower contract services costs;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customer growth of $9 million from the addition of almost 62,000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lower income tax expense of $7 million, primarily due to the amortization of the net regulatory EDIT liability;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higher miscellaneous revenues of $3 million, primarily related to right-of-way revenues;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$2 million increase in Other income (expense), net due to lower benefits costs.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Lower depreciation and amortization expenses related to AMS of $1 million were offset by a corresponding decrease in related revenues.</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25"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CenterPoint Energy’s Houston Electric T&amp;D reportable segment reported net income of $124 million for the six months ended June 30, 2020, compared to $130 million for the six months ended June 30, 2019.</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income decreased $6 million, primarily due to the following key factors:</w:t>
      </w:r>
    </w:p>
    <w:p>
      <w:pPr>
        <w:spacing w:after="0" w:line="320"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lower revenues of $67 million due to changes in customer rates and overall rate design;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higher depreciation and amortization expense, primarily because of ongoing additions to plant in service, and other taxes of $20 million;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lower distribution revenues of $19 million due to changes in customer rates;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lower equity return of $10 million, primarily related to the annual true-up of transition charges to correct over-collections that occurred during the preceding 12 months;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lower revenues of $9 million due to the refund of protected and unprotected EDIT to customers, which has a corresponding benefit in tax expense;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decreased interest income of $9 million, primarily due to lower investments in the CenterPoint Energy money pool, and increased interest expense of $2 million;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lower usage of $8 million, primarily due to the negative effects of COVID-19 of $17 million, partially offset by favorable weather and other usage of $2 million and higher 2020 revenues of $7 million resulting from increased peak demand in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decreases to net income were partially offset by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higher transmission-related revenues of $104 million, primarily due to changes in rate design, partially offset by higher transmission costs billed by transmission providers of $26 million;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decreased operation and maintenance expenses of $29 million, inclusive of a $6 million decrease in severance costs, primarily due to lower labor and benefits costs, lower support services costs, and lower contract services costs;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customer growth of $16 million from the addition of almost 62,000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lower income tax expense of $8 million primarily due to the amortization of the net regulatory EDIT liability; and</w:t>
      </w:r>
    </w:p>
    <w:p>
      <w:pPr>
        <w:spacing w:after="0" w:line="225" w:lineRule="exact"/>
        <w:rPr>
          <w:rFonts w:ascii="Arial" w:cs="Arial" w:eastAsia="Arial" w:hAnsi="Arial"/>
          <w:sz w:val="18"/>
          <w:szCs w:val="18"/>
          <w:color w:val="auto"/>
        </w:rPr>
      </w:pPr>
    </w:p>
    <w:p>
      <w:pPr>
        <w:ind w:left="340" w:right="200" w:hanging="8"/>
        <w:spacing w:after="0" w:line="623" w:lineRule="auto"/>
        <w:tabs>
          <w:tab w:leader="none" w:pos="664"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$7 million increase in Other income (expense), net due to income associated with corporate-owned life insurance and decreased benefits costs. Lower depreciation and amortization expenses related to AMS of $2 million were offset by a corresponding decrease in related revenues.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Indiana Electric Integrated (CenterPoint Energy)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information regarding factors that may affect the future results of operations of the Indiana Electric Integrated reportable segment, please read “Risk Factors — Risk Factors Associated with Our Consolidated Financial Condition,” “— Risk Factors Affecting Electric Generation, Transmission and Distribution Businesses” and “— Other Risk Factors Affecting Our Businesses or CenterPoint Energy’s Interests in Enable Midstream Partners, LP” in Item 1A of Part I of the Registrants’ combined 2019 Form 10-K and in Item 1A of Part II of this Form 10-Q.</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CenterPoint Energy’s Indiana Electric Integrated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38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306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244"/>
        </w:trPr>
        <w:tc>
          <w:tcPr>
            <w:tcW w:w="4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(in millions, except throughput and customer data)</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4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Utility Revenues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center"/>
              <w:ind w:right="20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58"/>
        </w:trPr>
        <w:tc>
          <w:tcPr>
            <w:tcW w:w="4400" w:type="dxa"/>
            <w:vAlign w:val="bottom"/>
          </w:tcPr>
          <w:p>
            <w:pPr>
              <w:ind w:left="40"/>
              <w:spacing w:after="0"/>
              <w:rPr>
                <w:sz w:val="20"/>
                <w:szCs w:val="20"/>
                <w:color w:val="auto"/>
              </w:rPr>
            </w:pPr>
            <w:r>
              <w:rPr>
                <w:rFonts w:ascii="Arial" w:cs="Arial" w:eastAsia="Arial" w:hAnsi="Arial"/>
                <w:sz w:val="14"/>
                <w:szCs w:val="14"/>
                <w:color w:val="auto"/>
              </w:rPr>
              <w:t>Expenses:</w:t>
            </w:r>
          </w:p>
        </w:tc>
        <w:tc>
          <w:tcPr>
            <w:tcW w:w="9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Utility natural gas, fuel and purchased power</w:t>
            </w: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64"/>
        </w:trPr>
        <w:tc>
          <w:tcPr>
            <w:tcW w:w="4400" w:type="dxa"/>
            <w:vAlign w:val="bottom"/>
          </w:tcPr>
          <w:p>
            <w:pPr>
              <w:ind w:left="180"/>
              <w:spacing w:after="0"/>
              <w:rPr>
                <w:sz w:val="20"/>
                <w:szCs w:val="20"/>
                <w:color w:val="auto"/>
              </w:rPr>
            </w:pPr>
            <w:r>
              <w:rPr>
                <w:rFonts w:ascii="Arial" w:cs="Arial" w:eastAsia="Arial" w:hAnsi="Arial"/>
                <w:sz w:val="14"/>
                <w:szCs w:val="14"/>
                <w:color w:val="auto"/>
              </w:rPr>
              <w:t>Operation and maintenance</w:t>
            </w:r>
          </w:p>
        </w:tc>
        <w:tc>
          <w:tcPr>
            <w:tcW w:w="9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4"/>
        </w:trPr>
        <w:tc>
          <w:tcPr>
            <w:tcW w:w="4400" w:type="dxa"/>
            <w:vAlign w:val="bottom"/>
          </w:tcPr>
          <w:p>
            <w:pPr>
              <w:ind w:left="180"/>
              <w:spacing w:after="0"/>
              <w:rPr>
                <w:sz w:val="20"/>
                <w:szCs w:val="20"/>
                <w:color w:val="auto"/>
              </w:rPr>
            </w:pPr>
            <w:r>
              <w:rPr>
                <w:rFonts w:ascii="Arial" w:cs="Arial" w:eastAsia="Arial" w:hAnsi="Arial"/>
                <w:sz w:val="14"/>
                <w:szCs w:val="14"/>
                <w:color w:val="auto"/>
              </w:rPr>
              <w:t>Taxes other than income taxes</w:t>
            </w:r>
          </w:p>
        </w:tc>
        <w:tc>
          <w:tcPr>
            <w:tcW w:w="9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Goodwill Impairment</w:t>
            </w:r>
          </w:p>
        </w:tc>
        <w:tc>
          <w:tcPr>
            <w:tcW w:w="9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expenses</w:t>
            </w:r>
          </w:p>
        </w:tc>
        <w:tc>
          <w:tcPr>
            <w:tcW w:w="9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393</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56"/>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 (Loss)</w:t>
            </w:r>
          </w:p>
        </w:tc>
        <w:tc>
          <w:tcPr>
            <w:tcW w:w="9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4400" w:type="dxa"/>
            <w:vAlign w:val="bottom"/>
          </w:tcPr>
          <w:p>
            <w:pPr>
              <w:ind w:left="720"/>
              <w:spacing w:after="0"/>
              <w:rPr>
                <w:sz w:val="20"/>
                <w:szCs w:val="20"/>
                <w:color w:val="auto"/>
              </w:rPr>
            </w:pPr>
            <w:r>
              <w:rPr>
                <w:rFonts w:ascii="Arial" w:cs="Arial" w:eastAsia="Arial" w:hAnsi="Arial"/>
                <w:sz w:val="14"/>
                <w:szCs w:val="14"/>
                <w:color w:val="auto"/>
              </w:rPr>
              <w:t>Other Income (Expense):</w:t>
            </w: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and other finance charges</w:t>
            </w: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income, net</w:t>
            </w: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6"/>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Continuing Operations Before Income Taxes</w:t>
            </w:r>
          </w:p>
        </w:tc>
        <w:tc>
          <w:tcPr>
            <w:tcW w:w="9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 expense</w:t>
            </w: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20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0"/>
              <w:spacing w:after="0"/>
              <w:rPr>
                <w:sz w:val="20"/>
                <w:szCs w:val="20"/>
                <w:color w:val="auto"/>
              </w:rPr>
            </w:pPr>
            <w:r>
              <w:rPr>
                <w:rFonts w:ascii="Arial" w:cs="Arial" w:eastAsia="Arial" w:hAnsi="Arial"/>
                <w:sz w:val="14"/>
                <w:szCs w:val="14"/>
                <w:color w:val="auto"/>
              </w:rPr>
              <w:t>Throughput (in GWh):</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40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Retail</w:t>
            </w: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Wholesale</w:t>
            </w: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42"/>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0"/>
              <w:spacing w:after="0"/>
              <w:rPr>
                <w:sz w:val="20"/>
                <w:szCs w:val="20"/>
                <w:color w:val="auto"/>
              </w:rPr>
            </w:pPr>
            <w:r>
              <w:rPr>
                <w:rFonts w:ascii="Arial" w:cs="Arial" w:eastAsia="Arial" w:hAnsi="Arial"/>
                <w:sz w:val="14"/>
                <w:szCs w:val="14"/>
                <w:color w:val="auto"/>
              </w:rPr>
              <w:t>Number of metered customers at end of period:</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40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Residential</w:t>
            </w: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129,761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128,167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129,761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128,167</w:t>
            </w:r>
          </w:p>
        </w:tc>
        <w:tc>
          <w:tcPr>
            <w:tcW w:w="0" w:type="dxa"/>
            <w:vAlign w:val="bottom"/>
          </w:tcPr>
          <w:p>
            <w:pPr>
              <w:spacing w:after="0"/>
              <w:rPr>
                <w:sz w:val="1"/>
                <w:szCs w:val="1"/>
                <w:color w:val="auto"/>
              </w:rPr>
            </w:pPr>
          </w:p>
        </w:tc>
      </w:tr>
      <w:tr>
        <w:trPr>
          <w:trHeight w:val="258"/>
        </w:trPr>
        <w:tc>
          <w:tcPr>
            <w:tcW w:w="4400" w:type="dxa"/>
            <w:vAlign w:val="bottom"/>
          </w:tcPr>
          <w:p>
            <w:pPr>
              <w:ind w:left="380"/>
              <w:spacing w:after="0"/>
              <w:rPr>
                <w:sz w:val="20"/>
                <w:szCs w:val="20"/>
                <w:color w:val="auto"/>
              </w:rPr>
            </w:pPr>
            <w:r>
              <w:rPr>
                <w:rFonts w:ascii="Arial" w:cs="Arial" w:eastAsia="Arial" w:hAnsi="Arial"/>
                <w:sz w:val="14"/>
                <w:szCs w:val="14"/>
                <w:color w:val="auto"/>
              </w:rPr>
              <w:t>Total</w:t>
            </w:r>
          </w:p>
        </w:tc>
        <w:tc>
          <w:tcPr>
            <w:tcW w:w="9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w w:val="94"/>
              </w:rPr>
              <w:t>148,823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147,076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148,823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147,076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Represents February 1, 2019 through June 30, 2019 results only due to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Energy’s Indiana Electric Integrated reportable segment reported net income of $19 million for the three months ended June 30, 2020, compared to $16 million for the three months ended June 30,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increased $3 million as a result of the following key factors:</w:t>
      </w:r>
    </w:p>
    <w:p>
      <w:pPr>
        <w:spacing w:after="0" w:line="225"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 $8 million decrease in operation and maintenance expense, primarily due to timing-related reduction of plant maintenance expenditures;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$2 million increase in customer margin due to favorable weather.</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increases were partially offset by a $6 million decrease in customer margin driven by reduced usage among commercial and industrial customers due to COVID-19 impacts.</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CenterPoint Energy’s Indiana Electric Integrated reportable segment reported a net loss of $152 million for the six months ended June 30, 2020, compared to net income of $7 million for the six months ended June 30,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loss increased $159 million as a result of the following key factors:</w:t>
      </w:r>
    </w:p>
    <w:p>
      <w:pPr>
        <w:spacing w:after="0" w:line="225"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$185 million goodwill impairment charge further discussed in Note 10 to the Interim Condensed Financial Statements;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$10 million increase in depreciation and amortization expense, primarily due to the inclusion of expense for six months in 2020 versus five months included in 2019 due to the Merger on February 1, 2019;</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$7 million increase in state and federal income taxes driven by increased taxable income and the non-deductible goodwill impairment;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$6 million decrease in customer margin driven by reduced usage among commercial and industrial customers due to COVID-19 impacts;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$1 million decrease in customer margin due to unfavorable weather.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$34 million increase in electric margin from the inclusion of results for six months in 2020 versus five months included in 2019 due to the Merger on February 1, 2019;</w:t>
      </w:r>
    </w:p>
    <w:p>
      <w:pPr>
        <w:spacing w:after="0" w:line="170"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$12 million decrease in operation and maintenance expense inclusive of a $19 million reduction in Merger-related severance and incentive compensation costs in 2019 and a timing-related reduction of plant maintenance expenditures of $10 million, partially offset by a $17 million increase from the inclusion of expense for six months in 2020 versus five months included in 2019 due to the Merger on February 1, 2019; and</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$5 million increase in margin associated with the TDSIC program.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Distribution (CenterPoint Energy)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information regarding factors that may affect the future results of operations of CenterPoint Energy’s Natural Gas Distribution reportable segment,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2019 Form 10-K and in Item 1A of Part II of this Form 10-Q.</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CenterPoint Energy’s Natural Gas Distribution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306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 (1)</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5"/>
          </w:tcPr>
          <w:p>
            <w:pPr>
              <w:ind w:left="40"/>
              <w:spacing w:after="0"/>
              <w:rPr>
                <w:sz w:val="20"/>
                <w:szCs w:val="20"/>
                <w:color w:val="auto"/>
              </w:rPr>
            </w:pPr>
            <w:r>
              <w:rPr>
                <w:rFonts w:ascii="Arial" w:cs="Arial" w:eastAsia="Arial" w:hAnsi="Arial"/>
                <w:sz w:val="14"/>
                <w:szCs w:val="14"/>
                <w:b w:val="1"/>
                <w:bCs w:val="1"/>
                <w:color w:val="auto"/>
                <w:w w:val="93"/>
              </w:rPr>
              <w:t>(in millions, except throughput and customer data)</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color w:val="auto"/>
              </w:rPr>
              <w:t>Utility revenues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22"/>
                <w:szCs w:val="22"/>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1,934</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Non-utility revenues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revenues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673</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2,088</w:t>
            </w:r>
          </w:p>
        </w:tc>
        <w:tc>
          <w:tcPr>
            <w:tcW w:w="0" w:type="dxa"/>
            <w:vAlign w:val="bottom"/>
          </w:tcPr>
          <w:p>
            <w:pPr>
              <w:spacing w:after="0"/>
              <w:rPr>
                <w:sz w:val="1"/>
                <w:szCs w:val="1"/>
                <w:color w:val="auto"/>
              </w:rPr>
            </w:pPr>
          </w:p>
        </w:tc>
      </w:tr>
      <w:tr>
        <w:trPr>
          <w:trHeight w:val="269"/>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color w:val="auto"/>
              </w:rPr>
              <w:t>Utility natural gas</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Non-utility cost of revenues, including natural gas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color w:val="auto"/>
              </w:rPr>
              <w:t>Operation and maintenance</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Taxes other than income taxes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expenses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250"/>
        </w:trPr>
        <w:tc>
          <w:tcPr>
            <w:tcW w:w="462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3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color w:val="auto"/>
              </w:rPr>
              <w:t>Interest expense and other finance charges</w:t>
            </w:r>
          </w:p>
        </w:tc>
        <w:tc>
          <w:tcPr>
            <w:tcW w:w="34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color w:val="auto"/>
              </w:rPr>
              <w:t>Other expense, net</w:t>
            </w:r>
          </w:p>
        </w:tc>
        <w:tc>
          <w:tcPr>
            <w:tcW w:w="34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6"/>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 expense</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40"/>
              <w:spacing w:after="0"/>
              <w:rPr>
                <w:sz w:val="20"/>
                <w:szCs w:val="20"/>
                <w:color w:val="auto"/>
              </w:rPr>
            </w:pPr>
            <w:r>
              <w:rPr>
                <w:rFonts w:ascii="Arial" w:cs="Arial" w:eastAsia="Arial" w:hAnsi="Arial"/>
                <w:sz w:val="14"/>
                <w:szCs w:val="14"/>
                <w:color w:val="auto"/>
              </w:rPr>
              <w:t>Throughput (in Bcf):</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6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Commercial and industrial</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Throughput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40"/>
              <w:spacing w:after="0"/>
              <w:rPr>
                <w:sz w:val="20"/>
                <w:szCs w:val="20"/>
                <w:color w:val="auto"/>
              </w:rPr>
            </w:pPr>
            <w:r>
              <w:rPr>
                <w:rFonts w:ascii="Arial" w:cs="Arial" w:eastAsia="Arial" w:hAnsi="Arial"/>
                <w:sz w:val="14"/>
                <w:szCs w:val="14"/>
                <w:color w:val="auto"/>
              </w:rPr>
              <w:t>Number of customers at end of period:</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6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4,282,921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4,195,222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4,282,921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4,195,222</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Commercial and industrial</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348,661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347,092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348,661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347,092</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4,631,582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4,542,314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4,631,582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4,542,314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only February 1, 2019 through June 30, 2019 results of acquired natural gas businesses due to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Energy’s Natural Gas Distribution reportable segment reported net income of $33 million for the three months ended June 30, 2020 compared to $23 million for the three months ended June 30,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increased by $10 million primarily as a result of the following key factors:</w:t>
      </w:r>
    </w:p>
    <w:p>
      <w:pPr>
        <w:spacing w:after="0" w:line="225"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rate increases of $31 million in Indiana, Ohio, Minnesota, Texas and Arkansas, exclusive of the TCJA impact discussed below;</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$9 million reduction in operation and maintenance expense, primarily due to lower spending on materials, supplies, contracted labor and services that were partially offset by an increase in insurance expenses;</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40"/>
          </w:cols>
          <w:pgMar w:left="320" w:top="125" w:right="339" w:bottom="1440" w:gutter="0" w:footer="0" w:header="0"/>
          <w:type w:val="continuous"/>
        </w:sectPr>
      </w:pPr>
    </w:p>
    <w:bookmarkStart w:id="87" w:name="page88"/>
    <w:bookmarkEnd w:id="8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$4 million increase in revenues associated with customer growth from the addition of over 89,000 new customers;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$1 million increase in revenues due to favorable weather and usage that more than offset an unfavorable $7 million COVID-19 impact on base revenues.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$12 million increase in property and other non-income related taxes, primarily due to an increase in incremental capital projects placed in service;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$8 million decrease in non-volumetric revenues consisting of late payment, connect and reconnect fees driven by a disconnect moratorium in CenterPoint Energy’s service territories as a result of the COVID-19 pandemic;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$6 million increase in depreciation and amortization, primarily due to incremental capital investment;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$4 million decrease in revenue, primarily related to the impact of TCJA-related rate reductions in Texas and Louisiana;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$3 million increase in interest expense due to incremental financing to fund capital projects placed in service;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$2 million increase in state and federal income taxes driven by an increase in taxable income.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Decreased operation and maintenance expenses related to energy efficiency programs of $3 million and taxes other than income taxes of $2 million were offset by corresponding decreases in the related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CenterPoint Energy’s Natural Gas Distribution reportable segment reported net income of $237 million for the six months ended June 30, 2020 compared to $143 million for the six months ended June 30,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increased by $94 million primarily as a result of the following key factors:</w:t>
      </w:r>
    </w:p>
    <w:p>
      <w:pPr>
        <w:spacing w:after="0" w:line="225"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rate increases of $74 million in Indiana, Ohio, Minnesota, Texas, and Arkansas, exclusive of the TCJA impact discussed below;</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$65 million increase in margin related to an additional month of income in 2020 related to the Indiana and Ohio jurisdictions acquired in the Merger on February 1, 2019;</w:t>
      </w:r>
    </w:p>
    <w:p>
      <w:pPr>
        <w:spacing w:after="0" w:line="170"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$55 million reduction in operation and maintenance expense, primarily due to a $53 million decrease in Merger-related severance costs in 2019, offset by an additional month of operation and maintenance expense from the Indiana and Ohio jurisdictions acquired in the Merger on February 1, 2019;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$8 million increase in revenues associated with customer growth from the addition of over 89,000 new customers.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 the following:</w:t>
      </w:r>
    </w:p>
    <w:p>
      <w:pPr>
        <w:spacing w:after="0" w:line="225" w:lineRule="exact"/>
        <w:rPr>
          <w:sz w:val="20"/>
          <w:szCs w:val="20"/>
          <w:color w:val="auto"/>
        </w:rPr>
      </w:pPr>
    </w:p>
    <w:p>
      <w:pPr>
        <w:ind w:left="6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$32 million increase in state and federal income taxes driven by an increase in taxable income including an additional month of income in 2020 related to the Indiana and Ohio jurisdictions acquired in the Merger on February 1, 2019;</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$23 million increase in property and other non-income related taxes, primarily due to an increase in incremental capital projects placed in service;</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$22 million increase in depreciation and amortization, primarily due to incremental capital projects placed in service and an additional month of depreciation expense in 2020 related to the Indiana and Ohio jurisdictions acquired in the Merger on February 1, 2019;</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$12 million increase in interest expense due to incremental debt financing and an additional month of interest expense in 2020 related to the Indiana and Ohio jurisdictions acquired in the Merger on February 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$9 million of lower revenues attributed to warmer than normal weather and reduced usage including $7 million of lower customer usage associated with COVID-19;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$9 million decrease in non-volumetric revenues consisting of late payment, connect and reconnect fees driven by a disconnect moratorium in CenterPoint Energy’s service territories as a result of the COVID-19 pandemic.</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Decreased taxes other than income taxes of $6 million were offset by a corresponding decrease in related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Distribution (CERC)</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information regarding factors that may affect the future results of operations of CERC’s Natural Gas Distribution reportable segment, please read “Risk Factors — Risk Factors Associated with Our Consolidated Financial Condition,” “— Risk Factors Affecting Natural Gas Distribution and Competitive Energy Services Businesses” and “— Other Risk Factors Affecting Our Businesses or CenterPoint Energy’s Interests in Enable Midstream Partners, LP” in Item 1A of Part I of the Registrants’ combined 2019 Form 10-K and in Item 1A of Part II of this Form 10-Q.</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summary data of CERC’s Natural Gas Distribution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6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44"/>
        </w:trPr>
        <w:tc>
          <w:tcPr>
            <w:tcW w:w="5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b w:val="1"/>
                <w:bCs w:val="1"/>
                <w:color w:val="auto"/>
                <w:w w:val="93"/>
              </w:rPr>
              <w:t>(in millions, except throughput and customer data)</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5060" w:type="dxa"/>
            <w:vAlign w:val="bottom"/>
          </w:tcPr>
          <w:p>
            <w:pPr>
              <w:ind w:left="40"/>
              <w:spacing w:after="0"/>
              <w:rPr>
                <w:sz w:val="20"/>
                <w:szCs w:val="20"/>
                <w:color w:val="auto"/>
              </w:rPr>
            </w:pPr>
            <w:r>
              <w:rPr>
                <w:rFonts w:ascii="Arial" w:cs="Arial" w:eastAsia="Arial" w:hAnsi="Arial"/>
                <w:sz w:val="14"/>
                <w:szCs w:val="14"/>
                <w:color w:val="auto"/>
              </w:rPr>
              <w:t>Revenues: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6"/>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Utility revenues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1,708</w:t>
            </w:r>
          </w:p>
        </w:tc>
      </w:tr>
      <w:tr>
        <w:trPr>
          <w:trHeight w:val="264"/>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Non-utility revenues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r>
      <w:tr>
        <w:trPr>
          <w:trHeight w:val="256"/>
        </w:trPr>
        <w:tc>
          <w:tcPr>
            <w:tcW w:w="5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revenues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1,737</w:t>
            </w:r>
          </w:p>
        </w:tc>
      </w:tr>
      <w:tr>
        <w:trPr>
          <w:trHeight w:val="258"/>
        </w:trPr>
        <w:tc>
          <w:tcPr>
            <w:tcW w:w="5060" w:type="dxa"/>
            <w:vAlign w:val="bottom"/>
          </w:tcPr>
          <w:p>
            <w:pPr>
              <w:ind w:left="40"/>
              <w:spacing w:after="0"/>
              <w:rPr>
                <w:sz w:val="20"/>
                <w:szCs w:val="20"/>
                <w:color w:val="auto"/>
              </w:rPr>
            </w:pPr>
            <w:r>
              <w:rPr>
                <w:rFonts w:ascii="Arial" w:cs="Arial" w:eastAsia="Arial" w:hAnsi="Arial"/>
                <w:sz w:val="14"/>
                <w:szCs w:val="14"/>
                <w:color w:val="auto"/>
              </w:rPr>
              <w:t>Expenses: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Utility natural gas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w:t>
            </w:r>
          </w:p>
        </w:tc>
      </w:tr>
      <w:tr>
        <w:trPr>
          <w:trHeight w:val="264"/>
        </w:trPr>
        <w:tc>
          <w:tcPr>
            <w:tcW w:w="5060" w:type="dxa"/>
            <w:vAlign w:val="bottom"/>
          </w:tcPr>
          <w:p>
            <w:pPr>
              <w:ind w:left="180"/>
              <w:spacing w:after="0"/>
              <w:rPr>
                <w:sz w:val="20"/>
                <w:szCs w:val="20"/>
                <w:color w:val="auto"/>
              </w:rPr>
            </w:pPr>
            <w:r>
              <w:rPr>
                <w:rFonts w:ascii="Arial" w:cs="Arial" w:eastAsia="Arial" w:hAnsi="Arial"/>
                <w:sz w:val="14"/>
                <w:szCs w:val="14"/>
                <w:color w:val="auto"/>
              </w:rPr>
              <w:t>Non-utility cost of revenues, including natural gas</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6"/>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Operation and maintenance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w:t>
            </w:r>
          </w:p>
        </w:tc>
      </w:tr>
      <w:tr>
        <w:trPr>
          <w:trHeight w:val="264"/>
        </w:trPr>
        <w:tc>
          <w:tcPr>
            <w:tcW w:w="506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146</w:t>
            </w:r>
          </w:p>
        </w:tc>
      </w:tr>
      <w:tr>
        <w:trPr>
          <w:trHeight w:val="270"/>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Taxes other than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r>
      <w:tr>
        <w:trPr>
          <w:trHeight w:val="250"/>
        </w:trPr>
        <w:tc>
          <w:tcPr>
            <w:tcW w:w="50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expenses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1,542</w:t>
            </w:r>
          </w:p>
        </w:tc>
      </w:tr>
      <w:tr>
        <w:trPr>
          <w:trHeight w:val="256"/>
        </w:trPr>
        <w:tc>
          <w:tcPr>
            <w:tcW w:w="5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r>
      <w:tr>
        <w:trPr>
          <w:trHeight w:val="264"/>
        </w:trPr>
        <w:tc>
          <w:tcPr>
            <w:tcW w:w="506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and other finance charges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64"/>
        </w:trPr>
        <w:tc>
          <w:tcPr>
            <w:tcW w:w="506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50"/>
        </w:trPr>
        <w:tc>
          <w:tcPr>
            <w:tcW w:w="5060" w:type="dxa"/>
            <w:vAlign w:val="bottom"/>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3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155</w:t>
            </w:r>
          </w:p>
        </w:tc>
      </w:tr>
      <w:tr>
        <w:trPr>
          <w:trHeight w:val="270"/>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expense</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r>
      <w:tr>
        <w:trPr>
          <w:trHeight w:val="283"/>
        </w:trPr>
        <w:tc>
          <w:tcPr>
            <w:tcW w:w="50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129</w:t>
            </w:r>
          </w:p>
        </w:tc>
      </w:tr>
      <w:tr>
        <w:trPr>
          <w:trHeight w:val="250"/>
        </w:trPr>
        <w:tc>
          <w:tcPr>
            <w:tcW w:w="5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Throughput (in Bcf):</w:t>
            </w: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r>
      <w:tr>
        <w:trPr>
          <w:trHeight w:val="264"/>
        </w:trPr>
        <w:tc>
          <w:tcPr>
            <w:tcW w:w="506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113</w:t>
            </w:r>
          </w:p>
        </w:tc>
      </w:tr>
      <w:tr>
        <w:trPr>
          <w:trHeight w:val="270"/>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and industrial</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r>
      <w:tr>
        <w:trPr>
          <w:trHeight w:val="283"/>
        </w:trPr>
        <w:tc>
          <w:tcPr>
            <w:tcW w:w="50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Throughput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w:t>
            </w:r>
          </w:p>
        </w:tc>
      </w:tr>
      <w:tr>
        <w:trPr>
          <w:trHeight w:val="251"/>
        </w:trPr>
        <w:tc>
          <w:tcPr>
            <w:tcW w:w="5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Number of customers at end of period:</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64"/>
        </w:trPr>
        <w:tc>
          <w:tcPr>
            <w:tcW w:w="506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3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3,315,379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3,248,679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3,315,379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3,248,679</w:t>
            </w:r>
          </w:p>
        </w:tc>
      </w:tr>
      <w:tr>
        <w:trPr>
          <w:trHeight w:val="270"/>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and industrial</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260,222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259,504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260,222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259,504</w:t>
            </w:r>
          </w:p>
        </w:tc>
      </w:tr>
      <w:tr>
        <w:trPr>
          <w:trHeight w:val="243"/>
        </w:trPr>
        <w:tc>
          <w:tcPr>
            <w:tcW w:w="5060" w:type="dxa"/>
            <w:vAlign w:val="bottom"/>
          </w:tcPr>
          <w:p>
            <w:pPr>
              <w:ind w:left="38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3,575,601</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3,508,183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3,575,601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3,508,183</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CERC’s Natural Gas Distribution reportable segment reported net income of $20 million for the three months ended June 30, 2020 compared to $10 million for the three months ended June 30,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increased $10 million primarily as a result of the following key factors:</w:t>
      </w:r>
    </w:p>
    <w:p>
      <w:pPr>
        <w:spacing w:after="0" w:line="225"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rate increases of $17 million in Minnesota, Texas and Arkansas, exclusive of the TCJA impact discussed below;</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$10 million reduction in operation and maintenance expense, primarily due to lower spending on materials, supplies, contracted labor and services, which were partially offset by an increase in insurance expenses;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$3 million increase in revenues associated with customer growth from the addition of over 67,000 new customers;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$2 million increase in revenues due to favorable weather and usage that more than offset an unfavorable $4 million COVID-19 impact on base revenues;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$1 million decrease in interest expense, primarily due to decreased debt financing to fund capital projects placed in service.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$10 million decrease in non-volumetric revenues consisting of late payment, connect, and reconnect fees driven by a disconnect moratorium in CERC’s service territories as a result of the COVID-19 pandemic;</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$8 million increase in property and other non-income related taxes, primarily due to an increase in incremental capital projects placed in service;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$4 million decrease in revenues related to the impact of the TCJA-related rate reductions in Texas and Louisiana;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$1 million increase in state and federal income taxes, primarily due to increased taxable income.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Decreased operation and maintenance expenses related to energy efficiency programs of $3 million and taxes other than income taxes of $1 million were offset by corresponding decreases in the related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CERC’s Natural Gas Distribution reportable segment reported net income of $154 million for the six months ended June 30, 2020 compared to $129 million for the six months ended June 30,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increased $25 million primarily as a result of the following key factors:</w:t>
      </w:r>
    </w:p>
    <w:p>
      <w:pPr>
        <w:spacing w:after="0" w:line="225"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rate increases of $43 million in Minnesota, Arkansas and Texas, exclusive of the TCJA impact discussed below;</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$28 million reduction in operation and maintenance expense, inclusive of a $10 million decrease in Merger-related severance costs in 2019, primarily due to lower spending on materials, supplies, contracted labor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$5 million increase in revenues associated with customer growth from the addition of over 67,000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$2 million increase in other income, primarily due to a reduction in non-service benefit costs;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$1 million increase in revenues related to the impact of the TCJA in Arkansas, which was offset by lower TCJA revenue impacts in Texas, Louisiana and Mississippi.</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right="3420" w:hanging="5208"/>
        <w:spacing w:after="0" w:line="527" w:lineRule="auto"/>
        <w:tabs>
          <w:tab w:leader="none" w:pos="66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$19 million increase in state and federal income taxes, primarily due to increased taxable income; 79</w:t>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$13 million increase in property and other non-income related taxes, primarily due to an increase in incremental capital projects placed in service;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$9 million decrease in non-volumetric revenues consisting of late payment, connect and reconnect fees driven by a disconnect moratorium in CERC’s service territories as a result of the COVID-19 pandemic;</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$7 million of lower revenues attributed to warmer than normal weather and reduced usage including $4 million of lower customer usage associated with COVID-19;</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$3 million increase in interest expense, primarily due to increased debt financing to fund an increase in capital projects placed in service;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$2 million increase in depreciation and amortization from an increase of incremental capital projects placed in service.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Decreased operation and maintenance expenses related to energy efficiency programs of $8 million and taxes other than income taxes of $5 million were offset by corresponding decreases in the related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Midstream Investments (CenterPoint Energy)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regarding factors that may affect the future results of operations of the Midstream Investments reportable segment, please read “Risk Factors — Risk Factors Affecting CenterPoint Energy’s Interests in Enable Midstream Partners, LP” and “— Other Risk Factors Affecting Our Businesses or CenterPoint Energy’s Interests in Enable Midstream Partners, LP” in Item 1A of Part I of the Registrants’ combined 2019 Form 10-K and in Item 1A of Part II of this Form 10-Q.</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net income (loss) of the Midstream Investments reportable segment:</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60" w:type="dxa"/>
            <w:vAlign w:val="bottom"/>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50"/>
        </w:trPr>
        <w:tc>
          <w:tcPr>
            <w:tcW w:w="5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Non-utility Revenues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50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Taxes other than income taxes</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5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Expenses</w:t>
            </w:r>
          </w:p>
        </w:tc>
        <w:tc>
          <w:tcPr>
            <w:tcW w:w="10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5060" w:type="dxa"/>
            <w:vAlign w:val="bottom"/>
          </w:tcPr>
          <w:p>
            <w:pPr>
              <w:ind w:left="160"/>
              <w:spacing w:after="0"/>
              <w:rPr>
                <w:sz w:val="20"/>
                <w:szCs w:val="20"/>
                <w:color w:val="auto"/>
              </w:rPr>
            </w:pPr>
            <w:r>
              <w:rPr>
                <w:rFonts w:ascii="Arial" w:cs="Arial" w:eastAsia="Arial" w:hAnsi="Arial"/>
                <w:sz w:val="14"/>
                <w:szCs w:val="14"/>
                <w:color w:val="auto"/>
              </w:rPr>
              <w:t>Operating Income</w:t>
            </w:r>
          </w:p>
        </w:tc>
        <w:tc>
          <w:tcPr>
            <w:tcW w:w="102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5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Income (Expense):</w:t>
            </w: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060" w:type="dxa"/>
            <w:vAlign w:val="bottom"/>
          </w:tcPr>
          <w:p>
            <w:pPr>
              <w:ind w:left="160"/>
              <w:spacing w:after="0"/>
              <w:rPr>
                <w:sz w:val="20"/>
                <w:szCs w:val="20"/>
                <w:color w:val="auto"/>
              </w:rPr>
            </w:pPr>
            <w:r>
              <w:rPr>
                <w:rFonts w:ascii="Arial" w:cs="Arial" w:eastAsia="Arial" w:hAnsi="Arial"/>
                <w:sz w:val="14"/>
                <w:szCs w:val="14"/>
                <w:color w:val="auto"/>
              </w:rPr>
              <w:t>Interest expense and other finance charges</w:t>
            </w:r>
          </w:p>
        </w:tc>
        <w:tc>
          <w:tcPr>
            <w:tcW w:w="1020" w:type="dxa"/>
            <w:vAlign w:val="bottom"/>
          </w:tcPr>
          <w:p>
            <w:pPr>
              <w:spacing w:after="0"/>
              <w:rPr>
                <w:sz w:val="22"/>
                <w:szCs w:val="22"/>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76"/>
        </w:trPr>
        <w:tc>
          <w:tcPr>
            <w:tcW w:w="5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Equity in earnings (loss) from Enable, net</w:t>
            </w: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r>
      <w:tr>
        <w:trPr>
          <w:trHeight w:val="264"/>
        </w:trPr>
        <w:tc>
          <w:tcPr>
            <w:tcW w:w="50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Interest income</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r>
      <w:tr>
        <w:trPr>
          <w:trHeight w:val="25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r>
      <w:tr>
        <w:trPr>
          <w:trHeight w:val="264"/>
        </w:trPr>
        <w:tc>
          <w:tcPr>
            <w:tcW w:w="50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Income tax expense (benefit)</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r>
      <w:tr>
        <w:trPr>
          <w:trHeight w:val="20"/>
        </w:trPr>
        <w:tc>
          <w:tcPr>
            <w:tcW w:w="5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Energy’s Midstream Investments reportable segment reported net income of $24 million for the three months ended June 30, 2020, compared to net income of $50 million for the three months ended June 30,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decreased $26 million primarily as a result of a $43 million decrease in Equity in Earnings from Enable.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decrease was partially offset by the following:</w:t>
      </w:r>
    </w:p>
    <w:p>
      <w:pPr>
        <w:spacing w:after="0" w:line="225"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$12 million increase in basis difference amortization; and</w:t>
      </w:r>
    </w:p>
    <w:p>
      <w:pPr>
        <w:spacing w:after="0" w:line="225" w:lineRule="exact"/>
        <w:rPr>
          <w:rFonts w:ascii="Arial" w:cs="Arial" w:eastAsia="Arial" w:hAnsi="Arial"/>
          <w:sz w:val="18"/>
          <w:szCs w:val="18"/>
          <w:color w:val="auto"/>
        </w:rPr>
      </w:pPr>
    </w:p>
    <w:p>
      <w:pPr>
        <w:ind w:left="5540" w:right="3120" w:hanging="5208"/>
        <w:spacing w:after="0" w:line="527" w:lineRule="auto"/>
        <w:tabs>
          <w:tab w:leader="none" w:pos="662"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$6 million decrease in income tax benefit primarily resulting from lower income before income taxes. 80</w:t>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CenterPoint Energy’s Midstream Investments reportable segment reported a net loss of $1,103 million for the six months ended June 30, 2020, compared to net income of $74 million for the six months ended June 30,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decreased $1,177 million primarily as a result of the following key factors:</w:t>
      </w:r>
    </w:p>
    <w:p>
      <w:pPr>
        <w:spacing w:after="0" w:line="225" w:lineRule="exact"/>
        <w:rPr>
          <w:sz w:val="20"/>
          <w:szCs w:val="20"/>
          <w:color w:val="auto"/>
        </w:rPr>
      </w:pPr>
    </w:p>
    <w:p>
      <w:pPr>
        <w:ind w:left="660" w:hanging="328"/>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$1,541 million impairment charge recorded on CenterPoint Energy’s equity investment in Enable, discussed further in Note 9 to the Interim Condensed Financial Statements;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$49 million decrease in Equity in Earnings from Enable.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decreases were partially offset by the following:</w:t>
      </w:r>
    </w:p>
    <w:p>
      <w:pPr>
        <w:spacing w:after="0" w:line="225"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$395 million increase in income tax benefit, primarily resulting from the impairment charge discussed above;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$12 million increase in basis difference amortization;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$10 million decrease in the loss on dilution.</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On April 1, 2020, Enable announced a reduction in its quarterly distributions per common unit from $0.3305 distributed for the fourth quarter 2019 to $0.16525, representing a 50% reduction. For further information, see “—Liquidity and Capital Resources—Future Sources and Uses of Cash”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(CenterPoint Energy)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net income (loss) of CenterPoint Energy’s Corporate and Other: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r>
      <w:tr>
        <w:trPr>
          <w:trHeight w:val="263"/>
        </w:trPr>
        <w:tc>
          <w:tcPr>
            <w:tcW w:w="5060" w:type="dxa"/>
            <w:vAlign w:val="bottom"/>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(1)</w:t>
            </w:r>
          </w:p>
        </w:tc>
        <w:tc>
          <w:tcPr>
            <w:tcW w:w="420" w:type="dxa"/>
            <w:vAlign w:val="bottom"/>
            <w:tcBorders>
              <w:bottom w:val="single" w:sz="8" w:color="auto"/>
            </w:tcBorders>
          </w:tcPr>
          <w:p>
            <w:pPr>
              <w:spacing w:after="0"/>
              <w:rPr>
                <w:sz w:val="22"/>
                <w:szCs w:val="22"/>
                <w:color w:val="auto"/>
              </w:rPr>
            </w:pPr>
          </w:p>
        </w:tc>
      </w:tr>
      <w:tr>
        <w:trPr>
          <w:trHeight w:val="250"/>
        </w:trPr>
        <w:tc>
          <w:tcPr>
            <w:tcW w:w="5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4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6"/>
        </w:trPr>
        <w:tc>
          <w:tcPr>
            <w:tcW w:w="5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Non-utility Revenues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r>
      <w:tr>
        <w:trPr>
          <w:trHeight w:val="264"/>
        </w:trPr>
        <w:tc>
          <w:tcPr>
            <w:tcW w:w="5060" w:type="dxa"/>
            <w:vAlign w:val="bottom"/>
          </w:tcPr>
          <w:p>
            <w:pPr>
              <w:ind w:left="40"/>
              <w:spacing w:after="0"/>
              <w:rPr>
                <w:sz w:val="20"/>
                <w:szCs w:val="20"/>
                <w:color w:val="auto"/>
              </w:rPr>
            </w:pPr>
            <w:r>
              <w:rPr>
                <w:rFonts w:ascii="Arial" w:cs="Arial" w:eastAsia="Arial" w:hAnsi="Arial"/>
                <w:sz w:val="14"/>
                <w:szCs w:val="14"/>
                <w:color w:val="auto"/>
              </w:rPr>
              <w:t>Expenses:</w:t>
            </w: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6"/>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Non-utility cost of revenues, including natural gas</w:t>
            </w: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r>
      <w:tr>
        <w:trPr>
          <w:trHeight w:val="264"/>
        </w:trPr>
        <w:tc>
          <w:tcPr>
            <w:tcW w:w="5060" w:type="dxa"/>
            <w:vAlign w:val="bottom"/>
          </w:tcPr>
          <w:p>
            <w:pPr>
              <w:ind w:left="180"/>
              <w:spacing w:after="0"/>
              <w:rPr>
                <w:sz w:val="20"/>
                <w:szCs w:val="20"/>
                <w:color w:val="auto"/>
              </w:rPr>
            </w:pPr>
            <w:r>
              <w:rPr>
                <w:rFonts w:ascii="Arial" w:cs="Arial" w:eastAsia="Arial" w:hAnsi="Arial"/>
                <w:sz w:val="14"/>
                <w:szCs w:val="14"/>
                <w:color w:val="auto"/>
              </w:rPr>
              <w:t>Operation and maintenance</w:t>
            </w:r>
          </w:p>
        </w:tc>
        <w:tc>
          <w:tcPr>
            <w:tcW w:w="102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46</w:t>
            </w:r>
          </w:p>
        </w:tc>
      </w:tr>
      <w:tr>
        <w:trPr>
          <w:trHeight w:val="276"/>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r>
      <w:tr>
        <w:trPr>
          <w:trHeight w:val="264"/>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Taxes other than income taxes</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r>
      <w:tr>
        <w:trPr>
          <w:trHeight w:val="250"/>
        </w:trPr>
        <w:tc>
          <w:tcPr>
            <w:tcW w:w="5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r>
      <w:tr>
        <w:trPr>
          <w:trHeight w:val="250"/>
        </w:trPr>
        <w:tc>
          <w:tcPr>
            <w:tcW w:w="506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1020" w:type="dxa"/>
            <w:vAlign w:val="bottom"/>
          </w:tcPr>
          <w:p>
            <w:pPr>
              <w:spacing w:after="0"/>
              <w:rPr>
                <w:sz w:val="21"/>
                <w:szCs w:val="21"/>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76"/>
        </w:trPr>
        <w:tc>
          <w:tcPr>
            <w:tcW w:w="5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r>
      <w:tr>
        <w:trPr>
          <w:trHeight w:val="264"/>
        </w:trPr>
        <w:tc>
          <w:tcPr>
            <w:tcW w:w="5060" w:type="dxa"/>
            <w:vAlign w:val="bottom"/>
          </w:tcPr>
          <w:p>
            <w:pPr>
              <w:ind w:left="180"/>
              <w:spacing w:after="0"/>
              <w:rPr>
                <w:sz w:val="20"/>
                <w:szCs w:val="20"/>
                <w:color w:val="auto"/>
              </w:rPr>
            </w:pPr>
            <w:r>
              <w:rPr>
                <w:rFonts w:ascii="Arial" w:cs="Arial" w:eastAsia="Arial" w:hAnsi="Arial"/>
                <w:sz w:val="14"/>
                <w:szCs w:val="14"/>
                <w:color w:val="auto"/>
              </w:rPr>
              <w:t>Gain (loss) on marketable securities</w:t>
            </w:r>
          </w:p>
        </w:tc>
        <w:tc>
          <w:tcPr>
            <w:tcW w:w="102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147</w:t>
            </w:r>
          </w:p>
        </w:tc>
      </w:tr>
      <w:tr>
        <w:trPr>
          <w:trHeight w:val="276"/>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(loss) on indexed debt securities</w:t>
            </w: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264"/>
        </w:trPr>
        <w:tc>
          <w:tcPr>
            <w:tcW w:w="5060" w:type="dxa"/>
            <w:vAlign w:val="bottom"/>
          </w:tcPr>
          <w:p>
            <w:pPr>
              <w:ind w:left="180"/>
              <w:spacing w:after="0"/>
              <w:rPr>
                <w:sz w:val="20"/>
                <w:szCs w:val="20"/>
                <w:color w:val="auto"/>
              </w:rPr>
            </w:pPr>
            <w:r>
              <w:rPr>
                <w:rFonts w:ascii="Arial" w:cs="Arial" w:eastAsia="Arial" w:hAnsi="Arial"/>
                <w:sz w:val="14"/>
                <w:szCs w:val="14"/>
                <w:color w:val="auto"/>
              </w:rPr>
              <w:t>Interest expense and other finance charges</w:t>
            </w:r>
          </w:p>
        </w:tc>
        <w:tc>
          <w:tcPr>
            <w:tcW w:w="1020" w:type="dxa"/>
            <w:vAlign w:val="bottom"/>
          </w:tcPr>
          <w:p>
            <w:pPr>
              <w:spacing w:after="0"/>
              <w:rPr>
                <w:sz w:val="22"/>
                <w:szCs w:val="22"/>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276"/>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r>
      <w:tr>
        <w:trPr>
          <w:trHeight w:val="264"/>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income, net</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256"/>
        </w:trPr>
        <w:tc>
          <w:tcPr>
            <w:tcW w:w="5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Continuing Operations Before Income Taxes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264"/>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 expense (benefit)</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r>
      <w:tr>
        <w:trPr>
          <w:trHeight w:val="242"/>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5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540" w:right="2940" w:hanging="5208"/>
        <w:spacing w:after="0" w:line="778" w:lineRule="auto"/>
        <w:tabs>
          <w:tab w:leader="none" w:pos="662"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only February 1, 2019 through June 30, 2019 results of the ESG business acquired in the Merger. 81</w:t>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CenterPoint Energy’s Corporate and Other reported a net loss of $28 million for the three months ended June 30, 2020 compared to a net loss of $38 million for the three months ended June 30,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loss decreased $10 million primarily due to the following key factors:</w:t>
      </w:r>
    </w:p>
    <w:p>
      <w:pPr>
        <w:spacing w:after="0" w:line="225"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$27 million decrease in interest expense, primarily due to lower outstanding debt;</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$14 million decrease in operation and maintenance expenses, primarily due to Merger-related integration costs incurred in 2019 that did not recur in 2020;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$11 million increase in gains on marketable securities;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$11 million increase in miscellaneous income in Other income,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decreases in the net loss were partially offset by the following:</w:t>
      </w:r>
    </w:p>
    <w:p>
      <w:pPr>
        <w:spacing w:after="0" w:line="225"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$23 million decrease in income tax benefit driven by the decrease in loss from continuing operations and state tax impacts;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$12 million decrease in interest income, primarily due to lower interest income from CenterPoint Energy money pool borrowings;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$8 million increase in the loss on the underlying value of indexed debt securities related to the ZENS;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$4 million increase in depreciation and amortization expense, primarily from additions to plant in service;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$3 million decrease in margin at ESG, primarily related to the remeasurement of the purchase price allocation related to the construction backlog intangibles acquired in the Merger in 2019;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$3 million increase in other taxes resulting from a property tax refund received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CenterPoint Energy’s Corporate and Other reported a net loss of $24 million for the six months ended June 30, 2020 compared to a net loss of $60 million for the six months ended June 30,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loss decreased $36 million primarily due to the following key factors:</w:t>
      </w:r>
    </w:p>
    <w:p>
      <w:pPr>
        <w:spacing w:after="0" w:line="225"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$213 million increase in gains on the underlying value of indexed debt securities related to the ZENS;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$33 million decrease in operation and maintenance expenses, primarily due to Merger-related integration costs incurred in 2019 that did not recur in 2020, lower benefits and services costs and lower software maintenance costs;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$16 million increase in margin, primarily related to higher margin of $9 million at ESG from two large federal projects in 2020 and the reduction of Merger-related amortization of intangibles for construction backlog of $4 million in non-utility cost of revenues, including natural gas;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$15 million decrease in interest expense, primarily due to lower outstanding debt, partially offset by an additional month of interest expense in 2020 versus 2019 due to additional debt acquired in the Merger on February 1, 2019;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$12 million increase in miscellaneous income in Other income,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decreases in the net loss were partially offset by the following:</w:t>
      </w:r>
    </w:p>
    <w:p>
      <w:pPr>
        <w:spacing w:after="0" w:line="225"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$216 million increase in losses on marketable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$17 million decrease in income tax benefit driven by the decrease in loss from continuing operations and state tax impacts;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$10 million decrease in interest income due to lower external investments in 2020 compared to 2019;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$7 million increase in depreciation and amortization expense, primarily from additions to plant in service and the inclusion of expense for six months in 2020 versus five months included in 2019 for businesses acquired in the Merger on February 1, 2019;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$3 million increase in other taxes resulting from a property tax refund received in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(CERC)</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net income (loss) of CERC’s Corporate and Other:</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56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8"/>
              </w:rPr>
              <w:t>Three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960" w:type="dxa"/>
            <w:vAlign w:val="bottom"/>
          </w:tcPr>
          <w:p>
            <w:pPr>
              <w:spacing w:after="0"/>
              <w:rPr>
                <w:sz w:val="22"/>
                <w:szCs w:val="22"/>
                <w:color w:val="auto"/>
              </w:rPr>
            </w:pPr>
          </w:p>
        </w:tc>
        <w:tc>
          <w:tcPr>
            <w:tcW w:w="10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50"/>
        </w:trPr>
        <w:tc>
          <w:tcPr>
            <w:tcW w:w="4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Non-utility Revenues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r>
      <w:tr>
        <w:trPr>
          <w:trHeight w:val="264"/>
        </w:trPr>
        <w:tc>
          <w:tcPr>
            <w:tcW w:w="4960" w:type="dxa"/>
            <w:vAlign w:val="bottom"/>
          </w:tcPr>
          <w:p>
            <w:pPr>
              <w:ind w:left="20"/>
              <w:spacing w:after="0"/>
              <w:rPr>
                <w:sz w:val="20"/>
                <w:szCs w:val="20"/>
                <w:color w:val="auto"/>
              </w:rPr>
            </w:pPr>
            <w:r>
              <w:rPr>
                <w:rFonts w:ascii="Arial" w:cs="Arial" w:eastAsia="Arial" w:hAnsi="Arial"/>
                <w:sz w:val="14"/>
                <w:szCs w:val="14"/>
                <w:color w:val="auto"/>
              </w:rPr>
              <w:t>Expenses:</w:t>
            </w: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Operation and maintenance</w:t>
            </w:r>
          </w:p>
        </w:tc>
        <w:tc>
          <w:tcPr>
            <w:tcW w:w="102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r>
      <w:tr>
        <w:trPr>
          <w:trHeight w:val="264"/>
        </w:trPr>
        <w:tc>
          <w:tcPr>
            <w:tcW w:w="496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22"/>
                <w:szCs w:val="22"/>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2"/>
                <w:szCs w:val="2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4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Taxes other than income taxes</w:t>
            </w:r>
          </w:p>
        </w:tc>
        <w:tc>
          <w:tcPr>
            <w:tcW w:w="10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r>
      <w:tr>
        <w:trPr>
          <w:trHeight w:val="250"/>
        </w:trPr>
        <w:tc>
          <w:tcPr>
            <w:tcW w:w="496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Pr>
          <w:p>
            <w:pPr>
              <w:spacing w:after="0"/>
              <w:rPr>
                <w:sz w:val="21"/>
                <w:szCs w:val="21"/>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1"/>
                <w:szCs w:val="21"/>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w:t>
            </w:r>
          </w:p>
        </w:tc>
      </w:tr>
      <w:tr>
        <w:trPr>
          <w:trHeight w:val="25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02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64"/>
        </w:trPr>
        <w:tc>
          <w:tcPr>
            <w:tcW w:w="49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 and other finance charges</w:t>
            </w:r>
          </w:p>
        </w:tc>
        <w:tc>
          <w:tcPr>
            <w:tcW w:w="10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264"/>
        </w:trPr>
        <w:tc>
          <w:tcPr>
            <w:tcW w:w="4960" w:type="dxa"/>
            <w:vAlign w:val="bottom"/>
          </w:tcPr>
          <w:p>
            <w:pPr>
              <w:ind w:left="160"/>
              <w:spacing w:after="0"/>
              <w:rPr>
                <w:sz w:val="20"/>
                <w:szCs w:val="20"/>
                <w:color w:val="auto"/>
              </w:rPr>
            </w:pPr>
            <w:r>
              <w:rPr>
                <w:rFonts w:ascii="Arial" w:cs="Arial" w:eastAsia="Arial" w:hAnsi="Arial"/>
                <w:sz w:val="14"/>
                <w:szCs w:val="14"/>
                <w:color w:val="auto"/>
              </w:rPr>
              <w:t>Interest income</w:t>
            </w:r>
          </w:p>
        </w:tc>
        <w:tc>
          <w:tcPr>
            <w:tcW w:w="1020" w:type="dxa"/>
            <w:vAlign w:val="bottom"/>
          </w:tcPr>
          <w:p>
            <w:pPr>
              <w:spacing w:after="0"/>
              <w:rPr>
                <w:sz w:val="22"/>
                <w:szCs w:val="22"/>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49</w:t>
            </w:r>
          </w:p>
        </w:tc>
      </w:tr>
      <w:tr>
        <w:trPr>
          <w:trHeight w:val="270"/>
        </w:trPr>
        <w:tc>
          <w:tcPr>
            <w:tcW w:w="4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income (expense), net</w:t>
            </w:r>
          </w:p>
        </w:tc>
        <w:tc>
          <w:tcPr>
            <w:tcW w:w="10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50"/>
        </w:trPr>
        <w:tc>
          <w:tcPr>
            <w:tcW w:w="4960" w:type="dxa"/>
            <w:vAlign w:val="bottom"/>
          </w:tcPr>
          <w:p>
            <w:pPr>
              <w:ind w:left="20"/>
              <w:spacing w:after="0"/>
              <w:rPr>
                <w:sz w:val="20"/>
                <w:szCs w:val="20"/>
                <w:color w:val="auto"/>
              </w:rPr>
            </w:pPr>
            <w:r>
              <w:rPr>
                <w:rFonts w:ascii="Arial" w:cs="Arial" w:eastAsia="Arial" w:hAnsi="Arial"/>
                <w:sz w:val="14"/>
                <w:szCs w:val="14"/>
                <w:color w:val="auto"/>
              </w:rPr>
              <w:t>Loss from Continuing Operations Before Income Taxes</w:t>
            </w:r>
          </w:p>
        </w:tc>
        <w:tc>
          <w:tcPr>
            <w:tcW w:w="10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70"/>
        </w:trPr>
        <w:tc>
          <w:tcPr>
            <w:tcW w:w="4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tax benefit</w:t>
            </w:r>
          </w:p>
        </w:tc>
        <w:tc>
          <w:tcPr>
            <w:tcW w:w="10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43"/>
        </w:trPr>
        <w:tc>
          <w:tcPr>
            <w:tcW w:w="49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4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FACTORS AFFECTING FUTURE EARNINGS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information on other developments, factors and trends that may have an impact on the Registrants’ future earnings, please read “Management’s Discussion and Analysis of Financial Condition and Results of Operations — Certain Factors Affecting Future Earnings” in Item 7 of Part II and “Risk Factors” in Item 1A of Part I of the Registrants’ combined 2019 Form 10-K, in Item 1A of Part II of this Form 10-Q and “Cautionary Statement Regarding Forward-Looking Information” in this Form 10-Q.</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net cash provided by (used in) operating, investing and financing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4"/>
                <w:szCs w:val="14"/>
                <w:b w:val="1"/>
                <w:bCs w:val="1"/>
                <w:color w:val="auto"/>
                <w:w w:val="92"/>
              </w:rPr>
              <w:t>Six Months Ended June 30,</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26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64"/>
        </w:trPr>
        <w:tc>
          <w:tcPr>
            <w:tcW w:w="2600" w:type="dxa"/>
            <w:vAlign w:val="bottom"/>
          </w:tcPr>
          <w:p>
            <w:pPr>
              <w:spacing w:after="0"/>
              <w:rPr>
                <w:sz w:val="22"/>
                <w:szCs w:val="22"/>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CenterPoint Energy</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Houston Electric</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CERC</w:t>
            </w: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6"/>
              </w:rPr>
              <w:t>CenterPoint Energy</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Houston Electric</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CERC</w:t>
            </w:r>
          </w:p>
        </w:tc>
      </w:tr>
      <w:tr>
        <w:trPr>
          <w:trHeight w:val="190"/>
        </w:trPr>
        <w:tc>
          <w:tcPr>
            <w:tcW w:w="2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4"/>
              </w:rPr>
              <w:t>(in millions)</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55"/>
        </w:trPr>
        <w:tc>
          <w:tcPr>
            <w:tcW w:w="260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
        </w:trPr>
        <w:tc>
          <w:tcPr>
            <w:tcW w:w="2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278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240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w:t>
            </w:r>
          </w:p>
        </w:tc>
      </w:tr>
      <w:tr>
        <w:trPr>
          <w:trHeight w:val="243"/>
        </w:trPr>
        <w:tc>
          <w:tcPr>
            <w:tcW w:w="260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(7,149)</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(1,311)</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7"/>
        </w:trPr>
        <w:tc>
          <w:tcPr>
            <w:tcW w:w="2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(236)</w:t>
            </w: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2,629</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994</w:t>
            </w: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2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Operating Activities. </w:t>
      </w:r>
      <w:r>
        <w:rPr>
          <w:rFonts w:ascii="Arial" w:cs="Arial" w:eastAsia="Arial" w:hAnsi="Arial"/>
          <w:sz w:val="16"/>
          <w:szCs w:val="16"/>
          <w:color w:val="auto"/>
        </w:rPr>
        <w:t>The following items contributed to increased (decreased) net cash provided by operating activities for the six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2020 compared to the same period of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net income after adjusting for non-cash items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Changes in working capital</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equity in earnings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 xml:space="preserve">Change in distributions from unconsolidated affiliates </w:t>
            </w: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 pension contribution</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change is partially offset by the change in distributions from Enable in excess of cumulative earnings in investing activities noted in the table below.</w:t>
      </w:r>
    </w:p>
    <w:p>
      <w:pPr>
        <w:spacing w:after="0" w:line="16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following items contributed to (increased) decreased net cash used in investing activities for the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2020 compared to the same period of 2019:</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Mergers and acquisitions, net of cash acquired</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Higher capital expenditures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notes receivable from affiliated companies</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w w:val="95"/>
              </w:rPr>
              <w:t>Change in distributions from Enable in excess of cumulative earnings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divestitures</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830"/>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following items contributed to (increased) decreased net cash used in financing activities for the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2020 compared to the same period of 2019:</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changes in commercial paper outstanding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Increased proceeds from issuances of preferred stock</w:t>
            </w: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Increased proceeds from issuances of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changes in long-term debt outstanding, excluding commercial paper</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changes in long-term revolving credit facilities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changes in debt issuance costs</w:t>
            </w: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changes in short-term borrowings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Decreased payment of Common Stock dividends</w:t>
            </w: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Increased payment of preferred stock dividends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change in notes payable from affiliated companies</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from parent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Dividend to parent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contribution to parent associated with the sale of CES</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and Uses of Cash</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liquidity and capital requirements of the Registrants are affected primarily by results of operations, capital expenditures, debt service requirements, tax payments, working capital needs and various regulatory actions. Capital expenditures are expected to be used for investment in infrastructure. These capital expenditures are anticipated to maintain reliability and safety, increase resiliency and expand our systems through value-added projects. In addition to dividend payments on CenterPoint Energy’s Series A Preferred Stock, Series B Preferred Stock, Series C Preferred Stock and Common Stock, and in addition to interest payments on debt, the Registrants’ principal anticipated cash requirements for the remaining six months of 2020 include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CenterPoint Energy</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Houston Electric</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CERC</w:t>
            </w:r>
          </w:p>
        </w:tc>
      </w:tr>
      <w:tr>
        <w:trPr>
          <w:trHeight w:val="250"/>
        </w:trPr>
        <w:tc>
          <w:tcPr>
            <w:tcW w:w="6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277"/>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capital expenditures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394</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Scheduled principal payments on Securitization Bonds</w:t>
            </w:r>
          </w:p>
        </w:tc>
        <w:tc>
          <w:tcPr>
            <w:tcW w:w="14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96</w:t>
            </w:r>
          </w:p>
        </w:tc>
        <w:tc>
          <w:tcPr>
            <w:tcW w:w="4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ERCOT loan</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Registrants expect that anticipated cash needs for the remaining six months of 2020 will be met with borrowings under their credit facilities, bank loans, proceeds from the issuance of long-term debt, anticipated cash flows from operations, with respect to CenterPoint Energy and CERC, proceeds from commercial paper and, with respect to CenterPoint Energy, distributions from Enable. Discretionary financing or refinancing may result in the issuance of equity securities of CenterPoint Energy or debt securities of the Registrants in the capital markets or the arrangement of additional credit facilities or term bank loans. Issuances of equity or debt in the capital markets, funds raised in the commercial paper markets and additional credit facilities may not, however, be available on acceptable terms.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April 1, 2020, Enable announced a reduction in its quarterly distributions per common unit from $0.3305 distributed for the fourth quarter 2019 to $0.16525, representing a 50% reduction. This reduction is expected to result in one or more quarterly distributions to CenterPoint Energy that fall below CenterPoint Energy’s previously disclosed expected minimum quarterly distribution from Enable of $0.2875 per common unit. This reduction in Enable’s quarterly distributions per common unit is expected to reduce Enable common unit distributions to CenterPoint Energy by approximately $155 million per year. To the extent current economic conditions persist or further deteriorate with respect to declines in the price of, and global demand for, natural gas, NGLs and crude oil, quarterly distributions on Enable’s common units may be subject to further reductions.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on April 1, 2020, CenterPoint Energy provided a business update related to certain measures it expects to take in response to the current business environment to strengthen its financial position and to adjust for the reduction in cash flow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related to the reduction in Enable quarterly common unit distributions discussed above. These measures are expected to include reducing CenterPoint Energy’s (i) quarterly common stock dividend per share from $0.2900 to $0.1500; (ii) anticipated 2020 capital spending by approximately $300 million, with CenterPoint Energy continuing to target five-year total capital investment of approximately $13 billion as previously disclosed; and (iii) anticipated operation and maintenance expenses for 2020 by a target of approximately $40 million, excluding certain merger costs, utility costs to achieve savings, severance and amounts with revenue offsets.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net proceeds of CenterPoint Energy’s sale of the Infrastructure Services Disposal Group were used to repay a portion of outstanding CenterPoint Energy debt, including $200 million of maturing Vectren term loans. The net proceeds of CenterPoint Energy’s sale of the Energy Services Disposal Group were used to repay a portion of outstanding CenterPoint Energy debt.</w:t>
      </w:r>
    </w:p>
    <w:p>
      <w:pPr>
        <w:spacing w:after="0" w:line="18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To the extent that access to the capital and other financial markets is adversely affected by the effects of COVID-19, the Registrants may need to consider alternative sources of funding for some of their operations and for working capital but expect any impacts on their liquidity to be temporary. Any alternative sources of funding may increase the cost of capital and result in higher interest expense. Although CenterPoint Energy customarily satisfies its near-term financing needs with proceeds from commercial paper, CenterPoint Energy utilized its revolving credit facilities in March and April 2020 as a source of funding because market disruptions caused by COVID-19 temporarily limited its access to the commercial paper markets. CenterPoint Energy repaid all outstanding revolving credit facility loans in April 2020 and has resumed normal utilization of commercial paper as such markets have rebounded during the three months ended June 30, 2020. Since CenterPoint Energy’s repayment of its outstanding revolving credit facility loans, CenterPoint Energy has not utilized its revolving credit facilities as a source of liquidity. However, to the extent the capital and other financial markets are again disrupted, CenterPoint Energy may again rely on its revolving credit facilities. Furthermore, the uncertain economic conditions may also result in the inability of the Registrants’ customers and other counterparties to make payments to the Registrants, on a timely basis or at all. Although the Registrants have experienced an increase in days outstanding on receivables and uncollectible accounts during the three months ended June 30, 2020, this amount has not been significant to date, and the Registrants do not expect the increase in days outstanding on receivables and uncollectible accounts to materially impact their liquidity at this time. In the event economic conditions further deteriorate and result in a greater number of customers and counterparties failing to make payments to the Registrants, their businesses, cash flows, liquidity, financial condition and results of operations would be adversely impacted. Under such circumstances, the Registrants would intend to rely on borrowings from the short-term capital markets or under their revolving credit facilities, if needed, to mitigate such effects until cash flows revert to their pre-COVID-19 levels.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than Houston Electric’s general mortgage bonds issued as collateral for tax-exempt long-term debt of CenterPoint Energy as discussed in Note 12, guarantees as discussed in Note 14(b) and (c) to the Interim Condensed Financial Statements, we have no off-balance sheet arrangements.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Governors, public utility commissions and other authorities in the states in which we operate have issued a number of different orders related to the COVID-19 pandemic, including orders addressing customer non-payment and disconnection. While many jurisdictions are subject to mandatory stay-at-home and similar orders, essential businesses and activities are exempted from these orders, including utility operations and maintenance. Accordingly, CenterPoint Energy’s crews will continue to provide essential service by responding to calls, completing work orders and undertaking other critical work. To protect our customers and employees, we are implementing COVID-19 safety precautions. CenterPoint Energy continues to support those customers who may need payment assistance, arrangements or extensions. We will continue to monitor developments in this area and adjust our response as guidelines and circumstances may require. Additionally, while we have not experienced delays to date due to COVID-19 with respect to our regulatory proceedings, we could experience significant delays in scheduling proceedings or hearings and in obtaining orders from regulatory agencies.</w:t>
      </w:r>
    </w:p>
    <w:p>
      <w:pPr>
        <w:spacing w:after="0" w:line="16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March 26, 2020, the PUCT issued two orders related to COVID-19 issues that affect Houston Electric. First, the PUCT issued an order related to Accrual of Regulatory Assets granting authority for utilities to record as a regulatory asset costs resulting from the effects of COVID-19. In the order, the PUCT noted that it will consider whether a utility’s request for recovery of the regulatory asset is reasonable and necessary in a future proceeding. Second, the PUCT issued an order related to COVID-19 ERP, as modified, which, in light of the disaster declarations issued by the Governor of Texas, authorized a customer assistance program for certain residential customers of electric service in areas of Texas open to customer choice, which includes Houston Electric’s service territory. The order includes several requirements for transmission and distribution utilities (including Houston Electric):</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80" w:hanging="648"/>
        <w:spacing w:after="0" w:line="259" w:lineRule="auto"/>
        <w:tabs>
          <w:tab w:leader="none" w:pos="6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Transmission and distribution utilities must file a tariff rider to collect funds to reimburse costs related to unpaid bills from eligible residential customers unemployed due to the impacts of COVID-19. The rider is based on $0.33 per MW hour ($0.00033 per KW hour) to be applied to all customer classes. Houston Electric filed its updated tariff implementing the rider on March 31, 2020, which was approved by the PUCT on April 2, 2020.</w:t>
      </w:r>
    </w:p>
    <w:p>
      <w:pPr>
        <w:spacing w:after="0" w:line="186" w:lineRule="exact"/>
        <w:rPr>
          <w:rFonts w:ascii="Arial" w:cs="Arial" w:eastAsia="Arial" w:hAnsi="Arial"/>
          <w:sz w:val="18"/>
          <w:szCs w:val="18"/>
          <w:color w:val="auto"/>
        </w:rPr>
      </w:pPr>
    </w:p>
    <w:p>
      <w:pPr>
        <w:ind w:left="980" w:hanging="648"/>
        <w:spacing w:after="0" w:line="263" w:lineRule="auto"/>
        <w:tabs>
          <w:tab w:leader="none" w:pos="6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Transmission and distribution utilities entered into no-interest loan agreements with ERCOT to provide for an initial fund balance for reimbursement. On April 13, 2020, in connection with the PUCT’s COVID-19 ERP, Houston Electric entered into a no-interest loan agreement with ERCOT pursuant to which ERCOT loaned Houston Electric approximately $5 million.</w:t>
      </w:r>
    </w:p>
    <w:p>
      <w:pPr>
        <w:spacing w:after="0" w:line="183" w:lineRule="exact"/>
        <w:rPr>
          <w:rFonts w:ascii="Arial" w:cs="Arial" w:eastAsia="Arial" w:hAnsi="Arial"/>
          <w:sz w:val="18"/>
          <w:szCs w:val="18"/>
          <w:color w:val="auto"/>
        </w:rPr>
      </w:pPr>
    </w:p>
    <w:p>
      <w:pPr>
        <w:ind w:left="980" w:hanging="648"/>
        <w:spacing w:after="0" w:line="263" w:lineRule="auto"/>
        <w:tabs>
          <w:tab w:leader="none" w:pos="6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fund administered by each transmission and distribution utility for the COVID-19 ERP can also receive donations and grants from governmental entities, corporations, and other entities. Any funds received from other sources shall be administered and treated in the same manner by the transmission and distribution utilities as the funds in the program from the rider.</w:t>
      </w:r>
    </w:p>
    <w:p>
      <w:pPr>
        <w:spacing w:after="0" w:line="183"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Transmission and distribution utilities may petition the PUCT for changes to the COVID-19 ERP, including the level of the rider in the event that the funds collected are not sufficient to cover reimbursements.</w:t>
      </w:r>
    </w:p>
    <w:p>
      <w:pPr>
        <w:spacing w:after="0" w:line="170" w:lineRule="exact"/>
        <w:rPr>
          <w:rFonts w:ascii="Arial" w:cs="Arial" w:eastAsia="Arial" w:hAnsi="Arial"/>
          <w:sz w:val="18"/>
          <w:szCs w:val="18"/>
          <w:color w:val="auto"/>
        </w:rPr>
      </w:pPr>
    </w:p>
    <w:p>
      <w:pPr>
        <w:ind w:left="980" w:hanging="648"/>
        <w:spacing w:after="0" w:line="263" w:lineRule="auto"/>
        <w:tabs>
          <w:tab w:leader="none" w:pos="6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REPs will identify eligible customers to the relevant transmission and distribution utilities, and the transmission and distribution utilities will cease charging REPs for associated delivery charges, except securitization related charges. REPs will cease submitting disconnection for non-payment orders to transmission and distribution utilities for eligible customers.</w:t>
      </w:r>
    </w:p>
    <w:p>
      <w:pPr>
        <w:spacing w:after="0" w:line="183" w:lineRule="exact"/>
        <w:rPr>
          <w:rFonts w:ascii="Arial" w:cs="Arial" w:eastAsia="Arial" w:hAnsi="Arial"/>
          <w:sz w:val="18"/>
          <w:szCs w:val="18"/>
          <w:color w:val="auto"/>
        </w:rPr>
      </w:pPr>
    </w:p>
    <w:p>
      <w:pPr>
        <w:ind w:left="980" w:hanging="648"/>
        <w:spacing w:after="0" w:line="255" w:lineRule="auto"/>
        <w:tabs>
          <w:tab w:leader="none" w:pos="6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funds collected through the rider will be used to reimburse the following entities and costs: REPs’ energy charges related to eligible residential customers with an unpaid, past due electric bill subject to a disconnection for non-payment notice (reimbursement amounts are based on an average energy cost of $0.04 per KW hour); transmission and distribution utilities’ delivery charges related to eligible residential customers with an unpaid, past due electric bill subject to a disconnection for non-payment notice; the third-party administrator to cover its reasonable costs of administering the COVID-19 ERP eligibility process; and ERCOT for the loan to the transmission and distribution utilities.</w:t>
      </w:r>
    </w:p>
    <w:p>
      <w:pPr>
        <w:spacing w:after="0" w:line="192" w:lineRule="exact"/>
        <w:rPr>
          <w:rFonts w:ascii="Arial" w:cs="Arial" w:eastAsia="Arial" w:hAnsi="Arial"/>
          <w:sz w:val="18"/>
          <w:szCs w:val="18"/>
          <w:color w:val="auto"/>
        </w:rPr>
      </w:pPr>
    </w:p>
    <w:p>
      <w:pPr>
        <w:ind w:left="980" w:hanging="648"/>
        <w:spacing w:after="0" w:line="226" w:lineRule="auto"/>
        <w:tabs>
          <w:tab w:leader="none" w:pos="6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REPs will submit one spreadsheet with reimbursement claims to transmission and distribution utilities beginning on April 30, 2020 and all subsequent requests that may be made on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each month, and transmission and distribution utilities will process reimbursement payments within 14 days.</w:t>
      </w:r>
    </w:p>
    <w:p>
      <w:pPr>
        <w:spacing w:after="0" w:line="203"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Transmission and distribution utilities will prepare reports and file them at the PUCT every 30 days showing aggregate amounts of reimbursements to the transmission and distribution utilities and REPs.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COVID-19 ERP will end on August 31, 2020, unless otherwise extended by the PUCT. Final claims for reimbursement must be submitted to transmission and distribution utilities not later than 90 days after the end of the COVID-19 ERP. The transmission and distribution utilities riders will remain in place and reimbursements will continue after the end of the COVID-19 ERP has ended to complete any remaining COVID-19 ERP cost recovery and disburse all reimbursement amounts or remaining balances.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Commissions in all of Indiana Electric’s and CenterPoint Energy’s and CERC’s NGD service territories have either (1) issued orders to record a regulatory asset for incremental bad debt expenses related to COVID-19, including costs associated with the suspension of disconnections and payment plans or (2) provided authority to recover bad debt expense through an existing tracking mechanism.</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some of the states in which the Registrants operate, public utility commissions have authorized utilities to employ deferred accounting authority for certain COVID-19 related costs which ensure the safety and health of customers, employees, and contractors, that would not have been incurred in the normal course of business. CERC’s NGD service territories in Minnesota and Arkansas will include any offsetting savings in the deferral. Other jurisdictions where the Registrants operate may require them to offset the deferral with savings as well.</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Houston Electric Base Rate Case (CenterPoint Energy and Houston Electric)</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April 5, 2019, and subsequently adjusted in errata filings in May and June 2019, Houston Electric filed its base rate application with the PUCT and the cities in its service area to change its rates, seeking approval for revenue increases of approximately $194 million, among other requests. On January 23, 2020, Houston Electric filed a Stipulation and Settlement Agreement with the PUCT that provides for the following, among other things: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overall revenue requirement increase of approximately $13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ROE of 9.4%;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capital structure of 57.5% debt/42.5% equity;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refund of unprotected EDIT of $105 million plus carrying costs over approximately 30-36 months;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recovery of all retail transmission related costs through the TCRF.</w:t>
      </w:r>
    </w:p>
    <w:p>
      <w:pPr>
        <w:spacing w:after="0" w:line="1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Also, Houston Electric is not required to make a one-time refund of capital recovery from its TCOS and DCRF mechanisms. Future TCOS filings will take into account both ADFIT and EDIT until the final order from Houston Electric’s next base rate proceeding. No rate base items are required to be written off; however, approximately $12 million in rate case expenses were written off in 2019. A base rate application must be filed for Houston Electric no later than four years from the date of the PUCT’s final order in the proceeding. Additionally, Houston Electric will not file a DCRF in 2020, nor will a subsequent separate proceeding with the PUCT be instituted regarding EDIT on Houston Electric’s securitized assets. Furthermore, under the terms of the Stipulation and Settlement Agreement, Houston Electric agreed to adopt certain ring-fencing measures to increase its financial separateness from CenterPoint Energy but left the determination of whether to impose a dividend restriction up to the PUCT. The PUCT approved the Stipulation and Settlement Agreement at its February 14, 2020 open meeting and issued a final order on March 9, 2020. The PUCT declined to impose a dividend restriction in the final order. The rates were implemented on April 23, 2020.</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CenterPoint Energy and Houston Electric record pre-tax expense for (i) probable disallowances of capital investments and (ii) customer refund obligations and costs deferred in regulatory assets when recovery of such amounts is no longer considered probable.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Bailey to Jones Creek Project (CenterPoint Energy and Houston Electric)</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April 2017, Houston Electric submitted a proposal to ERCOT requesting its endorsement of the Freeport Area Master Plan, which included the Bailey to Jones Creek Project. On November 21, 2019, the PUCT issued its final approval of Houston Electric’s certificate of convenience and necessity application, based on an unopposed settlement agreement under which Houston Electric would construct the project at an estimated cost of approximately $483 million. The actual capital costs of the project will depend on land acquisition costs, construction costs, minor changes to the routing of the line to mitigate environmental and other land use impacts, structure design to address soil and coastal wind conditions, and other factors. In April 2020, a federal court vacated the Army Corps of Engineers Nationwide Permit 12, which Houston Electric intended to use for the project. As a result, Houston Electric filed its individual permit application with the Army Corps of Engineers in accordance with the federal court decision. However, subsequent to filing the individual permit application, the federal court stayed the effectiveness of its order as it applied to the construction of transmission lines such as the Bailey to Jones Creek Project. In July 2020, the stay was extended by the U.S. Supreme Court to apply to a broader range of infrastructure projects and last through the full appellate process. As a result, the Army Corps of Engineers is proceeding with project review under the Nationwide Permit 12 general permit. Houston Electric has commenced pre-construction activities on the project, and anticipates beginning construction in early 2021 and completing construction and energizing the line before the end of 2021.</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Indiana Electric Generation Project (CenterPoint Energy)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Indiana Electric must make substantial investments in its generation resources in the near term to comply with environmental regulations. Indiana requires each electric utility to perform and submit an IRP every three years, unless extended, to the IURC that uses economic modeling to consider the costs and risks associated with available resource options to provide reliable electric service for the next 20-year period on a periodic basis. On February 20, 2018, Indiana Electric filed a petition seeking authorization from the IURC to construct a new 700-850 MW natural gas combined cycle generating facility to replace the baseload capacity of its existing generation fleet at an approximate cost of $900 million, which includes the cost of a new natural gas pipeline to serve the plant.</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a part of this same proceeding, Indiana Electric also sought recovery under Indiana Senate Bill 251 of costs to be incurred for environmental investments to be made at its F.B. Culley generating plant to comply with ELG and CCR rules. The F.B. Culley investments, estimated to be approximately $95 million, began in 2019 and will allow the F.B. Culley Unit 3 generating facility to comply with environmental requirements and continue to provide generating capacity to Indiana Electric’s customers. Under Indiana Senate Bill 251, Indiana Electric sought authority to recover 80% of the approved costs, including a return, using a tracking mechanism, with the remaining 20% of the costs deferred for recovery in Indiana Electric’s next base rate proceeding.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24, 2019, the IURC issued an order approving the environmental investments proposed for the F.B. Culley generating facility, along with recovery of prior pollution control investments made in 2014. The order denied the proposed gas combined cycle generating facility. Indiana Electric has conducted a new IRP, which was submitted to the IURC in June 2020, to identify an appropriate generation resource portfolio to satisfy the needs of its customers and comply with environmental regulations. The proposed preferred portfolio indicates the replacement of 730 MW of coal with a significant buildout of renewables supported by dispatchable natural gas generation.</w:t>
      </w: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Indiana Electric A.B. Brown Ash Pond Remediation (CenterPoint Energy)</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August 14, 2019, Indiana Electric filed a petition with the IURC, seeking approval, as a federally mandated project, for the recovery of costs associated with the clean closure of the A.B. Brown ash pond pursuant to Indiana Senate Bill 251. This project, expected to last approximately 14 years, would result in the full excavation and recycling of the ponded ash through agreements with a beneficial reuse entity, totaling approximately $160 million. Under Indiana Senate Bill 251, Indiana Electric seeks authority to recover via a tracking mechanism 80% of the approved costs, with a return on eligible capital investments needed to allow for the extraction of the ponded ash, with the remaining 20% of the costs deferred for recovery in Indiana Electric’s next base rate proceeding. On December 19, 2019 and subsequently on January 10, 2020, Indiana Electric filed a settlement agreement with the intervening parties whereby the costs would be recovered as requested, with an additional commitment by Indiana Electric to offset the federally mandated costs by at least $25 million, representing a combination of total cash proceeds received from the ash reuser and total insurance proceeds to be received from Indiana Electric’s insurers under confidential settlement agreements of litigation filed against the insurers. On May 13, 2020, the IURC approved the settlement agreement in full, with recovery of costs to begin upon approval of Indiana Electric’s pending ECA proceeding, expected later in 2020.</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Rate Change Applications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Registrants are routinely involved in rate change applications before state regulatory authorities. Those applications include general rate cases, where the entire cost of service of the utility is assessed and reset. In addition, Houston Electric is periodically involved in proceedings to adjust its capital tracking mechanisms (TCOS and DCRF) and annually files to adjust its EECRF. CERC is periodically involved in proceedings to adjust its capital tracking mechanisms in Texas (GRIP), its cost of service adjustments in Arkansas, Louisiana, Mississippi and Oklahoma (FRP, RSP, RRA and PBRC, respectively), its decoupling mechanism in Minnesota, and its energy efficiency cost trackers in Arkansas, Minnesota, Mississippi and Oklahoma (EECR, CIP, EECR and EECR, respectively). CenterPoint Energy is periodically involved in proceedings to adjust its capital tracking mechanisms in Indiana (CSIA for gas and TDSIC for electric) and Ohio (DRR), its decoupling mechanism in Indiana (SRC for gas), and its energy efficiency cost trackers in Indiana (EEFC for gas and DSMA for electric) and Ohio (EEFR).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reflects significant applications pending or completed since the Registrants’ combined 2019 Form 10-K was filed with the SEC.</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160" w:type="dxa"/>
            <w:vAlign w:val="bottom"/>
          </w:tcPr>
          <w:p>
            <w:pPr>
              <w:jc w:val="center"/>
              <w:ind w:left="30"/>
              <w:spacing w:after="0"/>
              <w:rPr>
                <w:sz w:val="20"/>
                <w:szCs w:val="20"/>
                <w:color w:val="auto"/>
              </w:rPr>
            </w:pPr>
            <w:r>
              <w:rPr>
                <w:rFonts w:ascii="Arial" w:cs="Arial" w:eastAsia="Arial" w:hAnsi="Arial"/>
                <w:sz w:val="14"/>
                <w:szCs w:val="14"/>
                <w:b w:val="1"/>
                <w:bCs w:val="1"/>
                <w:color w:val="auto"/>
                <w:w w:val="96"/>
              </w:rPr>
              <w:t>Annual</w:t>
            </w: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160" w:type="dxa"/>
            <w:vAlign w:val="bottom"/>
          </w:tcPr>
          <w:p>
            <w:pPr>
              <w:jc w:val="center"/>
              <w:ind w:left="10"/>
              <w:spacing w:after="0" w:line="149" w:lineRule="exact"/>
              <w:rPr>
                <w:sz w:val="20"/>
                <w:szCs w:val="20"/>
                <w:color w:val="auto"/>
              </w:rPr>
            </w:pPr>
            <w:r>
              <w:rPr>
                <w:rFonts w:ascii="Arial" w:cs="Arial" w:eastAsia="Arial" w:hAnsi="Arial"/>
                <w:sz w:val="14"/>
                <w:szCs w:val="14"/>
                <w:b w:val="1"/>
                <w:bCs w:val="1"/>
                <w:color w:val="auto"/>
                <w:w w:val="91"/>
              </w:rPr>
              <w:t>Increase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Approval</w:t>
            </w:r>
          </w:p>
        </w:tc>
        <w:tc>
          <w:tcPr>
            <w:tcW w:w="5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Mechanism</w:t>
            </w:r>
          </w:p>
        </w:tc>
        <w:tc>
          <w:tcPr>
            <w:tcW w:w="1160" w:type="dxa"/>
            <w:vAlign w:val="bottom"/>
          </w:tcPr>
          <w:p>
            <w:pPr>
              <w:jc w:val="center"/>
              <w:ind w:left="10"/>
              <w:spacing w:after="0" w:line="145"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0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5920" w:type="dxa"/>
            <w:vAlign w:val="bottom"/>
            <w:vMerge w:val="restart"/>
          </w:tcPr>
          <w:p>
            <w:pPr>
              <w:ind w:left="228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75"/>
        </w:trPr>
        <w:tc>
          <w:tcPr>
            <w:tcW w:w="120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tcPr>
          <w:p>
            <w:pPr>
              <w:jc w:val="center"/>
              <w:ind w:left="10"/>
              <w:spacing w:after="0"/>
              <w:rPr>
                <w:sz w:val="20"/>
                <w:szCs w:val="20"/>
                <w:color w:val="auto"/>
              </w:rPr>
            </w:pPr>
            <w:r>
              <w:rPr>
                <w:rFonts w:ascii="Arial" w:cs="Arial" w:eastAsia="Arial" w:hAnsi="Arial"/>
                <w:sz w:val="11"/>
                <w:szCs w:val="11"/>
                <w:b w:val="1"/>
                <w:bCs w:val="1"/>
                <w:color w:val="auto"/>
                <w:w w:val="90"/>
              </w:rPr>
              <w:t>(in millions)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860" w:type="dxa"/>
            <w:vAlign w:val="bottom"/>
            <w:tcBorders>
              <w:bottom w:val="single" w:sz="8" w:color="auto"/>
            </w:tcBorders>
            <w:gridSpan w:val="3"/>
          </w:tcPr>
          <w:p>
            <w:pPr>
              <w:jc w:val="center"/>
              <w:ind w:right="3287"/>
              <w:spacing w:after="0"/>
              <w:rPr>
                <w:sz w:val="20"/>
                <w:szCs w:val="20"/>
                <w:color w:val="auto"/>
              </w:rPr>
            </w:pPr>
            <w:r>
              <w:rPr>
                <w:rFonts w:ascii="Arial" w:cs="Arial" w:eastAsia="Arial" w:hAnsi="Arial"/>
                <w:sz w:val="14"/>
                <w:szCs w:val="14"/>
                <w:b w:val="1"/>
                <w:bCs w:val="1"/>
                <w:color w:val="auto"/>
                <w:w w:val="95"/>
              </w:rPr>
              <w:t>CenterPoint Energy and Houston Electric (PUCT)</w:t>
            </w: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920" w:type="dxa"/>
            <w:vAlign w:val="bottom"/>
            <w:shd w:val="clear" w:color="auto" w:fill="CCEEFF"/>
          </w:tcPr>
          <w:p>
            <w:pPr>
              <w:ind w:left="120"/>
              <w:spacing w:after="0" w:line="156" w:lineRule="exact"/>
              <w:rPr>
                <w:sz w:val="20"/>
                <w:szCs w:val="20"/>
                <w:color w:val="auto"/>
              </w:rPr>
            </w:pPr>
            <w:r>
              <w:rPr>
                <w:rFonts w:ascii="Arial" w:cs="Arial" w:eastAsia="Arial" w:hAnsi="Arial"/>
                <w:sz w:val="14"/>
                <w:szCs w:val="14"/>
                <w:color w:val="auto"/>
              </w:rPr>
              <w:t>The requested amount is comprised primarily of the following: 2021 Program and Evaluation,</w:t>
            </w:r>
          </w:p>
        </w:tc>
        <w:tc>
          <w:tcPr>
            <w:tcW w:w="0" w:type="dxa"/>
            <w:vAlign w:val="bottom"/>
          </w:tcPr>
          <w:p>
            <w:pPr>
              <w:spacing w:after="0"/>
              <w:rPr>
                <w:sz w:val="1"/>
                <w:szCs w:val="1"/>
                <w:color w:val="auto"/>
              </w:rPr>
            </w:pPr>
          </w:p>
        </w:tc>
      </w:tr>
      <w:tr>
        <w:trPr>
          <w:trHeight w:val="148"/>
        </w:trPr>
        <w:tc>
          <w:tcPr>
            <w:tcW w:w="1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w:t>
            </w: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March</w:t>
            </w:r>
          </w:p>
        </w:tc>
        <w:tc>
          <w:tcPr>
            <w:tcW w:w="980" w:type="dxa"/>
            <w:vAlign w:val="bottom"/>
            <w:shd w:val="clear" w:color="auto" w:fill="CCEEFF"/>
          </w:tcPr>
          <w:p>
            <w:pPr>
              <w:spacing w:after="0"/>
              <w:rPr>
                <w:sz w:val="12"/>
                <w:szCs w:val="12"/>
                <w:color w:val="auto"/>
              </w:rPr>
            </w:pPr>
          </w:p>
        </w:tc>
        <w:tc>
          <w:tcPr>
            <w:tcW w:w="5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Measurement and Verification costs of $39 million, 2019 over recovery of ($1) million and 2019</w:t>
            </w: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 xml:space="preserve">EECRF </w:t>
            </w:r>
            <w:r>
              <w:rPr>
                <w:rFonts w:ascii="Arial" w:cs="Arial" w:eastAsia="Arial" w:hAnsi="Arial"/>
                <w:sz w:val="10"/>
                <w:szCs w:val="10"/>
                <w:color w:val="auto"/>
                <w:w w:val="97"/>
              </w:rPr>
              <w:t>(1)</w:t>
            </w:r>
          </w:p>
        </w:tc>
        <w:tc>
          <w:tcPr>
            <w:tcW w:w="1160" w:type="dxa"/>
            <w:vAlign w:val="bottom"/>
            <w:shd w:val="clear" w:color="auto" w:fill="CCEEFF"/>
          </w:tcPr>
          <w:p>
            <w:pPr>
              <w:jc w:val="center"/>
              <w:ind w:left="30"/>
              <w:spacing w:after="0"/>
              <w:rPr>
                <w:sz w:val="20"/>
                <w:szCs w:val="20"/>
                <w:color w:val="auto"/>
              </w:rPr>
            </w:pPr>
            <w:r>
              <w:rPr>
                <w:rFonts w:ascii="Arial" w:cs="Arial" w:eastAsia="Arial" w:hAnsi="Arial"/>
                <w:sz w:val="14"/>
                <w:szCs w:val="14"/>
                <w:color w:val="auto"/>
                <w:w w:val="94"/>
              </w:rPr>
              <w:t>$12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5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earned bonus of $12 million.</w:t>
            </w: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rPr>
              <w:t>April</w:t>
            </w:r>
          </w:p>
        </w:tc>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rPr>
              <w:t>April</w:t>
            </w:r>
          </w:p>
        </w:tc>
        <w:tc>
          <w:tcPr>
            <w:tcW w:w="98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jc w:val="center"/>
              <w:spacing w:after="0"/>
              <w:rPr>
                <w:sz w:val="20"/>
                <w:szCs w:val="20"/>
                <w:color w:val="auto"/>
              </w:rPr>
            </w:pPr>
            <w:r>
              <w:rPr>
                <w:rFonts w:ascii="Arial" w:cs="Arial" w:eastAsia="Arial" w:hAnsi="Arial"/>
                <w:sz w:val="14"/>
                <w:szCs w:val="14"/>
                <w:color w:val="auto"/>
                <w:w w:val="87"/>
              </w:rPr>
              <w:t>Rate Case</w:t>
            </w:r>
          </w:p>
        </w:tc>
        <w:tc>
          <w:tcPr>
            <w:tcW w:w="1160" w:type="dxa"/>
            <w:vAlign w:val="bottom"/>
          </w:tcPr>
          <w:p>
            <w:pPr>
              <w:jc w:val="center"/>
              <w:ind w:left="30"/>
              <w:spacing w:after="0"/>
              <w:rPr>
                <w:sz w:val="20"/>
                <w:szCs w:val="20"/>
                <w:color w:val="auto"/>
              </w:rPr>
            </w:pPr>
            <w:r>
              <w:rPr>
                <w:rFonts w:ascii="Arial" w:cs="Arial" w:eastAsia="Arial" w:hAnsi="Arial"/>
                <w:sz w:val="14"/>
                <w:szCs w:val="14"/>
                <w:color w:val="auto"/>
                <w:w w:val="89"/>
              </w:rPr>
              <w:t>13</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March 2020</w:t>
            </w:r>
          </w:p>
        </w:tc>
        <w:tc>
          <w:tcPr>
            <w:tcW w:w="5920" w:type="dxa"/>
            <w:vAlign w:val="bottom"/>
          </w:tcPr>
          <w:p>
            <w:pPr>
              <w:ind w:left="120"/>
              <w:spacing w:after="0"/>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Houston Electric Base Rate Case</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May</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May</w:t>
            </w:r>
          </w:p>
        </w:tc>
        <w:tc>
          <w:tcPr>
            <w:tcW w:w="5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TCOS</w:t>
            </w:r>
          </w:p>
        </w:tc>
        <w:tc>
          <w:tcPr>
            <w:tcW w:w="1160" w:type="dxa"/>
            <w:vAlign w:val="bottom"/>
            <w:shd w:val="clear" w:color="auto" w:fill="CCEEFF"/>
          </w:tcPr>
          <w:p>
            <w:pPr>
              <w:jc w:val="center"/>
              <w:ind w:left="30"/>
              <w:spacing w:after="0"/>
              <w:rPr>
                <w:sz w:val="20"/>
                <w:szCs w:val="20"/>
                <w:color w:val="auto"/>
              </w:rPr>
            </w:pPr>
            <w:r>
              <w:rPr>
                <w:rFonts w:ascii="Arial" w:cs="Arial" w:eastAsia="Arial" w:hAnsi="Arial"/>
                <w:sz w:val="14"/>
                <w:szCs w:val="14"/>
                <w:color w:val="auto"/>
                <w:w w:val="89"/>
              </w:rPr>
              <w:t>17</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March 2020</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5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Reflects an increase of $204 million to rate base.</w:t>
            </w:r>
          </w:p>
        </w:tc>
        <w:tc>
          <w:tcPr>
            <w:tcW w:w="0" w:type="dxa"/>
            <w:vAlign w:val="bottom"/>
          </w:tcPr>
          <w:p>
            <w:pPr>
              <w:spacing w:after="0"/>
              <w:rPr>
                <w:sz w:val="1"/>
                <w:szCs w:val="1"/>
                <w:color w:val="auto"/>
              </w:rPr>
            </w:pPr>
          </w:p>
        </w:tc>
      </w:tr>
      <w:tr>
        <w:trPr>
          <w:trHeight w:val="157"/>
        </w:trPr>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88"/>
              </w:rPr>
              <w:t>July</w:t>
            </w: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0" w:type="dxa"/>
            <w:vAlign w:val="bottom"/>
          </w:tcPr>
          <w:p>
            <w:pPr>
              <w:jc w:val="center"/>
              <w:spacing w:after="0"/>
              <w:rPr>
                <w:sz w:val="20"/>
                <w:szCs w:val="20"/>
                <w:color w:val="auto"/>
              </w:rPr>
            </w:pPr>
            <w:r>
              <w:rPr>
                <w:rFonts w:ascii="Arial" w:cs="Arial" w:eastAsia="Arial" w:hAnsi="Arial"/>
                <w:sz w:val="14"/>
                <w:szCs w:val="14"/>
                <w:color w:val="auto"/>
                <w:w w:val="98"/>
              </w:rPr>
              <w:t xml:space="preserve">TCOS </w:t>
            </w:r>
            <w:r>
              <w:rPr>
                <w:rFonts w:ascii="Arial" w:cs="Arial" w:eastAsia="Arial" w:hAnsi="Arial"/>
                <w:sz w:val="10"/>
                <w:szCs w:val="10"/>
                <w:color w:val="auto"/>
                <w:w w:val="98"/>
              </w:rPr>
              <w:t>(1)</w:t>
            </w:r>
          </w:p>
        </w:tc>
        <w:tc>
          <w:tcPr>
            <w:tcW w:w="1160" w:type="dxa"/>
            <w:vAlign w:val="bottom"/>
          </w:tcPr>
          <w:p>
            <w:pPr>
              <w:jc w:val="center"/>
              <w:ind w:left="30"/>
              <w:spacing w:after="0"/>
              <w:rPr>
                <w:sz w:val="20"/>
                <w:szCs w:val="20"/>
                <w:color w:val="auto"/>
              </w:rPr>
            </w:pPr>
            <w:r>
              <w:rPr>
                <w:rFonts w:ascii="Arial" w:cs="Arial" w:eastAsia="Arial" w:hAnsi="Arial"/>
                <w:sz w:val="14"/>
                <w:szCs w:val="14"/>
                <w:color w:val="auto"/>
                <w:w w:val="89"/>
              </w:rPr>
              <w:t>16</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920" w:type="dxa"/>
            <w:vAlign w:val="bottom"/>
          </w:tcPr>
          <w:p>
            <w:pPr>
              <w:ind w:left="120"/>
              <w:spacing w:after="0"/>
              <w:rPr>
                <w:sz w:val="20"/>
                <w:szCs w:val="20"/>
                <w:color w:val="auto"/>
              </w:rPr>
            </w:pPr>
            <w:r>
              <w:rPr>
                <w:rFonts w:ascii="Arial" w:cs="Arial" w:eastAsia="Arial" w:hAnsi="Arial"/>
                <w:sz w:val="14"/>
                <w:szCs w:val="14"/>
                <w:color w:val="auto"/>
              </w:rPr>
              <w:t>Request an increase of $140 million to rate base.</w:t>
            </w:r>
          </w:p>
        </w:tc>
        <w:tc>
          <w:tcPr>
            <w:tcW w:w="0" w:type="dxa"/>
            <w:vAlign w:val="bottom"/>
          </w:tcPr>
          <w:p>
            <w:pPr>
              <w:spacing w:after="0"/>
              <w:rPr>
                <w:sz w:val="1"/>
                <w:szCs w:val="1"/>
                <w:color w:val="auto"/>
              </w:rPr>
            </w:pPr>
          </w:p>
        </w:tc>
      </w:tr>
      <w:tr>
        <w:trPr>
          <w:trHeight w:val="203"/>
        </w:trPr>
        <w:tc>
          <w:tcPr>
            <w:tcW w:w="1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8880" w:type="dxa"/>
            <w:vAlign w:val="bottom"/>
            <w:tcBorders>
              <w:bottom w:val="single" w:sz="8" w:color="auto"/>
            </w:tcBorders>
            <w:gridSpan w:val="4"/>
            <w:shd w:val="clear" w:color="auto" w:fill="CCEEFF"/>
          </w:tcPr>
          <w:p>
            <w:pPr>
              <w:jc w:val="center"/>
              <w:ind w:right="2267"/>
              <w:spacing w:after="0"/>
              <w:rPr>
                <w:sz w:val="20"/>
                <w:szCs w:val="20"/>
                <w:color w:val="auto"/>
              </w:rPr>
            </w:pPr>
            <w:r>
              <w:rPr>
                <w:rFonts w:ascii="Arial" w:cs="Arial" w:eastAsia="Arial" w:hAnsi="Arial"/>
                <w:sz w:val="14"/>
                <w:szCs w:val="14"/>
                <w:b w:val="1"/>
                <w:bCs w:val="1"/>
                <w:color w:val="auto"/>
                <w:w w:val="93"/>
              </w:rPr>
              <w:t>CenterPoint Energy and CERC - Beaumont/East Texas (Railroad Commission)</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920" w:type="dxa"/>
            <w:vAlign w:val="bottom"/>
          </w:tcPr>
          <w:p>
            <w:pPr>
              <w:ind w:left="120"/>
              <w:spacing w:after="0" w:line="156" w:lineRule="exact"/>
              <w:rPr>
                <w:sz w:val="20"/>
                <w:szCs w:val="20"/>
                <w:color w:val="auto"/>
              </w:rPr>
            </w:pPr>
            <w:r>
              <w:rPr>
                <w:rFonts w:ascii="Arial" w:cs="Arial" w:eastAsia="Arial" w:hAnsi="Arial"/>
                <w:sz w:val="14"/>
                <w:szCs w:val="14"/>
                <w:color w:val="auto"/>
                <w:w w:val="94"/>
              </w:rPr>
              <w:t>Unanimous settlement agreement approved by the Railroad Commission in June 2020 provides for</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920" w:type="dxa"/>
            <w:vAlign w:val="bottom"/>
          </w:tcPr>
          <w:p>
            <w:pPr>
              <w:ind w:left="120"/>
              <w:spacing w:after="0" w:line="149" w:lineRule="exact"/>
              <w:rPr>
                <w:sz w:val="20"/>
                <w:szCs w:val="20"/>
                <w:color w:val="auto"/>
              </w:rPr>
            </w:pPr>
            <w:r>
              <w:rPr>
                <w:rFonts w:ascii="Arial" w:cs="Arial" w:eastAsia="Arial" w:hAnsi="Arial"/>
                <w:sz w:val="14"/>
                <w:szCs w:val="14"/>
                <w:color w:val="auto"/>
                <w:w w:val="94"/>
              </w:rPr>
              <w:t>a $4 million annual increase in current revenues, a refund for an Unprotected EDIT Rider amortized</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920" w:type="dxa"/>
            <w:vAlign w:val="bottom"/>
          </w:tcPr>
          <w:p>
            <w:pPr>
              <w:ind w:left="120"/>
              <w:spacing w:after="0" w:line="149" w:lineRule="exact"/>
              <w:rPr>
                <w:sz w:val="20"/>
                <w:szCs w:val="20"/>
                <w:color w:val="auto"/>
              </w:rPr>
            </w:pPr>
            <w:r>
              <w:rPr>
                <w:rFonts w:ascii="Arial" w:cs="Arial" w:eastAsia="Arial" w:hAnsi="Arial"/>
                <w:sz w:val="14"/>
                <w:szCs w:val="14"/>
                <w:color w:val="auto"/>
                <w:w w:val="93"/>
              </w:rPr>
              <w:t>over three years of which $2 million is refunded in the first year and establishes a 9.65% ROE and a</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5"/>
              </w:rPr>
              <w:t>November</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2"/>
              </w:rPr>
              <w:t>November</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w:t>
            </w:r>
          </w:p>
        </w:tc>
        <w:tc>
          <w:tcPr>
            <w:tcW w:w="5920" w:type="dxa"/>
            <w:vAlign w:val="bottom"/>
          </w:tcPr>
          <w:p>
            <w:pPr>
              <w:ind w:left="120"/>
              <w:spacing w:after="0" w:line="149" w:lineRule="exact"/>
              <w:rPr>
                <w:sz w:val="20"/>
                <w:szCs w:val="20"/>
                <w:color w:val="auto"/>
              </w:rPr>
            </w:pPr>
            <w:r>
              <w:rPr>
                <w:rFonts w:ascii="Arial" w:cs="Arial" w:eastAsia="Arial" w:hAnsi="Arial"/>
                <w:sz w:val="14"/>
                <w:szCs w:val="14"/>
                <w:color w:val="auto"/>
                <w:w w:val="99"/>
              </w:rPr>
              <w:t>56.95% equity ratio for future GRIP filings for the Beaumont/East Texas jurisdiction. New rates</w:t>
            </w:r>
          </w:p>
        </w:tc>
        <w:tc>
          <w:tcPr>
            <w:tcW w:w="0" w:type="dxa"/>
            <w:vAlign w:val="bottom"/>
          </w:tcPr>
          <w:p>
            <w:pPr>
              <w:spacing w:after="0"/>
              <w:rPr>
                <w:sz w:val="1"/>
                <w:szCs w:val="1"/>
                <w:color w:val="auto"/>
              </w:rPr>
            </w:pPr>
          </w:p>
        </w:tc>
      </w:tr>
      <w:tr>
        <w:trPr>
          <w:trHeight w:val="188"/>
        </w:trPr>
        <w:tc>
          <w:tcPr>
            <w:tcW w:w="1200" w:type="dxa"/>
            <w:vAlign w:val="bottom"/>
          </w:tcPr>
          <w:p>
            <w:pPr>
              <w:jc w:val="center"/>
              <w:spacing w:after="0"/>
              <w:rPr>
                <w:sz w:val="20"/>
                <w:szCs w:val="20"/>
                <w:color w:val="auto"/>
              </w:rPr>
            </w:pPr>
            <w:r>
              <w:rPr>
                <w:rFonts w:ascii="Arial" w:cs="Arial" w:eastAsia="Arial" w:hAnsi="Arial"/>
                <w:sz w:val="14"/>
                <w:szCs w:val="14"/>
                <w:color w:val="auto"/>
                <w:w w:val="87"/>
              </w:rPr>
              <w:t>Rate Case</w:t>
            </w:r>
          </w:p>
        </w:tc>
        <w:tc>
          <w:tcPr>
            <w:tcW w:w="1160" w:type="dxa"/>
            <w:vAlign w:val="bottom"/>
          </w:tcPr>
          <w:p>
            <w:pPr>
              <w:jc w:val="center"/>
              <w:ind w:left="10"/>
              <w:spacing w:after="0"/>
              <w:rPr>
                <w:sz w:val="20"/>
                <w:szCs w:val="20"/>
                <w:color w:val="auto"/>
              </w:rPr>
            </w:pPr>
            <w:r>
              <w:rPr>
                <w:rFonts w:ascii="Arial" w:cs="Arial" w:eastAsia="Arial" w:hAnsi="Arial"/>
                <w:sz w:val="14"/>
                <w:szCs w:val="14"/>
                <w:color w:val="auto"/>
              </w:rPr>
              <w:t>4</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980" w:type="dxa"/>
            <w:vAlign w:val="bottom"/>
          </w:tcPr>
          <w:p>
            <w:pPr>
              <w:jc w:val="center"/>
              <w:ind w:left="8"/>
              <w:spacing w:after="0"/>
              <w:rPr>
                <w:sz w:val="20"/>
                <w:szCs w:val="20"/>
                <w:color w:val="auto"/>
              </w:rPr>
            </w:pPr>
            <w:r>
              <w:rPr>
                <w:rFonts w:ascii="Arial" w:cs="Arial" w:eastAsia="Arial" w:hAnsi="Arial"/>
                <w:sz w:val="14"/>
                <w:szCs w:val="14"/>
                <w:color w:val="auto"/>
                <w:w w:val="96"/>
              </w:rPr>
              <w:t>2020</w:t>
            </w:r>
          </w:p>
        </w:tc>
        <w:tc>
          <w:tcPr>
            <w:tcW w:w="5920" w:type="dxa"/>
            <w:vAlign w:val="bottom"/>
          </w:tcPr>
          <w:p>
            <w:pPr>
              <w:ind w:left="120"/>
              <w:spacing w:after="0"/>
              <w:rPr>
                <w:sz w:val="20"/>
                <w:szCs w:val="20"/>
                <w:color w:val="auto"/>
              </w:rPr>
            </w:pPr>
            <w:r>
              <w:rPr>
                <w:rFonts w:ascii="Arial" w:cs="Arial" w:eastAsia="Arial" w:hAnsi="Arial"/>
                <w:sz w:val="14"/>
                <w:szCs w:val="14"/>
                <w:color w:val="auto"/>
                <w:w w:val="96"/>
              </w:rPr>
              <w:t>will be effective with October 2020 usage and will be reflected starting with November 2020 bills.</w:t>
            </w:r>
          </w:p>
        </w:tc>
        <w:tc>
          <w:tcPr>
            <w:tcW w:w="0" w:type="dxa"/>
            <w:vAlign w:val="bottom"/>
          </w:tcPr>
          <w:p>
            <w:pPr>
              <w:spacing w:after="0"/>
              <w:rPr>
                <w:sz w:val="1"/>
                <w:szCs w:val="1"/>
                <w:color w:val="auto"/>
              </w:rPr>
            </w:pPr>
          </w:p>
        </w:tc>
      </w:tr>
      <w:tr>
        <w:trPr>
          <w:trHeight w:val="203"/>
        </w:trPr>
        <w:tc>
          <w:tcPr>
            <w:tcW w:w="1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8880" w:type="dxa"/>
            <w:vAlign w:val="bottom"/>
            <w:tcBorders>
              <w:bottom w:val="single" w:sz="8" w:color="auto"/>
            </w:tcBorders>
            <w:gridSpan w:val="4"/>
            <w:shd w:val="clear" w:color="auto" w:fill="CCEEFF"/>
          </w:tcPr>
          <w:p>
            <w:pPr>
              <w:jc w:val="center"/>
              <w:ind w:right="2267"/>
              <w:spacing w:after="0"/>
              <w:rPr>
                <w:sz w:val="20"/>
                <w:szCs w:val="20"/>
                <w:color w:val="auto"/>
              </w:rPr>
            </w:pPr>
            <w:r>
              <w:rPr>
                <w:rFonts w:ascii="Arial" w:cs="Arial" w:eastAsia="Arial" w:hAnsi="Arial"/>
                <w:sz w:val="14"/>
                <w:szCs w:val="14"/>
                <w:b w:val="1"/>
                <w:bCs w:val="1"/>
                <w:color w:val="auto"/>
                <w:w w:val="92"/>
              </w:rPr>
              <w:t>CenterPoint Energy and CERC - South Texas, Houston and Texas Coast (Railroad Commission)</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Arial" w:cs="Arial" w:eastAsia="Arial" w:hAnsi="Arial"/>
                <w:sz w:val="14"/>
                <w:szCs w:val="14"/>
                <w:color w:val="auto"/>
                <w:w w:val="97"/>
              </w:rPr>
              <w:t>March</w:t>
            </w:r>
          </w:p>
        </w:tc>
        <w:tc>
          <w:tcPr>
            <w:tcW w:w="960" w:type="dxa"/>
            <w:vAlign w:val="bottom"/>
          </w:tcPr>
          <w:p>
            <w:pPr>
              <w:jc w:val="center"/>
              <w:spacing w:after="0" w:line="156" w:lineRule="exact"/>
              <w:rPr>
                <w:sz w:val="20"/>
                <w:szCs w:val="20"/>
                <w:color w:val="auto"/>
              </w:rPr>
            </w:pPr>
            <w:r>
              <w:rPr>
                <w:rFonts w:ascii="Arial" w:cs="Arial" w:eastAsia="Arial" w:hAnsi="Arial"/>
                <w:sz w:val="14"/>
                <w:szCs w:val="14"/>
                <w:color w:val="auto"/>
                <w:w w:val="85"/>
              </w:rPr>
              <w:t>June</w:t>
            </w:r>
          </w:p>
        </w:tc>
        <w:tc>
          <w:tcPr>
            <w:tcW w:w="980" w:type="dxa"/>
            <w:vAlign w:val="bottom"/>
          </w:tcPr>
          <w:p>
            <w:pPr>
              <w:jc w:val="center"/>
              <w:spacing w:after="0" w:line="156" w:lineRule="exact"/>
              <w:rPr>
                <w:sz w:val="20"/>
                <w:szCs w:val="20"/>
                <w:color w:val="auto"/>
              </w:rPr>
            </w:pPr>
            <w:r>
              <w:rPr>
                <w:rFonts w:ascii="Arial" w:cs="Arial" w:eastAsia="Arial" w:hAnsi="Arial"/>
                <w:sz w:val="14"/>
                <w:szCs w:val="14"/>
                <w:color w:val="auto"/>
                <w:w w:val="85"/>
              </w:rPr>
              <w:t>June</w:t>
            </w:r>
          </w:p>
        </w:tc>
        <w:tc>
          <w:tcPr>
            <w:tcW w:w="5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tcPr>
          <w:p>
            <w:pPr>
              <w:jc w:val="center"/>
              <w:spacing w:after="0"/>
              <w:rPr>
                <w:sz w:val="20"/>
                <w:szCs w:val="20"/>
                <w:color w:val="auto"/>
              </w:rPr>
            </w:pPr>
            <w:r>
              <w:rPr>
                <w:rFonts w:ascii="Arial" w:cs="Arial" w:eastAsia="Arial" w:hAnsi="Arial"/>
                <w:sz w:val="14"/>
                <w:szCs w:val="14"/>
                <w:color w:val="auto"/>
                <w:w w:val="99"/>
              </w:rPr>
              <w:t>GRIP</w:t>
            </w:r>
          </w:p>
        </w:tc>
        <w:tc>
          <w:tcPr>
            <w:tcW w:w="1160" w:type="dxa"/>
            <w:vAlign w:val="bottom"/>
          </w:tcPr>
          <w:p>
            <w:pPr>
              <w:jc w:val="center"/>
              <w:ind w:left="30"/>
              <w:spacing w:after="0"/>
              <w:rPr>
                <w:sz w:val="20"/>
                <w:szCs w:val="20"/>
                <w:color w:val="auto"/>
              </w:rPr>
            </w:pPr>
            <w:r>
              <w:rPr>
                <w:rFonts w:ascii="Arial" w:cs="Arial" w:eastAsia="Arial" w:hAnsi="Arial"/>
                <w:sz w:val="14"/>
                <w:szCs w:val="14"/>
                <w:color w:val="auto"/>
                <w:w w:val="89"/>
              </w:rPr>
              <w:t>18</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96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5920" w:type="dxa"/>
            <w:vAlign w:val="bottom"/>
          </w:tcPr>
          <w:p>
            <w:pPr>
              <w:ind w:left="120"/>
              <w:spacing w:after="0"/>
              <w:rPr>
                <w:sz w:val="20"/>
                <w:szCs w:val="20"/>
                <w:color w:val="auto"/>
              </w:rPr>
            </w:pPr>
            <w:r>
              <w:rPr>
                <w:rFonts w:ascii="Arial" w:cs="Arial" w:eastAsia="Arial" w:hAnsi="Arial"/>
                <w:sz w:val="14"/>
                <w:szCs w:val="14"/>
                <w:color w:val="auto"/>
              </w:rPr>
              <w:t>Based on net change in invested capital of $143 million.</w:t>
            </w:r>
          </w:p>
        </w:tc>
        <w:tc>
          <w:tcPr>
            <w:tcW w:w="0" w:type="dxa"/>
            <w:vAlign w:val="bottom"/>
          </w:tcPr>
          <w:p>
            <w:pPr>
              <w:spacing w:after="0"/>
              <w:rPr>
                <w:sz w:val="1"/>
                <w:szCs w:val="1"/>
                <w:color w:val="auto"/>
              </w:rPr>
            </w:pPr>
          </w:p>
        </w:tc>
      </w:tr>
      <w:tr>
        <w:trPr>
          <w:trHeight w:val="444"/>
        </w:trPr>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920" w:type="dxa"/>
            <w:vAlign w:val="bottom"/>
          </w:tcPr>
          <w:p>
            <w:pPr>
              <w:jc w:val="center"/>
              <w:ind w:right="5227"/>
              <w:spacing w:after="0"/>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120" w:type="dxa"/>
            <w:vAlign w:val="bottom"/>
          </w:tcPr>
          <w:p>
            <w:pPr>
              <w:jc w:val="center"/>
              <w:ind w:left="29"/>
              <w:spacing w:after="0"/>
              <w:rPr>
                <w:sz w:val="20"/>
                <w:szCs w:val="20"/>
                <w:color w:val="auto"/>
              </w:rPr>
            </w:pPr>
            <w:r>
              <w:rPr>
                <w:rFonts w:ascii="Arial" w:cs="Arial" w:eastAsia="Arial" w:hAnsi="Arial"/>
                <w:sz w:val="14"/>
                <w:szCs w:val="14"/>
                <w:b w:val="1"/>
                <w:bCs w:val="1"/>
                <w:color w:val="auto"/>
                <w:w w:val="96"/>
              </w:rPr>
              <w:t>Annual</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1"/>
              </w:rPr>
              <w:t>Increase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Approval</w:t>
            </w:r>
          </w:p>
        </w:tc>
        <w:tc>
          <w:tcPr>
            <w:tcW w:w="5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Mechanism</w:t>
            </w:r>
          </w:p>
        </w:tc>
        <w:tc>
          <w:tcPr>
            <w:tcW w:w="1120" w:type="dxa"/>
            <w:vAlign w:val="bottom"/>
          </w:tcPr>
          <w:p>
            <w:pPr>
              <w:jc w:val="center"/>
              <w:ind w:left="9"/>
              <w:spacing w:after="0" w:line="145"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0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594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76"/>
        </w:trPr>
        <w:tc>
          <w:tcPr>
            <w:tcW w:w="122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tcPr>
          <w:p>
            <w:pPr>
              <w:jc w:val="center"/>
              <w:ind w:left="9"/>
              <w:spacing w:after="0"/>
              <w:rPr>
                <w:sz w:val="20"/>
                <w:szCs w:val="20"/>
                <w:color w:val="auto"/>
              </w:rPr>
            </w:pPr>
            <w:r>
              <w:rPr>
                <w:rFonts w:ascii="Arial" w:cs="Arial" w:eastAsia="Arial" w:hAnsi="Arial"/>
                <w:sz w:val="11"/>
                <w:szCs w:val="11"/>
                <w:b w:val="1"/>
                <w:bCs w:val="1"/>
                <w:color w:val="auto"/>
                <w:w w:val="90"/>
              </w:rPr>
              <w:t>(in millions)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7880" w:type="dxa"/>
            <w:vAlign w:val="bottom"/>
            <w:tcBorders>
              <w:bottom w:val="single" w:sz="8" w:color="auto"/>
            </w:tcBorders>
            <w:gridSpan w:val="3"/>
            <w:shd w:val="clear" w:color="auto" w:fill="CCEEFF"/>
          </w:tcPr>
          <w:p>
            <w:pPr>
              <w:jc w:val="center"/>
              <w:ind w:right="3288"/>
              <w:spacing w:after="0"/>
              <w:rPr>
                <w:sz w:val="20"/>
                <w:szCs w:val="20"/>
                <w:color w:val="auto"/>
              </w:rPr>
            </w:pPr>
            <w:r>
              <w:rPr>
                <w:rFonts w:ascii="Arial" w:cs="Arial" w:eastAsia="Arial" w:hAnsi="Arial"/>
                <w:sz w:val="14"/>
                <w:szCs w:val="14"/>
                <w:b w:val="1"/>
                <w:bCs w:val="1"/>
                <w:color w:val="auto"/>
                <w:w w:val="95"/>
              </w:rPr>
              <w:t>CenterPoint Energy and CERC - Arkansas (APSC)</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940" w:type="dxa"/>
            <w:vAlign w:val="bottom"/>
          </w:tcPr>
          <w:p>
            <w:pPr>
              <w:ind w:left="140"/>
              <w:spacing w:after="0" w:line="156" w:lineRule="exact"/>
              <w:rPr>
                <w:sz w:val="20"/>
                <w:szCs w:val="20"/>
                <w:color w:val="auto"/>
              </w:rPr>
            </w:pPr>
            <w:r>
              <w:rPr>
                <w:rFonts w:ascii="Arial" w:cs="Arial" w:eastAsia="Arial" w:hAnsi="Arial"/>
                <w:sz w:val="14"/>
                <w:szCs w:val="14"/>
                <w:color w:val="auto"/>
                <w:w w:val="97"/>
              </w:rPr>
              <w:t>Based on ROE of 9.5% with 50 basis point (+/-) earnings band. Revenue reduction of $8 million</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rPr>
              <w:t>April</w:t>
            </w: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940" w:type="dxa"/>
            <w:vAlign w:val="bottom"/>
          </w:tcPr>
          <w:p>
            <w:pPr>
              <w:ind w:left="140"/>
              <w:spacing w:after="0" w:line="149" w:lineRule="exact"/>
              <w:rPr>
                <w:sz w:val="20"/>
                <w:szCs w:val="20"/>
                <w:color w:val="auto"/>
              </w:rPr>
            </w:pPr>
            <w:r>
              <w:rPr>
                <w:rFonts w:ascii="Arial" w:cs="Arial" w:eastAsia="Arial" w:hAnsi="Arial"/>
                <w:sz w:val="14"/>
                <w:szCs w:val="14"/>
                <w:color w:val="auto"/>
                <w:w w:val="97"/>
              </w:rPr>
              <w:t>based on prior test year true-up earned return on equity of 11.75% combined with projected test</w:t>
            </w:r>
          </w:p>
        </w:tc>
        <w:tc>
          <w:tcPr>
            <w:tcW w:w="0" w:type="dxa"/>
            <w:vAlign w:val="bottom"/>
          </w:tcPr>
          <w:p>
            <w:pPr>
              <w:spacing w:after="0"/>
              <w:rPr>
                <w:sz w:val="1"/>
                <w:szCs w:val="1"/>
                <w:color w:val="auto"/>
              </w:rPr>
            </w:pPr>
          </w:p>
        </w:tc>
      </w:tr>
      <w:tr>
        <w:trPr>
          <w:trHeight w:val="182"/>
        </w:trPr>
        <w:tc>
          <w:tcPr>
            <w:tcW w:w="1220" w:type="dxa"/>
            <w:vAlign w:val="bottom"/>
          </w:tcPr>
          <w:p>
            <w:pPr>
              <w:jc w:val="center"/>
              <w:spacing w:after="0"/>
              <w:rPr>
                <w:sz w:val="20"/>
                <w:szCs w:val="20"/>
                <w:color w:val="auto"/>
              </w:rPr>
            </w:pPr>
            <w:r>
              <w:rPr>
                <w:rFonts w:ascii="Arial" w:cs="Arial" w:eastAsia="Arial" w:hAnsi="Arial"/>
                <w:sz w:val="14"/>
                <w:szCs w:val="14"/>
                <w:color w:val="auto"/>
                <w:w w:val="95"/>
              </w:rPr>
              <w:t xml:space="preserve">FRP </w:t>
            </w:r>
            <w:r>
              <w:rPr>
                <w:rFonts w:ascii="Arial" w:cs="Arial" w:eastAsia="Arial" w:hAnsi="Arial"/>
                <w:sz w:val="10"/>
                <w:szCs w:val="10"/>
                <w:color w:val="auto"/>
                <w:w w:val="95"/>
              </w:rPr>
              <w:t>(1)</w:t>
            </w:r>
          </w:p>
        </w:tc>
        <w:tc>
          <w:tcPr>
            <w:tcW w:w="1120" w:type="dxa"/>
            <w:vAlign w:val="bottom"/>
          </w:tcPr>
          <w:p>
            <w:pPr>
              <w:jc w:val="center"/>
              <w:ind w:left="9"/>
              <w:spacing w:after="0"/>
              <w:rPr>
                <w:sz w:val="20"/>
                <w:szCs w:val="20"/>
                <w:color w:val="auto"/>
              </w:rPr>
            </w:pPr>
            <w:r>
              <w:rPr>
                <w:rFonts w:ascii="Arial" w:cs="Arial" w:eastAsia="Arial" w:hAnsi="Arial"/>
                <w:sz w:val="14"/>
                <w:szCs w:val="14"/>
                <w:color w:val="auto"/>
                <w:w w:val="93"/>
              </w:rPr>
              <w:t>(8)</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940" w:type="dxa"/>
            <w:vAlign w:val="bottom"/>
          </w:tcPr>
          <w:p>
            <w:pPr>
              <w:ind w:left="140"/>
              <w:spacing w:after="0"/>
              <w:rPr>
                <w:sz w:val="20"/>
                <w:szCs w:val="20"/>
                <w:color w:val="auto"/>
              </w:rPr>
            </w:pPr>
            <w:r>
              <w:rPr>
                <w:rFonts w:ascii="Arial" w:cs="Arial" w:eastAsia="Arial" w:hAnsi="Arial"/>
                <w:sz w:val="14"/>
                <w:szCs w:val="14"/>
                <w:color w:val="auto"/>
              </w:rPr>
              <w:t>year return on equity of 8.40%.</w:t>
            </w:r>
          </w:p>
        </w:tc>
        <w:tc>
          <w:tcPr>
            <w:tcW w:w="0" w:type="dxa"/>
            <w:vAlign w:val="bottom"/>
          </w:tcPr>
          <w:p>
            <w:pPr>
              <w:spacing w:after="0"/>
              <w:rPr>
                <w:sz w:val="1"/>
                <w:szCs w:val="1"/>
                <w:color w:val="auto"/>
              </w:rPr>
            </w:pPr>
          </w:p>
        </w:tc>
      </w:tr>
      <w:tr>
        <w:trPr>
          <w:trHeight w:val="208"/>
        </w:trPr>
        <w:tc>
          <w:tcPr>
            <w:tcW w:w="1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880" w:type="dxa"/>
            <w:vAlign w:val="bottom"/>
            <w:tcBorders>
              <w:bottom w:val="single" w:sz="8" w:color="auto"/>
            </w:tcBorders>
            <w:gridSpan w:val="3"/>
          </w:tcPr>
          <w:p>
            <w:pPr>
              <w:jc w:val="center"/>
              <w:ind w:right="3288"/>
              <w:spacing w:after="0"/>
              <w:rPr>
                <w:sz w:val="20"/>
                <w:szCs w:val="20"/>
                <w:color w:val="auto"/>
              </w:rPr>
            </w:pPr>
            <w:r>
              <w:rPr>
                <w:rFonts w:ascii="Arial" w:cs="Arial" w:eastAsia="Arial" w:hAnsi="Arial"/>
                <w:sz w:val="14"/>
                <w:szCs w:val="14"/>
                <w:b w:val="1"/>
                <w:bCs w:val="1"/>
                <w:color w:val="auto"/>
                <w:w w:val="96"/>
              </w:rPr>
              <w:t>CenterPoint Energy and CERC - Minnesota (MPUC)</w:t>
            </w: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3"/>
              </w:rPr>
              <w:t>CIP Financial</w:t>
            </w:r>
          </w:p>
        </w:tc>
        <w:tc>
          <w:tcPr>
            <w:tcW w:w="1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8"/>
              </w:rPr>
              <w:t>May</w:t>
            </w:r>
          </w:p>
        </w:tc>
        <w:tc>
          <w:tcPr>
            <w:tcW w:w="10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 xml:space="preserve">Incentive </w:t>
            </w:r>
            <w:r>
              <w:rPr>
                <w:rFonts w:ascii="Arial" w:cs="Arial" w:eastAsia="Arial" w:hAnsi="Arial"/>
                <w:sz w:val="10"/>
                <w:szCs w:val="10"/>
                <w:color w:val="auto"/>
                <w:w w:val="96"/>
              </w:rPr>
              <w:t>(1)</w:t>
            </w:r>
          </w:p>
        </w:tc>
        <w:tc>
          <w:tcPr>
            <w:tcW w:w="112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rPr>
              <w:t>9</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CIP Financial Incentive based on 2019 activity.</w:t>
            </w:r>
          </w:p>
        </w:tc>
        <w:tc>
          <w:tcPr>
            <w:tcW w:w="0" w:type="dxa"/>
            <w:vAlign w:val="bottom"/>
          </w:tcPr>
          <w:p>
            <w:pPr>
              <w:spacing w:after="0"/>
              <w:rPr>
                <w:sz w:val="1"/>
                <w:szCs w:val="1"/>
                <w:color w:val="auto"/>
              </w:rPr>
            </w:pPr>
          </w:p>
        </w:tc>
      </w:tr>
      <w:tr>
        <w:trPr>
          <w:trHeight w:val="157"/>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940" w:type="dxa"/>
            <w:vAlign w:val="bottom"/>
          </w:tcPr>
          <w:p>
            <w:pPr>
              <w:ind w:left="140"/>
              <w:spacing w:after="0" w:line="157" w:lineRule="exact"/>
              <w:rPr>
                <w:sz w:val="20"/>
                <w:szCs w:val="20"/>
                <w:color w:val="auto"/>
              </w:rPr>
            </w:pPr>
            <w:r>
              <w:rPr>
                <w:rFonts w:ascii="Arial" w:cs="Arial" w:eastAsia="Arial" w:hAnsi="Arial"/>
                <w:sz w:val="14"/>
                <w:szCs w:val="14"/>
                <w:color w:val="auto"/>
              </w:rPr>
              <w:t>Reflects a proposed 10.15% ROE on a 51.39% equity ratio. Interim rates reflecting an annual</w:t>
            </w:r>
          </w:p>
        </w:tc>
        <w:tc>
          <w:tcPr>
            <w:tcW w:w="0" w:type="dxa"/>
            <w:vAlign w:val="bottom"/>
          </w:tcPr>
          <w:p>
            <w:pPr>
              <w:spacing w:after="0"/>
              <w:rPr>
                <w:sz w:val="1"/>
                <w:szCs w:val="1"/>
                <w:color w:val="auto"/>
              </w:rPr>
            </w:pPr>
          </w:p>
        </w:tc>
      </w:tr>
      <w:tr>
        <w:trPr>
          <w:trHeight w:val="188"/>
        </w:trPr>
        <w:tc>
          <w:tcPr>
            <w:tcW w:w="1220" w:type="dxa"/>
            <w:vAlign w:val="bottom"/>
          </w:tcPr>
          <w:p>
            <w:pPr>
              <w:jc w:val="center"/>
              <w:spacing w:after="0"/>
              <w:rPr>
                <w:sz w:val="20"/>
                <w:szCs w:val="20"/>
                <w:color w:val="auto"/>
              </w:rPr>
            </w:pPr>
            <w:r>
              <w:rPr>
                <w:rFonts w:ascii="Arial" w:cs="Arial" w:eastAsia="Arial" w:hAnsi="Arial"/>
                <w:sz w:val="14"/>
                <w:szCs w:val="14"/>
                <w:color w:val="auto"/>
                <w:w w:val="89"/>
              </w:rPr>
              <w:t xml:space="preserve">Rate Case </w:t>
            </w:r>
            <w:r>
              <w:rPr>
                <w:rFonts w:ascii="Arial" w:cs="Arial" w:eastAsia="Arial" w:hAnsi="Arial"/>
                <w:sz w:val="10"/>
                <w:szCs w:val="10"/>
                <w:color w:val="auto"/>
                <w:w w:val="89"/>
              </w:rPr>
              <w:t>(1)</w:t>
            </w:r>
          </w:p>
        </w:tc>
        <w:tc>
          <w:tcPr>
            <w:tcW w:w="1120" w:type="dxa"/>
            <w:vAlign w:val="bottom"/>
          </w:tcPr>
          <w:p>
            <w:pPr>
              <w:jc w:val="center"/>
              <w:ind w:left="29"/>
              <w:spacing w:after="0"/>
              <w:rPr>
                <w:sz w:val="20"/>
                <w:szCs w:val="20"/>
                <w:color w:val="auto"/>
              </w:rPr>
            </w:pPr>
            <w:r>
              <w:rPr>
                <w:rFonts w:ascii="Arial" w:cs="Arial" w:eastAsia="Arial" w:hAnsi="Arial"/>
                <w:sz w:val="14"/>
                <w:szCs w:val="14"/>
                <w:color w:val="auto"/>
                <w:w w:val="89"/>
              </w:rPr>
              <w:t>62</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October 2019</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940" w:type="dxa"/>
            <w:vAlign w:val="bottom"/>
          </w:tcPr>
          <w:p>
            <w:pPr>
              <w:ind w:left="140"/>
              <w:spacing w:after="0"/>
              <w:rPr>
                <w:sz w:val="20"/>
                <w:szCs w:val="20"/>
                <w:color w:val="auto"/>
              </w:rPr>
            </w:pPr>
            <w:r>
              <w:rPr>
                <w:rFonts w:ascii="Arial" w:cs="Arial" w:eastAsia="Arial" w:hAnsi="Arial"/>
                <w:sz w:val="14"/>
                <w:szCs w:val="14"/>
                <w:color w:val="auto"/>
              </w:rPr>
              <w:t>increase of $53 million were implemented on January 1, 2020.</w:t>
            </w:r>
          </w:p>
        </w:tc>
        <w:tc>
          <w:tcPr>
            <w:tcW w:w="0" w:type="dxa"/>
            <w:vAlign w:val="bottom"/>
          </w:tcPr>
          <w:p>
            <w:pPr>
              <w:spacing w:after="0"/>
              <w:rPr>
                <w:sz w:val="1"/>
                <w:szCs w:val="1"/>
                <w:color w:val="auto"/>
              </w:rPr>
            </w:pPr>
          </w:p>
        </w:tc>
      </w:tr>
      <w:tr>
        <w:trPr>
          <w:trHeight w:val="203"/>
        </w:trPr>
        <w:tc>
          <w:tcPr>
            <w:tcW w:w="1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7880" w:type="dxa"/>
            <w:vAlign w:val="bottom"/>
            <w:tcBorders>
              <w:bottom w:val="single" w:sz="8" w:color="auto"/>
            </w:tcBorders>
            <w:gridSpan w:val="3"/>
            <w:shd w:val="clear" w:color="auto" w:fill="CCEEFF"/>
          </w:tcPr>
          <w:p>
            <w:pPr>
              <w:jc w:val="center"/>
              <w:ind w:right="3288"/>
              <w:spacing w:after="0"/>
              <w:rPr>
                <w:sz w:val="20"/>
                <w:szCs w:val="20"/>
                <w:color w:val="auto"/>
              </w:rPr>
            </w:pPr>
            <w:r>
              <w:rPr>
                <w:rFonts w:ascii="Arial" w:cs="Arial" w:eastAsia="Arial" w:hAnsi="Arial"/>
                <w:sz w:val="14"/>
                <w:szCs w:val="14"/>
                <w:b w:val="1"/>
                <w:bCs w:val="1"/>
                <w:color w:val="auto"/>
                <w:w w:val="96"/>
              </w:rPr>
              <w:t>CenterPoint Energy and CERC - Oklahoma (OCC)</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940" w:type="dxa"/>
            <w:vAlign w:val="bottom"/>
          </w:tcPr>
          <w:p>
            <w:pPr>
              <w:ind w:left="140"/>
              <w:spacing w:after="0" w:line="156" w:lineRule="exact"/>
              <w:rPr>
                <w:sz w:val="20"/>
                <w:szCs w:val="20"/>
                <w:color w:val="auto"/>
              </w:rPr>
            </w:pPr>
            <w:r>
              <w:rPr>
                <w:rFonts w:ascii="Arial" w:cs="Arial" w:eastAsia="Arial" w:hAnsi="Arial"/>
                <w:sz w:val="14"/>
                <w:szCs w:val="14"/>
                <w:color w:val="auto"/>
                <w:w w:val="94"/>
              </w:rPr>
              <w:t>Based on ROE of 10% with 50 basis point (+/-) earnings band. Revenue credit of approximately $2</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940" w:type="dxa"/>
            <w:vAlign w:val="bottom"/>
          </w:tcPr>
          <w:p>
            <w:pPr>
              <w:ind w:left="140"/>
              <w:spacing w:after="0" w:line="149" w:lineRule="exact"/>
              <w:rPr>
                <w:sz w:val="20"/>
                <w:szCs w:val="20"/>
                <w:color w:val="auto"/>
              </w:rPr>
            </w:pPr>
            <w:r>
              <w:rPr>
                <w:rFonts w:ascii="Arial" w:cs="Arial" w:eastAsia="Arial" w:hAnsi="Arial"/>
                <w:sz w:val="14"/>
                <w:szCs w:val="14"/>
                <w:color w:val="auto"/>
                <w:w w:val="94"/>
              </w:rPr>
              <w:t>million based on 2019 test year adjusted earned ROE of 15.37%. The OCC approved a unanimous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7"/>
              </w:rPr>
              <w:t>March</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w:t>
            </w:r>
          </w:p>
        </w:tc>
        <w:tc>
          <w:tcPr>
            <w:tcW w:w="5940" w:type="dxa"/>
            <w:vAlign w:val="bottom"/>
          </w:tcPr>
          <w:p>
            <w:pPr>
              <w:ind w:left="140"/>
              <w:spacing w:after="0" w:line="149" w:lineRule="exact"/>
              <w:rPr>
                <w:sz w:val="20"/>
                <w:szCs w:val="20"/>
                <w:color w:val="auto"/>
              </w:rPr>
            </w:pPr>
            <w:r>
              <w:rPr>
                <w:rFonts w:ascii="Arial" w:cs="Arial" w:eastAsia="Arial" w:hAnsi="Arial"/>
                <w:sz w:val="14"/>
                <w:szCs w:val="14"/>
                <w:color w:val="auto"/>
                <w:w w:val="93"/>
              </w:rPr>
              <w:t>settlement agreement that provides for a revenue credit to customers of $2 million, paid out monthly</w:t>
            </w:r>
          </w:p>
        </w:tc>
        <w:tc>
          <w:tcPr>
            <w:tcW w:w="0" w:type="dxa"/>
            <w:vAlign w:val="bottom"/>
          </w:tcPr>
          <w:p>
            <w:pPr>
              <w:spacing w:after="0"/>
              <w:rPr>
                <w:sz w:val="1"/>
                <w:szCs w:val="1"/>
                <w:color w:val="auto"/>
              </w:rPr>
            </w:pPr>
          </w:p>
        </w:tc>
      </w:tr>
      <w:tr>
        <w:trPr>
          <w:trHeight w:val="188"/>
        </w:trPr>
        <w:tc>
          <w:tcPr>
            <w:tcW w:w="1220" w:type="dxa"/>
            <w:vAlign w:val="bottom"/>
          </w:tcPr>
          <w:p>
            <w:pPr>
              <w:jc w:val="center"/>
              <w:spacing w:after="0"/>
              <w:rPr>
                <w:sz w:val="20"/>
                <w:szCs w:val="20"/>
                <w:color w:val="auto"/>
              </w:rPr>
            </w:pPr>
            <w:r>
              <w:rPr>
                <w:rFonts w:ascii="Arial" w:cs="Arial" w:eastAsia="Arial" w:hAnsi="Arial"/>
                <w:sz w:val="14"/>
                <w:szCs w:val="14"/>
                <w:color w:val="auto"/>
                <w:w w:val="97"/>
              </w:rPr>
              <w:t>PBRC</w:t>
            </w:r>
          </w:p>
        </w:tc>
        <w:tc>
          <w:tcPr>
            <w:tcW w:w="1120" w:type="dxa"/>
            <w:vAlign w:val="bottom"/>
          </w:tcPr>
          <w:p>
            <w:pPr>
              <w:jc w:val="center"/>
              <w:ind w:left="9"/>
              <w:spacing w:after="0"/>
              <w:rPr>
                <w:sz w:val="20"/>
                <w:szCs w:val="20"/>
                <w:color w:val="auto"/>
              </w:rPr>
            </w:pPr>
            <w:r>
              <w:rPr>
                <w:rFonts w:ascii="Arial" w:cs="Arial" w:eastAsia="Arial" w:hAnsi="Arial"/>
                <w:sz w:val="14"/>
                <w:szCs w:val="14"/>
                <w:color w:val="auto"/>
                <w:w w:val="93"/>
              </w:rPr>
              <w:t>(2)</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5940" w:type="dxa"/>
            <w:vAlign w:val="bottom"/>
          </w:tcPr>
          <w:p>
            <w:pPr>
              <w:ind w:left="140"/>
              <w:spacing w:after="0"/>
              <w:rPr>
                <w:sz w:val="20"/>
                <w:szCs w:val="20"/>
                <w:color w:val="auto"/>
              </w:rPr>
            </w:pPr>
            <w:r>
              <w:rPr>
                <w:rFonts w:ascii="Arial" w:cs="Arial" w:eastAsia="Arial" w:hAnsi="Arial"/>
                <w:sz w:val="14"/>
                <w:szCs w:val="14"/>
                <w:color w:val="auto"/>
              </w:rPr>
              <w:t>for the next twelve months.</w:t>
            </w:r>
          </w:p>
        </w:tc>
        <w:tc>
          <w:tcPr>
            <w:tcW w:w="0" w:type="dxa"/>
            <w:vAlign w:val="bottom"/>
          </w:tcPr>
          <w:p>
            <w:pPr>
              <w:spacing w:after="0"/>
              <w:rPr>
                <w:sz w:val="1"/>
                <w:szCs w:val="1"/>
                <w:color w:val="auto"/>
              </w:rPr>
            </w:pPr>
          </w:p>
        </w:tc>
      </w:tr>
      <w:tr>
        <w:trPr>
          <w:trHeight w:val="203"/>
        </w:trPr>
        <w:tc>
          <w:tcPr>
            <w:tcW w:w="1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7880" w:type="dxa"/>
            <w:vAlign w:val="bottom"/>
            <w:tcBorders>
              <w:bottom w:val="single" w:sz="8" w:color="auto"/>
            </w:tcBorders>
            <w:gridSpan w:val="3"/>
            <w:shd w:val="clear" w:color="auto" w:fill="CCEEFF"/>
          </w:tcPr>
          <w:p>
            <w:pPr>
              <w:jc w:val="center"/>
              <w:ind w:right="3288"/>
              <w:spacing w:after="0"/>
              <w:rPr>
                <w:sz w:val="20"/>
                <w:szCs w:val="20"/>
                <w:color w:val="auto"/>
              </w:rPr>
            </w:pPr>
            <w:r>
              <w:rPr>
                <w:rFonts w:ascii="Arial" w:cs="Arial" w:eastAsia="Arial" w:hAnsi="Arial"/>
                <w:sz w:val="14"/>
                <w:szCs w:val="14"/>
                <w:b w:val="1"/>
                <w:bCs w:val="1"/>
                <w:color w:val="auto"/>
                <w:w w:val="95"/>
              </w:rPr>
              <w:t>CenterPoint Energy and CERC - Mississippi (MPSC)</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Arial" w:cs="Arial" w:eastAsia="Arial" w:hAnsi="Arial"/>
                <w:sz w:val="14"/>
                <w:szCs w:val="14"/>
                <w:color w:val="auto"/>
                <w:w w:val="98"/>
              </w:rPr>
              <w:t>May</w:t>
            </w: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940" w:type="dxa"/>
            <w:vAlign w:val="bottom"/>
          </w:tcPr>
          <w:p>
            <w:pPr>
              <w:ind w:left="140"/>
              <w:spacing w:after="0" w:line="156" w:lineRule="exact"/>
              <w:rPr>
                <w:sz w:val="20"/>
                <w:szCs w:val="20"/>
                <w:color w:val="auto"/>
              </w:rPr>
            </w:pPr>
            <w:r>
              <w:rPr>
                <w:rFonts w:ascii="Arial" w:cs="Arial" w:eastAsia="Arial" w:hAnsi="Arial"/>
                <w:sz w:val="14"/>
                <w:szCs w:val="14"/>
                <w:color w:val="auto"/>
                <w:w w:val="94"/>
              </w:rPr>
              <w:t>Based on ROE of 9.292% with 100 basis point (+/-) earnings band. Revenue increase of $2 million</w:t>
            </w:r>
          </w:p>
        </w:tc>
        <w:tc>
          <w:tcPr>
            <w:tcW w:w="0" w:type="dxa"/>
            <w:vAlign w:val="bottom"/>
          </w:tcPr>
          <w:p>
            <w:pPr>
              <w:spacing w:after="0"/>
              <w:rPr>
                <w:sz w:val="1"/>
                <w:szCs w:val="1"/>
                <w:color w:val="auto"/>
              </w:rPr>
            </w:pPr>
          </w:p>
        </w:tc>
      </w:tr>
      <w:tr>
        <w:trPr>
          <w:trHeight w:val="188"/>
        </w:trPr>
        <w:tc>
          <w:tcPr>
            <w:tcW w:w="1220" w:type="dxa"/>
            <w:vAlign w:val="bottom"/>
          </w:tcPr>
          <w:p>
            <w:pPr>
              <w:jc w:val="center"/>
              <w:spacing w:after="0"/>
              <w:rPr>
                <w:sz w:val="20"/>
                <w:szCs w:val="20"/>
                <w:color w:val="auto"/>
              </w:rPr>
            </w:pPr>
            <w:r>
              <w:rPr>
                <w:rFonts w:ascii="Arial" w:cs="Arial" w:eastAsia="Arial" w:hAnsi="Arial"/>
                <w:sz w:val="14"/>
                <w:szCs w:val="14"/>
                <w:color w:val="auto"/>
              </w:rPr>
              <w:t xml:space="preserve">RRA </w:t>
            </w:r>
            <w:r>
              <w:rPr>
                <w:rFonts w:ascii="Arial" w:cs="Arial" w:eastAsia="Arial" w:hAnsi="Arial"/>
                <w:sz w:val="10"/>
                <w:szCs w:val="10"/>
                <w:color w:val="auto"/>
              </w:rPr>
              <w:t>(1)</w:t>
            </w:r>
          </w:p>
        </w:tc>
        <w:tc>
          <w:tcPr>
            <w:tcW w:w="1120" w:type="dxa"/>
            <w:vAlign w:val="bottom"/>
          </w:tcPr>
          <w:p>
            <w:pPr>
              <w:jc w:val="center"/>
              <w:ind w:left="9"/>
              <w:spacing w:after="0"/>
              <w:rPr>
                <w:sz w:val="20"/>
                <w:szCs w:val="20"/>
                <w:color w:val="auto"/>
              </w:rPr>
            </w:pPr>
            <w:r>
              <w:rPr>
                <w:rFonts w:ascii="Arial" w:cs="Arial" w:eastAsia="Arial" w:hAnsi="Arial"/>
                <w:sz w:val="14"/>
                <w:szCs w:val="14"/>
                <w:color w:val="auto"/>
              </w:rPr>
              <w:t>2</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940" w:type="dxa"/>
            <w:vAlign w:val="bottom"/>
          </w:tcPr>
          <w:p>
            <w:pPr>
              <w:ind w:left="140"/>
              <w:spacing w:after="0"/>
              <w:rPr>
                <w:sz w:val="20"/>
                <w:szCs w:val="20"/>
                <w:color w:val="auto"/>
              </w:rPr>
            </w:pPr>
            <w:r>
              <w:rPr>
                <w:rFonts w:ascii="Arial" w:cs="Arial" w:eastAsia="Arial" w:hAnsi="Arial"/>
                <w:sz w:val="14"/>
                <w:szCs w:val="14"/>
                <w:color w:val="auto"/>
              </w:rPr>
              <w:t>based on 2019 test year adjusted earned ROE of 7.45%.</w:t>
            </w:r>
          </w:p>
        </w:tc>
        <w:tc>
          <w:tcPr>
            <w:tcW w:w="0" w:type="dxa"/>
            <w:vAlign w:val="bottom"/>
          </w:tcPr>
          <w:p>
            <w:pPr>
              <w:spacing w:after="0"/>
              <w:rPr>
                <w:sz w:val="1"/>
                <w:szCs w:val="1"/>
                <w:color w:val="auto"/>
              </w:rPr>
            </w:pPr>
          </w:p>
        </w:tc>
      </w:tr>
      <w:tr>
        <w:trPr>
          <w:trHeight w:val="203"/>
        </w:trPr>
        <w:tc>
          <w:tcPr>
            <w:tcW w:w="1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7880" w:type="dxa"/>
            <w:vAlign w:val="bottom"/>
            <w:tcBorders>
              <w:bottom w:val="single" w:sz="8" w:color="auto"/>
            </w:tcBorders>
            <w:gridSpan w:val="3"/>
            <w:shd w:val="clear" w:color="auto" w:fill="CCEEFF"/>
          </w:tcPr>
          <w:p>
            <w:pPr>
              <w:jc w:val="center"/>
              <w:ind w:right="3288"/>
              <w:spacing w:after="0"/>
              <w:rPr>
                <w:sz w:val="20"/>
                <w:szCs w:val="20"/>
                <w:color w:val="auto"/>
              </w:rPr>
            </w:pPr>
            <w:r>
              <w:rPr>
                <w:rFonts w:ascii="Arial" w:cs="Arial" w:eastAsia="Arial" w:hAnsi="Arial"/>
                <w:sz w:val="14"/>
                <w:szCs w:val="14"/>
                <w:b w:val="1"/>
                <w:bCs w:val="1"/>
                <w:color w:val="auto"/>
                <w:w w:val="95"/>
              </w:rPr>
              <w:t>CenterPoint Energy - Indiana South - Gas (IURC)</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940" w:type="dxa"/>
            <w:vAlign w:val="bottom"/>
          </w:tcPr>
          <w:p>
            <w:pPr>
              <w:ind w:left="140"/>
              <w:spacing w:after="0" w:line="156" w:lineRule="exact"/>
              <w:rPr>
                <w:sz w:val="20"/>
                <w:szCs w:val="20"/>
                <w:color w:val="auto"/>
              </w:rPr>
            </w:pPr>
            <w:r>
              <w:rPr>
                <w:rFonts w:ascii="Arial" w:cs="Arial" w:eastAsia="Arial" w:hAnsi="Arial"/>
                <w:sz w:val="14"/>
                <w:szCs w:val="14"/>
                <w:color w:val="auto"/>
                <w:w w:val="97"/>
              </w:rPr>
              <w:t>Requested an increase of $13 million to rate base, which reflects a $1 million annual increase in</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940" w:type="dxa"/>
            <w:vAlign w:val="bottom"/>
          </w:tcPr>
          <w:p>
            <w:pPr>
              <w:ind w:left="140"/>
              <w:spacing w:after="0" w:line="149" w:lineRule="exact"/>
              <w:rPr>
                <w:sz w:val="20"/>
                <w:szCs w:val="20"/>
                <w:color w:val="auto"/>
              </w:rPr>
            </w:pPr>
            <w:r>
              <w:rPr>
                <w:rFonts w:ascii="Arial" w:cs="Arial" w:eastAsia="Arial" w:hAnsi="Arial"/>
                <w:sz w:val="14"/>
                <w:szCs w:val="14"/>
                <w:color w:val="auto"/>
                <w:w w:val="96"/>
              </w:rPr>
              <w:t>current revenues. 80% of revenue requirement is included in requested rate increase and 20% is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940" w:type="dxa"/>
            <w:vAlign w:val="bottom"/>
          </w:tcPr>
          <w:p>
            <w:pPr>
              <w:ind w:left="140"/>
              <w:spacing w:after="0" w:line="149" w:lineRule="exact"/>
              <w:rPr>
                <w:sz w:val="20"/>
                <w:szCs w:val="20"/>
                <w:color w:val="auto"/>
              </w:rPr>
            </w:pPr>
            <w:r>
              <w:rPr>
                <w:rFonts w:ascii="Arial" w:cs="Arial" w:eastAsia="Arial" w:hAnsi="Arial"/>
                <w:sz w:val="14"/>
                <w:szCs w:val="14"/>
                <w:color w:val="auto"/>
                <w:w w:val="95"/>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w:t>
            </w:r>
          </w:p>
        </w:tc>
        <w:tc>
          <w:tcPr>
            <w:tcW w:w="5940" w:type="dxa"/>
            <w:vAlign w:val="bottom"/>
          </w:tcPr>
          <w:p>
            <w:pPr>
              <w:ind w:left="140"/>
              <w:spacing w:after="0" w:line="149" w:lineRule="exact"/>
              <w:rPr>
                <w:sz w:val="20"/>
                <w:szCs w:val="20"/>
                <w:color w:val="auto"/>
              </w:rPr>
            </w:pPr>
            <w:r>
              <w:rPr>
                <w:rFonts w:ascii="Arial" w:cs="Arial" w:eastAsia="Arial" w:hAnsi="Arial"/>
                <w:sz w:val="14"/>
                <w:szCs w:val="14"/>
                <w:color w:val="auto"/>
              </w:rPr>
              <w:t>resulting in no change to the previous credit provided, and a change in the total (over)/under-</w:t>
            </w:r>
          </w:p>
        </w:tc>
        <w:tc>
          <w:tcPr>
            <w:tcW w:w="0" w:type="dxa"/>
            <w:vAlign w:val="bottom"/>
          </w:tcPr>
          <w:p>
            <w:pPr>
              <w:spacing w:after="0"/>
              <w:rPr>
                <w:sz w:val="1"/>
                <w:szCs w:val="1"/>
                <w:color w:val="auto"/>
              </w:rPr>
            </w:pPr>
          </w:p>
        </w:tc>
      </w:tr>
      <w:tr>
        <w:trPr>
          <w:trHeight w:val="188"/>
        </w:trPr>
        <w:tc>
          <w:tcPr>
            <w:tcW w:w="1220" w:type="dxa"/>
            <w:vAlign w:val="bottom"/>
          </w:tcPr>
          <w:p>
            <w:pPr>
              <w:jc w:val="center"/>
              <w:spacing w:after="0"/>
              <w:rPr>
                <w:sz w:val="20"/>
                <w:szCs w:val="20"/>
                <w:color w:val="auto"/>
              </w:rPr>
            </w:pPr>
            <w:r>
              <w:rPr>
                <w:rFonts w:ascii="Arial" w:cs="Arial" w:eastAsia="Arial" w:hAnsi="Arial"/>
                <w:sz w:val="14"/>
                <w:szCs w:val="14"/>
                <w:color w:val="auto"/>
              </w:rPr>
              <w:t>CSIA</w:t>
            </w:r>
          </w:p>
        </w:tc>
        <w:tc>
          <w:tcPr>
            <w:tcW w:w="1120" w:type="dxa"/>
            <w:vAlign w:val="bottom"/>
          </w:tcPr>
          <w:p>
            <w:pPr>
              <w:jc w:val="center"/>
              <w:ind w:left="9"/>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w w:val="98"/>
              </w:rPr>
              <w:t>April 2020</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5940" w:type="dxa"/>
            <w:vAlign w:val="bottom"/>
          </w:tcPr>
          <w:p>
            <w:pPr>
              <w:ind w:left="140"/>
              <w:spacing w:after="0"/>
              <w:rPr>
                <w:sz w:val="20"/>
                <w:szCs w:val="20"/>
                <w:color w:val="auto"/>
              </w:rPr>
            </w:pPr>
            <w:r>
              <w:rPr>
                <w:rFonts w:ascii="Arial" w:cs="Arial" w:eastAsia="Arial" w:hAnsi="Arial"/>
                <w:sz w:val="14"/>
                <w:szCs w:val="14"/>
                <w:color w:val="auto"/>
              </w:rPr>
              <w:t>recovery variance of $1 million annually.</w:t>
            </w:r>
          </w:p>
        </w:tc>
        <w:tc>
          <w:tcPr>
            <w:tcW w:w="0" w:type="dxa"/>
            <w:vAlign w:val="bottom"/>
          </w:tcPr>
          <w:p>
            <w:pPr>
              <w:spacing w:after="0"/>
              <w:rPr>
                <w:sz w:val="1"/>
                <w:szCs w:val="1"/>
                <w:color w:val="auto"/>
              </w:rPr>
            </w:pPr>
          </w:p>
        </w:tc>
      </w:tr>
      <w:tr>
        <w:trPr>
          <w:trHeight w:val="203"/>
        </w:trPr>
        <w:tc>
          <w:tcPr>
            <w:tcW w:w="1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7880" w:type="dxa"/>
            <w:vAlign w:val="bottom"/>
            <w:tcBorders>
              <w:bottom w:val="single" w:sz="8" w:color="auto"/>
            </w:tcBorders>
            <w:gridSpan w:val="3"/>
            <w:shd w:val="clear" w:color="auto" w:fill="CCEEFF"/>
          </w:tcPr>
          <w:p>
            <w:pPr>
              <w:jc w:val="center"/>
              <w:ind w:right="3268"/>
              <w:spacing w:after="0"/>
              <w:rPr>
                <w:sz w:val="20"/>
                <w:szCs w:val="20"/>
                <w:color w:val="auto"/>
              </w:rPr>
            </w:pPr>
            <w:r>
              <w:rPr>
                <w:rFonts w:ascii="Arial" w:cs="Arial" w:eastAsia="Arial" w:hAnsi="Arial"/>
                <w:sz w:val="14"/>
                <w:szCs w:val="14"/>
                <w:b w:val="1"/>
                <w:bCs w:val="1"/>
                <w:color w:val="auto"/>
                <w:w w:val="96"/>
              </w:rPr>
              <w:t>CenterPoint Energy - Indiana North - Gas (IURC)</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940" w:type="dxa"/>
            <w:vAlign w:val="bottom"/>
          </w:tcPr>
          <w:p>
            <w:pPr>
              <w:ind w:left="140"/>
              <w:spacing w:after="0" w:line="156" w:lineRule="exact"/>
              <w:rPr>
                <w:sz w:val="20"/>
                <w:szCs w:val="20"/>
                <w:color w:val="auto"/>
              </w:rPr>
            </w:pPr>
            <w:r>
              <w:rPr>
                <w:rFonts w:ascii="Arial" w:cs="Arial" w:eastAsia="Arial" w:hAnsi="Arial"/>
                <w:sz w:val="14"/>
                <w:szCs w:val="14"/>
                <w:color w:val="auto"/>
                <w:w w:val="97"/>
              </w:rPr>
              <w:t>Requested an increase of $35 million to rate base, which reflects a $4 million annual increase in</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940" w:type="dxa"/>
            <w:vAlign w:val="bottom"/>
          </w:tcPr>
          <w:p>
            <w:pPr>
              <w:ind w:left="140"/>
              <w:spacing w:after="0" w:line="149" w:lineRule="exact"/>
              <w:rPr>
                <w:sz w:val="20"/>
                <w:szCs w:val="20"/>
                <w:color w:val="auto"/>
              </w:rPr>
            </w:pPr>
            <w:r>
              <w:rPr>
                <w:rFonts w:ascii="Arial" w:cs="Arial" w:eastAsia="Arial" w:hAnsi="Arial"/>
                <w:sz w:val="14"/>
                <w:szCs w:val="14"/>
                <w:color w:val="auto"/>
                <w:w w:val="96"/>
              </w:rPr>
              <w:t>current revenues. 80% of revenue requirement is included in requested rate increase and 20% is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940" w:type="dxa"/>
            <w:vAlign w:val="bottom"/>
          </w:tcPr>
          <w:p>
            <w:pPr>
              <w:ind w:left="140"/>
              <w:spacing w:after="0" w:line="149" w:lineRule="exact"/>
              <w:rPr>
                <w:sz w:val="20"/>
                <w:szCs w:val="20"/>
                <w:color w:val="auto"/>
              </w:rPr>
            </w:pPr>
            <w:r>
              <w:rPr>
                <w:rFonts w:ascii="Arial" w:cs="Arial" w:eastAsia="Arial" w:hAnsi="Arial"/>
                <w:sz w:val="14"/>
                <w:szCs w:val="14"/>
                <w:color w:val="auto"/>
                <w:w w:val="95"/>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w:t>
            </w:r>
          </w:p>
        </w:tc>
        <w:tc>
          <w:tcPr>
            <w:tcW w:w="5940" w:type="dxa"/>
            <w:vAlign w:val="bottom"/>
          </w:tcPr>
          <w:p>
            <w:pPr>
              <w:ind w:left="140"/>
              <w:spacing w:after="0" w:line="149" w:lineRule="exact"/>
              <w:rPr>
                <w:sz w:val="20"/>
                <w:szCs w:val="20"/>
                <w:color w:val="auto"/>
              </w:rPr>
            </w:pPr>
            <w:r>
              <w:rPr>
                <w:rFonts w:ascii="Arial" w:cs="Arial" w:eastAsia="Arial" w:hAnsi="Arial"/>
                <w:sz w:val="14"/>
                <w:szCs w:val="14"/>
                <w:color w:val="auto"/>
              </w:rPr>
              <w:t>resulting in no change to the previous credit provided, and a change in the total (over)/under-</w:t>
            </w:r>
          </w:p>
        </w:tc>
        <w:tc>
          <w:tcPr>
            <w:tcW w:w="0" w:type="dxa"/>
            <w:vAlign w:val="bottom"/>
          </w:tcPr>
          <w:p>
            <w:pPr>
              <w:spacing w:after="0"/>
              <w:rPr>
                <w:sz w:val="1"/>
                <w:szCs w:val="1"/>
                <w:color w:val="auto"/>
              </w:rPr>
            </w:pPr>
          </w:p>
        </w:tc>
      </w:tr>
      <w:tr>
        <w:trPr>
          <w:trHeight w:val="188"/>
        </w:trPr>
        <w:tc>
          <w:tcPr>
            <w:tcW w:w="1220" w:type="dxa"/>
            <w:vAlign w:val="bottom"/>
          </w:tcPr>
          <w:p>
            <w:pPr>
              <w:jc w:val="center"/>
              <w:spacing w:after="0"/>
              <w:rPr>
                <w:sz w:val="20"/>
                <w:szCs w:val="20"/>
                <w:color w:val="auto"/>
              </w:rPr>
            </w:pPr>
            <w:r>
              <w:rPr>
                <w:rFonts w:ascii="Arial" w:cs="Arial" w:eastAsia="Arial" w:hAnsi="Arial"/>
                <w:sz w:val="14"/>
                <w:szCs w:val="14"/>
                <w:color w:val="auto"/>
              </w:rPr>
              <w:t>CSIA</w:t>
            </w:r>
          </w:p>
        </w:tc>
        <w:tc>
          <w:tcPr>
            <w:tcW w:w="1120" w:type="dxa"/>
            <w:vAlign w:val="bottom"/>
          </w:tcPr>
          <w:p>
            <w:pPr>
              <w:jc w:val="center"/>
              <w:ind w:left="9"/>
              <w:spacing w:after="0"/>
              <w:rPr>
                <w:sz w:val="20"/>
                <w:szCs w:val="20"/>
                <w:color w:val="auto"/>
              </w:rPr>
            </w:pPr>
            <w:r>
              <w:rPr>
                <w:rFonts w:ascii="Arial" w:cs="Arial" w:eastAsia="Arial" w:hAnsi="Arial"/>
                <w:sz w:val="14"/>
                <w:szCs w:val="14"/>
                <w:color w:val="auto"/>
              </w:rPr>
              <w:t>4</w:t>
            </w:r>
          </w:p>
        </w:tc>
        <w:tc>
          <w:tcPr>
            <w:tcW w:w="1020" w:type="dxa"/>
            <w:vAlign w:val="bottom"/>
          </w:tcPr>
          <w:p>
            <w:pPr>
              <w:jc w:val="center"/>
              <w:spacing w:after="0"/>
              <w:rPr>
                <w:sz w:val="20"/>
                <w:szCs w:val="20"/>
                <w:color w:val="auto"/>
              </w:rPr>
            </w:pPr>
            <w:r>
              <w:rPr>
                <w:rFonts w:ascii="Arial" w:cs="Arial" w:eastAsia="Arial" w:hAnsi="Arial"/>
                <w:sz w:val="14"/>
                <w:szCs w:val="14"/>
                <w:color w:val="auto"/>
                <w:w w:val="98"/>
              </w:rPr>
              <w:t>April 2020</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5940" w:type="dxa"/>
            <w:vAlign w:val="bottom"/>
          </w:tcPr>
          <w:p>
            <w:pPr>
              <w:ind w:left="140"/>
              <w:spacing w:after="0"/>
              <w:rPr>
                <w:sz w:val="20"/>
                <w:szCs w:val="20"/>
                <w:color w:val="auto"/>
              </w:rPr>
            </w:pPr>
            <w:r>
              <w:rPr>
                <w:rFonts w:ascii="Arial" w:cs="Arial" w:eastAsia="Arial" w:hAnsi="Arial"/>
                <w:sz w:val="14"/>
                <w:szCs w:val="14"/>
                <w:color w:val="auto"/>
              </w:rPr>
              <w:t>recovery variance of $14 million annually.</w:t>
            </w:r>
          </w:p>
        </w:tc>
        <w:tc>
          <w:tcPr>
            <w:tcW w:w="0" w:type="dxa"/>
            <w:vAlign w:val="bottom"/>
          </w:tcPr>
          <w:p>
            <w:pPr>
              <w:spacing w:after="0"/>
              <w:rPr>
                <w:sz w:val="1"/>
                <w:szCs w:val="1"/>
                <w:color w:val="auto"/>
              </w:rPr>
            </w:pPr>
          </w:p>
        </w:tc>
      </w:tr>
      <w:tr>
        <w:trPr>
          <w:trHeight w:val="203"/>
        </w:trPr>
        <w:tc>
          <w:tcPr>
            <w:tcW w:w="1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860" w:type="dxa"/>
            <w:vAlign w:val="bottom"/>
            <w:tcBorders>
              <w:bottom w:val="single" w:sz="8" w:color="auto"/>
            </w:tcBorders>
            <w:gridSpan w:val="2"/>
            <w:shd w:val="clear" w:color="auto" w:fill="CCEEFF"/>
          </w:tcPr>
          <w:p>
            <w:pPr>
              <w:jc w:val="center"/>
              <w:ind w:right="4308"/>
              <w:spacing w:after="0"/>
              <w:rPr>
                <w:sz w:val="20"/>
                <w:szCs w:val="20"/>
                <w:color w:val="auto"/>
              </w:rPr>
            </w:pPr>
            <w:r>
              <w:rPr>
                <w:rFonts w:ascii="Arial" w:cs="Arial" w:eastAsia="Arial" w:hAnsi="Arial"/>
                <w:sz w:val="14"/>
                <w:szCs w:val="14"/>
                <w:b w:val="1"/>
                <w:bCs w:val="1"/>
                <w:color w:val="auto"/>
                <w:w w:val="96"/>
              </w:rPr>
              <w:t>CenterPoint Energy - Ohio (PUCO)</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940" w:type="dxa"/>
            <w:vAlign w:val="bottom"/>
          </w:tcPr>
          <w:p>
            <w:pPr>
              <w:ind w:left="140"/>
              <w:spacing w:after="0" w:line="156" w:lineRule="exact"/>
              <w:rPr>
                <w:sz w:val="20"/>
                <w:szCs w:val="20"/>
                <w:color w:val="auto"/>
              </w:rPr>
            </w:pPr>
            <w:r>
              <w:rPr>
                <w:rFonts w:ascii="Arial" w:cs="Arial" w:eastAsia="Arial" w:hAnsi="Arial"/>
                <w:sz w:val="14"/>
                <w:szCs w:val="14"/>
                <w:color w:val="auto"/>
                <w:w w:val="95"/>
              </w:rPr>
              <w:t>Application to flow back to customers certain benefits from the TCJA. Initial impact reflects credits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2"/>
              </w:rPr>
              <w:t>January</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July</w:t>
            </w:r>
          </w:p>
        </w:tc>
        <w:tc>
          <w:tcPr>
            <w:tcW w:w="5940" w:type="dxa"/>
            <w:vAlign w:val="bottom"/>
          </w:tcPr>
          <w:p>
            <w:pPr>
              <w:ind w:left="140"/>
              <w:spacing w:after="0" w:line="149" w:lineRule="exact"/>
              <w:rPr>
                <w:sz w:val="20"/>
                <w:szCs w:val="20"/>
                <w:color w:val="auto"/>
              </w:rPr>
            </w:pPr>
            <w:r>
              <w:rPr>
                <w:rFonts w:ascii="Arial" w:cs="Arial" w:eastAsia="Arial" w:hAnsi="Arial"/>
                <w:sz w:val="14"/>
                <w:szCs w:val="14"/>
                <w:color w:val="auto"/>
              </w:rPr>
              <w:t>for 2018 of $(10) million and 2019 of $(9) million, and 2020 of $(7) million, with mechanism to</w:t>
            </w:r>
          </w:p>
        </w:tc>
        <w:tc>
          <w:tcPr>
            <w:tcW w:w="0" w:type="dxa"/>
            <w:vAlign w:val="bottom"/>
          </w:tcPr>
          <w:p>
            <w:pPr>
              <w:spacing w:after="0"/>
              <w:rPr>
                <w:sz w:val="1"/>
                <w:szCs w:val="1"/>
                <w:color w:val="auto"/>
              </w:rPr>
            </w:pPr>
          </w:p>
        </w:tc>
      </w:tr>
      <w:tr>
        <w:trPr>
          <w:trHeight w:val="188"/>
        </w:trPr>
        <w:tc>
          <w:tcPr>
            <w:tcW w:w="1220" w:type="dxa"/>
            <w:vAlign w:val="bottom"/>
          </w:tcPr>
          <w:p>
            <w:pPr>
              <w:jc w:val="center"/>
              <w:spacing w:after="0"/>
              <w:rPr>
                <w:sz w:val="20"/>
                <w:szCs w:val="20"/>
                <w:color w:val="auto"/>
              </w:rPr>
            </w:pPr>
            <w:r>
              <w:rPr>
                <w:rFonts w:ascii="Arial" w:cs="Arial" w:eastAsia="Arial" w:hAnsi="Arial"/>
                <w:sz w:val="14"/>
                <w:szCs w:val="14"/>
                <w:color w:val="auto"/>
                <w:w w:val="94"/>
              </w:rPr>
              <w:t>TSCR</w:t>
            </w:r>
          </w:p>
        </w:tc>
        <w:tc>
          <w:tcPr>
            <w:tcW w:w="1120" w:type="dxa"/>
            <w:vAlign w:val="bottom"/>
          </w:tcPr>
          <w:p>
            <w:pPr>
              <w:jc w:val="center"/>
              <w:ind w:left="9"/>
              <w:spacing w:after="0"/>
              <w:rPr>
                <w:sz w:val="20"/>
                <w:szCs w:val="20"/>
                <w:color w:val="auto"/>
              </w:rPr>
            </w:pPr>
            <w:r>
              <w:rPr>
                <w:rFonts w:ascii="Arial" w:cs="Arial" w:eastAsia="Arial" w:hAnsi="Arial"/>
                <w:sz w:val="14"/>
                <w:szCs w:val="14"/>
                <w:color w:val="auto"/>
                <w:w w:val="96"/>
              </w:rPr>
              <w:t>(26)</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5940" w:type="dxa"/>
            <w:vAlign w:val="bottom"/>
          </w:tcPr>
          <w:p>
            <w:pPr>
              <w:ind w:left="140"/>
              <w:spacing w:after="0"/>
              <w:rPr>
                <w:sz w:val="20"/>
                <w:szCs w:val="20"/>
                <w:color w:val="auto"/>
              </w:rPr>
            </w:pPr>
            <w:r>
              <w:rPr>
                <w:rFonts w:ascii="Arial" w:cs="Arial" w:eastAsia="Arial" w:hAnsi="Arial"/>
                <w:sz w:val="14"/>
                <w:szCs w:val="14"/>
                <w:color w:val="auto"/>
              </w:rPr>
              <w:t>begin upon approval from the PUCO, effective July 1, 2020.</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6"/>
              </w:rPr>
              <w:t>Requested an increase of $67 million to rate base for investments made in 2019, which reflects a</w:t>
            </w:r>
          </w:p>
        </w:tc>
        <w:tc>
          <w:tcPr>
            <w:tcW w:w="0" w:type="dxa"/>
            <w:vAlign w:val="bottom"/>
          </w:tcPr>
          <w:p>
            <w:pPr>
              <w:spacing w:after="0"/>
              <w:rPr>
                <w:sz w:val="1"/>
                <w:szCs w:val="1"/>
                <w:color w:val="auto"/>
              </w:rPr>
            </w:pPr>
          </w:p>
        </w:tc>
      </w:tr>
      <w:tr>
        <w:trPr>
          <w:trHeight w:val="148"/>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May</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September</w:t>
            </w:r>
          </w:p>
        </w:tc>
        <w:tc>
          <w:tcPr>
            <w:tcW w:w="920" w:type="dxa"/>
            <w:vAlign w:val="bottom"/>
            <w:shd w:val="clear" w:color="auto" w:fill="CCEEFF"/>
          </w:tcPr>
          <w:p>
            <w:pPr>
              <w:spacing w:after="0"/>
              <w:rPr>
                <w:sz w:val="12"/>
                <w:szCs w:val="12"/>
                <w:color w:val="auto"/>
              </w:rPr>
            </w:pPr>
          </w:p>
        </w:tc>
        <w:tc>
          <w:tcPr>
            <w:tcW w:w="59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5"/>
              </w:rPr>
              <w:t>$10 million annual increase in current revenues. A change in (over)/under-recovery variance of $2</w:t>
            </w: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 xml:space="preserve">DRR </w:t>
            </w:r>
            <w:r>
              <w:rPr>
                <w:rFonts w:ascii="Arial" w:cs="Arial" w:eastAsia="Arial" w:hAnsi="Arial"/>
                <w:sz w:val="10"/>
                <w:szCs w:val="10"/>
                <w:color w:val="auto"/>
                <w:w w:val="98"/>
              </w:rPr>
              <w:t>(1)</w:t>
            </w:r>
          </w:p>
        </w:tc>
        <w:tc>
          <w:tcPr>
            <w:tcW w:w="1120" w:type="dxa"/>
            <w:vAlign w:val="bottom"/>
            <w:shd w:val="clear" w:color="auto" w:fill="CCEEFF"/>
          </w:tcPr>
          <w:p>
            <w:pPr>
              <w:jc w:val="center"/>
              <w:ind w:left="29"/>
              <w:spacing w:after="0"/>
              <w:rPr>
                <w:sz w:val="20"/>
                <w:szCs w:val="20"/>
                <w:color w:val="auto"/>
              </w:rPr>
            </w:pPr>
            <w:r>
              <w:rPr>
                <w:rFonts w:ascii="Arial" w:cs="Arial" w:eastAsia="Arial" w:hAnsi="Arial"/>
                <w:sz w:val="14"/>
                <w:szCs w:val="14"/>
                <w:color w:val="auto"/>
                <w:w w:val="89"/>
              </w:rPr>
              <w:t>10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million annually is also included in rates.</w:t>
            </w:r>
          </w:p>
        </w:tc>
        <w:tc>
          <w:tcPr>
            <w:tcW w:w="0" w:type="dxa"/>
            <w:vAlign w:val="bottom"/>
          </w:tcPr>
          <w:p>
            <w:pPr>
              <w:spacing w:after="0"/>
              <w:rPr>
                <w:sz w:val="1"/>
                <w:szCs w:val="1"/>
                <w:color w:val="auto"/>
              </w:rPr>
            </w:pPr>
          </w:p>
        </w:tc>
      </w:tr>
      <w:tr>
        <w:trPr>
          <w:trHeight w:val="197"/>
        </w:trPr>
        <w:tc>
          <w:tcPr>
            <w:tcW w:w="1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880" w:type="dxa"/>
            <w:vAlign w:val="bottom"/>
            <w:tcBorders>
              <w:bottom w:val="single" w:sz="8" w:color="auto"/>
            </w:tcBorders>
            <w:gridSpan w:val="3"/>
          </w:tcPr>
          <w:p>
            <w:pPr>
              <w:jc w:val="center"/>
              <w:ind w:right="3288"/>
              <w:spacing w:after="0"/>
              <w:rPr>
                <w:sz w:val="20"/>
                <w:szCs w:val="20"/>
                <w:color w:val="auto"/>
              </w:rPr>
            </w:pPr>
            <w:r>
              <w:rPr>
                <w:rFonts w:ascii="Arial" w:cs="Arial" w:eastAsia="Arial" w:hAnsi="Arial"/>
                <w:sz w:val="14"/>
                <w:szCs w:val="14"/>
                <w:b w:val="1"/>
                <w:bCs w:val="1"/>
                <w:color w:val="auto"/>
                <w:w w:val="96"/>
              </w:rPr>
              <w:t>CenterPoint Energy - Indiana Electric (IURC)</w:t>
            </w:r>
          </w:p>
        </w:tc>
        <w:tc>
          <w:tcPr>
            <w:tcW w:w="0" w:type="dxa"/>
            <w:vAlign w:val="bottom"/>
          </w:tcPr>
          <w:p>
            <w:pPr>
              <w:spacing w:after="0"/>
              <w:rPr>
                <w:sz w:val="1"/>
                <w:szCs w:val="1"/>
                <w:color w:val="auto"/>
              </w:rPr>
            </w:pPr>
          </w:p>
        </w:tc>
      </w:tr>
      <w:tr>
        <w:trPr>
          <w:trHeight w:val="156"/>
        </w:trPr>
        <w:tc>
          <w:tcPr>
            <w:tcW w:w="1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9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w w:val="97"/>
              </w:rPr>
              <w:t>Requested an increase of $34 million to rate base, which reflects a $4 million annual increase in</w:t>
            </w:r>
          </w:p>
        </w:tc>
        <w:tc>
          <w:tcPr>
            <w:tcW w:w="0" w:type="dxa"/>
            <w:vAlign w:val="bottom"/>
          </w:tcPr>
          <w:p>
            <w:pPr>
              <w:spacing w:after="0"/>
              <w:rPr>
                <w:sz w:val="1"/>
                <w:szCs w:val="1"/>
                <w:color w:val="auto"/>
              </w:rPr>
            </w:pPr>
          </w:p>
        </w:tc>
      </w:tr>
      <w:tr>
        <w:trPr>
          <w:trHeight w:val="148"/>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9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6"/>
              </w:rPr>
              <w:t>current revenues. 80% of revenue requirement is included in requested rate increase and 20% is</w:t>
            </w:r>
          </w:p>
        </w:tc>
        <w:tc>
          <w:tcPr>
            <w:tcW w:w="0" w:type="dxa"/>
            <w:vAlign w:val="bottom"/>
          </w:tcPr>
          <w:p>
            <w:pPr>
              <w:spacing w:after="0"/>
              <w:rPr>
                <w:sz w:val="1"/>
                <w:szCs w:val="1"/>
                <w:color w:val="auto"/>
              </w:rPr>
            </w:pPr>
          </w:p>
        </w:tc>
      </w:tr>
      <w:tr>
        <w:trPr>
          <w:trHeight w:val="148"/>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February</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May</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May</w:t>
            </w:r>
          </w:p>
        </w:tc>
        <w:tc>
          <w:tcPr>
            <w:tcW w:w="59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deferred until next rate case. The mechanism also includes a change in (over)/under-recovery</w:t>
            </w: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TDSIC</w:t>
            </w:r>
          </w:p>
        </w:tc>
        <w:tc>
          <w:tcPr>
            <w:tcW w:w="112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variance of $2 million annually.</w:t>
            </w:r>
          </w:p>
        </w:tc>
        <w:tc>
          <w:tcPr>
            <w:tcW w:w="0" w:type="dxa"/>
            <w:vAlign w:val="bottom"/>
          </w:tcPr>
          <w:p>
            <w:pPr>
              <w:spacing w:after="0"/>
              <w:rPr>
                <w:sz w:val="1"/>
                <w:szCs w:val="1"/>
                <w:color w:val="auto"/>
              </w:rPr>
            </w:pPr>
          </w:p>
        </w:tc>
      </w:tr>
      <w:tr>
        <w:trPr>
          <w:trHeight w:val="157"/>
        </w:trPr>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940" w:type="dxa"/>
            <w:vAlign w:val="bottom"/>
          </w:tcPr>
          <w:p>
            <w:pPr>
              <w:ind w:left="140"/>
              <w:spacing w:after="0" w:line="157" w:lineRule="exact"/>
              <w:rPr>
                <w:sz w:val="20"/>
                <w:szCs w:val="20"/>
                <w:color w:val="auto"/>
              </w:rPr>
            </w:pPr>
            <w:r>
              <w:rPr>
                <w:rFonts w:ascii="Arial" w:cs="Arial" w:eastAsia="Arial" w:hAnsi="Arial"/>
                <w:sz w:val="14"/>
                <w:szCs w:val="14"/>
                <w:color w:val="auto"/>
                <w:w w:val="96"/>
              </w:rPr>
              <w:t>Requested an increase of $49 million to rate base, which reflects a $10 million annual increase in</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940" w:type="dxa"/>
            <w:vAlign w:val="bottom"/>
          </w:tcPr>
          <w:p>
            <w:pPr>
              <w:ind w:left="140"/>
              <w:spacing w:after="0" w:line="149" w:lineRule="exact"/>
              <w:rPr>
                <w:sz w:val="20"/>
                <w:szCs w:val="20"/>
                <w:color w:val="auto"/>
              </w:rPr>
            </w:pPr>
            <w:r>
              <w:rPr>
                <w:rFonts w:ascii="Arial" w:cs="Arial" w:eastAsia="Arial" w:hAnsi="Arial"/>
                <w:sz w:val="14"/>
                <w:szCs w:val="14"/>
                <w:color w:val="auto"/>
                <w:w w:val="92"/>
              </w:rPr>
              <w:t>current revenues. 80% of the revenue requirement is included in requested rate increase and 20% is</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8"/>
              </w:rPr>
              <w:t>May</w:t>
            </w: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940" w:type="dxa"/>
            <w:vAlign w:val="bottom"/>
          </w:tcPr>
          <w:p>
            <w:pPr>
              <w:ind w:left="140"/>
              <w:spacing w:after="0" w:line="149" w:lineRule="exact"/>
              <w:rPr>
                <w:sz w:val="20"/>
                <w:szCs w:val="20"/>
                <w:color w:val="auto"/>
              </w:rPr>
            </w:pPr>
            <w:r>
              <w:rPr>
                <w:rFonts w:ascii="Arial" w:cs="Arial" w:eastAsia="Arial" w:hAnsi="Arial"/>
                <w:sz w:val="14"/>
                <w:szCs w:val="14"/>
                <w:color w:val="auto"/>
                <w:w w:val="99"/>
              </w:rPr>
              <w:t>deferred until next rate case. The mechanism also included a change in (over)/under-recovery</w:t>
            </w:r>
          </w:p>
        </w:tc>
        <w:tc>
          <w:tcPr>
            <w:tcW w:w="0" w:type="dxa"/>
            <w:vAlign w:val="bottom"/>
          </w:tcPr>
          <w:p>
            <w:pPr>
              <w:spacing w:after="0"/>
              <w:rPr>
                <w:sz w:val="1"/>
                <w:szCs w:val="1"/>
                <w:color w:val="auto"/>
              </w:rPr>
            </w:pPr>
          </w:p>
        </w:tc>
      </w:tr>
      <w:tr>
        <w:trPr>
          <w:trHeight w:val="188"/>
        </w:trPr>
        <w:tc>
          <w:tcPr>
            <w:tcW w:w="1220" w:type="dxa"/>
            <w:vAlign w:val="bottom"/>
          </w:tcPr>
          <w:p>
            <w:pPr>
              <w:jc w:val="center"/>
              <w:spacing w:after="0"/>
              <w:rPr>
                <w:sz w:val="20"/>
                <w:szCs w:val="20"/>
                <w:color w:val="auto"/>
              </w:rPr>
            </w:pPr>
            <w:r>
              <w:rPr>
                <w:rFonts w:ascii="Arial" w:cs="Arial" w:eastAsia="Arial" w:hAnsi="Arial"/>
                <w:sz w:val="14"/>
                <w:szCs w:val="14"/>
                <w:color w:val="auto"/>
              </w:rPr>
              <w:t xml:space="preserve">ECA </w:t>
            </w:r>
            <w:r>
              <w:rPr>
                <w:rFonts w:ascii="Arial" w:cs="Arial" w:eastAsia="Arial" w:hAnsi="Arial"/>
                <w:sz w:val="10"/>
                <w:szCs w:val="10"/>
                <w:color w:val="auto"/>
              </w:rPr>
              <w:t>(1)</w:t>
            </w:r>
          </w:p>
        </w:tc>
        <w:tc>
          <w:tcPr>
            <w:tcW w:w="1120" w:type="dxa"/>
            <w:vAlign w:val="bottom"/>
          </w:tcPr>
          <w:p>
            <w:pPr>
              <w:jc w:val="center"/>
              <w:ind w:left="29"/>
              <w:spacing w:after="0"/>
              <w:rPr>
                <w:sz w:val="20"/>
                <w:szCs w:val="20"/>
                <w:color w:val="auto"/>
              </w:rPr>
            </w:pPr>
            <w:r>
              <w:rPr>
                <w:rFonts w:ascii="Arial" w:cs="Arial" w:eastAsia="Arial" w:hAnsi="Arial"/>
                <w:sz w:val="14"/>
                <w:szCs w:val="14"/>
                <w:color w:val="auto"/>
                <w:w w:val="89"/>
              </w:rPr>
              <w:t>10</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August 2020</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940" w:type="dxa"/>
            <w:vAlign w:val="bottom"/>
          </w:tcPr>
          <w:p>
            <w:pPr>
              <w:ind w:left="140"/>
              <w:spacing w:after="0"/>
              <w:rPr>
                <w:sz w:val="20"/>
                <w:szCs w:val="20"/>
                <w:color w:val="auto"/>
              </w:rPr>
            </w:pPr>
            <w:r>
              <w:rPr>
                <w:rFonts w:ascii="Arial" w:cs="Arial" w:eastAsia="Arial" w:hAnsi="Arial"/>
                <w:sz w:val="14"/>
                <w:szCs w:val="14"/>
                <w:color w:val="auto"/>
              </w:rPr>
              <w:t>variance of $4 million annually.</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Requested an increase of $36 million to rate base, which reflects a $3 million annual increase in</w:t>
            </w:r>
          </w:p>
        </w:tc>
        <w:tc>
          <w:tcPr>
            <w:tcW w:w="0" w:type="dxa"/>
            <w:vAlign w:val="bottom"/>
          </w:tcPr>
          <w:p>
            <w:pPr>
              <w:spacing w:after="0"/>
              <w:rPr>
                <w:sz w:val="1"/>
                <w:szCs w:val="1"/>
                <w:color w:val="auto"/>
              </w:rPr>
            </w:pPr>
          </w:p>
        </w:tc>
      </w:tr>
      <w:tr>
        <w:trPr>
          <w:trHeight w:val="148"/>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9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2"/>
              </w:rPr>
              <w:t>current revenues. 80% of the revenue requirement is included in requested rate increase and 20% is</w:t>
            </w: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November</w:t>
            </w:r>
          </w:p>
        </w:tc>
        <w:tc>
          <w:tcPr>
            <w:tcW w:w="920" w:type="dxa"/>
            <w:vAlign w:val="bottom"/>
            <w:shd w:val="clear" w:color="auto" w:fill="CCEEFF"/>
          </w:tcPr>
          <w:p>
            <w:pPr>
              <w:spacing w:after="0"/>
              <w:rPr>
                <w:sz w:val="12"/>
                <w:szCs w:val="12"/>
                <w:color w:val="auto"/>
              </w:rPr>
            </w:pPr>
          </w:p>
        </w:tc>
        <w:tc>
          <w:tcPr>
            <w:tcW w:w="59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deferred until next rate case. The mechanism also includes a change in (over)/under-recovery</w:t>
            </w: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 xml:space="preserve">TDSIC </w:t>
            </w:r>
            <w:r>
              <w:rPr>
                <w:rFonts w:ascii="Arial" w:cs="Arial" w:eastAsia="Arial" w:hAnsi="Arial"/>
                <w:sz w:val="10"/>
                <w:szCs w:val="10"/>
                <w:color w:val="auto"/>
                <w:w w:val="99"/>
              </w:rPr>
              <w:t>(1)</w:t>
            </w:r>
          </w:p>
        </w:tc>
        <w:tc>
          <w:tcPr>
            <w:tcW w:w="112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rPr>
              <w:t>3</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August 2020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variance of $(1) million.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proposed increases (decreases) when effective date and/or approval date is not yet determined. Approved rates could differ materially from proposed rates.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Tax Reform</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TCJA-related 2018 tax expense refunds are currently included in the Registrants’ existing rates and are therefore reducing the Registrants’ current annual revenue. The TCJA-related 2018 tax expense refunds for Houston Electric were completed in September 2019. However, in Houston Electric’s rate case filed in April 2019, and subsequently adjusted in errata filings in May and June 2019, pursuant to the Stipulation and Settlement Agreement, Houston Electric will return unprotected EDIT net regulatory liability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balance to customers, through a separate rider and its wholesale transmission tariff over approximately three years. The balance of unprotected EDIT was $105 million as of December 31, 2018. In addition, Houston Electric’s TCJA-related protected EDIT balance as of December 31, 2018 is $563 million and must be returned to customers over ARAM.</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CenterPoint Energy’s electric and natural gas utilities in Indiana and Ohio, which were acquired during the Merger, currently recover corporate income tax expense in approved rates charged to customers. The IURC and the PUCO both issued orders which initiated proceedings to investigate the impact of the TCJA on utility companies and customers within Indiana and Ohio, respectively. In addition, the IURC and PUCO have ordered each utility to establish regulatory liabilities to record all estimated impacts of tax reform starting January 1, 2018 until the date when rates are adjusted to capture these impacts. In Indiana, in response to Vectren’s pre-Merger filing for proposed changes to its rates and charges to consider the impact of the lower federal income tax rates, the IURC approved an initial reduction to current rates and charges, effective June 1, 2018, to capture the immediate impact of the lower corporate federal income tax rate. The refund of EDIT and regulatory liabilities commenced in November 2018 for Indiana electric customers and in January 2019 for Indiana natural gas customers. In Ohio, the initial rate reduction to current rates and charges became effective upon conclusion of its pending base rate case on August 28, 2019. In January 2019, an application was filed with the PUCO in compliance with its October 2018 order requiring utilities to file for a request to adjust rates to reflect the impact of the TCJA, requesting authority to implement a rider to flow back to customers the tax benefits realized under the TCJA, including the refund of EDIT and regulatory liabilities. On July 1, 2020, the PUCO approved the initial rate reduction to credit customers for the impact of the TCJA.</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ELG (CenterPoint Energy)</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Clean Water Act, the EPA sets technology-based guidelines for water discharges from new and existing electric generation facilities. In September 2015, the EPA finalized revisions to the existing steam electric ELG setting stringent technology-based water discharge limits for the electric power industry. The EPA focused this rulemaking on wastewater generated primarily by pollution control equipment necessitated by the comprehensive air regulations, specifically setting strict water discharge limits for arsenic, mercury and selenium for scrubber waste waters. The ELG will be implemented when existing water discharge permits for the plants are renewed. In the case of Indiana Electric’s water discharge permits, in 2017 the IDEM issued final renewals for the F.B. Culley and A.B. Brown power plants. IDEM agreed that units identified for retirement by December 2023 would not be required to install new treatment technology to meet ELG, and approved a 2020 compliance date for dry bottom ash and a 2023 compliance date for flue gas desulfurization wastewater treatment standards for the remaining coal-fired unit at F.B. Culley.</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April 13, 2017, as part of the U.S. President’s Administration’s regulatory reform initiative, which is focused on the number and nature of regulations, the EPA granted petitions to reconsider the ELG rule, and indicated it would stay the current implementation deadlines in the rule during the pendency of the reconsideration. On September 13, 2017, the EPA finalized a rule postponing certain interim compliance dates by two years, but did not postpone the final compliance deadline of December 31, 2023. In April 2018, the EPA published an effluent guidelines program plan that anticipated a December 2019 rule revising the effluent limitations and pre-treatment standards for existing sources in the 2015 rule. On April 12, 2019, the U.S. Court of Appeals for the Fifth Circuit vacated and remanded portions of the ELG rule that selected impoundment as the best available technology for legacy wastewater and leachate. It is not clear what revisions to the ELG rule the EPA will implement, or what effect those revisions may have. As Indiana Electric does not currently have short-term ELG implementation deadlines in its recently renewed wastewater discharge permits, it does not anticipate immediate impacts from the EPA’s two-year extension of preliminary implementation deadlines due to the longer compliance time frames granted by IDEM and will continue to work with IDEM to evaluate further implementation plans. On November 4, 2019, the EPA released a pre-publication copy of proposed revisions to the CCR and ELG rules. CenterPoint Energy will evaluate the proposals to determine potential impacts to current compliance plans for its A.B. Brown and F.B. Culley generating stations.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CPP and ACE Rule (CenterPoint Energy)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August 31, 2018, the EPA published its proposed CPP replacement rule, the ACE Rule, which was finalized on July 8, 2019 and requires states to implement a program of energy efficiency improvement targets for individual coal-fired electric generating units. States have three years to develop state plans to implement the ACE rule, and CenterPoint Energy does not expect a state ACE rule to be finalized and approved by the EPA until 2024. CenterPoint Energy is currently unable to predict the effect of a state plan to implement the ACE rule but does not anticipate that such a plan would have a material effect.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Legislative Actions &amp; Other Initiatives (CenterPoint Energy)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this time, compliance costs and other effects associated with reductions in GHG emissions or obtaining renewable energy sources remain uncertain. While the requirements of a state ACE rule remain uncertain, Indiana Electric will continue to monitor regulatory activity regarding GHG emission standards that may affect its electric generating units.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MRT Rate Case (CenterPoint Energy)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2018, MRT filed a general Natural Gas Act rate case, and in October 2019, MRT filed a second rate case. MRT began collecting the rates proposed in the 2018 rate case, subject to refund, on January 1, 2019. On November 5, 2019, as supplemented on December 13, 2019, MRT filed uncontested proposed settlements for the 2018 and 2019 rate cases. The FERC approved both settlements on March 26, 2020, and that order became final on April 25,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please see Note 12 to the Interim Condensed Financial Statements.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Based on the consolidated debt to capitalization covenant in the Registrants’ revolving credit facilities, the Registrants would have been permitted to utilize the full capacity of such revolving credit facilities, which aggregated approximately $5.1 billion as of June 30, 2020. As of July 24, 2020, the Registrants had the following revolving credit facilities and utilization of such facilities: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left="296"/>
              <w:spacing w:after="0"/>
              <w:rPr>
                <w:sz w:val="20"/>
                <w:szCs w:val="20"/>
                <w:color w:val="auto"/>
              </w:rPr>
            </w:pPr>
            <w:r>
              <w:rPr>
                <w:rFonts w:ascii="Arial" w:cs="Arial" w:eastAsia="Arial" w:hAnsi="Arial"/>
                <w:sz w:val="14"/>
                <w:szCs w:val="14"/>
                <w:b w:val="1"/>
                <w:bCs w:val="1"/>
                <w:color w:val="auto"/>
                <w:w w:val="93"/>
              </w:rPr>
              <w:t>Amount Utilized as of July 24, 2020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2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Registrant</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Size of Facility</w:t>
            </w:r>
          </w:p>
        </w:tc>
        <w:tc>
          <w:tcPr>
            <w:tcW w:w="280" w:type="dxa"/>
            <w:vAlign w:val="bottom"/>
          </w:tcPr>
          <w:p>
            <w:pPr>
              <w:spacing w:after="0"/>
              <w:rPr>
                <w:sz w:val="12"/>
                <w:szCs w:val="12"/>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Loans</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Letters of Credit</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Commercial Paper</w:t>
            </w: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Weighted Average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92"/>
        </w:trPr>
        <w:tc>
          <w:tcPr>
            <w:tcW w:w="2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43"/>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(1)</w:t>
            </w:r>
          </w:p>
        </w:tc>
        <w:tc>
          <w:tcPr>
            <w:tcW w:w="1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0.23%</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July 14, 2022</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14, 2022</w:t>
            </w:r>
          </w:p>
        </w:tc>
        <w:tc>
          <w:tcPr>
            <w:tcW w:w="0" w:type="dxa"/>
            <w:vAlign w:val="bottom"/>
          </w:tcPr>
          <w:p>
            <w:pPr>
              <w:spacing w:after="0"/>
              <w:rPr>
                <w:sz w:val="1"/>
                <w:szCs w:val="1"/>
                <w:color w:val="auto"/>
              </w:rPr>
            </w:pPr>
          </w:p>
        </w:tc>
      </w:tr>
      <w:tr>
        <w:trPr>
          <w:trHeight w:val="243"/>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Houston Electric</w:t>
            </w:r>
          </w:p>
        </w:tc>
        <w:tc>
          <w:tcPr>
            <w:tcW w:w="1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CERC</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3, 2022</w:t>
            </w:r>
          </w:p>
        </w:tc>
        <w:tc>
          <w:tcPr>
            <w:tcW w:w="0" w:type="dxa"/>
            <w:vAlign w:val="bottom"/>
          </w:tcPr>
          <w:p>
            <w:pPr>
              <w:spacing w:after="0"/>
              <w:rPr>
                <w:sz w:val="1"/>
                <w:szCs w:val="1"/>
                <w:color w:val="auto"/>
              </w:rPr>
            </w:pPr>
          </w:p>
        </w:tc>
      </w:tr>
      <w:tr>
        <w:trPr>
          <w:trHeight w:val="257"/>
        </w:trPr>
        <w:tc>
          <w:tcPr>
            <w:tcW w:w="28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5,100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credit facility was issued by VUHI and is guaranteed by SIGECO, Indiana Gas and VEDO.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credit facility was issued by VCC and is guaranteed by Vectren.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LIBOR and the commitment fees fluctuate based on the borrower’s credit rating. The borrowers are currently in compliance with the various business and financial covenants in the five revolving credit facilities.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detailed information about the Registrants’ debt transactions in 2020, see Notes 12 and 20 to the Interim Condensed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Securities Registered with the SEC</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29, 2020,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29, 2023. For information related to debt and equity security issuances in 2020, see Notes 12 and 19 to the Interim Condensed Financial Statements.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24, 2020, the Registrants had no temporary investments.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Money Pool</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CenterPoint Energy money pool activity by Registrant as of July 24,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Weighted Average Interest</w:t>
            </w:r>
          </w:p>
        </w:tc>
        <w:tc>
          <w:tcPr>
            <w:tcW w:w="160" w:type="dxa"/>
            <w:vAlign w:val="bottom"/>
          </w:tcPr>
          <w:p>
            <w:pPr>
              <w:spacing w:after="0"/>
              <w:rPr>
                <w:sz w:val="14"/>
                <w:szCs w:val="14"/>
                <w:color w:val="auto"/>
              </w:rPr>
            </w:pPr>
          </w:p>
        </w:tc>
        <w:tc>
          <w:tcPr>
            <w:tcW w:w="1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520" w:type="dxa"/>
            <w:vAlign w:val="bottom"/>
          </w:tcPr>
          <w:p>
            <w:pPr>
              <w:spacing w:after="0"/>
              <w:rPr>
                <w:sz w:val="14"/>
                <w:szCs w:val="14"/>
                <w:color w:val="auto"/>
              </w:rPr>
            </w:pPr>
          </w:p>
        </w:tc>
        <w:tc>
          <w:tcPr>
            <w:tcW w:w="10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20" w:type="dxa"/>
            <w:vAlign w:val="bottom"/>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pool investments (borrowings)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43</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on Liquidity of a Downgrade in Credit Ratings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interest on borrowings under the credit facilities is based on each respective borrower’s credit ratings. As of July 24, 2020,</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Moody’s, S&amp;P and Fitch had assigned the following credit ratings to the borrowers: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20" w:type="dxa"/>
            <w:vAlign w:val="bottom"/>
            <w:gridSpan w:val="4"/>
          </w:tcPr>
          <w:p>
            <w:pPr>
              <w:ind w:left="60"/>
              <w:spacing w:after="0"/>
              <w:rPr>
                <w:sz w:val="20"/>
                <w:szCs w:val="20"/>
                <w:color w:val="auto"/>
              </w:rPr>
            </w:pPr>
            <w:r>
              <w:rPr>
                <w:rFonts w:ascii="Arial" w:cs="Arial" w:eastAsia="Arial" w:hAnsi="Arial"/>
                <w:sz w:val="14"/>
                <w:szCs w:val="14"/>
                <w:b w:val="1"/>
                <w:bCs w:val="1"/>
                <w:color w:val="auto"/>
              </w:rPr>
              <w:t>Moody’s</w:t>
            </w:r>
          </w:p>
        </w:tc>
        <w:tc>
          <w:tcPr>
            <w:tcW w:w="820" w:type="dxa"/>
            <w:vAlign w:val="bottom"/>
          </w:tcPr>
          <w:p>
            <w:pPr>
              <w:spacing w:after="0"/>
              <w:rPr>
                <w:sz w:val="16"/>
                <w:szCs w:val="16"/>
                <w:color w:val="auto"/>
              </w:rPr>
            </w:pPr>
          </w:p>
        </w:tc>
        <w:tc>
          <w:tcPr>
            <w:tcW w:w="1400" w:type="dxa"/>
            <w:vAlign w:val="bottom"/>
            <w:gridSpan w:val="4"/>
          </w:tcPr>
          <w:p>
            <w:pPr>
              <w:ind w:left="80"/>
              <w:spacing w:after="0"/>
              <w:rPr>
                <w:sz w:val="20"/>
                <w:szCs w:val="20"/>
                <w:color w:val="auto"/>
              </w:rPr>
            </w:pPr>
            <w:r>
              <w:rPr>
                <w:rFonts w:ascii="Arial" w:cs="Arial" w:eastAsia="Arial" w:hAnsi="Arial"/>
                <w:sz w:val="14"/>
                <w:szCs w:val="14"/>
                <w:b w:val="1"/>
                <w:bCs w:val="1"/>
                <w:color w:val="auto"/>
              </w:rPr>
              <w:t>S&amp;P</w:t>
            </w:r>
          </w:p>
        </w:tc>
        <w:tc>
          <w:tcPr>
            <w:tcW w:w="80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79"/>
        </w:trPr>
        <w:tc>
          <w:tcPr>
            <w:tcW w:w="1700" w:type="dxa"/>
            <w:vAlign w:val="bottom"/>
            <w:gridSpan w:val="2"/>
            <w:vMerge w:val="restart"/>
          </w:tcPr>
          <w:p>
            <w:pPr>
              <w:ind w:left="520"/>
              <w:spacing w:after="0"/>
              <w:rPr>
                <w:sz w:val="20"/>
                <w:szCs w:val="20"/>
                <w:color w:val="auto"/>
              </w:rPr>
            </w:pPr>
            <w:r>
              <w:rPr>
                <w:rFonts w:ascii="Arial" w:cs="Arial" w:eastAsia="Arial" w:hAnsi="Arial"/>
                <w:sz w:val="13"/>
                <w:szCs w:val="13"/>
                <w:b w:val="1"/>
                <w:bCs w:val="1"/>
                <w:color w:val="auto"/>
              </w:rPr>
              <w:t>Registrant</w:t>
            </w:r>
          </w:p>
        </w:tc>
        <w:tc>
          <w:tcPr>
            <w:tcW w:w="2960" w:type="dxa"/>
            <w:vAlign w:val="bottom"/>
            <w:gridSpan w:val="2"/>
            <w:vMerge w:val="restart"/>
          </w:tcPr>
          <w:p>
            <w:pPr>
              <w:ind w:left="840"/>
              <w:spacing w:after="0"/>
              <w:rPr>
                <w:sz w:val="20"/>
                <w:szCs w:val="20"/>
                <w:color w:val="auto"/>
              </w:rPr>
            </w:pPr>
            <w:r>
              <w:rPr>
                <w:rFonts w:ascii="Arial" w:cs="Arial" w:eastAsia="Arial" w:hAnsi="Arial"/>
                <w:sz w:val="13"/>
                <w:szCs w:val="13"/>
                <w:b w:val="1"/>
                <w:bCs w:val="1"/>
                <w:color w:val="auto"/>
              </w:rPr>
              <w:t>Borrower/Instrument</w:t>
            </w:r>
          </w:p>
        </w:tc>
        <w:tc>
          <w:tcPr>
            <w:tcW w:w="7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700" w:type="dxa"/>
            <w:vAlign w:val="bottom"/>
            <w:gridSpan w:val="2"/>
            <w:vMerge w:val="continue"/>
          </w:tcPr>
          <w:p>
            <w:pPr>
              <w:spacing w:after="0"/>
              <w:rPr>
                <w:sz w:val="14"/>
                <w:szCs w:val="14"/>
                <w:color w:val="auto"/>
              </w:rPr>
            </w:pPr>
          </w:p>
        </w:tc>
        <w:tc>
          <w:tcPr>
            <w:tcW w:w="2960" w:type="dxa"/>
            <w:vAlign w:val="bottom"/>
            <w:gridSpan w:val="2"/>
            <w:vMerge w:val="continue"/>
          </w:tcPr>
          <w:p>
            <w:pPr>
              <w:spacing w:after="0"/>
              <w:rPr>
                <w:sz w:val="14"/>
                <w:szCs w:val="14"/>
                <w:color w:val="auto"/>
              </w:rPr>
            </w:pPr>
          </w:p>
        </w:tc>
        <w:tc>
          <w:tcPr>
            <w:tcW w:w="740" w:type="dxa"/>
            <w:vAlign w:val="bottom"/>
          </w:tcPr>
          <w:p>
            <w:pPr>
              <w:jc w:val="center"/>
              <w:ind w:left="173"/>
              <w:spacing w:after="0"/>
              <w:rPr>
                <w:sz w:val="20"/>
                <w:szCs w:val="20"/>
                <w:color w:val="auto"/>
              </w:rPr>
            </w:pPr>
            <w:r>
              <w:rPr>
                <w:rFonts w:ascii="Arial" w:cs="Arial" w:eastAsia="Arial" w:hAnsi="Arial"/>
                <w:sz w:val="13"/>
                <w:szCs w:val="13"/>
                <w:b w:val="1"/>
                <w:bCs w:val="1"/>
                <w:color w:val="auto"/>
                <w:w w:val="88"/>
              </w:rPr>
              <w:t>Rating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Outlook (1)</w:t>
            </w:r>
          </w:p>
        </w:tc>
        <w:tc>
          <w:tcPr>
            <w:tcW w:w="820" w:type="dxa"/>
            <w:vAlign w:val="bottom"/>
          </w:tcPr>
          <w:p>
            <w:pPr>
              <w:jc w:val="center"/>
              <w:ind w:left="93"/>
              <w:spacing w:after="0"/>
              <w:rPr>
                <w:sz w:val="20"/>
                <w:szCs w:val="20"/>
                <w:color w:val="auto"/>
              </w:rPr>
            </w:pPr>
            <w:r>
              <w:rPr>
                <w:rFonts w:ascii="Arial" w:cs="Arial" w:eastAsia="Arial" w:hAnsi="Arial"/>
                <w:sz w:val="13"/>
                <w:szCs w:val="13"/>
                <w:b w:val="1"/>
                <w:bCs w:val="1"/>
                <w:color w:val="auto"/>
                <w:w w:val="88"/>
              </w:rPr>
              <w:t>Rating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3"/>
                <w:szCs w:val="13"/>
                <w:b w:val="1"/>
                <w:bCs w:val="1"/>
                <w:color w:val="auto"/>
              </w:rPr>
              <w:t>Outlook (2)</w:t>
            </w:r>
          </w:p>
        </w:tc>
        <w:tc>
          <w:tcPr>
            <w:tcW w:w="800" w:type="dxa"/>
            <w:vAlign w:val="bottom"/>
          </w:tcPr>
          <w:p>
            <w:pPr>
              <w:jc w:val="center"/>
              <w:ind w:left="113"/>
              <w:spacing w:after="0"/>
              <w:rPr>
                <w:sz w:val="20"/>
                <w:szCs w:val="20"/>
                <w:color w:val="auto"/>
              </w:rPr>
            </w:pPr>
            <w:r>
              <w:rPr>
                <w:rFonts w:ascii="Arial" w:cs="Arial" w:eastAsia="Arial" w:hAnsi="Arial"/>
                <w:sz w:val="13"/>
                <w:szCs w:val="13"/>
                <w:b w:val="1"/>
                <w:bCs w:val="1"/>
                <w:color w:val="auto"/>
                <w:w w:val="88"/>
              </w:rPr>
              <w:t>Rating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0"/>
              </w:rPr>
              <w:t>Outlook (3)</w:t>
            </w:r>
          </w:p>
        </w:tc>
        <w:tc>
          <w:tcPr>
            <w:tcW w:w="0" w:type="dxa"/>
            <w:vAlign w:val="bottom"/>
          </w:tcPr>
          <w:p>
            <w:pPr>
              <w:spacing w:after="0"/>
              <w:rPr>
                <w:sz w:val="1"/>
                <w:szCs w:val="1"/>
                <w:color w:val="auto"/>
              </w:rPr>
            </w:pPr>
          </w:p>
        </w:tc>
      </w:tr>
      <w:tr>
        <w:trPr>
          <w:trHeight w:val="97"/>
        </w:trPr>
        <w:tc>
          <w:tcPr>
            <w:tcW w:w="158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2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CenterPoint Energy Senior Unsecured</w:t>
            </w: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Debt</w:t>
            </w:r>
          </w:p>
        </w:tc>
        <w:tc>
          <w:tcPr>
            <w:tcW w:w="740" w:type="dxa"/>
            <w:vAlign w:val="bottom"/>
            <w:tcBorders>
              <w:bottom w:val="single" w:sz="8" w:color="CCEEFF"/>
            </w:tcBorders>
            <w:shd w:val="clear" w:color="auto" w:fill="CCEEFF"/>
          </w:tcPr>
          <w:p>
            <w:pPr>
              <w:jc w:val="center"/>
              <w:ind w:left="173"/>
              <w:spacing w:after="0"/>
              <w:rPr>
                <w:sz w:val="20"/>
                <w:szCs w:val="20"/>
                <w:color w:val="auto"/>
              </w:rPr>
            </w:pPr>
            <w:r>
              <w:rPr>
                <w:rFonts w:ascii="Arial" w:cs="Arial" w:eastAsia="Arial" w:hAnsi="Arial"/>
                <w:sz w:val="18"/>
                <w:szCs w:val="18"/>
                <w:color w:val="auto"/>
                <w:w w:val="85"/>
              </w:rPr>
              <w:t>Baa2</w:t>
            </w: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Negative</w:t>
            </w:r>
          </w:p>
        </w:tc>
        <w:tc>
          <w:tcPr>
            <w:tcW w:w="82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99"/>
              </w:rPr>
              <w:t>BBB</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tcBorders>
              <w:bottom w:val="single" w:sz="8" w:color="CCEEFF"/>
            </w:tcBorders>
            <w:shd w:val="clear" w:color="auto" w:fill="CCEEFF"/>
          </w:tcPr>
          <w:p>
            <w:pPr>
              <w:jc w:val="center"/>
              <w:ind w:left="113"/>
              <w:spacing w:after="0"/>
              <w:rPr>
                <w:sz w:val="20"/>
                <w:szCs w:val="20"/>
                <w:color w:val="auto"/>
              </w:rPr>
            </w:pPr>
            <w:r>
              <w:rPr>
                <w:rFonts w:ascii="Arial" w:cs="Arial" w:eastAsia="Arial" w:hAnsi="Arial"/>
                <w:sz w:val="18"/>
                <w:szCs w:val="18"/>
                <w:color w:val="auto"/>
                <w:w w:val="99"/>
              </w:rPr>
              <w:t>BBB</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Negative</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CenterPoint Energy</w:t>
            </w:r>
          </w:p>
        </w:tc>
        <w:tc>
          <w:tcPr>
            <w:tcW w:w="2960" w:type="dxa"/>
            <w:vAlign w:val="bottom"/>
            <w:gridSpan w:val="2"/>
          </w:tcPr>
          <w:p>
            <w:pPr>
              <w:ind w:left="40"/>
              <w:spacing w:after="0"/>
              <w:rPr>
                <w:sz w:val="20"/>
                <w:szCs w:val="20"/>
                <w:color w:val="auto"/>
              </w:rPr>
            </w:pPr>
            <w:r>
              <w:rPr>
                <w:rFonts w:ascii="Arial" w:cs="Arial" w:eastAsia="Arial" w:hAnsi="Arial"/>
                <w:sz w:val="18"/>
                <w:szCs w:val="18"/>
                <w:color w:val="auto"/>
              </w:rPr>
              <w:t>Vectren Corp. Issuer Rating</w:t>
            </w:r>
          </w:p>
        </w:tc>
        <w:tc>
          <w:tcPr>
            <w:tcW w:w="740" w:type="dxa"/>
            <w:vAlign w:val="bottom"/>
          </w:tcPr>
          <w:p>
            <w:pPr>
              <w:jc w:val="center"/>
              <w:ind w:left="153"/>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820" w:type="dxa"/>
            <w:vAlign w:val="bottom"/>
          </w:tcPr>
          <w:p>
            <w:pPr>
              <w:jc w:val="center"/>
              <w:ind w:left="93"/>
              <w:spacing w:after="0"/>
              <w:rPr>
                <w:sz w:val="20"/>
                <w:szCs w:val="20"/>
                <w:color w:val="auto"/>
              </w:rPr>
            </w:pPr>
            <w:r>
              <w:rPr>
                <w:rFonts w:ascii="Arial" w:cs="Arial" w:eastAsia="Arial" w:hAnsi="Arial"/>
                <w:sz w:val="18"/>
                <w:szCs w:val="18"/>
                <w:color w:val="auto"/>
              </w:rPr>
              <w:t>BBB+</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VUHI Senior Unsecured Debt</w:t>
            </w:r>
          </w:p>
        </w:tc>
        <w:tc>
          <w:tcPr>
            <w:tcW w:w="740" w:type="dxa"/>
            <w:vAlign w:val="bottom"/>
            <w:tcBorders>
              <w:bottom w:val="single" w:sz="8" w:color="CCEEFF"/>
            </w:tcBorders>
            <w:shd w:val="clear" w:color="auto" w:fill="CCEEFF"/>
          </w:tcPr>
          <w:p>
            <w:pPr>
              <w:jc w:val="center"/>
              <w:ind w:left="153"/>
              <w:spacing w:after="0"/>
              <w:rPr>
                <w:sz w:val="20"/>
                <w:szCs w:val="20"/>
                <w:color w:val="auto"/>
              </w:rPr>
            </w:pPr>
            <w:r>
              <w:rPr>
                <w:rFonts w:ascii="Arial" w:cs="Arial" w:eastAsia="Arial" w:hAnsi="Arial"/>
                <w:sz w:val="18"/>
                <w:szCs w:val="18"/>
                <w:color w:val="auto"/>
                <w:w w:val="99"/>
              </w:rPr>
              <w:t>A3</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Stable</w:t>
            </w:r>
          </w:p>
        </w:tc>
        <w:tc>
          <w:tcPr>
            <w:tcW w:w="82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rPr>
              <w:t>BBB+</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87"/>
              </w:rPr>
              <w:t>n/a</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CenterPoint Energy</w:t>
            </w:r>
          </w:p>
        </w:tc>
        <w:tc>
          <w:tcPr>
            <w:tcW w:w="2960" w:type="dxa"/>
            <w:vAlign w:val="bottom"/>
            <w:gridSpan w:val="2"/>
          </w:tcPr>
          <w:p>
            <w:pPr>
              <w:ind w:left="40"/>
              <w:spacing w:after="0"/>
              <w:rPr>
                <w:sz w:val="20"/>
                <w:szCs w:val="20"/>
                <w:color w:val="auto"/>
              </w:rPr>
            </w:pPr>
            <w:r>
              <w:rPr>
                <w:rFonts w:ascii="Arial" w:cs="Arial" w:eastAsia="Arial" w:hAnsi="Arial"/>
                <w:sz w:val="18"/>
                <w:szCs w:val="18"/>
                <w:color w:val="auto"/>
              </w:rPr>
              <w:t>Indiana Gas Senior Unsecured Debt</w:t>
            </w:r>
          </w:p>
        </w:tc>
        <w:tc>
          <w:tcPr>
            <w:tcW w:w="740" w:type="dxa"/>
            <w:vAlign w:val="bottom"/>
          </w:tcPr>
          <w:p>
            <w:pPr>
              <w:jc w:val="center"/>
              <w:ind w:left="153"/>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820" w:type="dxa"/>
            <w:vAlign w:val="bottom"/>
          </w:tcPr>
          <w:p>
            <w:pPr>
              <w:jc w:val="center"/>
              <w:ind w:left="93"/>
              <w:spacing w:after="0"/>
              <w:rPr>
                <w:sz w:val="20"/>
                <w:szCs w:val="20"/>
                <w:color w:val="auto"/>
              </w:rPr>
            </w:pPr>
            <w:r>
              <w:rPr>
                <w:rFonts w:ascii="Arial" w:cs="Arial" w:eastAsia="Arial" w:hAnsi="Arial"/>
                <w:sz w:val="18"/>
                <w:szCs w:val="18"/>
                <w:color w:val="auto"/>
              </w:rPr>
              <w:t>BBB+</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CenterPoint Energy</w:t>
            </w:r>
          </w:p>
        </w:tc>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SIGECO Senior Secured Debt</w:t>
            </w:r>
          </w:p>
        </w:tc>
        <w:tc>
          <w:tcPr>
            <w:tcW w:w="740" w:type="dxa"/>
            <w:vAlign w:val="bottom"/>
            <w:tcBorders>
              <w:bottom w:val="single" w:sz="8" w:color="CCEEFF"/>
            </w:tcBorders>
            <w:shd w:val="clear" w:color="auto" w:fill="CCEEFF"/>
          </w:tcPr>
          <w:p>
            <w:pPr>
              <w:jc w:val="center"/>
              <w:ind w:left="153"/>
              <w:spacing w:after="0"/>
              <w:rPr>
                <w:sz w:val="20"/>
                <w:szCs w:val="20"/>
                <w:color w:val="auto"/>
              </w:rPr>
            </w:pPr>
            <w:r>
              <w:rPr>
                <w:rFonts w:ascii="Arial" w:cs="Arial" w:eastAsia="Arial" w:hAnsi="Arial"/>
                <w:sz w:val="18"/>
                <w:szCs w:val="18"/>
                <w:color w:val="auto"/>
                <w:w w:val="99"/>
              </w:rPr>
              <w:t>A1</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Stable</w:t>
            </w:r>
          </w:p>
        </w:tc>
        <w:tc>
          <w:tcPr>
            <w:tcW w:w="82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99"/>
              </w:rPr>
              <w:t>A</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tcBorders>
              <w:bottom w:val="single" w:sz="8" w:color="CCEEFF"/>
            </w:tcBorders>
            <w:shd w:val="clear" w:color="auto" w:fill="CCEEFF"/>
          </w:tcPr>
          <w:p>
            <w:pPr>
              <w:jc w:val="center"/>
              <w:ind w:left="93"/>
              <w:spacing w:after="0"/>
              <w:rPr>
                <w:sz w:val="20"/>
                <w:szCs w:val="20"/>
                <w:color w:val="auto"/>
              </w:rPr>
            </w:pPr>
            <w:r>
              <w:rPr>
                <w:rFonts w:ascii="Arial" w:cs="Arial" w:eastAsia="Arial" w:hAnsi="Arial"/>
                <w:sz w:val="18"/>
                <w:szCs w:val="18"/>
                <w:color w:val="auto"/>
                <w:w w:val="87"/>
              </w:rPr>
              <w:t>n/a</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43"/>
        </w:trPr>
        <w:tc>
          <w:tcPr>
            <w:tcW w:w="1700" w:type="dxa"/>
            <w:vAlign w:val="bottom"/>
            <w:gridSpan w:val="2"/>
          </w:tcPr>
          <w:p>
            <w:pPr>
              <w:ind w:left="40"/>
              <w:spacing w:after="0"/>
              <w:rPr>
                <w:sz w:val="20"/>
                <w:szCs w:val="20"/>
                <w:color w:val="auto"/>
              </w:rPr>
            </w:pPr>
            <w:r>
              <w:rPr>
                <w:rFonts w:ascii="Arial" w:cs="Arial" w:eastAsia="Arial" w:hAnsi="Arial"/>
                <w:sz w:val="18"/>
                <w:szCs w:val="18"/>
                <w:color w:val="auto"/>
              </w:rPr>
              <w:t>Houston Electric</w:t>
            </w:r>
          </w:p>
        </w:tc>
        <w:tc>
          <w:tcPr>
            <w:tcW w:w="2960" w:type="dxa"/>
            <w:vAlign w:val="bottom"/>
            <w:gridSpan w:val="2"/>
          </w:tcPr>
          <w:p>
            <w:pPr>
              <w:ind w:left="40"/>
              <w:spacing w:after="0"/>
              <w:rPr>
                <w:sz w:val="20"/>
                <w:szCs w:val="20"/>
                <w:color w:val="auto"/>
              </w:rPr>
            </w:pPr>
            <w:r>
              <w:rPr>
                <w:rFonts w:ascii="Arial" w:cs="Arial" w:eastAsia="Arial" w:hAnsi="Arial"/>
                <w:sz w:val="18"/>
                <w:szCs w:val="18"/>
                <w:color w:val="auto"/>
                <w:w w:val="95"/>
              </w:rPr>
              <w:t>Houston Electric Senior Secured Debt</w:t>
            </w:r>
          </w:p>
        </w:tc>
        <w:tc>
          <w:tcPr>
            <w:tcW w:w="740" w:type="dxa"/>
            <w:vAlign w:val="bottom"/>
          </w:tcPr>
          <w:p>
            <w:pPr>
              <w:jc w:val="center"/>
              <w:ind w:left="153"/>
              <w:spacing w:after="0"/>
              <w:rPr>
                <w:sz w:val="20"/>
                <w:szCs w:val="20"/>
                <w:color w:val="auto"/>
              </w:rPr>
            </w:pPr>
            <w:r>
              <w:rPr>
                <w:rFonts w:ascii="Arial" w:cs="Arial" w:eastAsia="Arial" w:hAnsi="Arial"/>
                <w:sz w:val="18"/>
                <w:szCs w:val="18"/>
                <w:color w:val="auto"/>
                <w:w w:val="99"/>
              </w:rPr>
              <w:t>A2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Stable</w:t>
            </w:r>
          </w:p>
        </w:tc>
        <w:tc>
          <w:tcPr>
            <w:tcW w:w="820" w:type="dxa"/>
            <w:vAlign w:val="bottom"/>
          </w:tcPr>
          <w:p>
            <w:pPr>
              <w:jc w:val="center"/>
              <w:ind w:left="93"/>
              <w:spacing w:after="0"/>
              <w:rPr>
                <w:sz w:val="20"/>
                <w:szCs w:val="20"/>
                <w:color w:val="auto"/>
              </w:rPr>
            </w:pPr>
            <w:r>
              <w:rPr>
                <w:rFonts w:ascii="Arial" w:cs="Arial" w:eastAsia="Arial" w:hAnsi="Arial"/>
                <w:sz w:val="18"/>
                <w:szCs w:val="18"/>
                <w:color w:val="auto"/>
                <w:w w:val="99"/>
              </w:rPr>
              <w:t>A</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tcPr>
          <w:p>
            <w:pPr>
              <w:jc w:val="center"/>
              <w:ind w:left="93"/>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Negative</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CERC</w:t>
            </w:r>
          </w:p>
        </w:tc>
        <w:tc>
          <w:tcPr>
            <w:tcW w:w="2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CERC Corp. Senior Unsecured Debt</w:t>
            </w:r>
          </w:p>
        </w:tc>
        <w:tc>
          <w:tcPr>
            <w:tcW w:w="74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99"/>
              </w:rPr>
              <w:t>A3</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Stable</w:t>
            </w:r>
          </w:p>
        </w:tc>
        <w:tc>
          <w:tcPr>
            <w:tcW w:w="82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rPr>
              <w:t>BBB+</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Negative</w:t>
            </w:r>
          </w:p>
        </w:tc>
        <w:tc>
          <w:tcPr>
            <w:tcW w:w="80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8"/>
              </w:rPr>
              <w:t>BBB+</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Moody’s rating outlook is an opinion regarding the likely direction of an issuer’s rating over the medium term.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S&amp;P outlook assesses the potential direction of a long-term credit rating over the intermediate to longer term.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Fitch rating outlook indicates the direction a rating is likely to move over a one- to two-year period.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Registrants’ ability to obtain short- and long-term financing, the cost of such financings and the execution of the Registrants’ commercial strategies.</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decline in credit ratings could increase borrowing costs under the Registrants’ revolving credit facilities. If the Registrants’ credit ratings had been downgraded one notch by S&amp;P and Moody’s from the ratings that existed as of June 30, 2020, the impact on the borrowing costs under the five revolving credit facilities would have been immaterial.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Distribution reportable segments.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as much as $197 million as of June 30, 2020. The amount of collateral will depend on seasonal variations in transportation levels.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ZENS and Securities Related to ZENS (CenterPoint Energy)</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continues to increase by the amount of the tax benefit realized each year, and there could be a significant cash outflow when the taxes are paid as a result of the retirement or exchange of the ZENS. If all ZENS had been exchanged for cash on June 30, 2020, deferred taxes of approximately $468 million would have been payable in 2020. If all the ZENS-Related Securities had been sold on June 30, 2020, capital gains taxes of approximately $135 million would have been payable in 2020 based on 2020 tax rates in effect. For additional information about ZENS, see Note 11 to the Interim Condensed Financial Statements.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 Defaults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each of CenterPoint Energy’s, Houston Electric’s and CERC’s respective revolving credit facilities, as well as under CenterPoint Energy’s term loan agreement, a payment default on, or a non-payment default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A default by CenterPoint Energy would not trigger a default under its subsidiaries’ debt instruments or revolving credit facilities.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each of VUHI’s and VCC’s respective revolving credit facilities and term loan agreements, a payment default on, or a non-payment default that permits acceleration of, any indebtedness for borrowed money and certain other specified types of obligations (including guarantees) exceeding $50 million by the borrower, any of their respective subsidiaries or any of the respective guarantors of a credit facility or term loan agreement will cause a default under such borrower’s respective credit facility or term loan agreement.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Possible Acquisitions, Divestitures and Joint Ventures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CenterPoint Energy previously disclosed that it may reduce its ownership in Enable over time through sales in the public equity markets, or otherwise, of the Enable common units it holds, subject to market conditions. CenterPoint Energy has no intention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reduce its ownership of Enable common units and currently plans to hold such Enable common units and to utilize any cash distributions received on such Enable common units to finance a portion of CenterPoint Energy’s capital expenditure program. CenterPoint Energy may consider or alter its plans or proposals in respect of any such plans in the future.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Enable Midstream Partners (CenterPoint Energy)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CenterPoint Energy receives quarterly cash distributions from Enable on its common units and Enable Series A Preferred Units. A reduction in the cash distributions CenterPoint Energy receives from Enable could significantly impact CenterPoint Energy’s liquidity. For additional information about cash distributions from Enable, see Notes 9 and 20 to the Interim Condensed Financial Statements.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Hedging of Interest Expense for Future Debt Issuances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From time to time, the Registrants may enter into interest rate agreements to hedge, in part, volatility in the U.S. treasury rates by reducing variability in cash flows related to interest payments. For further information, see Note 7(a) to the Interim Condensed Financial Statements.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Weather Hedge (CenterPoint Energy and CERC)</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CenterPoint Energy and CERC have historically entered into partial weather hedges for certain NGD jurisdictions and electric operations’ Texas service territory to mitigate the impact of fluctuations from normal weather. CenterPoint Energy and CERC remain exposed to some weather risk as a result of the partial hedges. For more information about weather hedges, see Note 7(a) to the Interim Condensed Financial Statements.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Collection of Receivables from REPs (CenterPoint Energy and Houston Electric)</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Factors that Could Affect Cash Requirements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above factors, the Registrants’ liquidity and capital resources could also be negatively affected by:</w:t>
      </w:r>
    </w:p>
    <w:p>
      <w:pPr>
        <w:spacing w:after="0" w:line="225"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reductions in the cash distributions we receive from Enable;</w:t>
      </w:r>
    </w:p>
    <w:p>
      <w:pPr>
        <w:spacing w:after="0" w:line="22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cash collateral requirements that could exist in connection with certain contracts, including weather hedging arrangements, and natural gas purchases, natural gas price and natural gas storage activities of CenterPoint Energy’s and CERC’s Natural Gas Distribution reportable segment;</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acceleration of payment dates on certain gas supply contracts, under certain circumstances, as a result of increased natural gas prices and concentration of natural gas suppliers (CenterPoint Energy and CERC);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increased costs related to the acquisition of natural gas (CenterPoint Energy and CERC);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increases in interest expense in connection with debt refinancings and borrowings under credit facilities or term loans;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various legislative or regulatory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incremental collateral, if any, that may be required due to regulation of derivatives (CenterPoint Energy);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formerly known as TCEH Corp., to satisfy their obligations to CenterPoint Energy and Houston Electric, including the negative impact on such ability related to COVID-19;</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slower customer payments and increased write-offs of receivables due to higher natural gas prices, changing economic conditions or COVID-19 (CenterPoint Energy and CERC);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satisfaction of any obligations pursuant to guarantees;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contributions to pension and postretirement benefit plans;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restoration costs and revenue losses resulting from future natural disasters such as hurricanes and the timing of recovery of such restoration costs;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7"/>
        </w:numPr>
        <w:rPr>
          <w:rFonts w:ascii="Arial" w:cs="Arial" w:eastAsia="Arial" w:hAnsi="Arial"/>
          <w:sz w:val="18"/>
          <w:szCs w:val="18"/>
          <w:color w:val="0000EE"/>
        </w:rPr>
      </w:pPr>
      <w:hyperlink w:anchor="page112">
        <w:r>
          <w:rPr>
            <w:rFonts w:ascii="Arial" w:cs="Arial" w:eastAsia="Arial" w:hAnsi="Arial"/>
            <w:sz w:val="18"/>
            <w:szCs w:val="18"/>
            <w:color w:val="auto"/>
          </w:rPr>
          <w:t xml:space="preserve">various other risks identified in “Risk Factors” in </w:t>
        </w:r>
        <w:r>
          <w:rPr>
            <w:rFonts w:ascii="Arial" w:cs="Arial" w:eastAsia="Arial" w:hAnsi="Arial"/>
            <w:sz w:val="18"/>
            <w:szCs w:val="18"/>
            <w:u w:val="single" w:color="auto"/>
            <w:color w:val="0000EE"/>
          </w:rPr>
          <w:t>Item 1A of Part I of the Registrants’ combined 2019 Form 10-K</w:t>
        </w:r>
        <w:r>
          <w:rPr>
            <w:rFonts w:ascii="Arial" w:cs="Arial" w:eastAsia="Arial" w:hAnsi="Arial"/>
            <w:sz w:val="18"/>
            <w:szCs w:val="18"/>
            <w:color w:val="auto"/>
          </w:rPr>
          <w:t xml:space="preserve"> and in </w:t>
        </w:r>
        <w:r>
          <w:rPr>
            <w:rFonts w:ascii="Arial" w:cs="Arial" w:eastAsia="Arial" w:hAnsi="Arial"/>
            <w:sz w:val="18"/>
            <w:szCs w:val="18"/>
            <w:u w:val="single" w:color="auto"/>
            <w:color w:val="0000EE"/>
          </w:rPr>
          <w:t>Item 1A of Part II of this</w:t>
        </w:r>
      </w:hyperlink>
      <w:r>
        <w:rPr>
          <w:rFonts w:ascii="Arial" w:cs="Arial" w:eastAsia="Arial" w:hAnsi="Arial"/>
          <w:sz w:val="18"/>
          <w:szCs w:val="18"/>
          <w:color w:val="auto"/>
        </w:rPr>
        <w:t xml:space="preserve"> </w:t>
      </w:r>
      <w:hyperlink w:anchor="page112">
        <w:r>
          <w:rPr>
            <w:rFonts w:ascii="Arial" w:cs="Arial" w:eastAsia="Arial" w:hAnsi="Arial"/>
            <w:sz w:val="18"/>
            <w:szCs w:val="18"/>
            <w:u w:val="single" w:color="auto"/>
            <w:color w:val="0000EE"/>
          </w:rPr>
          <w:t>Form 10-Q</w:t>
        </w:r>
        <w:r>
          <w:rPr>
            <w:rFonts w:ascii="Arial" w:cs="Arial" w:eastAsia="Arial" w:hAnsi="Arial"/>
            <w:sz w:val="18"/>
            <w:szCs w:val="18"/>
            <w:color w:val="000000"/>
          </w:rPr>
          <w:t>.</w:t>
        </w:r>
      </w:hyperlink>
    </w:p>
    <w:p>
      <w:pPr>
        <w:spacing w:after="0" w:line="170" w:lineRule="exact"/>
        <w:rPr>
          <w:rFonts w:ascii="Arial" w:cs="Arial" w:eastAsia="Arial" w:hAnsi="Arial"/>
          <w:sz w:val="18"/>
          <w:szCs w:val="18"/>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Contractual Limits on Our Ability to Issue Securities and Borrow Money</w:t>
      </w:r>
    </w:p>
    <w:p>
      <w:pPr>
        <w:spacing w:after="0" w:line="225" w:lineRule="exact"/>
        <w:rPr>
          <w:rFonts w:ascii="Arial" w:cs="Arial" w:eastAsia="Arial" w:hAnsi="Arial"/>
          <w:sz w:val="18"/>
          <w:szCs w:val="18"/>
          <w:color w:val="auto"/>
        </w:rPr>
      </w:pPr>
    </w:p>
    <w:p>
      <w:pPr>
        <w:jc w:val="both"/>
        <w:ind w:firstLine="324"/>
        <w:spacing w:after="0" w:line="263" w:lineRule="auto"/>
        <w:rPr>
          <w:sz w:val="20"/>
          <w:szCs w:val="20"/>
          <w:color w:val="auto"/>
        </w:rPr>
      </w:pPr>
      <w:r>
        <w:rPr>
          <w:rFonts w:ascii="Arial" w:cs="Arial" w:eastAsia="Arial" w:hAnsi="Arial"/>
          <w:sz w:val="18"/>
          <w:szCs w:val="18"/>
          <w:color w:val="auto"/>
        </w:rPr>
        <w:t>Houston Electric has contractually agreed that it will not issue additional first mortgage bonds, subject to certain exceptions. For information about the total debt to capitalization financial covenants in the Registrants’ and certain of CenterPoint Energy’s subsidiaries’ revolving credit facilities, see Note 12 to the Interim Condensed Financial Statements.</w:t>
      </w:r>
    </w:p>
    <w:p>
      <w:pPr>
        <w:spacing w:after="0" w:line="18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25" w:lineRule="exact"/>
        <w:rPr>
          <w:rFonts w:ascii="Arial" w:cs="Arial" w:eastAsia="Arial" w:hAnsi="Arial"/>
          <w:sz w:val="18"/>
          <w:szCs w:val="18"/>
          <w:color w:val="auto"/>
        </w:rPr>
      </w:pPr>
    </w:p>
    <w:p>
      <w:pPr>
        <w:jc w:val="both"/>
        <w:spacing w:after="0" w:line="282" w:lineRule="auto"/>
        <w:rPr>
          <w:sz w:val="20"/>
          <w:szCs w:val="20"/>
          <w:color w:val="auto"/>
        </w:rPr>
      </w:pPr>
      <w:r>
        <w:rPr>
          <w:rFonts w:ascii="Arial" w:cs="Arial" w:eastAsia="Arial" w:hAnsi="Arial"/>
          <w:sz w:val="18"/>
          <w:szCs w:val="18"/>
          <w:b w:val="1"/>
          <w:bCs w:val="1"/>
          <w:color w:val="auto"/>
        </w:rPr>
        <w:t>Impairment of Long-Lived Assets, Including Identifiable Intangibles, Goodwill, Equity Method Investments, and Investments without a Readily Determinable Fair Value</w:t>
      </w:r>
    </w:p>
    <w:p>
      <w:pPr>
        <w:spacing w:after="0" w:line="166" w:lineRule="exact"/>
        <w:rPr>
          <w:rFonts w:ascii="Arial" w:cs="Arial" w:eastAsia="Arial" w:hAnsi="Arial"/>
          <w:sz w:val="18"/>
          <w:szCs w:val="18"/>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Registrants review the carrying value of long-lived assets, including identifiable intangibles, goodwill, equity method investments, and investments without a readily determinable fair value whenever events or changes in circumstances indicate that such carrying values may not be recoverable, and at least annually, goodwill is tested for impairment as required by accounting guidance for goodwill and other intangible assets. Unforeseen events, changes in market conditions, and probable regulatory disallowances, where applicable, could have a material effect on the value of long-lived assets, including intangibles, goodwill, equity method investments, and investments without a readily determinable fair value due to changes in observable or estimated market value, future cash flows, interest rate, and regulatory matters could result in an impairment charge.</w:t>
      </w:r>
    </w:p>
    <w:p>
      <w:pPr>
        <w:spacing w:after="0" w:line="178" w:lineRule="exact"/>
        <w:rPr>
          <w:rFonts w:ascii="Arial" w:cs="Arial" w:eastAsia="Arial" w:hAnsi="Arial"/>
          <w:sz w:val="18"/>
          <w:szCs w:val="18"/>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its preparation of the financial statements for the three months ended March 31, 2020, CenterPoint Energy and CERC identified triggering events to perform interim goodwill impairment tests for each of their reporting units due to the macroeconomic conditions resulting from the COVID-19 pandemic and the related decline in CenterPoint Energy’s common stock price. CenterPoint Energy recognized goodwill impairment losses, discussed below, during the six months ended June 30, 2020, and CERC recorded no impairments to goodwill within continuing operations during the three months ended March 31, 2020. CenterPoint Energy and CERC did not identify triggering events in the three months ended June 30, 2020, and goodwill impairment or long-lived asset impairments tests were not required or performed.</w:t>
      </w:r>
    </w:p>
    <w:p>
      <w:pPr>
        <w:spacing w:after="0" w:line="192" w:lineRule="exact"/>
        <w:rPr>
          <w:rFonts w:ascii="Arial" w:cs="Arial" w:eastAsia="Arial" w:hAnsi="Arial"/>
          <w:sz w:val="18"/>
          <w:szCs w:val="18"/>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the amount at which an asset, liability or business could be bought or sold in a current transaction between willing parties and may be estimated using a number of techniques, including quoted market prices or valuations by third parties, present value techniques based on estimates of cash flows, or multiples of earnings or revenue performance measures. The fair value could be different using different estimates and assumptions in these valuation techniques.</w:t>
      </w:r>
    </w:p>
    <w:p>
      <w:pPr>
        <w:spacing w:after="0" w:line="187" w:lineRule="exact"/>
        <w:rPr>
          <w:rFonts w:ascii="Arial" w:cs="Arial" w:eastAsia="Arial" w:hAnsi="Arial"/>
          <w:sz w:val="18"/>
          <w:szCs w:val="18"/>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measurements require significant judgment and unobservable inputs, including (i) projected timing and amount of future cash flows, which factor in planned growth initiatives, (ii) the regulatory environment, as applicable, and (iii) discount rates reflecting risk inherent in the current and future market prices. Determining the discount rates requires the estimation of the appropriate company specific risk premiums for those businesses based on evaluation of industry and entity-specific risks, which includes expectations about future market or economic conditions and reflects the risk demonstrated by market participants through</w:t>
      </w:r>
    </w:p>
    <w:p>
      <w:pPr>
        <w:spacing w:after="0" w:line="18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value of CenterPoint Energy’s common stock price as of the impairment test date. Changes in these assumptions could have a significant impact on results of the impairment tests. CenterPoint Energy and CERC utilized a third-party valuation specialist to determine the key assumptions used in the estimate of fair value for each of their respective reporting units on the date of their goodwill impairment tests and for CenterPoint Energy the fair value of each of its reporting units is reconciled to its market capitalization based on the price of CenterPoint Energy’s common stock.</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Interim goodwill impairment test, excluding assets held for sale</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CenterPoint Energy and CERC performed an interim goodwill impairment test as of March 31, 2020. The fair value of each reporting unit was derived using an income approach or a weighted combination of income and market approaches. Based on the results of the test, CenterPoint Energy recorded a goodwill impairment loss of $185 million at its Indiana Electric Integrated reporting unit. CERC recorded no goodwill impairment charge in its continuing operations for the three months ended March 31, 2020.</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values of each reporting unit exceeded the carrying value of the reporting unit, with the exception of CenterPoint Energy’s Indiana Electric Integrated reporting unit. As of March 31, 2020, subsequent to the impairment loss recorded by CenterPoint Energy in the three months ended March 31, 2020, Indiana Electric Integrated reporting unit’s fair value approximated its carrying value, and the reporting unit had total goodwill of $936 million. The reporting unit is comprised entirely of businesses acquired in the Merger on February 1, 2019, when the carrying value of the acquired assets and liabilities were adjusted to fair value and as a result presented the greatest risk for impairment. The primary driver for the decline in fair value as of the March 31, 2020 interim goodwill impairment test date is an increase in discounts rates, or the weighted average cost of capital of market participants, on the rate regulated reporting units due in part to the decline in current macroeconomic conditions from July 1, 2019, the previous annual testing date, to March 31, 2020.</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interim goodwill impairment test could be triggered and goodwill impairments recorded in future periods by CenterPoint Energy or CERC’s reporting units due to any of the following: CenterPoint Energy’s market capitalization falling below book value, adverse macroeconomic environment, turnover in key personnel, events affecting a reporting unit such as a contemplated disposal of all or part of a reporting unit, actual earnings results that are materially lower than expected, significant adverse changes in the operating or regulatory environment, or changes in discount rates or other key assumptions that require judgment and are forward looking in nature. CenterPoint Energy and CERC did not identify interim goodwill impairment triggers as of June 30, 2020.</w:t>
      </w:r>
    </w:p>
    <w:p>
      <w:pPr>
        <w:spacing w:after="0" w:line="192" w:lineRule="exact"/>
        <w:rPr>
          <w:sz w:val="20"/>
          <w:szCs w:val="20"/>
          <w:color w:val="auto"/>
        </w:rPr>
      </w:pPr>
    </w:p>
    <w:p>
      <w:pPr>
        <w:jc w:val="center"/>
        <w:ind w:right="4500"/>
        <w:spacing w:after="0"/>
        <w:rPr>
          <w:sz w:val="20"/>
          <w:szCs w:val="20"/>
          <w:color w:val="auto"/>
        </w:rPr>
      </w:pPr>
      <w:r>
        <w:rPr>
          <w:rFonts w:ascii="Arial" w:cs="Arial" w:eastAsia="Arial" w:hAnsi="Arial"/>
          <w:sz w:val="18"/>
          <w:szCs w:val="18"/>
          <w:color w:val="auto"/>
        </w:rPr>
        <w:t>For further information, see Note 10 to the Interim Condensed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Assets held for sale and discontinued operations, Infrastructure Services Disposal Group</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Generally, a long-lived asset to be sold is classified as held for sale in the period in which management, with approval from the Board of Directors, as applicable, commits to a plan to sell, and a sale is expected to be completed within one year. The Registrants record assets and liabilities held for sale, or the disposal group, at the lower of their carrying value or their estimated fair value less cost to sell. 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 business. A disposal group that meets the held for sale criteria and also represents a strategic shift to the Registrant is also reflected as discontinued operations on the Statements of Consolidated Income, and prior periods are recast to reflect the earnings or losses from such businesses as income from discontinued operations, net of tax.</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3, 2020, CenterPoint Energy, through its subsidiary VUSI, entered into the Securities Purchase Agreement to sell the Infrastructure Services Disposal Group. The transaction closed on April 9, 2020.</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2020, certain assets and liabilities representing the Infrastructure Services Disposal Group met the held for sale criteria and represented all of the businesses within the reporting unit. In accordance with the Securities Purchase Agreement, VISCO was converted from a wholly-owned corporation to a limited liability company that was disregarded for federal income tax purposes immediately prior to the closing of the transaction resulting in the sale of membership units. The sale was considered an asset sale for tax purposes, requiring the net deferred tax liabilities of approximately $127 million as of April 9, 2020, the date the transaction closed, to be recognized as a deferred income tax benefit by CenterPoint Energy. The deferred income tax liabilities were recognized as an income tax benefit by CenterPoint Energy upon closing the transaction in the three months ended June 30, 2020. Additionally, CenterPoint Energy recognized current tax expense of $159 million as a result of the cash taxes payable upon sale.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Upon classifying the Infrastructure Services Disposal Group as held for sale and in connection with the preparation of the Registrants’ financial statements for the three months ended March 31, 2020, CenterPoint Energy recorded a goodwill impairment of approximately $82 million, plus an additional loss of $14 million for cost to sell. CenterPoint Energy recognized a pre-tax gain of $3 million in connection with the closing of the transaction of the Infrastructure Services Disposal Group during the three months ended June 30, 2020. In connection with the closing of the transaction and as of June 30, 2020, CenterPoint Energy recorded a receivable from PowerTeam Services for working capital and other customary adjustments set forth in the Securities Purchase Agreement, and a gain or loss on sale in future periods may be incurred by CenterPoint Energy for differences between the estimated receivable as of June 30, 2020 and the actual amount of the payment.</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the Infrastructure Services Disposal Group met the held for sale criteria and also represents a strategic shift to CenterPoint Energy, it is reflected as discontinued operations on CenterPoint Energy’s Statements of Consolidated Income, and as a result, prior periods have been recast to reflect the earnings or losses from such businesses as income from discontinued operations, net of tax.</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Assets held for sale and discontinued operations, Energy Services Disposal Group</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24, 2020, CenterPoint Energy, through its subsidiary CERC Corp., entered into the Equity Purchase Agreement to sell the Energy Services Disposal Group. This transaction does not include CEIP and its assets or MES. The transaction closed on June 1, 2020.</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2020, certain assets and liabilities representing the Energy Services Disposal Group met the criteria to be classified as held for sale and represented substantially all of the businesses within the reporting unit. In accordance with the Equity Purchase Agreement, CES was converted from a wholly-owned corporation to a limited liability company that was disregarded for federal income tax purposes immediately prior to the closing of the transaction resulting in the sale of membership units. The sale was considered an asset sale for tax purposes, requiring the net deferred tax liability of approximately $3 million as of June 1, 2020, the date the transaction closed, to be recognized as a deferred tax benefit by CenterPoint Energy and CERC upon closing. The deferred income tax liability was recognized as an income tax benefit by CenterPoint Energy and CERC upon closing the transaction in the three months ended June 30, 2020. Additionally, CenterPoint Energy and CERC recognized current tax expense of $3 million as a result of the cash taxes payable upon sale.</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Upon classifying the Energy Services Disposal Group as held for sale and in connection with the preparation of the Registrants’ financial statements for the three months ended March 31, 2020, CenterPoint Energy recorded a goodwill impairment loss of approximately $62 million and a loss on assets held for sale of approximately $70 million, plus an additional loss of $6 million for cost to sell recorded only at CenterPoint Energy. CenterPoint Energy and CERC disclosed in its 2019 Form 10-K that an anticipated loss on held for sale of $80 million was expected in the three months ended March 31, 2020. The primary driver for the increase in the actual impairment recorded by CenterPoint Energy and CERC in the three months ended March 31, 2020 compared to the amounts previously anticipated is a result of an increase in portions of the derivative assets, net of derivative liabilities, excluded from the working capital adjustment within the Equity Purchase Agreement during the three months ended March 31, 2020. CenterPoint Energy recognized a reduction to the loss on classification to held for sale of $39 million in connection with the closing of the sale of the Energy Services Disposal Group during the three months ended June 30, 2020. In connection with the closing of the sale and as of June 30, 2020, CenterPoint Energy and CERC recorded a receivable from Symmetry Energy Solutions Acquisition for customary adjustments set forth in the Equity Purchase Agreement, and a gain or loss on sale in future periods may be incurred by CenterPoint Energy and CERC for differences between the estimated receivable as of June 30, 2020 and the actual amount of the payment.</w:t>
      </w:r>
    </w:p>
    <w:p>
      <w:pPr>
        <w:spacing w:after="0" w:line="1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the Energy Services Disposal Group met the held for sale criteria and also represents a strategic shift to CenterPoint Energy and CERC, it is reflected as discontinued operations on CenterPoint Energy’s and CERC’s Statements of Consolidated Income, and prior periods have been recast to reflect the earnings or losses from such businesses as income from discontinued operations, net of tax.</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information, see Note 3 to the Interim Condensed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Method Investments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Equity method investments are evaluated for impairment when factors indicate that a decrease in value of an investment has occurred and the carrying amount of the investment may not be recoverable. An impairment loss, based on the excess of the carrying value over the best estimate of fair value of the investment, is recognized in earnings when an impairment is deemed to be other than temporary. Considerable judgment is used in determining if an impairment loss is other than temporary and the amount of any impairment. Based on the severity of the decline in Enable’s common unit price during the three months ended March 31, 2020 due to the macroeconomic conditions related in part to the COVID-19 pandemic, combined with Enable’s announcement 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April 1, 2020 to reduce its quarterly distributions per common unit by 50%, and the market outlook indicating excess supply and continued depressed crude oil and natural gas prices impacting the midstream oil and gas industry, CenterPoint Energy determined, in connection with its preparation of its financial statements for the three months ended March 31, 2020, that an other than temporary decrease in the value of its investment in Enable had occurred. CenterPoint Energy wrote down the value of its investment in Enable to its estimated fair value of $848 million and recognized an impairment charge of $1,541 million during the three months ended March 31, 2020. Both the income approach and market approach were utilized to estimate the fair value of CenterPoint Energy’s equity investment in Enable, which includes common units, general partner interest, and incentive distribution rights held by CenterPoint Energy through CNP Midstream. The determination of fair value considered a number of relevant factors including Enable’s common unit price and forecasted distributions, recent comparable transactions and the limited float of Enable’s publicly traded common units. CenterPoint Energy did not identify a decrease in value as of June 30, 2020, and no impairments in its investment in Enable were recorded during the three months ended June 30, 2020.</w:t>
      </w:r>
    </w:p>
    <w:p>
      <w:pPr>
        <w:spacing w:after="0" w:line="19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Key assumptions in the market approach include recent market transactions of comparable companies and EBITDA to total enterprise multiples for comparable companies. Due to volatility of the quoted price of Enable’s units, a volume weighted average price was used under the market approach to best approximate fair value at the measurement date. Key assumptions in the income approach include Enable’s forecasted cash distributions, projected cash flows of incentive distribution rights, forecasted growth rate of Enable’s cash distributions beyond 2020, and the discount rate used to determine the present value of the estimated future cash flows. A weighing of the different approaches was utilized to determine the estimated fair value of our investment in Enable. CenterPoint Energy based its assumptions on projected financial information that it believes is reasonable; however, actual results may differ materially from those projections. It is reasonably possible that the fair value of CenterPoint Energy’s investment in Enable will change in the near term due to the following: actual Enable cash distribution is materially lower than expected, significant adverse changes in Enable’s operating environment, decline in Enable’s common unit price, increase in the discount rate, and changes in other key assumptions which require judgment and/or are forward looking in nature. Further declines in the fair value of Enable could result in additional impairments.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information, see Note 9 to the Interim Condensed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 to the Interim Condensed Financial Statements, incorporated herein by reference, for a discussion of new accounting pronouncements that affect the Registrants.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SIGNIFICANT MATTERS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significant uncertainties related to the COVID-19 pandemic and actions taken to mitigate it have had and are expected to continue to have an adverse impact on the economies and financial markets of many countries. While it is unknown how long these conditions will last and what the complete financial effect will be, the plan assets and benefit obligations of our pension and postretirement plans are expected to be negatively impacted when these plans are re-measured, generally, at year-end, resulting in a decline in the funded status. During the six months ended June 30, 2020, the pension plan assets declined by approximately $8 million or 0.4% from December 31, 2019. A decline in the funded status of our pension plans as of December 31, 2020 could result in an increase in plan expenses and minimum required contributions for the subsequent years from the historical amounts. Currently, we do not expect the event to impact the disclosed 2020 plan expenses or minimum required contributions.</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(CenterPoint Energy)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2020, CenterPoint Energy had outstanding long-term debt, lease obligations and obligations under its ZENS that subject it to the risk of loss associated with movements in market interest rates.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CenterPoint Energy’s floating rate obligations aggregated $1.6 billion and $3.9 billion as of June 30, 2020 and December 31, 2019, respectively. If the floating interest rates were to increase by 10% from June 30, 2020 rates, CenterPoint Energy’s combined interest expense would increase by approximately $1 million annually.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June 30, 2020 and December 31, 2019, CenterPoint Energy had outstanding fixed-rate debt (excluding indexed debt securities) aggregating $11.3 billion and $11.2 billion, respectively, in principal amount and having a fair value of $12.9 billion and $12.2 billion, respectively. Because these instruments are fixed-rate, they do not expose CenterPoint Energy to the risk of loss in earnings due to changes in market interest rates. However, the fair value of these instruments would increase by approximately $312 million if interest rates were to decline by 10% from levels at June 30, 2020. In general, such an increase in fair value would impact earnings and cash flows only if CenterPoint Energy were to reacquire all or a portion of these instruments in the open market prior to their maturity.</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ZENS obligation is bifurcated into a debt component and a derivative component. The debt component of $17 million as of June 30, 2020 was a fixed-rate obligation and, therefore, did not expose CenterPoint Energy to the risk of loss in earnings due to changes in market interest rates. However, the fair value of the debt component would increase by approximately $2 million if interest rates were to decline by 10% from levels at June 30, 2020. Changes in the fair value of the derivative component, a $835 million recorded liability at June 30, 2020,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June 30, 2020 levels, the fair value of the derivative component liability would decrease by less than $1 million, which would be recorded as an unrealized gain in CenterPoint Energy’s Condensed Statements of Consolidated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Market Value Risk (CenterPoint Energy)</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CenterPoint Energy is exposed to equity market value risk through its ownership of 10.2 million shares of AT&amp;T Common and 0.9 million shares of Charter Common, which CenterPoint Energy holds to facilitate its ability to meet its obligations under the ZENS. See Note 11 to the condensed consolidated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June 30, 2020 aggregate market value of these shares would result in a net loss of less than $1 million, which would be recorded as an unrealized loss in CenterPoint Energy’s Condensed Statements of Consolidated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From Non-Trading Activities (CenterPoint Energy)</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CenterPoint Energy’s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June 30, 2020, the recorded fair value of non-trading energy derivative liabilities was $18 million for CenterPoint Energy’s utility natural gas operations in Indiana, which is offset by a regulatory asset.</w:t>
      </w:r>
    </w:p>
    <w:p>
      <w:pPr>
        <w:spacing w:after="0" w:line="1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CenterPoint Energy’s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Ohio natural gas service territory, allowing Ohio customers to purchase substantially all natural gas directly from retail marketers rather than from CenterPoint Energy.</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June 30, 2020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has been no change in the Registrants’ internal controls over financial reporting that occurred during the three months ended June 30, 2020 that has materially affected, or is reasonably likely to materially affect, the Registrants’ internal controls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a description of certain legal and regulatory proceedings, please read Note 14(d)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r>
        <w:rPr>
          <w:rFonts w:ascii="Arial" w:cs="Arial" w:eastAsia="Arial" w:hAnsi="Arial"/>
          <w:sz w:val="18"/>
          <w:szCs w:val="18"/>
          <w:u w:val="single" w:color="auto"/>
          <w:color w:val="0000EE"/>
        </w:rPr>
        <w:t>Business — Regulation” and “— Environmental</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Matters</w:t>
      </w:r>
      <w:r>
        <w:rPr>
          <w:rFonts w:ascii="Arial" w:cs="Arial" w:eastAsia="Arial" w:hAnsi="Arial"/>
          <w:sz w:val="18"/>
          <w:szCs w:val="18"/>
          <w:color w:val="000000"/>
        </w:rPr>
        <w:t>” in Item 1 and “</w:t>
      </w:r>
      <w:r>
        <w:rPr>
          <w:rFonts w:ascii="Arial" w:cs="Arial" w:eastAsia="Arial" w:hAnsi="Arial"/>
          <w:sz w:val="18"/>
          <w:szCs w:val="18"/>
          <w:u w:val="single" w:color="auto"/>
          <w:color w:val="0000EE"/>
        </w:rPr>
        <w:t>Legal Proceedings</w:t>
      </w:r>
      <w:r>
        <w:rPr>
          <w:rFonts w:ascii="Arial" w:cs="Arial" w:eastAsia="Arial" w:hAnsi="Arial"/>
          <w:sz w:val="18"/>
          <w:szCs w:val="18"/>
          <w:color w:val="000000"/>
        </w:rPr>
        <w:t>” in Item 3 of the Registrants’ combined 2019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Please see below the new risk factors affecting the Registrants’ businesses and CenterPoint Energy’s investment in Enable, in addition to those discussed in “Risk Factors” in Item 1A of Part I of the combined 2019 Form 10-K, which could materially affect the Registrants’ financial condition or future results. Except for the updates below, there have been no material changes from the risk factors disclosed in the Registrants’ combined 2019 Form 10-K.</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212529"/>
        </w:rPr>
        <w:t>We face risks related to COVID-19 and other health epidemics and outbreaks, including economic, regulatory, legal, workforce and cyber security risks, which could adversely impact our financial condition, results of operations, cash flows and liquidity.</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COVID-19 pandemic is a rapidly evolving situation that is adversely affecting current global economic activities and conditions. An extended slowdown of economic growth, decreased demand for commodities and/or material changes in governmental or regulatory policy in the United States has resulted in, and could continue to result in, lower growth, including customer growth, and reduced demand for and usage of electricity and natural gas in our service territories as customer facilities close, remain closed or potentially close again. We have experienced reduced demand and usage among our electric and natural gas commercial and industrial customers, as well as a decrease in revenues from disconnections and reconnections due to the disconnect moratorium across our service territories due to COVID-19. The ability of our customers, contractors and suppliers to meet their obligations to us, including payment obligations, has also been negatively affected under the current economic conditions. Furthermore, while we have not experienced significant disruptions or challenges with respect to our supply chain from the COVID-19 pandemic, to the extent we experience such disruptions in our supply chain that limit our ability to obtain materials and equipment necessary for our businesses, whether through delayed order fulfillment, limited production or unavailability due to COVID-19, we may be unable to perform our operations timely or as anticipated, which could result in service or construction delays or increased costs.</w:t>
      </w:r>
    </w:p>
    <w:p>
      <w:pPr>
        <w:spacing w:after="0" w:line="18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For Houston Electric, we are following PUCT orders regarding disconnection practices related to those customers impacted by COVID-19. These PUCT orders provide for suspended disconnections for certain residential customers as well as for their REPs and utilities to be compensated through a temporary rider charged by utilities, including Houston Electric, applicable to all customers. Additionally, the PUCT orders allow for certain utility costs related to COVID-19 to be placed in a regulatory asset for utilities to seek recovery in the future. As adverse economic conditions continue, REPs could encounter financial difficulties, including bankruptcies, which could impair their ability to pay for Houston Electric’s services or could cause them to delay such payments. In April 2020, one of Houston Electric’s REPs filed for bankruptcy due to COVID-19. Although this bankruptcy did not negatively impact Houston Electric as it recovered its outstanding account balance, further bankruptcies of REPs could adversely affect Houston Electric’s cash flows and liquidity. In our NGD service territories and for Indiana Electric, we have informed customers that disconnections for non-payment have been temporarily suspended and in certain service territories continue to be temporarily suspended. Consequently, as a result of the disconnect moratorium across our NGD service territories and other payment deferrals or arrangements, days outstanding on receivables and uncollectible accounts have increased, resulting in an increase to allowance for doubtful accounts. To the extent these conditions in our service territories persist, our bad debt expense from uncollectible accounts could continue to increase, negatively impacting our financial condition, results of operations and cash flows. Our NGD service territories and Indiana Electric have either (1) received authority from their public utility commissions to defer bad debt expense associated with COVID-19 as a regulatory asset or (2) exercised existing authority to recover bad debt expense through an existing tracking mechanism. CenterPoint Energy and CERC have recorded estimated incremental uncollectible receivables to the associated regulatory asset of $11 million and $9 million, respectively, as of June 30, 2020. Additionally, our state and local regulatory agencies, in response to a federal mandate or otherwise, could impose restrictions on the rates we charge to provide our services, including the inability to implement approved rates, or delay actions with respect to our rate cases and filings. The COVID-19 pandemic may affect our ability to timely satisfy regulatory requirements such as recordkeeping and/or timely reporting requirements.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Furthermore, </w:t>
      </w:r>
      <w:r>
        <w:rPr>
          <w:rFonts w:ascii="Arial" w:cs="Arial" w:eastAsia="Arial" w:hAnsi="Arial"/>
          <w:sz w:val="17"/>
          <w:szCs w:val="17"/>
          <w:color w:val="212529"/>
        </w:rPr>
        <w:t>in the event a substantial portion of our workforce were to be impacted by COVID-19 for an extended period of time, we may face</w:t>
      </w:r>
      <w:r>
        <w:rPr>
          <w:rFonts w:ascii="Arial" w:cs="Arial" w:eastAsia="Arial" w:hAnsi="Arial"/>
          <w:sz w:val="17"/>
          <w:szCs w:val="17"/>
          <w:color w:val="auto"/>
        </w:rPr>
        <w:t xml:space="preserve"> </w:t>
      </w:r>
      <w:r>
        <w:rPr>
          <w:rFonts w:ascii="Arial" w:cs="Arial" w:eastAsia="Arial" w:hAnsi="Arial"/>
          <w:sz w:val="17"/>
          <w:szCs w:val="17"/>
          <w:color w:val="212529"/>
        </w:rPr>
        <w:t xml:space="preserve">challenges with respect to our services or operations and we may not be able to execute our capital plan as anticipated. </w:t>
      </w:r>
      <w:r>
        <w:rPr>
          <w:rFonts w:ascii="Arial" w:cs="Arial" w:eastAsia="Arial" w:hAnsi="Arial"/>
          <w:sz w:val="17"/>
          <w:szCs w:val="17"/>
          <w:color w:val="000000"/>
        </w:rPr>
        <w:t>There is considerable uncertainty</w:t>
      </w:r>
      <w:r>
        <w:rPr>
          <w:rFonts w:ascii="Arial" w:cs="Arial" w:eastAsia="Arial" w:hAnsi="Arial"/>
          <w:sz w:val="17"/>
          <w:szCs w:val="17"/>
          <w:color w:val="212529"/>
        </w:rPr>
        <w:t xml:space="preserve"> </w:t>
      </w:r>
      <w:r>
        <w:rPr>
          <w:rFonts w:ascii="Arial" w:cs="Arial" w:eastAsia="Arial" w:hAnsi="Arial"/>
          <w:sz w:val="17"/>
          <w:szCs w:val="17"/>
          <w:color w:val="000000"/>
        </w:rPr>
        <w:t>regarding the extent to which COVID-19 will continue to spread and the extent and duration of governmental and other measures implemented to try to slow the spread of COVID-19, such as large-scale travel bans and restrictions, border closures, quarantines, shelter-in-place orders and business and government shutdowns. Restrictions of this nature have caused, and may continue to cause, us, our suppliers and other business counterparties to experience operational delays, shortages of employees, facility shutdowns or business closures. We have modified certain business and workforce practices (including those related to employee travel, employee work locations and participation in meetings, events and conferences) to conform to government restrictions and best practices encouraged by governmental and regulatory authorities. However, the quarantine of personnel or the inability to access our facilities or customer sites could adversely affect our operations. Also, we have a limited number of highly skilled employees for some of our operations. If a large proportion of our employees in those critical positions were to contract COVID-19 at the same time, we would rely upon our business continuity plans in an effort to continue operations at our facilities, but there is no certainty that such measures will be sufficient to mitigate the adverse impact to our operations that could result from shortages of highly skilled employees.</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significant uncertainties related to the COVID-19 pandemic and actions taken to slow its spread have had, and are expected to continue to have, an adverse impact on the economies and financial markets of many countries. The plan assets and benefit obligations of our pension and postretirement plans are expected to be impacted negatively when these plans are re-measured, generally, at year-end, resulting in a decline in the funded status. During the six months ended June 30, 2020, the pension plan assets declined by approximately $8 million or 0.4% from December 31, 2019. A decline in the funded status of our pension plans as of December 31, 2020 could result in an increase in plan expenses and minimum required contributions for the subsequent years from the historical amounts.</w:t>
      </w:r>
    </w:p>
    <w:p>
      <w:pPr>
        <w:spacing w:after="0" w:line="19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Experts have observed an increase in the volume and the sophistication of cyberattacks since the beginning of the COVID-19 pandemic. Any technology system breaches and/or data privacy incidents could disrupt our operations or result in the loss or exposure of confidential or sensitive customer, employee or company information and adversely affect our business, financial condition and results of operations. </w:t>
      </w:r>
      <w:r>
        <w:rPr>
          <w:rFonts w:ascii="Arial" w:cs="Arial" w:eastAsia="Arial" w:hAnsi="Arial"/>
          <w:sz w:val="16"/>
          <w:szCs w:val="16"/>
          <w:color w:val="212529"/>
        </w:rPr>
        <w:t>A</w:t>
      </w:r>
      <w:r>
        <w:rPr>
          <w:rFonts w:ascii="Arial" w:cs="Arial" w:eastAsia="Arial" w:hAnsi="Arial"/>
          <w:sz w:val="16"/>
          <w:szCs w:val="16"/>
          <w:color w:val="auto"/>
        </w:rPr>
        <w:t>s many of our employees and third-party service providers work remotely in accordance with government mandates or guidelines, we face heightened cyber security and privacy risks related to unauthorized system access, aggressive social engineering tactics and adversaries attacking the information technology systems, network infrastructure, technology and facilities used to conduct our business. The increase in the remote working arrangements of our employees as a result of the COVID-19 pandemic has required enhancements and modifications to our information technology infrastructure (e.g., virtual private network, or VPN, and remote collaboration systems), and any failures of these technologies, including third-party service providers, that facilitate working remotely could limit our ability to conduct our ordinary operations and expose us to increased risk or impact of a cyberattack.</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in the event that customers, contractors, employees or others were to allege that they contracted COVID-19 because of actions we took or failed to take, we could face claims, lawsuits and potential legal liability. In addition to the reasonableness of our actions and efforts to comply with applicable COVID-19 guidance, our exposure and ultimate liability would depend upon the applicability of workers’ compensation, the availability of insurance coverage and limitations on liability being considered or enacted at the state and federal level.</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continue to monitor developments affecting our employees, customers and operations. At this time, however, we cannot predict the extent or duration of the COVID-19 pandemic or its effects on national, state and local economies, including the impact on our ability to access capital markets, our supply chain, our business strategies and plans and our workforce, nor can we estimate the potential adverse impact from COVID-19 on our financial condition, results of operations, cash flows and liquidity.</w:t>
      </w:r>
    </w:p>
    <w:p>
      <w:pPr>
        <w:spacing w:after="0" w:line="187"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b w:val="1"/>
          <w:bCs w:val="1"/>
          <w:i w:val="1"/>
          <w:iCs w:val="1"/>
          <w:color w:val="212529"/>
        </w:rPr>
        <w:t xml:space="preserve">The demand for Enable’s services are impacted by the drilling and production decisions of others and by commodity price volatility, which could adversely affect its financial position, results of operations and its ability to make cash distributions to us. </w:t>
      </w:r>
      <w:r>
        <w:rPr>
          <w:rFonts w:ascii="Arial" w:cs="Arial" w:eastAsia="Arial" w:hAnsi="Arial"/>
          <w:sz w:val="16"/>
          <w:szCs w:val="16"/>
          <w:b w:val="1"/>
          <w:bCs w:val="1"/>
          <w:i w:val="1"/>
          <w:iCs w:val="1"/>
          <w:color w:val="000000"/>
        </w:rPr>
        <w:t>A sustained decline in energy and commodity</w:t>
      </w:r>
      <w:r>
        <w:rPr>
          <w:rFonts w:ascii="Arial" w:cs="Arial" w:eastAsia="Arial" w:hAnsi="Arial"/>
          <w:sz w:val="16"/>
          <w:szCs w:val="16"/>
          <w:b w:val="1"/>
          <w:bCs w:val="1"/>
          <w:i w:val="1"/>
          <w:iCs w:val="1"/>
          <w:color w:val="212529"/>
        </w:rPr>
        <w:t xml:space="preserve"> </w:t>
      </w:r>
      <w:r>
        <w:rPr>
          <w:rFonts w:ascii="Arial" w:cs="Arial" w:eastAsia="Arial" w:hAnsi="Arial"/>
          <w:sz w:val="16"/>
          <w:szCs w:val="16"/>
          <w:b w:val="1"/>
          <w:bCs w:val="1"/>
          <w:i w:val="1"/>
          <w:iCs w:val="1"/>
          <w:color w:val="000000"/>
        </w:rPr>
        <w:t>prices may also contribute to unfavorable economic conditions in certain of our service territories, in particular Houston, Texas.</w:t>
      </w:r>
    </w:p>
    <w:p>
      <w:pPr>
        <w:spacing w:after="0" w:line="1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COVID-19 pandemic has adversely affected Enable’s businesses by (i) reducing the demand for natural gas, NGLs and crude oil due to reduced global and national economic activity, leading to significantly lower prices for natural gas, NGLs and crude oil; (ii) impairing the supply chain of certain of its customers for which it provides gathering and processing services, both of which could lead to further reduction of the utilization of its systems; and (iii) reducing producer activity across its footprint which is expected to result in reduced utilization of its services. In addition, concerns about global economic growth, as well as uncertainty regarding the timing, pace and extent of an economic recovery in the United States and abroad, have had a significant adverse impact on global financial markets and commodity prices. The price of, and demand for, natural gas, NGLs and crude oil declined significantly in response to the ongoing spread and economic effects of COVID-19, including significant governmental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measures being implemented to control the spread of COVID-19, including quarantines, travel restrictions and business shutdowns and efforts made by oil-producing countries to reduce production of crude oil in response to declining global demand. For example, a coalition of 23 nations led by Saudi Arabia and Russia agreed to reduce production of crude oil by 9.7 million barrels per day in May and June; however, NGL and crude oil prices have remained depressed. These events, combined with the continuing COVID-19 pandemic and uncertainty regarding the length of time it would take for the United States and the rest of the world to slow the spread of COVID-19 to the point where applicable authorities are comfortable easing current restrictions on various commercial and economic activities, contributed to a sharp drop in prices for crude oil in the first quarter of 2020 and negative crude oil prices in the second quarter of 2020. On March 31, 2020, Enable’s common unit price closed at $2.57 per common unit. In response to these industry conditions, on April 1, 2020, Enable announced a reduction in its quarterly distributions per common unit from $0.3305 distributed for the fourth quarter 2019 to $0.16525, representing a 50% reduction. This reduction is expected to result in one or more quarterly distributions to us that fall below our previously disclosed expected minimum quarterly distribution from Enable of $0.2875 per common unit. This reduction in Enable’s quarterly distributions per common unit will reduce its common unit distributions to us by approximately $155 million per year. To the extent such economic conditions persist or further deteriorate, quarterly distributions on Enable’s common units may be subject to further reductions. Enable currently cannot predict the duration or magnitude of the effects of COVID-19 on the supply and demand for, and the price of, natural gas, NGLs and crude oil or the exploration, development and production activity of the producers across its areas of operation. Sustained low commodity prices and reductions in exploration or production activities could continue to adversely affect the value of our interests in Enable and Enable’s financial position, results of operations and ability to make cash distributions to us.</w:t>
      </w:r>
    </w:p>
    <w:p>
      <w:pPr>
        <w:spacing w:after="0" w:line="18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Additionally, the significant decline in energy and commodity prices described above, if sustained, could cause, the rate of economic, employment and/or population growth in certain of our service territories to decline. In particular, Houston, Texas has a higher percentage of employment tied to the energy sector relative to other regions of the country. A reduction in the rate of economic, employment and/or population growth could result in lower growth and reduced demand for and usage of electricity and natural gas in such service territories. As such, sustained low energy and commodity prices could have an adverse impact on our financial condition, results of operations, cash flows and liquidity.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Exhibits filed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the Registrants, any other persons, any state of affairs or other matters.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Pursuant to Item 601(b)(4)(iii)(A) of Regulation S-K, the Registrants have not filed as exhibits to this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ectPr>
          <w:pgSz w:w="11900" w:h="16838" w:orient="portrait"/>
          <w:cols w:equalWidth="0" w:num="1">
            <w:col w:w="11240"/>
          </w:cols>
          <w:pgMar w:left="320" w:top="125" w:right="339" w:bottom="1440" w:gutter="0" w:footer="0" w:header="0"/>
        </w:sect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80"/>
        <w:spacing w:after="0"/>
        <w:tabs>
          <w:tab w:leader="none" w:pos="19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366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3" w:lineRule="exact"/>
        <w:rPr>
          <w:sz w:val="20"/>
          <w:szCs w:val="20"/>
          <w:color w:val="auto"/>
        </w:rPr>
      </w:pPr>
    </w:p>
    <w:p>
      <w:pPr>
        <w:ind w:left="840" w:right="80" w:hanging="611"/>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2.1*</w:t>
      </w:r>
      <w:r>
        <w:rPr>
          <w:sz w:val="20"/>
          <w:szCs w:val="20"/>
          <w:color w:val="auto"/>
        </w:rPr>
        <w:tab/>
      </w:r>
      <w:hyperlink r:id="rId17">
        <w:r>
          <w:rPr>
            <w:rFonts w:ascii="Arial" w:cs="Arial" w:eastAsia="Arial" w:hAnsi="Arial"/>
            <w:sz w:val="14"/>
            <w:szCs w:val="14"/>
            <w:u w:val="single" w:color="auto"/>
            <w:color w:val="0000FF"/>
          </w:rPr>
          <w:t>Agreement and Plan of Merger, dated as of</w:t>
        </w:r>
      </w:hyperlink>
      <w:r>
        <w:rPr>
          <w:rFonts w:ascii="Arial" w:cs="Arial" w:eastAsia="Arial" w:hAnsi="Arial"/>
          <w:sz w:val="14"/>
          <w:szCs w:val="14"/>
          <w:u w:val="single" w:color="auto"/>
          <w:color w:val="0000FF"/>
        </w:rPr>
        <w:t xml:space="preserve"> </w:t>
      </w:r>
      <w:hyperlink r:id="rId17">
        <w:r>
          <w:rPr>
            <w:rFonts w:ascii="Arial" w:cs="Arial" w:eastAsia="Arial" w:hAnsi="Arial"/>
            <w:sz w:val="14"/>
            <w:szCs w:val="14"/>
            <w:u w:val="single" w:color="auto"/>
            <w:color w:val="0000FF"/>
          </w:rPr>
          <w:t>April 21, 2018, by and among Vectren</w:t>
        </w:r>
      </w:hyperlink>
      <w:r>
        <w:rPr>
          <w:rFonts w:ascii="Arial" w:cs="Arial" w:eastAsia="Arial" w:hAnsi="Arial"/>
          <w:sz w:val="14"/>
          <w:szCs w:val="14"/>
          <w:u w:val="single" w:color="auto"/>
          <w:color w:val="0000FF"/>
        </w:rPr>
        <w:t xml:space="preserve"> </w:t>
      </w:r>
      <w:hyperlink r:id="rId17">
        <w:r>
          <w:rPr>
            <w:rFonts w:ascii="Arial" w:cs="Arial" w:eastAsia="Arial" w:hAnsi="Arial"/>
            <w:sz w:val="14"/>
            <w:szCs w:val="14"/>
            <w:u w:val="single" w:color="auto"/>
            <w:color w:val="0000FF"/>
          </w:rPr>
          <w:t>Corporation, CenterPoint Energy, Inc. and Pacer</w:t>
        </w:r>
      </w:hyperlink>
      <w:r>
        <w:rPr>
          <w:rFonts w:ascii="Arial" w:cs="Arial" w:eastAsia="Arial" w:hAnsi="Arial"/>
          <w:sz w:val="14"/>
          <w:szCs w:val="14"/>
          <w:u w:val="single" w:color="auto"/>
          <w:color w:val="0000FF"/>
        </w:rPr>
        <w:t xml:space="preserve"> </w:t>
      </w:r>
      <w:hyperlink r:id="rId17">
        <w:r>
          <w:rPr>
            <w:rFonts w:ascii="Arial" w:cs="Arial" w:eastAsia="Arial" w:hAnsi="Arial"/>
            <w:sz w:val="14"/>
            <w:szCs w:val="14"/>
            <w:u w:val="single" w:color="auto"/>
            <w:color w:val="0000FF"/>
          </w:rPr>
          <w:t>Merger Sub, Inc.</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510540</wp:posOffset>
            </wp:positionH>
            <wp:positionV relativeFrom="paragraph">
              <wp:posOffset>9525</wp:posOffset>
            </wp:positionV>
            <wp:extent cx="1859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 w:lineRule="exact"/>
        <w:rPr>
          <w:rFonts w:ascii="Arial" w:cs="Arial" w:eastAsia="Arial" w:hAnsi="Arial"/>
          <w:sz w:val="14"/>
          <w:szCs w:val="14"/>
          <w:u w:val="single" w:color="auto"/>
          <w:color w:val="0000FF"/>
        </w:rPr>
      </w:pPr>
    </w:p>
    <w:p>
      <w:pPr>
        <w:ind w:left="840" w:right="100" w:hanging="611"/>
        <w:spacing w:after="0" w:line="229"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2.2*</w:t>
      </w:r>
      <w:r>
        <w:rPr>
          <w:sz w:val="20"/>
          <w:szCs w:val="20"/>
          <w:color w:val="auto"/>
        </w:rPr>
        <w:tab/>
      </w:r>
      <w:hyperlink r:id="rId19">
        <w:r>
          <w:rPr>
            <w:rFonts w:ascii="Arial" w:cs="Arial" w:eastAsia="Arial" w:hAnsi="Arial"/>
            <w:sz w:val="14"/>
            <w:szCs w:val="14"/>
            <w:u w:val="single" w:color="auto"/>
            <w:color w:val="0000FF"/>
          </w:rPr>
          <w:t>Securities Purchase Agreement, dated as of</w:t>
        </w:r>
      </w:hyperlink>
      <w:r>
        <w:rPr>
          <w:rFonts w:ascii="Arial" w:cs="Arial" w:eastAsia="Arial" w:hAnsi="Arial"/>
          <w:sz w:val="14"/>
          <w:szCs w:val="14"/>
          <w:u w:val="single" w:color="auto"/>
          <w:color w:val="0000FF"/>
        </w:rPr>
        <w:t xml:space="preserve"> </w:t>
      </w:r>
      <w:hyperlink r:id="rId19">
        <w:r>
          <w:rPr>
            <w:rFonts w:ascii="Arial" w:cs="Arial" w:eastAsia="Arial" w:hAnsi="Arial"/>
            <w:sz w:val="14"/>
            <w:szCs w:val="14"/>
            <w:u w:val="single" w:color="auto"/>
            <w:color w:val="0000FF"/>
          </w:rPr>
          <w:t>February 3, 2020, by and among Vectren Utility</w:t>
        </w:r>
      </w:hyperlink>
      <w:r>
        <w:rPr>
          <w:rFonts w:ascii="Arial" w:cs="Arial" w:eastAsia="Arial" w:hAnsi="Arial"/>
          <w:sz w:val="14"/>
          <w:szCs w:val="14"/>
          <w:u w:val="single" w:color="auto"/>
          <w:color w:val="0000FF"/>
        </w:rPr>
        <w:t xml:space="preserve"> </w:t>
      </w:r>
      <w:hyperlink r:id="rId19">
        <w:r>
          <w:rPr>
            <w:rFonts w:ascii="Arial" w:cs="Arial" w:eastAsia="Arial" w:hAnsi="Arial"/>
            <w:sz w:val="14"/>
            <w:szCs w:val="14"/>
            <w:u w:val="single" w:color="auto"/>
            <w:color w:val="0000FF"/>
          </w:rPr>
          <w:t>Services, Inc., PowerTeam Services, LLC and,</w:t>
        </w:r>
      </w:hyperlink>
      <w:r>
        <w:rPr>
          <w:rFonts w:ascii="Arial" w:cs="Arial" w:eastAsia="Arial" w:hAnsi="Arial"/>
          <w:sz w:val="14"/>
          <w:szCs w:val="14"/>
          <w:u w:val="single" w:color="auto"/>
          <w:color w:val="0000FF"/>
        </w:rPr>
        <w:t xml:space="preserve"> </w:t>
      </w:r>
      <w:hyperlink r:id="rId19">
        <w:r>
          <w:rPr>
            <w:rFonts w:ascii="Arial" w:cs="Arial" w:eastAsia="Arial" w:hAnsi="Arial"/>
            <w:sz w:val="14"/>
            <w:szCs w:val="14"/>
            <w:u w:val="single" w:color="auto"/>
            <w:color w:val="0000FF"/>
          </w:rPr>
          <w:t>solely for purposes of Section 10.17 of the</w:t>
        </w:r>
      </w:hyperlink>
      <w:r>
        <w:rPr>
          <w:rFonts w:ascii="Arial" w:cs="Arial" w:eastAsia="Arial" w:hAnsi="Arial"/>
          <w:sz w:val="14"/>
          <w:szCs w:val="14"/>
          <w:u w:val="single" w:color="auto"/>
          <w:color w:val="0000FF"/>
        </w:rPr>
        <w:t xml:space="preserve"> </w:t>
      </w:r>
      <w:hyperlink r:id="rId19">
        <w:r>
          <w:rPr>
            <w:rFonts w:ascii="Arial" w:cs="Arial" w:eastAsia="Arial" w:hAnsi="Arial"/>
            <w:sz w:val="14"/>
            <w:szCs w:val="14"/>
            <w:u w:val="single" w:color="auto"/>
            <w:color w:val="0000FF"/>
          </w:rPr>
          <w:t>Securities Purchase Agreement, Vectren</w:t>
        </w:r>
      </w:hyperlink>
      <w:r>
        <w:rPr>
          <w:rFonts w:ascii="Arial" w:cs="Arial" w:eastAsia="Arial" w:hAnsi="Arial"/>
          <w:sz w:val="14"/>
          <w:szCs w:val="14"/>
          <w:u w:val="single" w:color="auto"/>
          <w:color w:val="0000FF"/>
        </w:rPr>
        <w:t xml:space="preserve"> </w:t>
      </w:r>
      <w:hyperlink r:id="rId19">
        <w:r>
          <w:rPr>
            <w:rFonts w:ascii="Arial" w:cs="Arial" w:eastAsia="Arial" w:hAnsi="Arial"/>
            <w:sz w:val="14"/>
            <w:szCs w:val="14"/>
            <w:u w:val="single" w:color="auto"/>
            <w:color w:val="0000FF"/>
          </w:rPr>
          <w:t>Corporation</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510540</wp:posOffset>
            </wp:positionH>
            <wp:positionV relativeFrom="paragraph">
              <wp:posOffset>18415</wp:posOffset>
            </wp:positionV>
            <wp:extent cx="18599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7" w:lineRule="exact"/>
        <w:rPr>
          <w:rFonts w:ascii="Arial" w:cs="Arial" w:eastAsia="Arial" w:hAnsi="Arial"/>
          <w:sz w:val="14"/>
          <w:szCs w:val="14"/>
          <w:u w:val="single" w:color="auto"/>
          <w:color w:val="0000FF"/>
        </w:rPr>
      </w:pPr>
    </w:p>
    <w:p>
      <w:pPr>
        <w:ind w:left="840" w:hanging="611"/>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2.3*</w:t>
      </w:r>
      <w:r>
        <w:rPr>
          <w:sz w:val="20"/>
          <w:szCs w:val="20"/>
          <w:color w:val="auto"/>
        </w:rPr>
        <w:tab/>
      </w:r>
      <w:hyperlink r:id="rId21">
        <w:r>
          <w:rPr>
            <w:rFonts w:ascii="Arial" w:cs="Arial" w:eastAsia="Arial" w:hAnsi="Arial"/>
            <w:sz w:val="13"/>
            <w:szCs w:val="13"/>
            <w:u w:val="single" w:color="auto"/>
            <w:color w:val="0000FF"/>
          </w:rPr>
          <w:t>Equity Purchase Agreement, dated as of February</w:t>
        </w:r>
      </w:hyperlink>
      <w:r>
        <w:rPr>
          <w:rFonts w:ascii="Arial" w:cs="Arial" w:eastAsia="Arial" w:hAnsi="Arial"/>
          <w:sz w:val="13"/>
          <w:szCs w:val="13"/>
          <w:u w:val="single" w:color="auto"/>
          <w:color w:val="0000FF"/>
        </w:rPr>
        <w:t xml:space="preserve"> </w:t>
      </w:r>
      <w:hyperlink r:id="rId21">
        <w:r>
          <w:rPr>
            <w:rFonts w:ascii="Arial" w:cs="Arial" w:eastAsia="Arial" w:hAnsi="Arial"/>
            <w:sz w:val="13"/>
            <w:szCs w:val="13"/>
            <w:u w:val="single" w:color="auto"/>
            <w:color w:val="0000FF"/>
          </w:rPr>
          <w:t>24, 2020, by and between CERC Corp. and</w:t>
        </w:r>
      </w:hyperlink>
      <w:r>
        <w:rPr>
          <w:rFonts w:ascii="Arial" w:cs="Arial" w:eastAsia="Arial" w:hAnsi="Arial"/>
          <w:sz w:val="13"/>
          <w:szCs w:val="13"/>
          <w:u w:val="single" w:color="auto"/>
          <w:color w:val="0000FF"/>
        </w:rPr>
        <w:t xml:space="preserve"> </w:t>
      </w:r>
      <w:hyperlink r:id="rId21">
        <w:r>
          <w:rPr>
            <w:rFonts w:ascii="Arial" w:cs="Arial" w:eastAsia="Arial" w:hAnsi="Arial"/>
            <w:sz w:val="13"/>
            <w:szCs w:val="13"/>
            <w:u w:val="single" w:color="auto"/>
            <w:color w:val="0000FF"/>
          </w:rPr>
          <w:t>Athena Energy Services Buyer, LLC</w:t>
        </w:r>
      </w:hyperlink>
    </w:p>
    <w:p>
      <w:pPr>
        <w:spacing w:after="0" w:line="20" w:lineRule="exact"/>
        <w:rPr>
          <w:rFonts w:ascii="Arial" w:cs="Arial" w:eastAsia="Arial" w:hAnsi="Arial"/>
          <w:sz w:val="13"/>
          <w:szCs w:val="13"/>
          <w:u w:val="single" w:color="auto"/>
          <w:color w:val="0000FF"/>
        </w:rPr>
      </w:pPr>
    </w:p>
    <w:p>
      <w:pPr>
        <w:ind w:left="840" w:right="20" w:hanging="575"/>
        <w:spacing w:after="0" w:line="25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3.1</w:t>
      </w:r>
      <w:r>
        <w:rPr>
          <w:sz w:val="20"/>
          <w:szCs w:val="20"/>
          <w:color w:val="auto"/>
        </w:rPr>
        <w:tab/>
      </w:r>
      <w:hyperlink r:id="rId22">
        <w:r>
          <w:rPr>
            <w:rFonts w:ascii="Arial" w:cs="Arial" w:eastAsia="Arial" w:hAnsi="Arial"/>
            <w:sz w:val="14"/>
            <w:szCs w:val="14"/>
            <w:u w:val="single" w:color="auto"/>
            <w:color w:val="0000FF"/>
          </w:rPr>
          <w:t>Restated Articles of Incorporation of CenterPoint</w:t>
        </w:r>
      </w:hyperlink>
      <w:r>
        <w:rPr>
          <w:rFonts w:ascii="Arial" w:cs="Arial" w:eastAsia="Arial" w:hAnsi="Arial"/>
          <w:sz w:val="14"/>
          <w:szCs w:val="14"/>
          <w:u w:val="single" w:color="auto"/>
          <w:color w:val="0000FF"/>
        </w:rPr>
        <w:t xml:space="preserve"> </w:t>
      </w:r>
      <w:hyperlink r:id="rId22">
        <w:r>
          <w:rPr>
            <w:rFonts w:ascii="Arial" w:cs="Arial" w:eastAsia="Arial" w:hAnsi="Arial"/>
            <w:sz w:val="14"/>
            <w:szCs w:val="14"/>
            <w:u w:val="single" w:color="auto"/>
            <w:color w:val="0000FF"/>
          </w:rPr>
          <w:t>Energy</w:t>
        </w:r>
      </w:hyperlink>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 or Registration</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SEC File or</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0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Statement</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0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line="156" w:lineRule="exact"/>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13"/>
                <w:szCs w:val="13"/>
                <w:color w:val="auto"/>
              </w:rPr>
            </w:pPr>
          </w:p>
        </w:tc>
        <w:tc>
          <w:tcPr>
            <w:tcW w:w="1240" w:type="dxa"/>
            <w:vAlign w:val="bottom"/>
            <w:gridSpan w:val="2"/>
          </w:tcPr>
          <w:p>
            <w:pPr>
              <w:jc w:val="center"/>
              <w:ind w:right="120"/>
              <w:spacing w:after="0" w:line="156"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April 21, 2018</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February 3, 2020</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February 24,</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July 24, 2008</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ectPr>
          <w:pgSz w:w="11900" w:h="16838" w:orient="portrait"/>
          <w:cols w:equalWidth="0" w:num="2">
            <w:col w:w="3700" w:space="160"/>
            <w:col w:w="7380"/>
          </w:cols>
          <w:pgMar w:left="320" w:top="125" w:right="339" w:bottom="1440" w:gutter="0" w:footer="0" w:header="0"/>
          <w:type w:val="continuous"/>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240"/>
          </w:cols>
          <w:pgMar w:left="320" w:top="125" w:right="339" w:bottom="1440" w:gutter="0" w:footer="0" w:header="0"/>
          <w:type w:val="continuous"/>
        </w:sectPr>
      </w:pPr>
    </w:p>
    <w:bookmarkStart w:id="114" w:name="page115"/>
    <w:bookmarkEnd w:id="11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80"/>
        <w:spacing w:after="0"/>
        <w:tabs>
          <w:tab w:leader="none" w:pos="19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3660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23" w:lineRule="exact"/>
        <w:rPr>
          <w:sz w:val="20"/>
          <w:szCs w:val="20"/>
          <w:color w:val="auto"/>
        </w:rPr>
      </w:pPr>
    </w:p>
    <w:p>
      <w:pPr>
        <w:ind w:left="840" w:right="260" w:hanging="575"/>
        <w:spacing w:after="0" w:line="25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3.2</w:t>
      </w:r>
      <w:r>
        <w:rPr>
          <w:sz w:val="20"/>
          <w:szCs w:val="20"/>
          <w:color w:val="auto"/>
        </w:rPr>
        <w:tab/>
      </w:r>
      <w:hyperlink r:id="rId24">
        <w:r>
          <w:rPr>
            <w:rFonts w:ascii="Arial" w:cs="Arial" w:eastAsia="Arial" w:hAnsi="Arial"/>
            <w:sz w:val="14"/>
            <w:szCs w:val="14"/>
            <w:u w:val="single" w:color="auto"/>
            <w:color w:val="0000FF"/>
          </w:rPr>
          <w:t>Restated Certificate of Formation of Houston</w:t>
        </w:r>
      </w:hyperlink>
      <w:r>
        <w:rPr>
          <w:rFonts w:ascii="Arial" w:cs="Arial" w:eastAsia="Arial" w:hAnsi="Arial"/>
          <w:sz w:val="14"/>
          <w:szCs w:val="14"/>
          <w:u w:val="single" w:color="auto"/>
          <w:color w:val="0000FF"/>
        </w:rPr>
        <w:t xml:space="preserve"> </w:t>
      </w:r>
      <w:hyperlink r:id="rId24">
        <w:r>
          <w:rPr>
            <w:rFonts w:ascii="Arial" w:cs="Arial" w:eastAsia="Arial" w:hAnsi="Arial"/>
            <w:sz w:val="14"/>
            <w:szCs w:val="14"/>
            <w:u w:val="single" w:color="auto"/>
            <w:color w:val="0000FF"/>
          </w:rPr>
          <w:t>Electric</w:t>
        </w:r>
      </w:hyperlink>
    </w:p>
    <w:p>
      <w:pPr>
        <w:spacing w:after="0" w:line="160" w:lineRule="exact"/>
        <w:rPr>
          <w:sz w:val="20"/>
          <w:szCs w:val="20"/>
          <w:color w:val="auto"/>
        </w:rPr>
      </w:pPr>
    </w:p>
    <w:p>
      <w:pPr>
        <w:ind w:left="260"/>
        <w:spacing w:after="0"/>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3.3</w:t>
      </w:r>
      <w:r>
        <w:rPr>
          <w:sz w:val="20"/>
          <w:szCs w:val="20"/>
          <w:color w:val="auto"/>
        </w:rPr>
        <w:tab/>
      </w:r>
      <w:hyperlink r:id="rId25">
        <w:r>
          <w:rPr>
            <w:rFonts w:ascii="Arial" w:cs="Arial" w:eastAsia="Arial" w:hAnsi="Arial"/>
            <w:sz w:val="13"/>
            <w:szCs w:val="13"/>
            <w:u w:val="single" w:color="auto"/>
            <w:color w:val="0000FF"/>
          </w:rPr>
          <w:t>Certificate of Incorporation of RERC Corp.</w:t>
        </w:r>
      </w:hyperlink>
    </w:p>
    <w:p>
      <w:pPr>
        <w:spacing w:after="0" w:line="339" w:lineRule="exact"/>
        <w:rPr>
          <w:sz w:val="20"/>
          <w:szCs w:val="20"/>
          <w:color w:val="auto"/>
        </w:rPr>
      </w:pPr>
    </w:p>
    <w:p>
      <w:pPr>
        <w:ind w:left="840" w:right="20" w:hanging="575"/>
        <w:spacing w:after="0" w:line="238"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3.4</w:t>
      </w:r>
      <w:r>
        <w:rPr>
          <w:sz w:val="20"/>
          <w:szCs w:val="20"/>
          <w:color w:val="auto"/>
        </w:rPr>
        <w:tab/>
      </w:r>
      <w:hyperlink r:id="rId25">
        <w:r>
          <w:rPr>
            <w:rFonts w:ascii="Arial" w:cs="Arial" w:eastAsia="Arial" w:hAnsi="Arial"/>
            <w:sz w:val="14"/>
            <w:szCs w:val="14"/>
            <w:u w:val="single" w:color="auto"/>
            <w:color w:val="0000FF"/>
          </w:rPr>
          <w:t>Certificate of Merger merging former NorAm</w:t>
        </w:r>
      </w:hyperlink>
      <w:r>
        <w:rPr>
          <w:rFonts w:ascii="Arial" w:cs="Arial" w:eastAsia="Arial" w:hAnsi="Arial"/>
          <w:sz w:val="14"/>
          <w:szCs w:val="14"/>
          <w:u w:val="single" w:color="auto"/>
          <w:color w:val="0000FF"/>
        </w:rPr>
        <w:t xml:space="preserve"> </w:t>
      </w:r>
      <w:hyperlink r:id="rId25">
        <w:r>
          <w:rPr>
            <w:rFonts w:ascii="Arial" w:cs="Arial" w:eastAsia="Arial" w:hAnsi="Arial"/>
            <w:sz w:val="14"/>
            <w:szCs w:val="14"/>
            <w:u w:val="single" w:color="auto"/>
            <w:color w:val="0000FF"/>
          </w:rPr>
          <w:t>Energy Corp. with and into HI Merger, Inc. dated</w:t>
        </w:r>
      </w:hyperlink>
      <w:r>
        <w:rPr>
          <w:rFonts w:ascii="Arial" w:cs="Arial" w:eastAsia="Arial" w:hAnsi="Arial"/>
          <w:sz w:val="14"/>
          <w:szCs w:val="14"/>
          <w:u w:val="single" w:color="auto"/>
          <w:color w:val="0000FF"/>
        </w:rPr>
        <w:t xml:space="preserve"> </w:t>
      </w:r>
      <w:hyperlink r:id="rId25">
        <w:r>
          <w:rPr>
            <w:rFonts w:ascii="Arial" w:cs="Arial" w:eastAsia="Arial" w:hAnsi="Arial"/>
            <w:sz w:val="14"/>
            <w:szCs w:val="14"/>
            <w:u w:val="single" w:color="auto"/>
            <w:color w:val="0000FF"/>
          </w:rPr>
          <w:t>August 6, 1997</w:t>
        </w:r>
      </w:hyperlink>
    </w:p>
    <w:p>
      <w:pPr>
        <w:spacing w:after="0" w:line="21" w:lineRule="exact"/>
        <w:rPr>
          <w:rFonts w:ascii="Arial" w:cs="Arial" w:eastAsia="Arial" w:hAnsi="Arial"/>
          <w:sz w:val="14"/>
          <w:szCs w:val="14"/>
          <w:u w:val="single" w:color="auto"/>
          <w:color w:val="0000FF"/>
        </w:rPr>
      </w:pPr>
    </w:p>
    <w:p>
      <w:pPr>
        <w:ind w:left="840" w:right="80" w:hanging="575"/>
        <w:spacing w:after="0" w:line="25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3.5</w:t>
      </w:r>
      <w:r>
        <w:rPr>
          <w:sz w:val="20"/>
          <w:szCs w:val="20"/>
          <w:color w:val="auto"/>
        </w:rPr>
        <w:tab/>
      </w:r>
      <w:hyperlink r:id="rId26">
        <w:r>
          <w:rPr>
            <w:rFonts w:ascii="Arial" w:cs="Arial" w:eastAsia="Arial" w:hAnsi="Arial"/>
            <w:sz w:val="14"/>
            <w:szCs w:val="14"/>
            <w:u w:val="single" w:color="auto"/>
            <w:color w:val="0000FF"/>
          </w:rPr>
          <w:t>Certificate of Amendment changing the name to</w:t>
        </w:r>
      </w:hyperlink>
      <w:r>
        <w:rPr>
          <w:rFonts w:ascii="Arial" w:cs="Arial" w:eastAsia="Arial" w:hAnsi="Arial"/>
          <w:sz w:val="14"/>
          <w:szCs w:val="14"/>
          <w:u w:val="single" w:color="auto"/>
          <w:color w:val="0000FF"/>
        </w:rPr>
        <w:t xml:space="preserve"> </w:t>
      </w:r>
      <w:hyperlink r:id="rId26">
        <w:r>
          <w:rPr>
            <w:rFonts w:ascii="Arial" w:cs="Arial" w:eastAsia="Arial" w:hAnsi="Arial"/>
            <w:sz w:val="14"/>
            <w:szCs w:val="14"/>
            <w:u w:val="single" w:color="auto"/>
            <w:color w:val="0000FF"/>
          </w:rPr>
          <w:t>Reliant Energy Resources Corp.</w:t>
        </w:r>
      </w:hyperlink>
    </w:p>
    <w:p>
      <w:pPr>
        <w:spacing w:after="0" w:line="160" w:lineRule="exact"/>
        <w:rPr>
          <w:sz w:val="20"/>
          <w:szCs w:val="20"/>
          <w:color w:val="auto"/>
        </w:rPr>
      </w:pPr>
    </w:p>
    <w:p>
      <w:pPr>
        <w:ind w:left="840" w:right="80" w:hanging="575"/>
        <w:spacing w:after="0" w:line="281"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3.6</w:t>
      </w:r>
      <w:r>
        <w:rPr>
          <w:sz w:val="20"/>
          <w:szCs w:val="20"/>
          <w:color w:val="auto"/>
        </w:rPr>
        <w:tab/>
      </w:r>
      <w:hyperlink r:id="rId27">
        <w:r>
          <w:rPr>
            <w:rFonts w:ascii="Arial" w:cs="Arial" w:eastAsia="Arial" w:hAnsi="Arial"/>
            <w:sz w:val="13"/>
            <w:szCs w:val="13"/>
            <w:u w:val="single" w:color="auto"/>
            <w:color w:val="0000FF"/>
          </w:rPr>
          <w:t>Certificate of Amendment changing the name to</w:t>
        </w:r>
      </w:hyperlink>
      <w:r>
        <w:rPr>
          <w:rFonts w:ascii="Arial" w:cs="Arial" w:eastAsia="Arial" w:hAnsi="Arial"/>
          <w:sz w:val="13"/>
          <w:szCs w:val="13"/>
          <w:u w:val="single" w:color="auto"/>
          <w:color w:val="0000FF"/>
        </w:rPr>
        <w:t xml:space="preserve"> </w:t>
      </w:r>
      <w:hyperlink r:id="rId27">
        <w:r>
          <w:rPr>
            <w:rFonts w:ascii="Arial" w:cs="Arial" w:eastAsia="Arial" w:hAnsi="Arial"/>
            <w:sz w:val="13"/>
            <w:szCs w:val="13"/>
            <w:u w:val="single" w:color="auto"/>
            <w:color w:val="0000FF"/>
          </w:rPr>
          <w:t>CenterPoint Energy Resources Corp.</w:t>
        </w:r>
      </w:hyperlink>
    </w:p>
    <w:p>
      <w:pPr>
        <w:spacing w:after="0" w:line="1" w:lineRule="exact"/>
        <w:rPr>
          <w:sz w:val="20"/>
          <w:szCs w:val="20"/>
          <w:color w:val="auto"/>
        </w:rPr>
      </w:pPr>
    </w:p>
    <w:p>
      <w:pPr>
        <w:ind w:left="840" w:right="560" w:hanging="575"/>
        <w:spacing w:after="0" w:line="25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3.7</w:t>
      </w:r>
      <w:r>
        <w:rPr>
          <w:sz w:val="20"/>
          <w:szCs w:val="20"/>
          <w:color w:val="auto"/>
        </w:rPr>
        <w:tab/>
      </w:r>
      <w:hyperlink r:id="rId28">
        <w:r>
          <w:rPr>
            <w:rFonts w:ascii="Arial" w:cs="Arial" w:eastAsia="Arial" w:hAnsi="Arial"/>
            <w:sz w:val="14"/>
            <w:szCs w:val="14"/>
            <w:u w:val="single" w:color="auto"/>
            <w:color w:val="0000FF"/>
          </w:rPr>
          <w:t>Third Amended and Restated Bylaws of</w:t>
        </w:r>
      </w:hyperlink>
      <w:r>
        <w:rPr>
          <w:rFonts w:ascii="Arial" w:cs="Arial" w:eastAsia="Arial" w:hAnsi="Arial"/>
          <w:sz w:val="14"/>
          <w:szCs w:val="14"/>
          <w:u w:val="single" w:color="auto"/>
          <w:color w:val="0000FF"/>
        </w:rPr>
        <w:t xml:space="preserve"> </w:t>
      </w:r>
      <w:hyperlink r:id="rId28">
        <w:r>
          <w:rPr>
            <w:rFonts w:ascii="Arial" w:cs="Arial" w:eastAsia="Arial" w:hAnsi="Arial"/>
            <w:sz w:val="14"/>
            <w:szCs w:val="14"/>
            <w:u w:val="single" w:color="auto"/>
            <w:color w:val="0000FF"/>
          </w:rPr>
          <w:t>CenterPoint Energy</w:t>
        </w:r>
      </w:hyperlink>
    </w:p>
    <w:p>
      <w:pPr>
        <w:spacing w:after="0" w:line="160" w:lineRule="exact"/>
        <w:rPr>
          <w:sz w:val="20"/>
          <w:szCs w:val="20"/>
          <w:color w:val="auto"/>
        </w:rPr>
      </w:pPr>
    </w:p>
    <w:p>
      <w:pPr>
        <w:jc w:val="right"/>
        <w:ind w:left="260" w:right="480"/>
        <w:spacing w:after="0" w:line="253"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3.8      </w:t>
      </w:r>
      <w:hyperlink r:id="rId29">
        <w:r>
          <w:rPr>
            <w:rFonts w:ascii="Arial" w:cs="Arial" w:eastAsia="Arial" w:hAnsi="Arial"/>
            <w:sz w:val="14"/>
            <w:szCs w:val="14"/>
            <w:u w:val="single" w:color="auto"/>
            <w:color w:val="0000FF"/>
          </w:rPr>
          <w:t>Amended and Restated Limited Liability</w:t>
        </w:r>
      </w:hyperlink>
      <w:r>
        <w:rPr>
          <w:rFonts w:ascii="Arial" w:cs="Arial" w:eastAsia="Arial" w:hAnsi="Arial"/>
          <w:sz w:val="14"/>
          <w:szCs w:val="14"/>
          <w:color w:val="auto"/>
        </w:rPr>
        <w:t xml:space="preserve"> </w:t>
      </w:r>
      <w:hyperlink r:id="rId29">
        <w:r>
          <w:rPr>
            <w:rFonts w:ascii="Arial" w:cs="Arial" w:eastAsia="Arial" w:hAnsi="Arial"/>
            <w:sz w:val="14"/>
            <w:szCs w:val="14"/>
            <w:u w:val="single" w:color="auto"/>
            <w:color w:val="0000FF"/>
          </w:rPr>
          <w:t>Company Agreement of Houston Electric</w:t>
        </w:r>
      </w:hyperlink>
    </w:p>
    <w:p>
      <w:pPr>
        <w:spacing w:after="0" w:line="160" w:lineRule="exact"/>
        <w:rPr>
          <w:sz w:val="20"/>
          <w:szCs w:val="20"/>
          <w:color w:val="auto"/>
        </w:rPr>
      </w:pPr>
    </w:p>
    <w:p>
      <w:pPr>
        <w:ind w:left="260"/>
        <w:spacing w:after="0"/>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3.9</w:t>
      </w:r>
      <w:r>
        <w:rPr>
          <w:sz w:val="20"/>
          <w:szCs w:val="20"/>
          <w:color w:val="auto"/>
        </w:rPr>
        <w:tab/>
      </w:r>
      <w:hyperlink r:id="rId25">
        <w:r>
          <w:rPr>
            <w:rFonts w:ascii="Arial" w:cs="Arial" w:eastAsia="Arial" w:hAnsi="Arial"/>
            <w:sz w:val="13"/>
            <w:szCs w:val="13"/>
            <w:u w:val="single" w:color="auto"/>
            <w:color w:val="0000FF"/>
          </w:rPr>
          <w:t>Bylaws of RERC Corp.</w:t>
        </w:r>
      </w:hyperlink>
    </w:p>
    <w:p>
      <w:pPr>
        <w:spacing w:after="0" w:line="339" w:lineRule="exact"/>
        <w:rPr>
          <w:sz w:val="20"/>
          <w:szCs w:val="20"/>
          <w:color w:val="auto"/>
        </w:rPr>
      </w:pPr>
    </w:p>
    <w:p>
      <w:pPr>
        <w:ind w:left="840" w:right="480" w:hanging="611"/>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3.10</w:t>
      </w:r>
      <w:r>
        <w:rPr>
          <w:sz w:val="20"/>
          <w:szCs w:val="20"/>
          <w:color w:val="auto"/>
        </w:rPr>
        <w:tab/>
      </w:r>
      <w:hyperlink r:id="rId30">
        <w:r>
          <w:rPr>
            <w:rFonts w:ascii="Arial" w:cs="Arial" w:eastAsia="Arial" w:hAnsi="Arial"/>
            <w:sz w:val="13"/>
            <w:szCs w:val="13"/>
            <w:u w:val="single" w:color="auto"/>
            <w:color w:val="0000FF"/>
          </w:rPr>
          <w:t>Statement of Resolutions Deleting Shares</w:t>
        </w:r>
      </w:hyperlink>
      <w:r>
        <w:rPr>
          <w:rFonts w:ascii="Arial" w:cs="Arial" w:eastAsia="Arial" w:hAnsi="Arial"/>
          <w:sz w:val="13"/>
          <w:szCs w:val="13"/>
          <w:u w:val="single" w:color="auto"/>
          <w:color w:val="0000FF"/>
        </w:rPr>
        <w:t xml:space="preserve"> </w:t>
      </w:r>
      <w:hyperlink r:id="rId30">
        <w:r>
          <w:rPr>
            <w:rFonts w:ascii="Arial" w:cs="Arial" w:eastAsia="Arial" w:hAnsi="Arial"/>
            <w:sz w:val="13"/>
            <w:szCs w:val="13"/>
            <w:u w:val="single" w:color="auto"/>
            <w:color w:val="0000FF"/>
          </w:rPr>
          <w:t>Designated Series A Preferred Stock of</w:t>
        </w:r>
      </w:hyperlink>
      <w:r>
        <w:rPr>
          <w:rFonts w:ascii="Arial" w:cs="Arial" w:eastAsia="Arial" w:hAnsi="Arial"/>
          <w:sz w:val="13"/>
          <w:szCs w:val="13"/>
          <w:u w:val="single" w:color="auto"/>
          <w:color w:val="0000FF"/>
        </w:rPr>
        <w:t xml:space="preserve"> </w:t>
      </w:r>
      <w:hyperlink r:id="rId30">
        <w:r>
          <w:rPr>
            <w:rFonts w:ascii="Arial" w:cs="Arial" w:eastAsia="Arial" w:hAnsi="Arial"/>
            <w:sz w:val="13"/>
            <w:szCs w:val="13"/>
            <w:u w:val="single" w:color="auto"/>
            <w:color w:val="0000FF"/>
          </w:rPr>
          <w:t>CenterPoint Energy</w:t>
        </w:r>
      </w:hyperlink>
    </w:p>
    <w:p>
      <w:pPr>
        <w:spacing w:after="0" w:line="6" w:lineRule="exact"/>
        <w:rPr>
          <w:rFonts w:ascii="Arial" w:cs="Arial" w:eastAsia="Arial" w:hAnsi="Arial"/>
          <w:sz w:val="13"/>
          <w:szCs w:val="13"/>
          <w:u w:val="single" w:color="auto"/>
          <w:color w:val="0000FF"/>
        </w:rPr>
      </w:pPr>
    </w:p>
    <w:p>
      <w:pPr>
        <w:ind w:left="840" w:right="60" w:hanging="608"/>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3.11</w:t>
      </w:r>
      <w:r>
        <w:rPr>
          <w:sz w:val="20"/>
          <w:szCs w:val="20"/>
          <w:color w:val="auto"/>
        </w:rPr>
        <w:tab/>
      </w:r>
      <w:hyperlink r:id="rId31">
        <w:r>
          <w:rPr>
            <w:rFonts w:ascii="Arial" w:cs="Arial" w:eastAsia="Arial" w:hAnsi="Arial"/>
            <w:sz w:val="14"/>
            <w:szCs w:val="14"/>
            <w:u w:val="single" w:color="auto"/>
            <w:color w:val="0000FF"/>
          </w:rPr>
          <w:t>Statement of Resolution Establishing Series of</w:t>
        </w:r>
      </w:hyperlink>
      <w:r>
        <w:rPr>
          <w:rFonts w:ascii="Arial" w:cs="Arial" w:eastAsia="Arial" w:hAnsi="Arial"/>
          <w:sz w:val="14"/>
          <w:szCs w:val="14"/>
          <w:u w:val="single" w:color="auto"/>
          <w:color w:val="0000FF"/>
        </w:rPr>
        <w:t xml:space="preserve"> </w:t>
      </w:r>
      <w:hyperlink r:id="rId31">
        <w:r>
          <w:rPr>
            <w:rFonts w:ascii="Arial" w:cs="Arial" w:eastAsia="Arial" w:hAnsi="Arial"/>
            <w:sz w:val="14"/>
            <w:szCs w:val="14"/>
            <w:u w:val="single" w:color="auto"/>
            <w:color w:val="0000FF"/>
          </w:rPr>
          <w:t>Shares Designated Series A Fixed-to-Floating</w:t>
        </w:r>
      </w:hyperlink>
      <w:r>
        <w:rPr>
          <w:rFonts w:ascii="Arial" w:cs="Arial" w:eastAsia="Arial" w:hAnsi="Arial"/>
          <w:sz w:val="14"/>
          <w:szCs w:val="14"/>
          <w:u w:val="single" w:color="auto"/>
          <w:color w:val="0000FF"/>
        </w:rPr>
        <w:t xml:space="preserve"> </w:t>
      </w:r>
      <w:hyperlink r:id="rId31">
        <w:r>
          <w:rPr>
            <w:rFonts w:ascii="Arial" w:cs="Arial" w:eastAsia="Arial" w:hAnsi="Arial"/>
            <w:sz w:val="14"/>
            <w:szCs w:val="14"/>
            <w:u w:val="single" w:color="auto"/>
            <w:color w:val="0000FF"/>
          </w:rPr>
          <w:t>Rate Cumulative Redeemable Preferred Stock of</w:t>
        </w:r>
      </w:hyperlink>
      <w:r>
        <w:rPr>
          <w:rFonts w:ascii="Arial" w:cs="Arial" w:eastAsia="Arial" w:hAnsi="Arial"/>
          <w:sz w:val="14"/>
          <w:szCs w:val="14"/>
          <w:u w:val="single" w:color="auto"/>
          <w:color w:val="0000FF"/>
        </w:rPr>
        <w:t xml:space="preserve"> </w:t>
      </w:r>
      <w:hyperlink r:id="rId31">
        <w:r>
          <w:rPr>
            <w:rFonts w:ascii="Arial" w:cs="Arial" w:eastAsia="Arial" w:hAnsi="Arial"/>
            <w:sz w:val="14"/>
            <w:szCs w:val="14"/>
            <w:u w:val="single" w:color="auto"/>
            <w:color w:val="0000FF"/>
          </w:rPr>
          <w:t>CenterPoint Energy</w:t>
        </w:r>
      </w:hyperlink>
    </w:p>
    <w:p>
      <w:pPr>
        <w:spacing w:after="0" w:line="23" w:lineRule="exact"/>
        <w:rPr>
          <w:rFonts w:ascii="Arial" w:cs="Arial" w:eastAsia="Arial" w:hAnsi="Arial"/>
          <w:sz w:val="14"/>
          <w:szCs w:val="14"/>
          <w:u w:val="single" w:color="auto"/>
          <w:color w:val="0000FF"/>
        </w:rPr>
      </w:pPr>
    </w:p>
    <w:p>
      <w:pPr>
        <w:ind w:left="840" w:right="180" w:hanging="611"/>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3.12</w:t>
      </w:r>
      <w:r>
        <w:rPr>
          <w:sz w:val="20"/>
          <w:szCs w:val="20"/>
          <w:color w:val="auto"/>
        </w:rPr>
        <w:tab/>
      </w:r>
      <w:hyperlink r:id="rId32">
        <w:r>
          <w:rPr>
            <w:rFonts w:ascii="Arial" w:cs="Arial" w:eastAsia="Arial" w:hAnsi="Arial"/>
            <w:sz w:val="14"/>
            <w:szCs w:val="14"/>
            <w:u w:val="single" w:color="auto"/>
            <w:color w:val="0000FF"/>
          </w:rPr>
          <w:t>Statement of Resolution Establishing Series of</w:t>
        </w:r>
      </w:hyperlink>
      <w:r>
        <w:rPr>
          <w:rFonts w:ascii="Arial" w:cs="Arial" w:eastAsia="Arial" w:hAnsi="Arial"/>
          <w:sz w:val="14"/>
          <w:szCs w:val="14"/>
          <w:u w:val="single" w:color="auto"/>
          <w:color w:val="0000FF"/>
        </w:rPr>
        <w:t xml:space="preserve"> </w:t>
      </w:r>
      <w:hyperlink r:id="rId32">
        <w:r>
          <w:rPr>
            <w:rFonts w:ascii="Arial" w:cs="Arial" w:eastAsia="Arial" w:hAnsi="Arial"/>
            <w:sz w:val="14"/>
            <w:szCs w:val="14"/>
            <w:u w:val="single" w:color="auto"/>
            <w:color w:val="0000FF"/>
          </w:rPr>
          <w:t>Shares designated 7.00% Series B Mandatory</w:t>
        </w:r>
      </w:hyperlink>
      <w:r>
        <w:rPr>
          <w:rFonts w:ascii="Arial" w:cs="Arial" w:eastAsia="Arial" w:hAnsi="Arial"/>
          <w:sz w:val="14"/>
          <w:szCs w:val="14"/>
          <w:u w:val="single" w:color="auto"/>
          <w:color w:val="0000FF"/>
        </w:rPr>
        <w:t xml:space="preserve"> </w:t>
      </w:r>
      <w:hyperlink r:id="rId32">
        <w:r>
          <w:rPr>
            <w:rFonts w:ascii="Arial" w:cs="Arial" w:eastAsia="Arial" w:hAnsi="Arial"/>
            <w:sz w:val="14"/>
            <w:szCs w:val="14"/>
            <w:u w:val="single" w:color="auto"/>
            <w:color w:val="0000FF"/>
          </w:rPr>
          <w:t>Convertible Preferred Stock of CenterPoint</w:t>
        </w:r>
      </w:hyperlink>
      <w:r>
        <w:rPr>
          <w:rFonts w:ascii="Arial" w:cs="Arial" w:eastAsia="Arial" w:hAnsi="Arial"/>
          <w:sz w:val="14"/>
          <w:szCs w:val="14"/>
          <w:u w:val="single" w:color="auto"/>
          <w:color w:val="0000FF"/>
        </w:rPr>
        <w:t xml:space="preserve"> </w:t>
      </w:r>
      <w:hyperlink r:id="rId32">
        <w:r>
          <w:rPr>
            <w:rFonts w:ascii="Arial" w:cs="Arial" w:eastAsia="Arial" w:hAnsi="Arial"/>
            <w:sz w:val="14"/>
            <w:szCs w:val="14"/>
            <w:u w:val="single" w:color="auto"/>
            <w:color w:val="0000FF"/>
          </w:rPr>
          <w:t>Energy</w:t>
        </w:r>
      </w:hyperlink>
    </w:p>
    <w:p>
      <w:pPr>
        <w:spacing w:after="0" w:line="23" w:lineRule="exact"/>
        <w:rPr>
          <w:rFonts w:ascii="Arial" w:cs="Arial" w:eastAsia="Arial" w:hAnsi="Arial"/>
          <w:sz w:val="14"/>
          <w:szCs w:val="14"/>
          <w:u w:val="single" w:color="auto"/>
          <w:color w:val="0000FF"/>
        </w:rPr>
      </w:pPr>
    </w:p>
    <w:p>
      <w:pPr>
        <w:ind w:left="840" w:right="120" w:hanging="611"/>
        <w:spacing w:after="0" w:line="251"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3.13</w:t>
      </w:r>
      <w:r>
        <w:rPr>
          <w:sz w:val="20"/>
          <w:szCs w:val="20"/>
          <w:color w:val="auto"/>
        </w:rPr>
        <w:tab/>
      </w:r>
      <w:hyperlink r:id="rId33">
        <w:r>
          <w:rPr>
            <w:rFonts w:ascii="Arial" w:cs="Arial" w:eastAsia="Arial" w:hAnsi="Arial"/>
            <w:sz w:val="13"/>
            <w:szCs w:val="13"/>
            <w:u w:val="single" w:color="auto"/>
            <w:color w:val="0000FF"/>
          </w:rPr>
          <w:t>Statement of Resolution Establishing Series of</w:t>
        </w:r>
      </w:hyperlink>
      <w:r>
        <w:rPr>
          <w:rFonts w:ascii="Arial" w:cs="Arial" w:eastAsia="Arial" w:hAnsi="Arial"/>
          <w:sz w:val="13"/>
          <w:szCs w:val="13"/>
          <w:u w:val="single" w:color="auto"/>
          <w:color w:val="0000FF"/>
        </w:rPr>
        <w:t xml:space="preserve"> </w:t>
      </w:r>
      <w:hyperlink r:id="rId33">
        <w:r>
          <w:rPr>
            <w:rFonts w:ascii="Arial" w:cs="Arial" w:eastAsia="Arial" w:hAnsi="Arial"/>
            <w:sz w:val="13"/>
            <w:szCs w:val="13"/>
            <w:u w:val="single" w:color="auto"/>
            <w:color w:val="0000FF"/>
          </w:rPr>
          <w:t>Shares designated Series C Mandatory</w:t>
        </w:r>
      </w:hyperlink>
      <w:r>
        <w:rPr>
          <w:rFonts w:ascii="Arial" w:cs="Arial" w:eastAsia="Arial" w:hAnsi="Arial"/>
          <w:sz w:val="13"/>
          <w:szCs w:val="13"/>
          <w:u w:val="single" w:color="auto"/>
          <w:color w:val="0000FF"/>
        </w:rPr>
        <w:t xml:space="preserve"> </w:t>
      </w:r>
      <w:hyperlink r:id="rId33">
        <w:r>
          <w:rPr>
            <w:rFonts w:ascii="Arial" w:cs="Arial" w:eastAsia="Arial" w:hAnsi="Arial"/>
            <w:sz w:val="13"/>
            <w:szCs w:val="13"/>
            <w:u w:val="single" w:color="auto"/>
            <w:color w:val="0000FF"/>
          </w:rPr>
          <w:t>Convertible Preferred Stock of CenterPoint</w:t>
        </w:r>
      </w:hyperlink>
      <w:r>
        <w:rPr>
          <w:rFonts w:ascii="Arial" w:cs="Arial" w:eastAsia="Arial" w:hAnsi="Arial"/>
          <w:sz w:val="13"/>
          <w:szCs w:val="13"/>
          <w:u w:val="single" w:color="auto"/>
          <w:color w:val="0000FF"/>
        </w:rPr>
        <w:t xml:space="preserve"> </w:t>
      </w:r>
      <w:hyperlink r:id="rId33">
        <w:r>
          <w:rPr>
            <w:rFonts w:ascii="Arial" w:cs="Arial" w:eastAsia="Arial" w:hAnsi="Arial"/>
            <w:sz w:val="13"/>
            <w:szCs w:val="13"/>
            <w:u w:val="single" w:color="auto"/>
            <w:color w:val="0000FF"/>
          </w:rPr>
          <w:t>Energy, Inc., filed with the Secretary of State of</w:t>
        </w:r>
      </w:hyperlink>
      <w:r>
        <w:rPr>
          <w:rFonts w:ascii="Arial" w:cs="Arial" w:eastAsia="Arial" w:hAnsi="Arial"/>
          <w:sz w:val="13"/>
          <w:szCs w:val="13"/>
          <w:u w:val="single" w:color="auto"/>
          <w:color w:val="0000FF"/>
        </w:rPr>
        <w:t xml:space="preserve"> </w:t>
      </w:r>
      <w:hyperlink r:id="rId33">
        <w:r>
          <w:rPr>
            <w:rFonts w:ascii="Arial" w:cs="Arial" w:eastAsia="Arial" w:hAnsi="Arial"/>
            <w:sz w:val="13"/>
            <w:szCs w:val="13"/>
            <w:u w:val="single" w:color="auto"/>
            <w:color w:val="0000FF"/>
          </w:rPr>
          <w:t>the State of Texas and effective May 7, 2020</w:t>
        </w:r>
      </w:hyperlink>
    </w:p>
    <w:p>
      <w:pPr>
        <w:spacing w:after="0" w:line="15" w:lineRule="exact"/>
        <w:rPr>
          <w:rFonts w:ascii="Arial" w:cs="Arial" w:eastAsia="Arial" w:hAnsi="Arial"/>
          <w:sz w:val="13"/>
          <w:szCs w:val="13"/>
          <w:u w:val="single" w:color="auto"/>
          <w:color w:val="0000FF"/>
        </w:rPr>
      </w:pPr>
    </w:p>
    <w:p>
      <w:pPr>
        <w:ind w:left="260"/>
        <w:spacing w:after="0"/>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4.1</w:t>
      </w:r>
      <w:r>
        <w:rPr>
          <w:sz w:val="20"/>
          <w:szCs w:val="20"/>
          <w:color w:val="auto"/>
        </w:rPr>
        <w:tab/>
      </w:r>
      <w:hyperlink r:id="rId34">
        <w:r>
          <w:rPr>
            <w:rFonts w:ascii="Arial" w:cs="Arial" w:eastAsia="Arial" w:hAnsi="Arial"/>
            <w:sz w:val="13"/>
            <w:szCs w:val="13"/>
            <w:u w:val="single" w:color="auto"/>
            <w:color w:val="0000FF"/>
          </w:rPr>
          <w:t>Form of CenterPoint Energy Stock Certificate</w:t>
        </w:r>
      </w:hyperlink>
    </w:p>
    <w:p>
      <w:pPr>
        <w:spacing w:after="0" w:line="339" w:lineRule="exact"/>
        <w:rPr>
          <w:rFonts w:ascii="Arial" w:cs="Arial" w:eastAsia="Arial" w:hAnsi="Arial"/>
          <w:sz w:val="13"/>
          <w:szCs w:val="13"/>
          <w:u w:val="single" w:color="auto"/>
          <w:color w:val="0000FF"/>
        </w:rPr>
      </w:pPr>
    </w:p>
    <w:p>
      <w:pPr>
        <w:ind w:left="840" w:right="100" w:hanging="575"/>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4.2</w:t>
      </w:r>
      <w:r>
        <w:rPr>
          <w:sz w:val="20"/>
          <w:szCs w:val="20"/>
          <w:color w:val="auto"/>
        </w:rPr>
        <w:tab/>
      </w:r>
      <w:hyperlink r:id="rId35">
        <w:r>
          <w:rPr>
            <w:rFonts w:ascii="Arial" w:cs="Arial" w:eastAsia="Arial" w:hAnsi="Arial"/>
            <w:sz w:val="13"/>
            <w:szCs w:val="13"/>
            <w:u w:val="single" w:color="auto"/>
            <w:color w:val="0000FF"/>
          </w:rPr>
          <w:t>Form of Certificate representing the Series A</w:t>
        </w:r>
      </w:hyperlink>
      <w:r>
        <w:rPr>
          <w:rFonts w:ascii="Arial" w:cs="Arial" w:eastAsia="Arial" w:hAnsi="Arial"/>
          <w:sz w:val="13"/>
          <w:szCs w:val="13"/>
          <w:u w:val="single" w:color="auto"/>
          <w:color w:val="0000FF"/>
        </w:rPr>
        <w:t xml:space="preserve"> </w:t>
      </w:r>
      <w:hyperlink r:id="rId35">
        <w:r>
          <w:rPr>
            <w:rFonts w:ascii="Arial" w:cs="Arial" w:eastAsia="Arial" w:hAnsi="Arial"/>
            <w:sz w:val="13"/>
            <w:szCs w:val="13"/>
            <w:u w:val="single" w:color="auto"/>
            <w:color w:val="0000FF"/>
          </w:rPr>
          <w:t>Fixed-to-Floating Rate Cumulative Redeemable</w:t>
        </w:r>
      </w:hyperlink>
      <w:r>
        <w:rPr>
          <w:rFonts w:ascii="Arial" w:cs="Arial" w:eastAsia="Arial" w:hAnsi="Arial"/>
          <w:sz w:val="13"/>
          <w:szCs w:val="13"/>
          <w:u w:val="single" w:color="auto"/>
          <w:color w:val="0000FF"/>
        </w:rPr>
        <w:t xml:space="preserve"> </w:t>
      </w:r>
      <w:hyperlink r:id="rId35">
        <w:r>
          <w:rPr>
            <w:rFonts w:ascii="Arial" w:cs="Arial" w:eastAsia="Arial" w:hAnsi="Arial"/>
            <w:sz w:val="13"/>
            <w:szCs w:val="13"/>
            <w:u w:val="single" w:color="auto"/>
            <w:color w:val="0000FF"/>
          </w:rPr>
          <w:t>Preferred Stock of CenterPoint Energy</w:t>
        </w:r>
      </w:hyperlink>
    </w:p>
    <w:p>
      <w:pPr>
        <w:spacing w:after="0" w:line="6" w:lineRule="exact"/>
        <w:rPr>
          <w:rFonts w:ascii="Arial" w:cs="Arial" w:eastAsia="Arial" w:hAnsi="Arial"/>
          <w:sz w:val="13"/>
          <w:szCs w:val="13"/>
          <w:u w:val="single" w:color="auto"/>
          <w:color w:val="0000FF"/>
        </w:rPr>
      </w:pPr>
    </w:p>
    <w:p>
      <w:pPr>
        <w:ind w:left="840" w:hanging="575"/>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4.3</w:t>
      </w:r>
      <w:r>
        <w:rPr>
          <w:sz w:val="20"/>
          <w:szCs w:val="20"/>
          <w:color w:val="auto"/>
        </w:rPr>
        <w:tab/>
      </w:r>
      <w:hyperlink r:id="rId32">
        <w:r>
          <w:rPr>
            <w:rFonts w:ascii="Arial" w:cs="Arial" w:eastAsia="Arial" w:hAnsi="Arial"/>
            <w:sz w:val="14"/>
            <w:szCs w:val="14"/>
            <w:u w:val="single" w:color="auto"/>
            <w:color w:val="0000FF"/>
          </w:rPr>
          <w:t>Form of Certificate representing the 7.00% Series</w:t>
        </w:r>
      </w:hyperlink>
      <w:r>
        <w:rPr>
          <w:rFonts w:ascii="Arial" w:cs="Arial" w:eastAsia="Arial" w:hAnsi="Arial"/>
          <w:sz w:val="14"/>
          <w:szCs w:val="14"/>
          <w:u w:val="single" w:color="auto"/>
          <w:color w:val="0000FF"/>
        </w:rPr>
        <w:t xml:space="preserve"> </w:t>
      </w:r>
      <w:hyperlink r:id="rId32">
        <w:r>
          <w:rPr>
            <w:rFonts w:ascii="Arial" w:cs="Arial" w:eastAsia="Arial" w:hAnsi="Arial"/>
            <w:sz w:val="14"/>
            <w:szCs w:val="14"/>
            <w:u w:val="single" w:color="auto"/>
            <w:color w:val="0000FF"/>
          </w:rPr>
          <w:t>B Mandatory Convertible Preferred Stock of</w:t>
        </w:r>
      </w:hyperlink>
      <w:r>
        <w:rPr>
          <w:rFonts w:ascii="Arial" w:cs="Arial" w:eastAsia="Arial" w:hAnsi="Arial"/>
          <w:sz w:val="14"/>
          <w:szCs w:val="14"/>
          <w:u w:val="single" w:color="auto"/>
          <w:color w:val="0000FF"/>
        </w:rPr>
        <w:t xml:space="preserve"> </w:t>
      </w:r>
      <w:hyperlink r:id="rId32">
        <w:r>
          <w:rPr>
            <w:rFonts w:ascii="Arial" w:cs="Arial" w:eastAsia="Arial" w:hAnsi="Arial"/>
            <w:sz w:val="14"/>
            <w:szCs w:val="14"/>
            <w:u w:val="single" w:color="auto"/>
            <w:color w:val="0000FF"/>
          </w:rPr>
          <w:t>CenterPoint Energy (included as Exhibit A to</w:t>
        </w:r>
      </w:hyperlink>
      <w:r>
        <w:rPr>
          <w:rFonts w:ascii="Arial" w:cs="Arial" w:eastAsia="Arial" w:hAnsi="Arial"/>
          <w:sz w:val="14"/>
          <w:szCs w:val="14"/>
          <w:u w:val="single" w:color="auto"/>
          <w:color w:val="0000FF"/>
        </w:rPr>
        <w:t xml:space="preserve"> </w:t>
      </w:r>
      <w:hyperlink r:id="rId32">
        <w:r>
          <w:rPr>
            <w:rFonts w:ascii="Arial" w:cs="Arial" w:eastAsia="Arial" w:hAnsi="Arial"/>
            <w:sz w:val="14"/>
            <w:szCs w:val="14"/>
            <w:u w:val="single" w:color="auto"/>
            <w:color w:val="0000FF"/>
          </w:rPr>
          <w:t>Exhibit 3.12)</w:t>
        </w:r>
      </w:hyperlink>
    </w:p>
    <w:p>
      <w:pPr>
        <w:spacing w:after="0" w:line="23" w:lineRule="exact"/>
        <w:rPr>
          <w:rFonts w:ascii="Arial" w:cs="Arial" w:eastAsia="Arial" w:hAnsi="Arial"/>
          <w:sz w:val="14"/>
          <w:szCs w:val="14"/>
          <w:u w:val="single" w:color="auto"/>
          <w:color w:val="0000FF"/>
        </w:rPr>
      </w:pPr>
    </w:p>
    <w:p>
      <w:pPr>
        <w:ind w:left="840" w:right="40" w:hanging="575"/>
        <w:spacing w:after="0" w:line="251"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4.4</w:t>
      </w:r>
      <w:r>
        <w:rPr>
          <w:sz w:val="20"/>
          <w:szCs w:val="20"/>
          <w:color w:val="auto"/>
        </w:rPr>
        <w:tab/>
      </w:r>
      <w:hyperlink r:id="rId36">
        <w:r>
          <w:rPr>
            <w:rFonts w:ascii="Arial" w:cs="Arial" w:eastAsia="Arial" w:hAnsi="Arial"/>
            <w:sz w:val="13"/>
            <w:szCs w:val="13"/>
            <w:u w:val="single" w:color="auto"/>
            <w:color w:val="0000FF"/>
          </w:rPr>
          <w:t>Deposit Agreement, dated as of October 1, 2018,</w:t>
        </w:r>
      </w:hyperlink>
      <w:r>
        <w:rPr>
          <w:rFonts w:ascii="Arial" w:cs="Arial" w:eastAsia="Arial" w:hAnsi="Arial"/>
          <w:sz w:val="13"/>
          <w:szCs w:val="13"/>
          <w:u w:val="single" w:color="auto"/>
          <w:color w:val="0000FF"/>
        </w:rPr>
        <w:t xml:space="preserve"> </w:t>
      </w:r>
      <w:hyperlink r:id="rId36">
        <w:r>
          <w:rPr>
            <w:rFonts w:ascii="Arial" w:cs="Arial" w:eastAsia="Arial" w:hAnsi="Arial"/>
            <w:sz w:val="13"/>
            <w:szCs w:val="13"/>
            <w:u w:val="single" w:color="auto"/>
            <w:color w:val="0000FF"/>
          </w:rPr>
          <w:t>among CenterPoint Energy and Broadridge</w:t>
        </w:r>
      </w:hyperlink>
      <w:r>
        <w:rPr>
          <w:rFonts w:ascii="Arial" w:cs="Arial" w:eastAsia="Arial" w:hAnsi="Arial"/>
          <w:sz w:val="13"/>
          <w:szCs w:val="13"/>
          <w:u w:val="single" w:color="auto"/>
          <w:color w:val="0000FF"/>
        </w:rPr>
        <w:t xml:space="preserve"> </w:t>
      </w:r>
      <w:hyperlink r:id="rId36">
        <w:r>
          <w:rPr>
            <w:rFonts w:ascii="Arial" w:cs="Arial" w:eastAsia="Arial" w:hAnsi="Arial"/>
            <w:sz w:val="13"/>
            <w:szCs w:val="13"/>
            <w:u w:val="single" w:color="auto"/>
            <w:color w:val="0000FF"/>
          </w:rPr>
          <w:t>Corporate Issuer Solutions, Inc., as Depositary,</w:t>
        </w:r>
      </w:hyperlink>
      <w:r>
        <w:rPr>
          <w:rFonts w:ascii="Arial" w:cs="Arial" w:eastAsia="Arial" w:hAnsi="Arial"/>
          <w:sz w:val="13"/>
          <w:szCs w:val="13"/>
          <w:u w:val="single" w:color="auto"/>
          <w:color w:val="0000FF"/>
        </w:rPr>
        <w:t xml:space="preserve"> </w:t>
      </w:r>
      <w:hyperlink r:id="rId36">
        <w:r>
          <w:rPr>
            <w:rFonts w:ascii="Arial" w:cs="Arial" w:eastAsia="Arial" w:hAnsi="Arial"/>
            <w:sz w:val="13"/>
            <w:szCs w:val="13"/>
            <w:u w:val="single" w:color="auto"/>
            <w:color w:val="0000FF"/>
          </w:rPr>
          <w:t>and the holders from time to time of the</w:t>
        </w:r>
      </w:hyperlink>
      <w:r>
        <w:rPr>
          <w:rFonts w:ascii="Arial" w:cs="Arial" w:eastAsia="Arial" w:hAnsi="Arial"/>
          <w:sz w:val="13"/>
          <w:szCs w:val="13"/>
          <w:u w:val="single" w:color="auto"/>
          <w:color w:val="0000FF"/>
        </w:rPr>
        <w:t xml:space="preserve"> </w:t>
      </w:r>
      <w:hyperlink r:id="rId36">
        <w:r>
          <w:rPr>
            <w:rFonts w:ascii="Arial" w:cs="Arial" w:eastAsia="Arial" w:hAnsi="Arial"/>
            <w:sz w:val="13"/>
            <w:szCs w:val="13"/>
            <w:u w:val="single" w:color="auto"/>
            <w:color w:val="0000FF"/>
          </w:rPr>
          <w:t>Depositary Receipts described therein</w:t>
        </w:r>
      </w:hyperlink>
    </w:p>
    <w:p>
      <w:pPr>
        <w:spacing w:after="0" w:line="15" w:lineRule="exact"/>
        <w:rPr>
          <w:rFonts w:ascii="Arial" w:cs="Arial" w:eastAsia="Arial" w:hAnsi="Arial"/>
          <w:sz w:val="13"/>
          <w:szCs w:val="13"/>
          <w:u w:val="single" w:color="auto"/>
          <w:color w:val="0000FF"/>
        </w:rPr>
      </w:pPr>
    </w:p>
    <w:p>
      <w:pPr>
        <w:ind w:left="840" w:right="180" w:hanging="575"/>
        <w:spacing w:after="0" w:line="290"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4.5</w:t>
      </w:r>
      <w:r>
        <w:rPr>
          <w:sz w:val="20"/>
          <w:szCs w:val="20"/>
          <w:color w:val="auto"/>
        </w:rPr>
        <w:tab/>
      </w:r>
      <w:hyperlink r:id="rId36">
        <w:r>
          <w:rPr>
            <w:rFonts w:ascii="Arial" w:cs="Arial" w:eastAsia="Arial" w:hAnsi="Arial"/>
            <w:sz w:val="13"/>
            <w:szCs w:val="13"/>
            <w:u w:val="single" w:color="auto"/>
            <w:color w:val="0000FF"/>
          </w:rPr>
          <w:t>Form of Depositary Receipt for the Depositary</w:t>
        </w:r>
      </w:hyperlink>
      <w:r>
        <w:rPr>
          <w:rFonts w:ascii="Arial" w:cs="Arial" w:eastAsia="Arial" w:hAnsi="Arial"/>
          <w:sz w:val="13"/>
          <w:szCs w:val="13"/>
          <w:u w:val="single" w:color="auto"/>
          <w:color w:val="0000FF"/>
        </w:rPr>
        <w:t xml:space="preserve"> </w:t>
      </w:r>
      <w:hyperlink r:id="rId36">
        <w:r>
          <w:rPr>
            <w:rFonts w:ascii="Arial" w:cs="Arial" w:eastAsia="Arial" w:hAnsi="Arial"/>
            <w:sz w:val="13"/>
            <w:szCs w:val="13"/>
            <w:u w:val="single" w:color="auto"/>
            <w:color w:val="0000FF"/>
          </w:rPr>
          <w:t>Shares (included as Exhibit A to Exhibit 4.4)</w:t>
        </w:r>
      </w:hyperlink>
    </w:p>
    <w:p>
      <w:pPr>
        <w:spacing w:after="0" w:line="138" w:lineRule="exact"/>
        <w:rPr>
          <w:sz w:val="20"/>
          <w:szCs w:val="20"/>
          <w:color w:val="auto"/>
        </w:rPr>
      </w:pPr>
    </w:p>
    <w:p>
      <w:pPr>
        <w:jc w:val="both"/>
        <w:ind w:left="840" w:right="200" w:hanging="575"/>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4.6</w:t>
      </w:r>
      <w:r>
        <w:rPr>
          <w:sz w:val="20"/>
          <w:szCs w:val="20"/>
          <w:color w:val="auto"/>
        </w:rPr>
        <w:tab/>
      </w:r>
      <w:hyperlink r:id="rId37">
        <w:r>
          <w:rPr>
            <w:rFonts w:ascii="Arial" w:cs="Arial" w:eastAsia="Arial" w:hAnsi="Arial"/>
            <w:sz w:val="13"/>
            <w:szCs w:val="13"/>
            <w:u w:val="single" w:color="auto"/>
            <w:color w:val="0000FF"/>
          </w:rPr>
          <w:t>$1,600,000,000 Credit Agreement, dated as of</w:t>
        </w:r>
      </w:hyperlink>
      <w:r>
        <w:rPr>
          <w:rFonts w:ascii="Arial" w:cs="Arial" w:eastAsia="Arial" w:hAnsi="Arial"/>
          <w:sz w:val="13"/>
          <w:szCs w:val="13"/>
          <w:u w:val="single" w:color="auto"/>
          <w:color w:val="0000FF"/>
        </w:rPr>
        <w:t xml:space="preserve"> </w:t>
      </w:r>
      <w:hyperlink r:id="rId37">
        <w:r>
          <w:rPr>
            <w:rFonts w:ascii="Arial" w:cs="Arial" w:eastAsia="Arial" w:hAnsi="Arial"/>
            <w:sz w:val="13"/>
            <w:szCs w:val="13"/>
            <w:u w:val="single" w:color="auto"/>
            <w:color w:val="0000FF"/>
          </w:rPr>
          <w:t>March 3, 2016, among CenterPoint Energy, as</w:t>
        </w:r>
      </w:hyperlink>
      <w:r>
        <w:rPr>
          <w:rFonts w:ascii="Arial" w:cs="Arial" w:eastAsia="Arial" w:hAnsi="Arial"/>
          <w:sz w:val="13"/>
          <w:szCs w:val="13"/>
          <w:u w:val="single" w:color="auto"/>
          <w:color w:val="0000FF"/>
        </w:rPr>
        <w:t xml:space="preserve"> </w:t>
      </w:r>
      <w:hyperlink r:id="rId37">
        <w:r>
          <w:rPr>
            <w:rFonts w:ascii="Arial" w:cs="Arial" w:eastAsia="Arial" w:hAnsi="Arial"/>
            <w:sz w:val="13"/>
            <w:szCs w:val="13"/>
            <w:u w:val="single" w:color="auto"/>
            <w:color w:val="0000FF"/>
          </w:rPr>
          <w:t>Borrower, and the banks named therein</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br w:type="column"/>
      </w:r>
    </w:p>
    <w:p>
      <w:pPr>
        <w:spacing w:after="0" w:line="369" w:lineRule="exact"/>
        <w:rPr>
          <w:rFonts w:ascii="Arial" w:cs="Arial" w:eastAsia="Arial" w:hAnsi="Arial"/>
          <w:sz w:val="13"/>
          <w:szCs w:val="13"/>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 or Registration</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SEC File or</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0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Statement</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0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Houston Electric’s Form</w:t>
            </w:r>
          </w:p>
        </w:tc>
        <w:tc>
          <w:tcPr>
            <w:tcW w:w="1140" w:type="dxa"/>
            <w:vAlign w:val="bottom"/>
          </w:tcPr>
          <w:p>
            <w:pPr>
              <w:jc w:val="center"/>
              <w:spacing w:after="0" w:line="156" w:lineRule="exact"/>
              <w:rPr>
                <w:sz w:val="20"/>
                <w:szCs w:val="20"/>
                <w:color w:val="auto"/>
              </w:rPr>
            </w:pPr>
            <w:r>
              <w:rPr>
                <w:rFonts w:ascii="Arial" w:cs="Arial" w:eastAsia="Arial" w:hAnsi="Arial"/>
                <w:sz w:val="14"/>
                <w:szCs w:val="14"/>
                <w:color w:val="auto"/>
                <w:w w:val="96"/>
              </w:rPr>
              <w:t>1-3187</w:t>
            </w:r>
          </w:p>
        </w:tc>
        <w:tc>
          <w:tcPr>
            <w:tcW w:w="10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6"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10-Q for the quarter ended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June 30, 2011</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CERC Form 10-K for the</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3(a)(1)</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9"/>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year ended December 31,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CERC Form 10-K for the</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3(a)(2)</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year ended December 31,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CERC Form 10-K for the</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3(a)(3)</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year ended December 31,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CERC Form 10-Q for the</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3(a)(4)</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w w:val="97"/>
              </w:rPr>
              <w:t>quarter ended June 30, 2003</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February 21,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Houston Electric’s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1-3187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10-Q for the quarter ended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June 30, 2011</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CERC Form 10-K for the</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3(b)</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9"/>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year ended December 31,</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3(c)</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10-K for the year ended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December 31, 2011</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August 22, 2018</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September 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May 6, 2020</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4"/>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3-69502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Registration Statement on</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Form S-4</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August 22, 2018</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September 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September 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8-K dated September 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March 3, 2016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2" w:lineRule="exact"/>
        <w:rPr>
          <w:rFonts w:ascii="Arial" w:cs="Arial" w:eastAsia="Arial" w:hAnsi="Arial"/>
          <w:sz w:val="13"/>
          <w:szCs w:val="13"/>
          <w:u w:val="single" w:color="auto"/>
          <w:color w:val="0000FF"/>
        </w:rPr>
      </w:pPr>
    </w:p>
    <w:p>
      <w:pPr>
        <w:ind w:left="1620"/>
        <w:spacing w:after="0"/>
        <w:rPr>
          <w:sz w:val="20"/>
          <w:szCs w:val="20"/>
          <w:color w:val="auto"/>
        </w:rPr>
      </w:pPr>
      <w:r>
        <w:rPr>
          <w:rFonts w:ascii="Arial" w:cs="Arial" w:eastAsia="Arial" w:hAnsi="Arial"/>
          <w:sz w:val="18"/>
          <w:szCs w:val="18"/>
          <w:color w:val="auto"/>
        </w:rPr>
        <w:t>104</w:t>
      </w:r>
    </w:p>
    <w:p>
      <w:pPr>
        <w:sectPr>
          <w:pgSz w:w="11900" w:h="16838" w:orient="portrait"/>
          <w:cols w:equalWidth="0" w:num="2">
            <w:col w:w="3700" w:space="160"/>
            <w:col w:w="7380"/>
          </w:cols>
          <w:pgMar w:left="320" w:top="125" w:right="339" w:bottom="1440" w:gutter="0" w:footer="0" w:header="0"/>
          <w:type w:val="continuous"/>
        </w:sectPr>
      </w:pPr>
    </w:p>
    <w:bookmarkStart w:id="115" w:name="page116"/>
    <w:bookmarkEnd w:id="11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80"/>
        <w:spacing w:after="0"/>
        <w:tabs>
          <w:tab w:leader="none" w:pos="19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3660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23" w:lineRule="exact"/>
        <w:rPr>
          <w:sz w:val="20"/>
          <w:szCs w:val="20"/>
          <w:color w:val="auto"/>
        </w:rPr>
      </w:pPr>
    </w:p>
    <w:p>
      <w:pPr>
        <w:jc w:val="both"/>
        <w:ind w:left="840" w:right="300" w:hanging="575"/>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4.7</w:t>
      </w:r>
      <w:r>
        <w:rPr>
          <w:sz w:val="20"/>
          <w:szCs w:val="20"/>
          <w:color w:val="auto"/>
        </w:rPr>
        <w:tab/>
      </w:r>
      <w:hyperlink r:id="rId39">
        <w:r>
          <w:rPr>
            <w:rFonts w:ascii="Arial" w:cs="Arial" w:eastAsia="Arial" w:hAnsi="Arial"/>
            <w:sz w:val="13"/>
            <w:szCs w:val="13"/>
            <w:u w:val="single" w:color="auto"/>
            <w:color w:val="0000FF"/>
          </w:rPr>
          <w:t>$300,000,000 Credit Agreement, dated as of</w:t>
        </w:r>
      </w:hyperlink>
      <w:r>
        <w:rPr>
          <w:rFonts w:ascii="Arial" w:cs="Arial" w:eastAsia="Arial" w:hAnsi="Arial"/>
          <w:sz w:val="13"/>
          <w:szCs w:val="13"/>
          <w:u w:val="single" w:color="auto"/>
          <w:color w:val="0000FF"/>
        </w:rPr>
        <w:t xml:space="preserve"> </w:t>
      </w:r>
      <w:hyperlink r:id="rId39">
        <w:r>
          <w:rPr>
            <w:rFonts w:ascii="Arial" w:cs="Arial" w:eastAsia="Arial" w:hAnsi="Arial"/>
            <w:sz w:val="13"/>
            <w:szCs w:val="13"/>
            <w:u w:val="single" w:color="auto"/>
            <w:color w:val="0000FF"/>
          </w:rPr>
          <w:t>March 3, 2016, among Houston Electric, as</w:t>
        </w:r>
      </w:hyperlink>
      <w:r>
        <w:rPr>
          <w:rFonts w:ascii="Arial" w:cs="Arial" w:eastAsia="Arial" w:hAnsi="Arial"/>
          <w:sz w:val="13"/>
          <w:szCs w:val="13"/>
          <w:u w:val="single" w:color="auto"/>
          <w:color w:val="0000FF"/>
        </w:rPr>
        <w:t xml:space="preserve"> </w:t>
      </w:r>
      <w:hyperlink r:id="rId39">
        <w:r>
          <w:rPr>
            <w:rFonts w:ascii="Arial" w:cs="Arial" w:eastAsia="Arial" w:hAnsi="Arial"/>
            <w:sz w:val="13"/>
            <w:szCs w:val="13"/>
            <w:u w:val="single" w:color="auto"/>
            <w:color w:val="0000FF"/>
          </w:rPr>
          <w:t>Borrower, and the banks named therein</w:t>
        </w:r>
      </w:hyperlink>
    </w:p>
    <w:p>
      <w:pPr>
        <w:spacing w:after="0" w:line="6" w:lineRule="exact"/>
        <w:rPr>
          <w:rFonts w:ascii="Arial" w:cs="Arial" w:eastAsia="Arial" w:hAnsi="Arial"/>
          <w:sz w:val="13"/>
          <w:szCs w:val="13"/>
          <w:u w:val="single" w:color="auto"/>
          <w:color w:val="0000FF"/>
        </w:rPr>
      </w:pPr>
    </w:p>
    <w:p>
      <w:pPr>
        <w:ind w:left="840" w:right="300" w:hanging="575"/>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4.8</w:t>
      </w:r>
      <w:r>
        <w:rPr>
          <w:sz w:val="20"/>
          <w:szCs w:val="20"/>
          <w:color w:val="auto"/>
        </w:rPr>
        <w:tab/>
      </w:r>
      <w:hyperlink r:id="rId40">
        <w:r>
          <w:rPr>
            <w:rFonts w:ascii="Arial" w:cs="Arial" w:eastAsia="Arial" w:hAnsi="Arial"/>
            <w:sz w:val="13"/>
            <w:szCs w:val="13"/>
            <w:u w:val="single" w:color="auto"/>
            <w:color w:val="0000FF"/>
          </w:rPr>
          <w:t>$600,000,000 Credit Agreement, dated as of</w:t>
        </w:r>
      </w:hyperlink>
      <w:r>
        <w:rPr>
          <w:rFonts w:ascii="Arial" w:cs="Arial" w:eastAsia="Arial" w:hAnsi="Arial"/>
          <w:sz w:val="13"/>
          <w:szCs w:val="13"/>
          <w:u w:val="single" w:color="auto"/>
          <w:color w:val="0000FF"/>
        </w:rPr>
        <w:t xml:space="preserve"> </w:t>
      </w:r>
      <w:hyperlink r:id="rId40">
        <w:r>
          <w:rPr>
            <w:rFonts w:ascii="Arial" w:cs="Arial" w:eastAsia="Arial" w:hAnsi="Arial"/>
            <w:sz w:val="13"/>
            <w:szCs w:val="13"/>
            <w:u w:val="single" w:color="auto"/>
            <w:color w:val="0000FF"/>
          </w:rPr>
          <w:t>March 3, 2016, among CERC Corp., as</w:t>
        </w:r>
      </w:hyperlink>
      <w:r>
        <w:rPr>
          <w:rFonts w:ascii="Arial" w:cs="Arial" w:eastAsia="Arial" w:hAnsi="Arial"/>
          <w:sz w:val="13"/>
          <w:szCs w:val="13"/>
          <w:u w:val="single" w:color="auto"/>
          <w:color w:val="0000FF"/>
        </w:rPr>
        <w:t xml:space="preserve"> </w:t>
      </w:r>
      <w:hyperlink r:id="rId40">
        <w:r>
          <w:rPr>
            <w:rFonts w:ascii="Arial" w:cs="Arial" w:eastAsia="Arial" w:hAnsi="Arial"/>
            <w:sz w:val="13"/>
            <w:szCs w:val="13"/>
            <w:u w:val="single" w:color="auto"/>
            <w:color w:val="0000FF"/>
          </w:rPr>
          <w:t>Borrower, and the banks named therein</w:t>
        </w:r>
      </w:hyperlink>
    </w:p>
    <w:p>
      <w:pPr>
        <w:spacing w:after="0" w:line="6" w:lineRule="exact"/>
        <w:rPr>
          <w:rFonts w:ascii="Arial" w:cs="Arial" w:eastAsia="Arial" w:hAnsi="Arial"/>
          <w:sz w:val="13"/>
          <w:szCs w:val="13"/>
          <w:u w:val="single" w:color="auto"/>
          <w:color w:val="0000FF"/>
        </w:rPr>
      </w:pPr>
    </w:p>
    <w:p>
      <w:pPr>
        <w:ind w:left="840" w:hanging="575"/>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4.9</w:t>
      </w:r>
      <w:r>
        <w:rPr>
          <w:sz w:val="20"/>
          <w:szCs w:val="20"/>
          <w:color w:val="auto"/>
        </w:rPr>
        <w:tab/>
      </w:r>
      <w:hyperlink r:id="rId41">
        <w:r>
          <w:rPr>
            <w:rFonts w:ascii="Arial" w:cs="Arial" w:eastAsia="Arial" w:hAnsi="Arial"/>
            <w:sz w:val="14"/>
            <w:szCs w:val="14"/>
            <w:u w:val="single" w:color="auto"/>
            <w:color w:val="0000FF"/>
          </w:rPr>
          <w:t>First Amendment to Amended and Restated</w:t>
        </w:r>
      </w:hyperlink>
      <w:r>
        <w:rPr>
          <w:rFonts w:ascii="Arial" w:cs="Arial" w:eastAsia="Arial" w:hAnsi="Arial"/>
          <w:sz w:val="14"/>
          <w:szCs w:val="14"/>
          <w:u w:val="single" w:color="auto"/>
          <w:color w:val="0000FF"/>
        </w:rPr>
        <w:t xml:space="preserve"> </w:t>
      </w:r>
      <w:hyperlink r:id="rId41">
        <w:r>
          <w:rPr>
            <w:rFonts w:ascii="Arial" w:cs="Arial" w:eastAsia="Arial" w:hAnsi="Arial"/>
            <w:sz w:val="14"/>
            <w:szCs w:val="14"/>
            <w:u w:val="single" w:color="auto"/>
            <w:color w:val="0000FF"/>
          </w:rPr>
          <w:t>Credit Agreement, dated as of June 16, 2017, by</w:t>
        </w:r>
      </w:hyperlink>
      <w:r>
        <w:rPr>
          <w:rFonts w:ascii="Arial" w:cs="Arial" w:eastAsia="Arial" w:hAnsi="Arial"/>
          <w:sz w:val="14"/>
          <w:szCs w:val="14"/>
          <w:u w:val="single" w:color="auto"/>
          <w:color w:val="0000FF"/>
        </w:rPr>
        <w:t xml:space="preserve"> </w:t>
      </w:r>
      <w:hyperlink r:id="rId41">
        <w:r>
          <w:rPr>
            <w:rFonts w:ascii="Arial" w:cs="Arial" w:eastAsia="Arial" w:hAnsi="Arial"/>
            <w:sz w:val="14"/>
            <w:szCs w:val="14"/>
            <w:u w:val="single" w:color="auto"/>
            <w:color w:val="0000FF"/>
          </w:rPr>
          <w:t>and among CenterPoint Energy, as Borrower, and</w:t>
        </w:r>
      </w:hyperlink>
      <w:r>
        <w:rPr>
          <w:rFonts w:ascii="Arial" w:cs="Arial" w:eastAsia="Arial" w:hAnsi="Arial"/>
          <w:sz w:val="14"/>
          <w:szCs w:val="14"/>
          <w:u w:val="single" w:color="auto"/>
          <w:color w:val="0000FF"/>
        </w:rPr>
        <w:t xml:space="preserve"> </w:t>
      </w:r>
      <w:hyperlink r:id="rId41">
        <w:r>
          <w:rPr>
            <w:rFonts w:ascii="Arial" w:cs="Arial" w:eastAsia="Arial" w:hAnsi="Arial"/>
            <w:sz w:val="14"/>
            <w:szCs w:val="14"/>
            <w:u w:val="single" w:color="auto"/>
            <w:color w:val="0000FF"/>
          </w:rPr>
          <w:t>the banks named therein</w:t>
        </w:r>
      </w:hyperlink>
    </w:p>
    <w:p>
      <w:pPr>
        <w:spacing w:after="0" w:line="23" w:lineRule="exact"/>
        <w:rPr>
          <w:rFonts w:ascii="Arial" w:cs="Arial" w:eastAsia="Arial" w:hAnsi="Arial"/>
          <w:sz w:val="14"/>
          <w:szCs w:val="14"/>
          <w:u w:val="single" w:color="auto"/>
          <w:color w:val="0000FF"/>
        </w:rPr>
      </w:pPr>
    </w:p>
    <w:p>
      <w:pPr>
        <w:ind w:left="840" w:hanging="611"/>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4.10</w:t>
      </w:r>
      <w:r>
        <w:rPr>
          <w:sz w:val="20"/>
          <w:szCs w:val="20"/>
          <w:color w:val="auto"/>
        </w:rPr>
        <w:tab/>
      </w:r>
      <w:hyperlink r:id="rId42">
        <w:r>
          <w:rPr>
            <w:rFonts w:ascii="Arial" w:cs="Arial" w:eastAsia="Arial" w:hAnsi="Arial"/>
            <w:sz w:val="14"/>
            <w:szCs w:val="14"/>
            <w:u w:val="single" w:color="auto"/>
            <w:color w:val="0000FF"/>
          </w:rPr>
          <w:t>Second Amendment to Amended and Restated</w:t>
        </w:r>
      </w:hyperlink>
      <w:r>
        <w:rPr>
          <w:rFonts w:ascii="Arial" w:cs="Arial" w:eastAsia="Arial" w:hAnsi="Arial"/>
          <w:sz w:val="14"/>
          <w:szCs w:val="14"/>
          <w:u w:val="single" w:color="auto"/>
          <w:color w:val="0000FF"/>
        </w:rPr>
        <w:t xml:space="preserve"> </w:t>
      </w:r>
      <w:hyperlink r:id="rId42">
        <w:r>
          <w:rPr>
            <w:rFonts w:ascii="Arial" w:cs="Arial" w:eastAsia="Arial" w:hAnsi="Arial"/>
            <w:sz w:val="14"/>
            <w:szCs w:val="14"/>
            <w:u w:val="single" w:color="auto"/>
            <w:color w:val="0000FF"/>
          </w:rPr>
          <w:t>Credit Agreement, dated as of May 25, 2018, by</w:t>
        </w:r>
      </w:hyperlink>
      <w:r>
        <w:rPr>
          <w:rFonts w:ascii="Arial" w:cs="Arial" w:eastAsia="Arial" w:hAnsi="Arial"/>
          <w:sz w:val="14"/>
          <w:szCs w:val="14"/>
          <w:u w:val="single" w:color="auto"/>
          <w:color w:val="0000FF"/>
        </w:rPr>
        <w:t xml:space="preserve"> </w:t>
      </w:r>
      <w:hyperlink r:id="rId42">
        <w:r>
          <w:rPr>
            <w:rFonts w:ascii="Arial" w:cs="Arial" w:eastAsia="Arial" w:hAnsi="Arial"/>
            <w:sz w:val="14"/>
            <w:szCs w:val="14"/>
            <w:u w:val="single" w:color="auto"/>
            <w:color w:val="0000FF"/>
          </w:rPr>
          <w:t>and among CenterPoint Energy, as Borrower, and</w:t>
        </w:r>
      </w:hyperlink>
      <w:r>
        <w:rPr>
          <w:rFonts w:ascii="Arial" w:cs="Arial" w:eastAsia="Arial" w:hAnsi="Arial"/>
          <w:sz w:val="14"/>
          <w:szCs w:val="14"/>
          <w:u w:val="single" w:color="auto"/>
          <w:color w:val="0000FF"/>
        </w:rPr>
        <w:t xml:space="preserve"> </w:t>
      </w:r>
      <w:hyperlink r:id="rId42">
        <w:r>
          <w:rPr>
            <w:rFonts w:ascii="Arial" w:cs="Arial" w:eastAsia="Arial" w:hAnsi="Arial"/>
            <w:sz w:val="14"/>
            <w:szCs w:val="14"/>
            <w:u w:val="single" w:color="auto"/>
            <w:color w:val="0000FF"/>
          </w:rPr>
          <w:t>the banks named therein</w:t>
        </w:r>
      </w:hyperlink>
    </w:p>
    <w:p>
      <w:pPr>
        <w:spacing w:after="0" w:line="23" w:lineRule="exact"/>
        <w:rPr>
          <w:rFonts w:ascii="Arial" w:cs="Arial" w:eastAsia="Arial" w:hAnsi="Arial"/>
          <w:sz w:val="14"/>
          <w:szCs w:val="14"/>
          <w:u w:val="single" w:color="auto"/>
          <w:color w:val="0000FF"/>
        </w:rPr>
      </w:pPr>
    </w:p>
    <w:p>
      <w:pPr>
        <w:ind w:left="840" w:right="80" w:hanging="608"/>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4.11</w:t>
      </w:r>
      <w:r>
        <w:rPr>
          <w:sz w:val="20"/>
          <w:szCs w:val="20"/>
          <w:color w:val="auto"/>
        </w:rPr>
        <w:tab/>
      </w:r>
      <w:hyperlink r:id="rId43">
        <w:r>
          <w:rPr>
            <w:rFonts w:ascii="Arial" w:cs="Arial" w:eastAsia="Arial" w:hAnsi="Arial"/>
            <w:sz w:val="13"/>
            <w:szCs w:val="13"/>
            <w:u w:val="single" w:color="auto"/>
            <w:color w:val="0000FF"/>
          </w:rPr>
          <w:t>First Amendment to Credit Agreement, dated as</w:t>
        </w:r>
      </w:hyperlink>
      <w:r>
        <w:rPr>
          <w:rFonts w:ascii="Arial" w:cs="Arial" w:eastAsia="Arial" w:hAnsi="Arial"/>
          <w:sz w:val="13"/>
          <w:szCs w:val="13"/>
          <w:u w:val="single" w:color="auto"/>
          <w:color w:val="0000FF"/>
        </w:rPr>
        <w:t xml:space="preserve"> </w:t>
      </w:r>
      <w:hyperlink r:id="rId43">
        <w:r>
          <w:rPr>
            <w:rFonts w:ascii="Arial" w:cs="Arial" w:eastAsia="Arial" w:hAnsi="Arial"/>
            <w:sz w:val="13"/>
            <w:szCs w:val="13"/>
            <w:u w:val="single" w:color="auto"/>
            <w:color w:val="0000FF"/>
          </w:rPr>
          <w:t>of June 16, 2017, among Houston Electric, as</w:t>
        </w:r>
      </w:hyperlink>
      <w:r>
        <w:rPr>
          <w:rFonts w:ascii="Arial" w:cs="Arial" w:eastAsia="Arial" w:hAnsi="Arial"/>
          <w:sz w:val="13"/>
          <w:szCs w:val="13"/>
          <w:u w:val="single" w:color="auto"/>
          <w:color w:val="0000FF"/>
        </w:rPr>
        <w:t xml:space="preserve"> </w:t>
      </w:r>
      <w:hyperlink r:id="rId43">
        <w:r>
          <w:rPr>
            <w:rFonts w:ascii="Arial" w:cs="Arial" w:eastAsia="Arial" w:hAnsi="Arial"/>
            <w:sz w:val="13"/>
            <w:szCs w:val="13"/>
            <w:u w:val="single" w:color="auto"/>
            <w:color w:val="0000FF"/>
          </w:rPr>
          <w:t>Borrower, and the banks named therein</w:t>
        </w:r>
      </w:hyperlink>
    </w:p>
    <w:p>
      <w:pPr>
        <w:spacing w:after="0" w:line="6" w:lineRule="exact"/>
        <w:rPr>
          <w:rFonts w:ascii="Arial" w:cs="Arial" w:eastAsia="Arial" w:hAnsi="Arial"/>
          <w:sz w:val="13"/>
          <w:szCs w:val="13"/>
          <w:u w:val="single" w:color="auto"/>
          <w:color w:val="0000FF"/>
        </w:rPr>
      </w:pPr>
    </w:p>
    <w:p>
      <w:pPr>
        <w:ind w:left="840" w:right="80" w:hanging="611"/>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4.12</w:t>
      </w:r>
      <w:r>
        <w:rPr>
          <w:sz w:val="20"/>
          <w:szCs w:val="20"/>
          <w:color w:val="auto"/>
        </w:rPr>
        <w:tab/>
      </w:r>
      <w:hyperlink r:id="rId44">
        <w:r>
          <w:rPr>
            <w:rFonts w:ascii="Arial" w:cs="Arial" w:eastAsia="Arial" w:hAnsi="Arial"/>
            <w:sz w:val="13"/>
            <w:szCs w:val="13"/>
            <w:u w:val="single" w:color="auto"/>
            <w:color w:val="0000FF"/>
          </w:rPr>
          <w:t>First Amendment to Credit Agreement, dated as</w:t>
        </w:r>
      </w:hyperlink>
      <w:r>
        <w:rPr>
          <w:rFonts w:ascii="Arial" w:cs="Arial" w:eastAsia="Arial" w:hAnsi="Arial"/>
          <w:sz w:val="13"/>
          <w:szCs w:val="13"/>
          <w:u w:val="single" w:color="auto"/>
          <w:color w:val="0000FF"/>
        </w:rPr>
        <w:t xml:space="preserve"> </w:t>
      </w:r>
      <w:hyperlink r:id="rId44">
        <w:r>
          <w:rPr>
            <w:rFonts w:ascii="Arial" w:cs="Arial" w:eastAsia="Arial" w:hAnsi="Arial"/>
            <w:sz w:val="13"/>
            <w:szCs w:val="13"/>
            <w:u w:val="single" w:color="auto"/>
            <w:color w:val="0000FF"/>
          </w:rPr>
          <w:t>of June 16, 2017, among CERC Corp., as</w:t>
        </w:r>
      </w:hyperlink>
      <w:r>
        <w:rPr>
          <w:rFonts w:ascii="Arial" w:cs="Arial" w:eastAsia="Arial" w:hAnsi="Arial"/>
          <w:sz w:val="13"/>
          <w:szCs w:val="13"/>
          <w:u w:val="single" w:color="auto"/>
          <w:color w:val="0000FF"/>
        </w:rPr>
        <w:t xml:space="preserve"> </w:t>
      </w:r>
      <w:hyperlink r:id="rId44">
        <w:r>
          <w:rPr>
            <w:rFonts w:ascii="Arial" w:cs="Arial" w:eastAsia="Arial" w:hAnsi="Arial"/>
            <w:sz w:val="13"/>
            <w:szCs w:val="13"/>
            <w:u w:val="single" w:color="auto"/>
            <w:color w:val="0000FF"/>
          </w:rPr>
          <w:t>Borrower, and the banks named therein</w:t>
        </w:r>
      </w:hyperlink>
    </w:p>
    <w:p>
      <w:pPr>
        <w:spacing w:after="0" w:line="6" w:lineRule="exact"/>
        <w:rPr>
          <w:rFonts w:ascii="Arial" w:cs="Arial" w:eastAsia="Arial" w:hAnsi="Arial"/>
          <w:sz w:val="13"/>
          <w:szCs w:val="13"/>
          <w:u w:val="single" w:color="auto"/>
          <w:color w:val="0000FF"/>
        </w:rPr>
      </w:pPr>
    </w:p>
    <w:p>
      <w:pPr>
        <w:ind w:left="840" w:right="20" w:hanging="611"/>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4.13</w:t>
      </w:r>
      <w:r>
        <w:rPr>
          <w:sz w:val="20"/>
          <w:szCs w:val="20"/>
          <w:color w:val="auto"/>
        </w:rPr>
        <w:tab/>
      </w:r>
      <w:hyperlink r:id="rId45">
        <w:r>
          <w:rPr>
            <w:rFonts w:ascii="Arial" w:cs="Arial" w:eastAsia="Arial" w:hAnsi="Arial"/>
            <w:sz w:val="14"/>
            <w:szCs w:val="14"/>
            <w:u w:val="single" w:color="auto"/>
            <w:color w:val="0000FF"/>
          </w:rPr>
          <w:t>$400,000,000 Credit Agreement, dated as of July</w:t>
        </w:r>
      </w:hyperlink>
      <w:r>
        <w:rPr>
          <w:rFonts w:ascii="Arial" w:cs="Arial" w:eastAsia="Arial" w:hAnsi="Arial"/>
          <w:sz w:val="14"/>
          <w:szCs w:val="14"/>
          <w:u w:val="single" w:color="auto"/>
          <w:color w:val="0000FF"/>
        </w:rPr>
        <w:t xml:space="preserve"> </w:t>
      </w:r>
      <w:hyperlink r:id="rId45">
        <w:r>
          <w:rPr>
            <w:rFonts w:ascii="Arial" w:cs="Arial" w:eastAsia="Arial" w:hAnsi="Arial"/>
            <w:sz w:val="14"/>
            <w:szCs w:val="14"/>
            <w:u w:val="single" w:color="auto"/>
            <w:color w:val="0000FF"/>
          </w:rPr>
          <w:t>14, 2017, among VUHI, as Borrower, certain</w:t>
        </w:r>
      </w:hyperlink>
      <w:r>
        <w:rPr>
          <w:rFonts w:ascii="Arial" w:cs="Arial" w:eastAsia="Arial" w:hAnsi="Arial"/>
          <w:sz w:val="14"/>
          <w:szCs w:val="14"/>
          <w:u w:val="single" w:color="auto"/>
          <w:color w:val="0000FF"/>
        </w:rPr>
        <w:t xml:space="preserve"> </w:t>
      </w:r>
      <w:hyperlink r:id="rId45">
        <w:r>
          <w:rPr>
            <w:rFonts w:ascii="Arial" w:cs="Arial" w:eastAsia="Arial" w:hAnsi="Arial"/>
            <w:sz w:val="14"/>
            <w:szCs w:val="14"/>
            <w:u w:val="single" w:color="auto"/>
            <w:color w:val="0000FF"/>
          </w:rPr>
          <w:t>Subsidiaries of VUHI, as Guarantors, and the</w:t>
        </w:r>
      </w:hyperlink>
      <w:r>
        <w:rPr>
          <w:rFonts w:ascii="Arial" w:cs="Arial" w:eastAsia="Arial" w:hAnsi="Arial"/>
          <w:sz w:val="14"/>
          <w:szCs w:val="14"/>
          <w:u w:val="single" w:color="auto"/>
          <w:color w:val="0000FF"/>
        </w:rPr>
        <w:t xml:space="preserve"> </w:t>
      </w:r>
      <w:hyperlink r:id="rId45">
        <w:r>
          <w:rPr>
            <w:rFonts w:ascii="Arial" w:cs="Arial" w:eastAsia="Arial" w:hAnsi="Arial"/>
            <w:sz w:val="14"/>
            <w:szCs w:val="14"/>
            <w:u w:val="single" w:color="auto"/>
            <w:color w:val="0000FF"/>
          </w:rPr>
          <w:t>banks named therein</w:t>
        </w:r>
      </w:hyperlink>
    </w:p>
    <w:p>
      <w:pPr>
        <w:spacing w:after="0" w:line="23" w:lineRule="exact"/>
        <w:rPr>
          <w:rFonts w:ascii="Arial" w:cs="Arial" w:eastAsia="Arial" w:hAnsi="Arial"/>
          <w:sz w:val="14"/>
          <w:szCs w:val="14"/>
          <w:u w:val="single" w:color="auto"/>
          <w:color w:val="0000FF"/>
        </w:rPr>
      </w:pPr>
    </w:p>
    <w:p>
      <w:pPr>
        <w:ind w:left="840" w:right="20" w:hanging="611"/>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4.14</w:t>
      </w:r>
      <w:r>
        <w:rPr>
          <w:sz w:val="20"/>
          <w:szCs w:val="20"/>
          <w:color w:val="auto"/>
        </w:rPr>
        <w:tab/>
      </w:r>
      <w:hyperlink r:id="rId46">
        <w:r>
          <w:rPr>
            <w:rFonts w:ascii="Arial" w:cs="Arial" w:eastAsia="Arial" w:hAnsi="Arial"/>
            <w:sz w:val="14"/>
            <w:szCs w:val="14"/>
            <w:u w:val="single" w:color="auto"/>
            <w:color w:val="0000FF"/>
          </w:rPr>
          <w:t>$200,000,000 Credit Agreement, dated as of July</w:t>
        </w:r>
      </w:hyperlink>
      <w:r>
        <w:rPr>
          <w:rFonts w:ascii="Arial" w:cs="Arial" w:eastAsia="Arial" w:hAnsi="Arial"/>
          <w:sz w:val="14"/>
          <w:szCs w:val="14"/>
          <w:u w:val="single" w:color="auto"/>
          <w:color w:val="0000FF"/>
        </w:rPr>
        <w:t xml:space="preserve"> </w:t>
      </w:r>
      <w:hyperlink r:id="rId46">
        <w:r>
          <w:rPr>
            <w:rFonts w:ascii="Arial" w:cs="Arial" w:eastAsia="Arial" w:hAnsi="Arial"/>
            <w:sz w:val="14"/>
            <w:szCs w:val="14"/>
            <w:u w:val="single" w:color="auto"/>
            <w:color w:val="0000FF"/>
          </w:rPr>
          <w:t>14, 2017, among VCC, as Borrower, Vectren</w:t>
        </w:r>
      </w:hyperlink>
      <w:r>
        <w:rPr>
          <w:rFonts w:ascii="Arial" w:cs="Arial" w:eastAsia="Arial" w:hAnsi="Arial"/>
          <w:sz w:val="14"/>
          <w:szCs w:val="14"/>
          <w:u w:val="single" w:color="auto"/>
          <w:color w:val="0000FF"/>
        </w:rPr>
        <w:t xml:space="preserve"> </w:t>
      </w:r>
      <w:hyperlink r:id="rId46">
        <w:r>
          <w:rPr>
            <w:rFonts w:ascii="Arial" w:cs="Arial" w:eastAsia="Arial" w:hAnsi="Arial"/>
            <w:sz w:val="14"/>
            <w:szCs w:val="14"/>
            <w:u w:val="single" w:color="auto"/>
            <w:color w:val="0000FF"/>
          </w:rPr>
          <w:t>Corporation, as Guarantor, and the banks named</w:t>
        </w:r>
      </w:hyperlink>
      <w:r>
        <w:rPr>
          <w:rFonts w:ascii="Arial" w:cs="Arial" w:eastAsia="Arial" w:hAnsi="Arial"/>
          <w:sz w:val="14"/>
          <w:szCs w:val="14"/>
          <w:u w:val="single" w:color="auto"/>
          <w:color w:val="0000FF"/>
        </w:rPr>
        <w:t xml:space="preserve"> </w:t>
      </w:r>
      <w:hyperlink r:id="rId46">
        <w:r>
          <w:rPr>
            <w:rFonts w:ascii="Arial" w:cs="Arial" w:eastAsia="Arial" w:hAnsi="Arial"/>
            <w:sz w:val="14"/>
            <w:szCs w:val="14"/>
            <w:u w:val="single" w:color="auto"/>
            <w:color w:val="0000FF"/>
          </w:rPr>
          <w:t>therein</w:t>
        </w:r>
      </w:hyperlink>
    </w:p>
    <w:p>
      <w:pPr>
        <w:spacing w:after="0" w:line="23" w:lineRule="exact"/>
        <w:rPr>
          <w:rFonts w:ascii="Arial" w:cs="Arial" w:eastAsia="Arial" w:hAnsi="Arial"/>
          <w:sz w:val="14"/>
          <w:szCs w:val="14"/>
          <w:u w:val="single" w:color="auto"/>
          <w:color w:val="0000FF"/>
        </w:rPr>
      </w:pPr>
    </w:p>
    <w:p>
      <w:pPr>
        <w:ind w:left="840" w:right="20" w:hanging="611"/>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4.15</w:t>
      </w:r>
      <w:r>
        <w:rPr>
          <w:sz w:val="20"/>
          <w:szCs w:val="20"/>
          <w:color w:val="auto"/>
        </w:rPr>
        <w:tab/>
      </w:r>
      <w:hyperlink r:id="rId47">
        <w:r>
          <w:rPr>
            <w:rFonts w:ascii="Arial" w:cs="Arial" w:eastAsia="Arial" w:hAnsi="Arial"/>
            <w:sz w:val="14"/>
            <w:szCs w:val="14"/>
            <w:u w:val="single" w:color="auto"/>
            <w:color w:val="0000FF"/>
          </w:rPr>
          <w:t>Term Loan Agreement dated as of July 30, 2018,</w:t>
        </w:r>
      </w:hyperlink>
      <w:r>
        <w:rPr>
          <w:rFonts w:ascii="Arial" w:cs="Arial" w:eastAsia="Arial" w:hAnsi="Arial"/>
          <w:sz w:val="14"/>
          <w:szCs w:val="14"/>
          <w:u w:val="single" w:color="auto"/>
          <w:color w:val="0000FF"/>
        </w:rPr>
        <w:t xml:space="preserve"> </w:t>
      </w:r>
      <w:hyperlink r:id="rId47">
        <w:r>
          <w:rPr>
            <w:rFonts w:ascii="Arial" w:cs="Arial" w:eastAsia="Arial" w:hAnsi="Arial"/>
            <w:sz w:val="14"/>
            <w:szCs w:val="14"/>
            <w:u w:val="single" w:color="auto"/>
            <w:color w:val="0000FF"/>
          </w:rPr>
          <w:t>among VUHI, as Borrower, the Subsidiaries of</w:t>
        </w:r>
      </w:hyperlink>
      <w:r>
        <w:rPr>
          <w:rFonts w:ascii="Arial" w:cs="Arial" w:eastAsia="Arial" w:hAnsi="Arial"/>
          <w:sz w:val="14"/>
          <w:szCs w:val="14"/>
          <w:u w:val="single" w:color="auto"/>
          <w:color w:val="0000FF"/>
        </w:rPr>
        <w:t xml:space="preserve"> </w:t>
      </w:r>
      <w:hyperlink r:id="rId47">
        <w:r>
          <w:rPr>
            <w:rFonts w:ascii="Arial" w:cs="Arial" w:eastAsia="Arial" w:hAnsi="Arial"/>
            <w:sz w:val="14"/>
            <w:szCs w:val="14"/>
            <w:u w:val="single" w:color="auto"/>
            <w:color w:val="0000FF"/>
          </w:rPr>
          <w:t>Borrower identified herein as Guarantors and the</w:t>
        </w:r>
      </w:hyperlink>
      <w:r>
        <w:rPr>
          <w:rFonts w:ascii="Arial" w:cs="Arial" w:eastAsia="Arial" w:hAnsi="Arial"/>
          <w:sz w:val="14"/>
          <w:szCs w:val="14"/>
          <w:u w:val="single" w:color="auto"/>
          <w:color w:val="0000FF"/>
        </w:rPr>
        <w:t xml:space="preserve"> </w:t>
      </w:r>
      <w:hyperlink r:id="rId47">
        <w:r>
          <w:rPr>
            <w:rFonts w:ascii="Arial" w:cs="Arial" w:eastAsia="Arial" w:hAnsi="Arial"/>
            <w:sz w:val="14"/>
            <w:szCs w:val="14"/>
            <w:u w:val="single" w:color="auto"/>
            <w:color w:val="0000FF"/>
          </w:rPr>
          <w:t>banks named therein</w:t>
        </w:r>
      </w:hyperlink>
    </w:p>
    <w:p>
      <w:pPr>
        <w:spacing w:after="0" w:line="23" w:lineRule="exact"/>
        <w:rPr>
          <w:rFonts w:ascii="Arial" w:cs="Arial" w:eastAsia="Arial" w:hAnsi="Arial"/>
          <w:sz w:val="14"/>
          <w:szCs w:val="14"/>
          <w:u w:val="single" w:color="auto"/>
          <w:color w:val="0000FF"/>
        </w:rPr>
      </w:pPr>
    </w:p>
    <w:p>
      <w:pPr>
        <w:ind w:left="840" w:right="20" w:hanging="611"/>
        <w:spacing w:after="0" w:line="264" w:lineRule="auto"/>
        <w:tabs>
          <w:tab w:leader="none" w:pos="820" w:val="left"/>
        </w:tabs>
        <w:rPr>
          <w:rFonts w:ascii="Arial" w:cs="Arial" w:eastAsia="Arial" w:hAnsi="Arial"/>
          <w:sz w:val="13"/>
          <w:szCs w:val="13"/>
          <w:u w:val="single" w:color="auto"/>
          <w:color w:val="0000FF"/>
        </w:rPr>
      </w:pPr>
      <w:r>
        <w:rPr>
          <w:rFonts w:ascii="Arial" w:cs="Arial" w:eastAsia="Arial" w:hAnsi="Arial"/>
          <w:sz w:val="14"/>
          <w:szCs w:val="14"/>
          <w:color w:val="auto"/>
        </w:rPr>
        <w:t>4.16</w:t>
      </w:r>
      <w:r>
        <w:rPr>
          <w:sz w:val="20"/>
          <w:szCs w:val="20"/>
          <w:color w:val="auto"/>
        </w:rPr>
        <w:tab/>
      </w:r>
      <w:hyperlink r:id="rId48">
        <w:r>
          <w:rPr>
            <w:rFonts w:ascii="Arial" w:cs="Arial" w:eastAsia="Arial" w:hAnsi="Arial"/>
            <w:sz w:val="13"/>
            <w:szCs w:val="13"/>
            <w:u w:val="single" w:color="auto"/>
            <w:color w:val="0000FF"/>
          </w:rPr>
          <w:t>Term Loan Agreement dated as of September 14,</w:t>
        </w:r>
      </w:hyperlink>
      <w:r>
        <w:rPr>
          <w:rFonts w:ascii="Arial" w:cs="Arial" w:eastAsia="Arial" w:hAnsi="Arial"/>
          <w:sz w:val="13"/>
          <w:szCs w:val="13"/>
          <w:u w:val="single" w:color="auto"/>
          <w:color w:val="0000FF"/>
        </w:rPr>
        <w:t xml:space="preserve"> </w:t>
      </w:r>
      <w:hyperlink r:id="rId48">
        <w:r>
          <w:rPr>
            <w:rFonts w:ascii="Arial" w:cs="Arial" w:eastAsia="Arial" w:hAnsi="Arial"/>
            <w:sz w:val="13"/>
            <w:szCs w:val="13"/>
            <w:u w:val="single" w:color="auto"/>
            <w:color w:val="0000FF"/>
          </w:rPr>
          <w:t>2018, among VCC, as Borrower, Vectren as</w:t>
        </w:r>
      </w:hyperlink>
      <w:r>
        <w:rPr>
          <w:rFonts w:ascii="Arial" w:cs="Arial" w:eastAsia="Arial" w:hAnsi="Arial"/>
          <w:sz w:val="13"/>
          <w:szCs w:val="13"/>
          <w:u w:val="single" w:color="auto"/>
          <w:color w:val="0000FF"/>
        </w:rPr>
        <w:t xml:space="preserve"> </w:t>
      </w:r>
      <w:hyperlink r:id="rId48">
        <w:r>
          <w:rPr>
            <w:rFonts w:ascii="Arial" w:cs="Arial" w:eastAsia="Arial" w:hAnsi="Arial"/>
            <w:sz w:val="13"/>
            <w:szCs w:val="13"/>
            <w:u w:val="single" w:color="auto"/>
            <w:color w:val="0000FF"/>
          </w:rPr>
          <w:t>Guarantor, and the banks named therein</w:t>
        </w:r>
      </w:hyperlink>
    </w:p>
    <w:p>
      <w:pPr>
        <w:spacing w:after="0" w:line="6" w:lineRule="exact"/>
        <w:rPr>
          <w:rFonts w:ascii="Arial" w:cs="Arial" w:eastAsia="Arial" w:hAnsi="Arial"/>
          <w:sz w:val="13"/>
          <w:szCs w:val="13"/>
          <w:u w:val="single" w:color="auto"/>
          <w:color w:val="0000FF"/>
        </w:rPr>
      </w:pPr>
    </w:p>
    <w:p>
      <w:pPr>
        <w:ind w:left="840" w:right="180" w:hanging="611"/>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4.17</w:t>
      </w:r>
      <w:r>
        <w:rPr>
          <w:sz w:val="20"/>
          <w:szCs w:val="20"/>
          <w:color w:val="auto"/>
        </w:rPr>
        <w:tab/>
      </w:r>
      <w:hyperlink r:id="rId49">
        <w:r>
          <w:rPr>
            <w:rFonts w:ascii="Arial" w:cs="Arial" w:eastAsia="Arial" w:hAnsi="Arial"/>
            <w:sz w:val="14"/>
            <w:szCs w:val="14"/>
            <w:u w:val="single" w:color="auto"/>
            <w:color w:val="0000FF"/>
          </w:rPr>
          <w:t>First Amendment to Term Loan Agreement,</w:t>
        </w:r>
      </w:hyperlink>
      <w:r>
        <w:rPr>
          <w:rFonts w:ascii="Arial" w:cs="Arial" w:eastAsia="Arial" w:hAnsi="Arial"/>
          <w:sz w:val="14"/>
          <w:szCs w:val="14"/>
          <w:u w:val="single" w:color="auto"/>
          <w:color w:val="0000FF"/>
        </w:rPr>
        <w:t xml:space="preserve"> </w:t>
      </w:r>
      <w:hyperlink r:id="rId49">
        <w:r>
          <w:rPr>
            <w:rFonts w:ascii="Arial" w:cs="Arial" w:eastAsia="Arial" w:hAnsi="Arial"/>
            <w:sz w:val="14"/>
            <w:szCs w:val="14"/>
            <w:u w:val="single" w:color="auto"/>
            <w:color w:val="0000FF"/>
          </w:rPr>
          <w:t>dated as of June 25, 2019, among VCC, as</w:t>
        </w:r>
      </w:hyperlink>
      <w:r>
        <w:rPr>
          <w:rFonts w:ascii="Arial" w:cs="Arial" w:eastAsia="Arial" w:hAnsi="Arial"/>
          <w:sz w:val="14"/>
          <w:szCs w:val="14"/>
          <w:u w:val="single" w:color="auto"/>
          <w:color w:val="0000FF"/>
        </w:rPr>
        <w:t xml:space="preserve"> </w:t>
      </w:r>
      <w:hyperlink r:id="rId49">
        <w:r>
          <w:rPr>
            <w:rFonts w:ascii="Arial" w:cs="Arial" w:eastAsia="Arial" w:hAnsi="Arial"/>
            <w:sz w:val="14"/>
            <w:szCs w:val="14"/>
            <w:u w:val="single" w:color="auto"/>
            <w:color w:val="0000FF"/>
          </w:rPr>
          <w:t>Borrower, Vectren as Guarantor and the banks</w:t>
        </w:r>
      </w:hyperlink>
      <w:r>
        <w:rPr>
          <w:rFonts w:ascii="Arial" w:cs="Arial" w:eastAsia="Arial" w:hAnsi="Arial"/>
          <w:sz w:val="14"/>
          <w:szCs w:val="14"/>
          <w:u w:val="single" w:color="auto"/>
          <w:color w:val="0000FF"/>
        </w:rPr>
        <w:t xml:space="preserve"> </w:t>
      </w:r>
      <w:hyperlink r:id="rId49">
        <w:r>
          <w:rPr>
            <w:rFonts w:ascii="Arial" w:cs="Arial" w:eastAsia="Arial" w:hAnsi="Arial"/>
            <w:sz w:val="14"/>
            <w:szCs w:val="14"/>
            <w:u w:val="single" w:color="auto"/>
            <w:color w:val="0000FF"/>
          </w:rPr>
          <w:t>named therein</w:t>
        </w:r>
      </w:hyperlink>
    </w:p>
    <w:p>
      <w:pPr>
        <w:spacing w:after="0" w:line="23" w:lineRule="exact"/>
        <w:rPr>
          <w:rFonts w:ascii="Arial" w:cs="Arial" w:eastAsia="Arial" w:hAnsi="Arial"/>
          <w:sz w:val="14"/>
          <w:szCs w:val="14"/>
          <w:u w:val="single" w:color="auto"/>
          <w:color w:val="0000FF"/>
        </w:rPr>
      </w:pPr>
    </w:p>
    <w:p>
      <w:pPr>
        <w:jc w:val="both"/>
        <w:ind w:left="840" w:right="40" w:hanging="611"/>
        <w:spacing w:after="0" w:line="231"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4.18</w:t>
      </w:r>
      <w:r>
        <w:rPr>
          <w:sz w:val="20"/>
          <w:szCs w:val="20"/>
          <w:color w:val="auto"/>
        </w:rPr>
        <w:tab/>
      </w:r>
      <w:hyperlink r:id="rId50">
        <w:r>
          <w:rPr>
            <w:rFonts w:ascii="Arial" w:cs="Arial" w:eastAsia="Arial" w:hAnsi="Arial"/>
            <w:sz w:val="14"/>
            <w:szCs w:val="14"/>
            <w:u w:val="single" w:color="auto"/>
            <w:color w:val="0000FF"/>
          </w:rPr>
          <w:t>$1,000,000,000 Term Loan Agreement, dated as</w:t>
        </w:r>
      </w:hyperlink>
      <w:r>
        <w:rPr>
          <w:rFonts w:ascii="Arial" w:cs="Arial" w:eastAsia="Arial" w:hAnsi="Arial"/>
          <w:sz w:val="14"/>
          <w:szCs w:val="14"/>
          <w:u w:val="single" w:color="auto"/>
          <w:color w:val="0000FF"/>
        </w:rPr>
        <w:t xml:space="preserve"> </w:t>
      </w:r>
      <w:hyperlink r:id="rId50">
        <w:r>
          <w:rPr>
            <w:rFonts w:ascii="Arial" w:cs="Arial" w:eastAsia="Arial" w:hAnsi="Arial"/>
            <w:sz w:val="14"/>
            <w:szCs w:val="14"/>
            <w:u w:val="single" w:color="auto"/>
            <w:color w:val="0000FF"/>
          </w:rPr>
          <w:t>of May 15, 2019, among CenterPoint Energy, as</w:t>
        </w:r>
      </w:hyperlink>
      <w:r>
        <w:rPr>
          <w:rFonts w:ascii="Arial" w:cs="Arial" w:eastAsia="Arial" w:hAnsi="Arial"/>
          <w:sz w:val="14"/>
          <w:szCs w:val="14"/>
          <w:u w:val="single" w:color="auto"/>
          <w:color w:val="0000FF"/>
        </w:rPr>
        <w:t xml:space="preserve"> </w:t>
      </w:r>
      <w:hyperlink r:id="rId50">
        <w:r>
          <w:rPr>
            <w:rFonts w:ascii="Arial" w:cs="Arial" w:eastAsia="Arial" w:hAnsi="Arial"/>
            <w:sz w:val="14"/>
            <w:szCs w:val="14"/>
            <w:u w:val="single" w:color="auto"/>
            <w:color w:val="0000FF"/>
          </w:rPr>
          <w:t>Borrower, Mizuho Bank, Ltd., as Administrative</w:t>
        </w:r>
      </w:hyperlink>
      <w:r>
        <w:rPr>
          <w:rFonts w:ascii="Arial" w:cs="Arial" w:eastAsia="Arial" w:hAnsi="Arial"/>
          <w:sz w:val="14"/>
          <w:szCs w:val="14"/>
          <w:u w:val="single" w:color="auto"/>
          <w:color w:val="0000FF"/>
        </w:rPr>
        <w:t xml:space="preserve"> </w:t>
      </w:r>
      <w:hyperlink r:id="rId50">
        <w:r>
          <w:rPr>
            <w:rFonts w:ascii="Arial" w:cs="Arial" w:eastAsia="Arial" w:hAnsi="Arial"/>
            <w:sz w:val="14"/>
            <w:szCs w:val="14"/>
            <w:u w:val="single" w:color="auto"/>
            <w:color w:val="0000FF"/>
          </w:rPr>
          <w:t>Agent and Lead Arranger, and the banks named</w:t>
        </w:r>
      </w:hyperlink>
      <w:r>
        <w:rPr>
          <w:rFonts w:ascii="Arial" w:cs="Arial" w:eastAsia="Arial" w:hAnsi="Arial"/>
          <w:sz w:val="14"/>
          <w:szCs w:val="14"/>
          <w:u w:val="single" w:color="auto"/>
          <w:color w:val="0000FF"/>
        </w:rPr>
        <w:t xml:space="preserve"> </w:t>
      </w:r>
      <w:hyperlink r:id="rId50">
        <w:r>
          <w:rPr>
            <w:rFonts w:ascii="Arial" w:cs="Arial" w:eastAsia="Arial" w:hAnsi="Arial"/>
            <w:sz w:val="14"/>
            <w:szCs w:val="14"/>
            <w:u w:val="single" w:color="auto"/>
            <w:color w:val="0000FF"/>
          </w:rPr>
          <w:t>therein</w:t>
        </w:r>
      </w:hyperlink>
    </w:p>
    <w:p>
      <w:pPr>
        <w:spacing w:after="0" w:line="22" w:lineRule="exact"/>
        <w:rPr>
          <w:rFonts w:ascii="Arial" w:cs="Arial" w:eastAsia="Arial" w:hAnsi="Arial"/>
          <w:sz w:val="14"/>
          <w:szCs w:val="14"/>
          <w:u w:val="single" w:color="auto"/>
          <w:color w:val="0000FF"/>
        </w:rPr>
      </w:pPr>
    </w:p>
    <w:p>
      <w:pPr>
        <w:ind w:left="840" w:right="160" w:hanging="611"/>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4.19</w:t>
      </w:r>
      <w:r>
        <w:rPr>
          <w:sz w:val="20"/>
          <w:szCs w:val="20"/>
          <w:color w:val="auto"/>
        </w:rPr>
        <w:tab/>
      </w:r>
      <w:hyperlink r:id="rId51">
        <w:r>
          <w:rPr>
            <w:rFonts w:ascii="Arial" w:cs="Arial" w:eastAsia="Arial" w:hAnsi="Arial"/>
            <w:sz w:val="14"/>
            <w:szCs w:val="14"/>
            <w:u w:val="single" w:color="auto"/>
            <w:color w:val="0000FF"/>
          </w:rPr>
          <w:t>Preferred Stock Purchase Agreement, by and</w:t>
        </w:r>
      </w:hyperlink>
      <w:r>
        <w:rPr>
          <w:rFonts w:ascii="Arial" w:cs="Arial" w:eastAsia="Arial" w:hAnsi="Arial"/>
          <w:sz w:val="14"/>
          <w:szCs w:val="14"/>
          <w:u w:val="single" w:color="auto"/>
          <w:color w:val="0000FF"/>
        </w:rPr>
        <w:t xml:space="preserve"> </w:t>
      </w:r>
      <w:hyperlink r:id="rId51">
        <w:r>
          <w:rPr>
            <w:rFonts w:ascii="Arial" w:cs="Arial" w:eastAsia="Arial" w:hAnsi="Arial"/>
            <w:sz w:val="14"/>
            <w:szCs w:val="14"/>
            <w:u w:val="single" w:color="auto"/>
            <w:color w:val="0000FF"/>
          </w:rPr>
          <w:t>among CenterPoint Energy, Inc., Elliott</w:t>
        </w:r>
      </w:hyperlink>
      <w:r>
        <w:rPr>
          <w:rFonts w:ascii="Arial" w:cs="Arial" w:eastAsia="Arial" w:hAnsi="Arial"/>
          <w:sz w:val="14"/>
          <w:szCs w:val="14"/>
          <w:u w:val="single" w:color="auto"/>
          <w:color w:val="0000FF"/>
        </w:rPr>
        <w:t xml:space="preserve"> </w:t>
      </w:r>
      <w:hyperlink r:id="rId51">
        <w:r>
          <w:rPr>
            <w:rFonts w:ascii="Arial" w:cs="Arial" w:eastAsia="Arial" w:hAnsi="Arial"/>
            <w:sz w:val="14"/>
            <w:szCs w:val="14"/>
            <w:u w:val="single" w:color="auto"/>
            <w:color w:val="0000FF"/>
          </w:rPr>
          <w:t>International, L.P., and Elliott Associates, L.P.,</w:t>
        </w:r>
      </w:hyperlink>
      <w:r>
        <w:rPr>
          <w:rFonts w:ascii="Arial" w:cs="Arial" w:eastAsia="Arial" w:hAnsi="Arial"/>
          <w:sz w:val="14"/>
          <w:szCs w:val="14"/>
          <w:u w:val="single" w:color="auto"/>
          <w:color w:val="0000FF"/>
        </w:rPr>
        <w:t xml:space="preserve"> </w:t>
      </w:r>
      <w:hyperlink r:id="rId51">
        <w:r>
          <w:rPr>
            <w:rFonts w:ascii="Arial" w:cs="Arial" w:eastAsia="Arial" w:hAnsi="Arial"/>
            <w:sz w:val="14"/>
            <w:szCs w:val="14"/>
            <w:u w:val="single" w:color="auto"/>
            <w:color w:val="0000FF"/>
          </w:rPr>
          <w:t>dated May 6, 2020</w:t>
        </w:r>
      </w:hyperlink>
    </w:p>
    <w:p>
      <w:pPr>
        <w:spacing w:after="0" w:line="23" w:lineRule="exact"/>
        <w:rPr>
          <w:rFonts w:ascii="Arial" w:cs="Arial" w:eastAsia="Arial" w:hAnsi="Arial"/>
          <w:sz w:val="14"/>
          <w:szCs w:val="14"/>
          <w:u w:val="single" w:color="auto"/>
          <w:color w:val="0000FF"/>
        </w:rPr>
      </w:pPr>
    </w:p>
    <w:p>
      <w:pPr>
        <w:ind w:left="840" w:right="60" w:hanging="611"/>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4.20</w:t>
      </w:r>
      <w:r>
        <w:rPr>
          <w:sz w:val="20"/>
          <w:szCs w:val="20"/>
          <w:color w:val="auto"/>
        </w:rPr>
        <w:tab/>
      </w:r>
      <w:hyperlink r:id="rId52">
        <w:r>
          <w:rPr>
            <w:rFonts w:ascii="Arial" w:cs="Arial" w:eastAsia="Arial" w:hAnsi="Arial"/>
            <w:sz w:val="14"/>
            <w:szCs w:val="14"/>
            <w:u w:val="single" w:color="auto"/>
            <w:color w:val="0000FF"/>
          </w:rPr>
          <w:t>Preferred Stock Purchase Agreement, by and</w:t>
        </w:r>
      </w:hyperlink>
      <w:r>
        <w:rPr>
          <w:rFonts w:ascii="Arial" w:cs="Arial" w:eastAsia="Arial" w:hAnsi="Arial"/>
          <w:sz w:val="14"/>
          <w:szCs w:val="14"/>
          <w:u w:val="single" w:color="auto"/>
          <w:color w:val="0000FF"/>
        </w:rPr>
        <w:t xml:space="preserve"> </w:t>
      </w:r>
      <w:hyperlink r:id="rId52">
        <w:r>
          <w:rPr>
            <w:rFonts w:ascii="Arial" w:cs="Arial" w:eastAsia="Arial" w:hAnsi="Arial"/>
            <w:sz w:val="14"/>
            <w:szCs w:val="14"/>
            <w:u w:val="single" w:color="auto"/>
            <w:color w:val="0000FF"/>
          </w:rPr>
          <w:t>among CenterPoint Energy, Inc., BEP Special</w:t>
        </w:r>
      </w:hyperlink>
      <w:r>
        <w:rPr>
          <w:rFonts w:ascii="Arial" w:cs="Arial" w:eastAsia="Arial" w:hAnsi="Arial"/>
          <w:sz w:val="14"/>
          <w:szCs w:val="14"/>
          <w:u w:val="single" w:color="auto"/>
          <w:color w:val="0000FF"/>
        </w:rPr>
        <w:t xml:space="preserve"> </w:t>
      </w:r>
      <w:hyperlink r:id="rId52">
        <w:r>
          <w:rPr>
            <w:rFonts w:ascii="Arial" w:cs="Arial" w:eastAsia="Arial" w:hAnsi="Arial"/>
            <w:sz w:val="14"/>
            <w:szCs w:val="14"/>
            <w:u w:val="single" w:color="auto"/>
            <w:color w:val="0000FF"/>
          </w:rPr>
          <w:t>Situations 2 LLC and BEP Special Situations IV</w:t>
        </w:r>
      </w:hyperlink>
      <w:r>
        <w:rPr>
          <w:rFonts w:ascii="Arial" w:cs="Arial" w:eastAsia="Arial" w:hAnsi="Arial"/>
          <w:sz w:val="14"/>
          <w:szCs w:val="14"/>
          <w:u w:val="single" w:color="auto"/>
          <w:color w:val="0000FF"/>
        </w:rPr>
        <w:t xml:space="preserve"> </w:t>
      </w:r>
      <w:hyperlink r:id="rId52">
        <w:r>
          <w:rPr>
            <w:rFonts w:ascii="Arial" w:cs="Arial" w:eastAsia="Arial" w:hAnsi="Arial"/>
            <w:sz w:val="14"/>
            <w:szCs w:val="14"/>
            <w:u w:val="single" w:color="auto"/>
            <w:color w:val="0000FF"/>
          </w:rPr>
          <w:t>LLC, dated May 6, 2020</w:t>
        </w:r>
      </w:hyperlink>
    </w:p>
    <w:p>
      <w:pPr>
        <w:spacing w:after="0" w:line="23" w:lineRule="exact"/>
        <w:rPr>
          <w:rFonts w:ascii="Arial" w:cs="Arial" w:eastAsia="Arial" w:hAnsi="Arial"/>
          <w:sz w:val="14"/>
          <w:szCs w:val="14"/>
          <w:u w:val="single" w:color="auto"/>
          <w:color w:val="0000FF"/>
        </w:rPr>
      </w:pPr>
    </w:p>
    <w:p>
      <w:pPr>
        <w:ind w:left="840" w:right="100" w:hanging="611"/>
        <w:spacing w:after="0" w:line="233" w:lineRule="auto"/>
        <w:tabs>
          <w:tab w:leader="none" w:pos="820" w:val="left"/>
        </w:tabs>
        <w:rPr>
          <w:rFonts w:ascii="Arial" w:cs="Arial" w:eastAsia="Arial" w:hAnsi="Arial"/>
          <w:sz w:val="14"/>
          <w:szCs w:val="14"/>
          <w:u w:val="single" w:color="auto"/>
          <w:color w:val="0000FF"/>
        </w:rPr>
      </w:pPr>
      <w:r>
        <w:rPr>
          <w:rFonts w:ascii="Arial" w:cs="Arial" w:eastAsia="Arial" w:hAnsi="Arial"/>
          <w:sz w:val="14"/>
          <w:szCs w:val="14"/>
          <w:color w:val="auto"/>
        </w:rPr>
        <w:t>4.21</w:t>
      </w:r>
      <w:r>
        <w:rPr>
          <w:sz w:val="20"/>
          <w:szCs w:val="20"/>
          <w:color w:val="auto"/>
        </w:rPr>
        <w:tab/>
      </w:r>
      <w:hyperlink r:id="rId53">
        <w:r>
          <w:rPr>
            <w:rFonts w:ascii="Arial" w:cs="Arial" w:eastAsia="Arial" w:hAnsi="Arial"/>
            <w:sz w:val="14"/>
            <w:szCs w:val="14"/>
            <w:u w:val="single" w:color="auto"/>
            <w:color w:val="0000FF"/>
          </w:rPr>
          <w:t>Common Stock Purchase Agreement, by and</w:t>
        </w:r>
      </w:hyperlink>
      <w:r>
        <w:rPr>
          <w:rFonts w:ascii="Arial" w:cs="Arial" w:eastAsia="Arial" w:hAnsi="Arial"/>
          <w:sz w:val="14"/>
          <w:szCs w:val="14"/>
          <w:u w:val="single" w:color="auto"/>
          <w:color w:val="0000FF"/>
        </w:rPr>
        <w:t xml:space="preserve"> </w:t>
      </w:r>
      <w:hyperlink r:id="rId53">
        <w:r>
          <w:rPr>
            <w:rFonts w:ascii="Arial" w:cs="Arial" w:eastAsia="Arial" w:hAnsi="Arial"/>
            <w:sz w:val="14"/>
            <w:szCs w:val="14"/>
            <w:u w:val="single" w:color="auto"/>
            <w:color w:val="0000FF"/>
          </w:rPr>
          <w:t>among CenterPoint Energy, Inc. and each</w:t>
        </w:r>
      </w:hyperlink>
      <w:r>
        <w:rPr>
          <w:rFonts w:ascii="Arial" w:cs="Arial" w:eastAsia="Arial" w:hAnsi="Arial"/>
          <w:sz w:val="14"/>
          <w:szCs w:val="14"/>
          <w:u w:val="single" w:color="auto"/>
          <w:color w:val="0000FF"/>
        </w:rPr>
        <w:t xml:space="preserve"> </w:t>
      </w:r>
      <w:hyperlink r:id="rId53">
        <w:r>
          <w:rPr>
            <w:rFonts w:ascii="Arial" w:cs="Arial" w:eastAsia="Arial" w:hAnsi="Arial"/>
            <w:sz w:val="14"/>
            <w:szCs w:val="14"/>
            <w:u w:val="single" w:color="auto"/>
            <w:color w:val="0000FF"/>
          </w:rPr>
          <w:t>investor identified on Schedule A thereto, dated</w:t>
        </w:r>
      </w:hyperlink>
      <w:r>
        <w:rPr>
          <w:rFonts w:ascii="Arial" w:cs="Arial" w:eastAsia="Arial" w:hAnsi="Arial"/>
          <w:sz w:val="14"/>
          <w:szCs w:val="14"/>
          <w:u w:val="single" w:color="auto"/>
          <w:color w:val="0000FF"/>
        </w:rPr>
        <w:t xml:space="preserve"> </w:t>
      </w:r>
      <w:hyperlink r:id="rId53">
        <w:r>
          <w:rPr>
            <w:rFonts w:ascii="Arial" w:cs="Arial" w:eastAsia="Arial" w:hAnsi="Arial"/>
            <w:sz w:val="14"/>
            <w:szCs w:val="14"/>
            <w:u w:val="single" w:color="auto"/>
            <w:color w:val="0000FF"/>
          </w:rPr>
          <w:t>May 6, 2020</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369" w:lineRule="exact"/>
        <w:rPr>
          <w:rFonts w:ascii="Arial" w:cs="Arial" w:eastAsia="Arial" w:hAnsi="Arial"/>
          <w:sz w:val="14"/>
          <w:szCs w:val="14"/>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1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 or Registration</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SEC File or</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0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Statement</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0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line="156" w:lineRule="exact"/>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13"/>
                <w:szCs w:val="13"/>
                <w:color w:val="auto"/>
              </w:rPr>
            </w:pPr>
          </w:p>
        </w:tc>
        <w:tc>
          <w:tcPr>
            <w:tcW w:w="1240" w:type="dxa"/>
            <w:vAlign w:val="bottom"/>
            <w:gridSpan w:val="2"/>
          </w:tcPr>
          <w:p>
            <w:pPr>
              <w:jc w:val="center"/>
              <w:ind w:right="120"/>
              <w:spacing w:after="0" w:line="156" w:lineRule="exact"/>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line="156"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March 3, 2016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March 3, 2016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June 16, 2017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May 25, 2018</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June 16, 2017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June 16, 2017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Vectren’s Form 8-K dated</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1-15467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July 17, 2017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Vectren’s Form 8-K dated</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1-15467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July 17, 2017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Vectren’s Form 8-K dated</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1-15467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July 30, 2018</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Vectren’s Form 8-K dated</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1-15467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September 18, 2018</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4.17</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10-Q for the quarter ended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June 30, 2019</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May 15, 2019</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4"/>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May 6, 2020</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May 6, 2020</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May 6, 2020</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4"/>
          <w:szCs w:val="14"/>
          <w:u w:val="single" w:color="auto"/>
          <w:color w:val="0000FF"/>
        </w:rPr>
      </w:pPr>
    </w:p>
    <w:p>
      <w:pPr>
        <w:spacing w:after="0" w:line="311" w:lineRule="exact"/>
        <w:rPr>
          <w:rFonts w:ascii="Arial" w:cs="Arial" w:eastAsia="Arial" w:hAnsi="Arial"/>
          <w:sz w:val="14"/>
          <w:szCs w:val="14"/>
          <w:u w:val="single" w:color="auto"/>
          <w:color w:val="0000FF"/>
        </w:rPr>
      </w:pPr>
    </w:p>
    <w:p>
      <w:pPr>
        <w:ind w:left="1620"/>
        <w:spacing w:after="0"/>
        <w:rPr>
          <w:sz w:val="20"/>
          <w:szCs w:val="20"/>
          <w:color w:val="auto"/>
        </w:rPr>
      </w:pPr>
      <w:r>
        <w:rPr>
          <w:rFonts w:ascii="Arial" w:cs="Arial" w:eastAsia="Arial" w:hAnsi="Arial"/>
          <w:sz w:val="18"/>
          <w:szCs w:val="18"/>
          <w:color w:val="auto"/>
        </w:rPr>
        <w:t>105</w:t>
      </w:r>
    </w:p>
    <w:p>
      <w:pPr>
        <w:sectPr>
          <w:pgSz w:w="11900" w:h="16838" w:orient="portrait"/>
          <w:cols w:equalWidth="0" w:num="2">
            <w:col w:w="3680" w:space="180"/>
            <w:col w:w="7380"/>
          </w:cols>
          <w:pgMar w:left="320" w:top="125" w:right="339" w:bottom="1440" w:gutter="0" w:footer="0" w:header="0"/>
          <w:type w:val="continuous"/>
        </w:sectPr>
      </w:pPr>
    </w:p>
    <w:bookmarkStart w:id="116" w:name="page117"/>
    <w:bookmarkEnd w:id="11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11"/>
            <w:vMerge w:val="restart"/>
          </w:tcPr>
          <w:p>
            <w:pPr>
              <w:ind w:left="3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4.22</w:t>
            </w:r>
          </w:p>
        </w:tc>
        <w:tc>
          <w:tcPr>
            <w:tcW w:w="1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900" w:type="dxa"/>
            <w:vAlign w:val="bottom"/>
            <w:tcBorders>
              <w:top w:val="single" w:sz="8" w:color="auto"/>
            </w:tcBorders>
            <w:gridSpan w:val="13"/>
          </w:tcPr>
          <w:p>
            <w:pPr>
              <w:spacing w:after="0"/>
              <w:rPr>
                <w:rFonts w:ascii="Arial" w:cs="Arial" w:eastAsia="Arial" w:hAnsi="Arial"/>
                <w:sz w:val="14"/>
                <w:szCs w:val="14"/>
                <w:color w:val="0000FF"/>
              </w:rPr>
            </w:pPr>
            <w:hyperlink r:id="rId54">
              <w:r>
                <w:rPr>
                  <w:rFonts w:ascii="Arial" w:cs="Arial" w:eastAsia="Arial" w:hAnsi="Arial"/>
                  <w:sz w:val="14"/>
                  <w:szCs w:val="14"/>
                  <w:color w:val="0000FF"/>
                </w:rPr>
                <w:t>Common Stock Purchase Agreement, by and</w:t>
              </w:r>
            </w:hyperlink>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580" w:type="dxa"/>
            <w:vAlign w:val="bottom"/>
            <w:tcBorders>
              <w:top w:val="single" w:sz="8" w:color="0000FF"/>
            </w:tcBorders>
            <w:gridSpan w:val="7"/>
          </w:tcPr>
          <w:p>
            <w:pPr>
              <w:spacing w:after="0" w:line="129" w:lineRule="exact"/>
              <w:rPr>
                <w:rFonts w:ascii="Arial" w:cs="Arial" w:eastAsia="Arial" w:hAnsi="Arial"/>
                <w:sz w:val="14"/>
                <w:szCs w:val="14"/>
                <w:color w:val="0000FF"/>
                <w:w w:val="98"/>
              </w:rPr>
            </w:pPr>
            <w:hyperlink r:id="rId54">
              <w:r>
                <w:rPr>
                  <w:rFonts w:ascii="Arial" w:cs="Arial" w:eastAsia="Arial" w:hAnsi="Arial"/>
                  <w:sz w:val="14"/>
                  <w:szCs w:val="14"/>
                  <w:color w:val="0000FF"/>
                  <w:w w:val="98"/>
                </w:rPr>
                <w:t>among CenterPoint Energy, Inc. and each</w:t>
              </w:r>
            </w:hyperlink>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80" w:type="dxa"/>
            <w:vAlign w:val="bottom"/>
            <w:tcBorders>
              <w:top w:val="single" w:sz="8" w:color="0000FF"/>
            </w:tcBorders>
            <w:gridSpan w:val="5"/>
          </w:tcPr>
          <w:p>
            <w:pPr>
              <w:spacing w:after="0" w:line="129" w:lineRule="exact"/>
              <w:rPr>
                <w:rFonts w:ascii="Arial" w:cs="Arial" w:eastAsia="Arial" w:hAnsi="Arial"/>
                <w:sz w:val="14"/>
                <w:szCs w:val="14"/>
                <w:color w:val="0000FF"/>
                <w:w w:val="92"/>
              </w:rPr>
            </w:pPr>
            <w:hyperlink r:id="rId54">
              <w:r>
                <w:rPr>
                  <w:rFonts w:ascii="Arial" w:cs="Arial" w:eastAsia="Arial" w:hAnsi="Arial"/>
                  <w:sz w:val="14"/>
                  <w:szCs w:val="14"/>
                  <w:color w:val="0000FF"/>
                  <w:w w:val="92"/>
                </w:rPr>
                <w:t>investor identified on Schedule A thereto,</w:t>
              </w:r>
            </w:hyperlink>
          </w:p>
        </w:tc>
        <w:tc>
          <w:tcPr>
            <w:tcW w:w="520" w:type="dxa"/>
            <w:vAlign w:val="bottom"/>
            <w:gridSpan w:val="8"/>
          </w:tcPr>
          <w:p>
            <w:pPr>
              <w:jc w:val="center"/>
              <w:ind w:right="100"/>
              <w:spacing w:after="0" w:line="129" w:lineRule="exact"/>
              <w:rPr>
                <w:rFonts w:ascii="Arial" w:cs="Arial" w:eastAsia="Arial" w:hAnsi="Arial"/>
                <w:sz w:val="14"/>
                <w:szCs w:val="14"/>
                <w:color w:val="0000FF"/>
                <w:w w:val="85"/>
              </w:rPr>
            </w:pPr>
            <w:hyperlink r:id="rId54">
              <w:r>
                <w:rPr>
                  <w:rFonts w:ascii="Arial" w:cs="Arial" w:eastAsia="Arial" w:hAnsi="Arial"/>
                  <w:sz w:val="14"/>
                  <w:szCs w:val="14"/>
                  <w:color w:val="0000FF"/>
                  <w:w w:val="85"/>
                </w:rPr>
                <w:t>dated</w:t>
              </w:r>
            </w:hyperlink>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60" w:type="dxa"/>
            <w:vAlign w:val="bottom"/>
            <w:tcBorders>
              <w:top w:val="single" w:sz="8" w:color="0000FF"/>
            </w:tcBorders>
            <w:gridSpan w:val="9"/>
          </w:tcPr>
          <w:p>
            <w:pPr>
              <w:spacing w:after="0" w:line="129" w:lineRule="exact"/>
              <w:rPr>
                <w:rFonts w:ascii="Arial" w:cs="Arial" w:eastAsia="Arial" w:hAnsi="Arial"/>
                <w:sz w:val="14"/>
                <w:szCs w:val="14"/>
                <w:color w:val="0000FF"/>
              </w:rPr>
            </w:pPr>
            <w:hyperlink r:id="rId54">
              <w:r>
                <w:rPr>
                  <w:rFonts w:ascii="Arial" w:cs="Arial" w:eastAsia="Arial" w:hAnsi="Arial"/>
                  <w:sz w:val="14"/>
                  <w:szCs w:val="14"/>
                  <w:color w:val="0000FF"/>
                </w:rPr>
                <w:t>May 6, 2020</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 w:type="dxa"/>
            <w:vAlign w:val="bottom"/>
          </w:tcPr>
          <w:p>
            <w:pPr>
              <w:jc w:val="center"/>
              <w:spacing w:after="0"/>
              <w:rPr>
                <w:sz w:val="20"/>
                <w:szCs w:val="20"/>
                <w:color w:val="auto"/>
              </w:rPr>
            </w:pPr>
            <w:r>
              <w:rPr>
                <w:rFonts w:ascii="Arial" w:cs="Arial" w:eastAsia="Arial" w:hAnsi="Arial"/>
                <w:sz w:val="14"/>
                <w:szCs w:val="14"/>
                <w:color w:val="auto"/>
                <w:w w:val="95"/>
              </w:rPr>
              <w:t>4.23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00" w:type="dxa"/>
            <w:vAlign w:val="bottom"/>
            <w:gridSpan w:val="13"/>
          </w:tcPr>
          <w:p>
            <w:pPr>
              <w:spacing w:after="0"/>
              <w:rPr>
                <w:rFonts w:ascii="Arial" w:cs="Arial" w:eastAsia="Arial" w:hAnsi="Arial"/>
                <w:sz w:val="14"/>
                <w:szCs w:val="14"/>
                <w:color w:val="0000FF"/>
              </w:rPr>
            </w:pPr>
            <w:hyperlink r:id="rId55">
              <w:r>
                <w:rPr>
                  <w:rFonts w:ascii="Arial" w:cs="Arial" w:eastAsia="Arial" w:hAnsi="Arial"/>
                  <w:sz w:val="14"/>
                  <w:szCs w:val="14"/>
                  <w:color w:val="0000FF"/>
                </w:rPr>
                <w:t>Common Stock Purchase Agreement, by and</w:t>
              </w:r>
            </w:hyperlink>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580" w:type="dxa"/>
            <w:vAlign w:val="bottom"/>
            <w:tcBorders>
              <w:top w:val="single" w:sz="8" w:color="0000FF"/>
            </w:tcBorders>
            <w:gridSpan w:val="7"/>
          </w:tcPr>
          <w:p>
            <w:pPr>
              <w:spacing w:after="0" w:line="129" w:lineRule="exact"/>
              <w:rPr>
                <w:rFonts w:ascii="Arial" w:cs="Arial" w:eastAsia="Arial" w:hAnsi="Arial"/>
                <w:sz w:val="14"/>
                <w:szCs w:val="14"/>
                <w:color w:val="0000FF"/>
                <w:w w:val="98"/>
              </w:rPr>
            </w:pPr>
            <w:hyperlink r:id="rId55">
              <w:r>
                <w:rPr>
                  <w:rFonts w:ascii="Arial" w:cs="Arial" w:eastAsia="Arial" w:hAnsi="Arial"/>
                  <w:sz w:val="14"/>
                  <w:szCs w:val="14"/>
                  <w:color w:val="0000FF"/>
                  <w:w w:val="98"/>
                </w:rPr>
                <w:t>among CenterPoint Energy, Inc. and each</w:t>
              </w:r>
            </w:hyperlink>
          </w:p>
        </w:tc>
        <w:tc>
          <w:tcPr>
            <w:tcW w:w="1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80" w:type="dxa"/>
            <w:vAlign w:val="bottom"/>
            <w:tcBorders>
              <w:top w:val="single" w:sz="8" w:color="0000FF"/>
            </w:tcBorders>
            <w:gridSpan w:val="5"/>
          </w:tcPr>
          <w:p>
            <w:pPr>
              <w:spacing w:after="0" w:line="129" w:lineRule="exact"/>
              <w:rPr>
                <w:rFonts w:ascii="Arial" w:cs="Arial" w:eastAsia="Arial" w:hAnsi="Arial"/>
                <w:sz w:val="14"/>
                <w:szCs w:val="14"/>
                <w:color w:val="0000FF"/>
                <w:w w:val="92"/>
              </w:rPr>
            </w:pPr>
            <w:hyperlink r:id="rId55">
              <w:r>
                <w:rPr>
                  <w:rFonts w:ascii="Arial" w:cs="Arial" w:eastAsia="Arial" w:hAnsi="Arial"/>
                  <w:sz w:val="14"/>
                  <w:szCs w:val="14"/>
                  <w:color w:val="0000FF"/>
                  <w:w w:val="92"/>
                </w:rPr>
                <w:t>investor identified on Schedule A thereto,</w:t>
              </w:r>
            </w:hyperlink>
          </w:p>
        </w:tc>
        <w:tc>
          <w:tcPr>
            <w:tcW w:w="520" w:type="dxa"/>
            <w:vAlign w:val="bottom"/>
            <w:gridSpan w:val="8"/>
          </w:tcPr>
          <w:p>
            <w:pPr>
              <w:jc w:val="center"/>
              <w:ind w:right="100"/>
              <w:spacing w:after="0" w:line="129" w:lineRule="exact"/>
              <w:rPr>
                <w:rFonts w:ascii="Arial" w:cs="Arial" w:eastAsia="Arial" w:hAnsi="Arial"/>
                <w:sz w:val="14"/>
                <w:szCs w:val="14"/>
                <w:color w:val="0000FF"/>
                <w:w w:val="85"/>
              </w:rPr>
            </w:pPr>
            <w:hyperlink r:id="rId55">
              <w:r>
                <w:rPr>
                  <w:rFonts w:ascii="Arial" w:cs="Arial" w:eastAsia="Arial" w:hAnsi="Arial"/>
                  <w:sz w:val="14"/>
                  <w:szCs w:val="14"/>
                  <w:color w:val="0000FF"/>
                  <w:w w:val="85"/>
                </w:rPr>
                <w:t>dated</w:t>
              </w:r>
            </w:hyperlink>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60" w:type="dxa"/>
            <w:vAlign w:val="bottom"/>
            <w:tcBorders>
              <w:top w:val="single" w:sz="8" w:color="0000FF"/>
            </w:tcBorders>
            <w:gridSpan w:val="9"/>
          </w:tcPr>
          <w:p>
            <w:pPr>
              <w:spacing w:after="0" w:line="129" w:lineRule="exact"/>
              <w:rPr>
                <w:rFonts w:ascii="Arial" w:cs="Arial" w:eastAsia="Arial" w:hAnsi="Arial"/>
                <w:sz w:val="14"/>
                <w:szCs w:val="14"/>
                <w:color w:val="0000FF"/>
              </w:rPr>
            </w:pPr>
            <w:hyperlink r:id="rId55">
              <w:r>
                <w:rPr>
                  <w:rFonts w:ascii="Arial" w:cs="Arial" w:eastAsia="Arial" w:hAnsi="Arial"/>
                  <w:sz w:val="14"/>
                  <w:szCs w:val="14"/>
                  <w:color w:val="0000FF"/>
                </w:rPr>
                <w:t>May 6, 2020</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5"/>
              </w:rPr>
              <w:t>4.24</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00" w:type="dxa"/>
            <w:vAlign w:val="bottom"/>
            <w:gridSpan w:val="13"/>
            <w:vMerge w:val="restart"/>
          </w:tcPr>
          <w:p>
            <w:pPr>
              <w:spacing w:after="0"/>
              <w:rPr>
                <w:rFonts w:ascii="Arial" w:cs="Arial" w:eastAsia="Arial" w:hAnsi="Arial"/>
                <w:sz w:val="14"/>
                <w:szCs w:val="14"/>
                <w:color w:val="0000FF"/>
                <w:w w:val="93"/>
              </w:rPr>
            </w:pPr>
            <w:hyperlink r:id="rId56">
              <w:r>
                <w:rPr>
                  <w:rFonts w:ascii="Arial" w:cs="Arial" w:eastAsia="Arial" w:hAnsi="Arial"/>
                  <w:sz w:val="14"/>
                  <w:szCs w:val="14"/>
                  <w:color w:val="0000FF"/>
                  <w:w w:val="93"/>
                </w:rPr>
                <w:t>General Mortgage Indenture, dated as of October</w:t>
              </w:r>
            </w:hyperlink>
          </w:p>
        </w:tc>
        <w:tc>
          <w:tcPr>
            <w:tcW w:w="0" w:type="dxa"/>
            <w:vAlign w:val="bottom"/>
          </w:tcPr>
          <w:p>
            <w:pPr>
              <w:spacing w:after="0"/>
              <w:rPr>
                <w:sz w:val="1"/>
                <w:szCs w:val="1"/>
                <w:color w:val="auto"/>
              </w:rPr>
            </w:pPr>
          </w:p>
        </w:tc>
      </w:tr>
      <w:tr>
        <w:trPr>
          <w:trHeight w:val="53"/>
        </w:trPr>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20" w:type="dxa"/>
            <w:vAlign w:val="bottom"/>
            <w:tcBorders>
              <w:top w:val="single" w:sz="8" w:color="0000FF"/>
            </w:tcBorders>
            <w:gridSpan w:val="11"/>
          </w:tcPr>
          <w:p>
            <w:pPr>
              <w:spacing w:after="0" w:line="129" w:lineRule="exact"/>
              <w:rPr>
                <w:rFonts w:ascii="Arial" w:cs="Arial" w:eastAsia="Arial" w:hAnsi="Arial"/>
                <w:sz w:val="14"/>
                <w:szCs w:val="14"/>
                <w:color w:val="0000FF"/>
                <w:w w:val="94"/>
              </w:rPr>
            </w:pPr>
            <w:hyperlink r:id="rId56">
              <w:r>
                <w:rPr>
                  <w:rFonts w:ascii="Arial" w:cs="Arial" w:eastAsia="Arial" w:hAnsi="Arial"/>
                  <w:sz w:val="14"/>
                  <w:szCs w:val="14"/>
                  <w:color w:val="0000FF"/>
                  <w:w w:val="94"/>
                </w:rPr>
                <w:t>10, 2002, between CenterPoint Energy Houston</w:t>
              </w:r>
            </w:hyperlink>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40" w:type="dxa"/>
            <w:vAlign w:val="bottom"/>
            <w:tcBorders>
              <w:top w:val="single" w:sz="8" w:color="0000FF"/>
            </w:tcBorders>
            <w:gridSpan w:val="8"/>
          </w:tcPr>
          <w:p>
            <w:pPr>
              <w:spacing w:after="0" w:line="129" w:lineRule="exact"/>
              <w:rPr>
                <w:rFonts w:ascii="Arial" w:cs="Arial" w:eastAsia="Arial" w:hAnsi="Arial"/>
                <w:sz w:val="14"/>
                <w:szCs w:val="14"/>
                <w:color w:val="0000FF"/>
                <w:w w:val="98"/>
              </w:rPr>
            </w:pPr>
            <w:hyperlink r:id="rId56">
              <w:r>
                <w:rPr>
                  <w:rFonts w:ascii="Arial" w:cs="Arial" w:eastAsia="Arial" w:hAnsi="Arial"/>
                  <w:sz w:val="14"/>
                  <w:szCs w:val="14"/>
                  <w:color w:val="0000FF"/>
                  <w:w w:val="98"/>
                </w:rPr>
                <w:t>Electric, LLC and JPMorgan Chase Bank, as</w:t>
              </w:r>
            </w:hyperlink>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4"/>
              </w:rPr>
            </w:pPr>
            <w:hyperlink r:id="rId56">
              <w:r>
                <w:rPr>
                  <w:rFonts w:ascii="Arial" w:cs="Arial" w:eastAsia="Arial" w:hAnsi="Arial"/>
                  <w:sz w:val="14"/>
                  <w:szCs w:val="14"/>
                  <w:color w:val="0000FF"/>
                  <w:w w:val="84"/>
                </w:rPr>
                <w:t>Trustee</w:t>
              </w:r>
            </w:hyperlink>
          </w:p>
        </w:tc>
        <w:tc>
          <w:tcPr>
            <w:tcW w:w="2140" w:type="dxa"/>
            <w:vAlign w:val="bottom"/>
            <w:tcBorders>
              <w:top w:val="single" w:sz="8" w:color="0000FF"/>
            </w:tcBorders>
            <w:gridSpan w:val="5"/>
          </w:tcPr>
          <w:p>
            <w:pPr>
              <w:spacing w:after="0"/>
              <w:rPr>
                <w:sz w:val="11"/>
                <w:szCs w:val="11"/>
                <w:color w:val="auto"/>
              </w:rPr>
            </w:pPr>
          </w:p>
        </w:tc>
        <w:tc>
          <w:tcPr>
            <w:tcW w:w="220" w:type="dxa"/>
            <w:vAlign w:val="bottom"/>
            <w:gridSpan w:val="4"/>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680" w:type="dxa"/>
            <w:vAlign w:val="bottom"/>
          </w:tcPr>
          <w:p>
            <w:pPr>
              <w:jc w:val="center"/>
              <w:spacing w:after="0"/>
              <w:rPr>
                <w:sz w:val="20"/>
                <w:szCs w:val="20"/>
                <w:color w:val="auto"/>
              </w:rPr>
            </w:pPr>
            <w:r>
              <w:rPr>
                <w:rFonts w:ascii="Arial" w:cs="Arial" w:eastAsia="Arial" w:hAnsi="Arial"/>
                <w:sz w:val="14"/>
                <w:szCs w:val="14"/>
                <w:color w:val="auto"/>
                <w:w w:val="95"/>
              </w:rPr>
              <w:t>4.25</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900" w:type="dxa"/>
            <w:vAlign w:val="bottom"/>
            <w:gridSpan w:val="13"/>
          </w:tcPr>
          <w:p>
            <w:pPr>
              <w:spacing w:after="0"/>
              <w:rPr>
                <w:rFonts w:ascii="Arial" w:cs="Arial" w:eastAsia="Arial" w:hAnsi="Arial"/>
                <w:sz w:val="14"/>
                <w:szCs w:val="14"/>
                <w:color w:val="0000FF"/>
                <w:w w:val="97"/>
              </w:rPr>
            </w:pPr>
            <w:hyperlink r:id="rId57">
              <w:r>
                <w:rPr>
                  <w:rFonts w:ascii="Arial" w:cs="Arial" w:eastAsia="Arial" w:hAnsi="Arial"/>
                  <w:sz w:val="14"/>
                  <w:szCs w:val="14"/>
                  <w:color w:val="0000FF"/>
                  <w:w w:val="97"/>
                </w:rPr>
                <w:t>Twenty-Ninth Supplemental Indenture, dated as</w:t>
              </w:r>
            </w:hyperlink>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80" w:type="dxa"/>
            <w:vAlign w:val="bottom"/>
            <w:tcBorders>
              <w:top w:val="single" w:sz="8" w:color="0000FF"/>
            </w:tcBorders>
            <w:gridSpan w:val="10"/>
          </w:tcPr>
          <w:p>
            <w:pPr>
              <w:spacing w:after="0" w:line="129" w:lineRule="exact"/>
              <w:rPr>
                <w:rFonts w:ascii="Arial" w:cs="Arial" w:eastAsia="Arial" w:hAnsi="Arial"/>
                <w:sz w:val="14"/>
                <w:szCs w:val="14"/>
                <w:color w:val="0000FF"/>
              </w:rPr>
            </w:pPr>
            <w:hyperlink r:id="rId57">
              <w:r>
                <w:rPr>
                  <w:rFonts w:ascii="Arial" w:cs="Arial" w:eastAsia="Arial" w:hAnsi="Arial"/>
                  <w:sz w:val="14"/>
                  <w:szCs w:val="14"/>
                  <w:color w:val="0000FF"/>
                </w:rPr>
                <w:t>of June 5, 2020, to the General Mortgage</w:t>
              </w:r>
            </w:hyperlink>
          </w:p>
        </w:tc>
        <w:tc>
          <w:tcPr>
            <w:tcW w:w="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60" w:type="dxa"/>
            <w:vAlign w:val="bottom"/>
            <w:tcBorders>
              <w:top w:val="single" w:sz="8" w:color="0000FF"/>
            </w:tcBorders>
            <w:gridSpan w:val="4"/>
          </w:tcPr>
          <w:p>
            <w:pPr>
              <w:spacing w:after="0" w:line="129" w:lineRule="exact"/>
              <w:rPr>
                <w:rFonts w:ascii="Arial" w:cs="Arial" w:eastAsia="Arial" w:hAnsi="Arial"/>
                <w:sz w:val="14"/>
                <w:szCs w:val="14"/>
                <w:color w:val="0000FF"/>
                <w:w w:val="92"/>
              </w:rPr>
            </w:pPr>
            <w:hyperlink r:id="rId57">
              <w:r>
                <w:rPr>
                  <w:rFonts w:ascii="Arial" w:cs="Arial" w:eastAsia="Arial" w:hAnsi="Arial"/>
                  <w:sz w:val="14"/>
                  <w:szCs w:val="14"/>
                  <w:color w:val="0000FF"/>
                  <w:w w:val="92"/>
                </w:rPr>
                <w:t>Indenture, dated as of October 10, 2002,</w:t>
              </w:r>
            </w:hyperlink>
          </w:p>
        </w:tc>
        <w:tc>
          <w:tcPr>
            <w:tcW w:w="540" w:type="dxa"/>
            <w:vAlign w:val="bottom"/>
            <w:gridSpan w:val="9"/>
          </w:tcPr>
          <w:p>
            <w:pPr>
              <w:jc w:val="center"/>
              <w:ind w:right="80"/>
              <w:spacing w:after="0" w:line="129" w:lineRule="exact"/>
              <w:rPr>
                <w:rFonts w:ascii="Arial" w:cs="Arial" w:eastAsia="Arial" w:hAnsi="Arial"/>
                <w:sz w:val="14"/>
                <w:szCs w:val="14"/>
                <w:color w:val="0000FF"/>
                <w:w w:val="86"/>
              </w:rPr>
            </w:pPr>
            <w:hyperlink r:id="rId57">
              <w:r>
                <w:rPr>
                  <w:rFonts w:ascii="Arial" w:cs="Arial" w:eastAsia="Arial" w:hAnsi="Arial"/>
                  <w:sz w:val="14"/>
                  <w:szCs w:val="14"/>
                  <w:color w:val="0000FF"/>
                  <w:w w:val="86"/>
                </w:rPr>
                <w:t>between</w:t>
              </w:r>
            </w:hyperlink>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4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r:id="rId57">
              <w:r>
                <w:rPr>
                  <w:rFonts w:ascii="Arial" w:cs="Arial" w:eastAsia="Arial" w:hAnsi="Arial"/>
                  <w:sz w:val="14"/>
                  <w:szCs w:val="14"/>
                  <w:color w:val="0000FF"/>
                </w:rPr>
                <w:t>the Company and the Trustee</w:t>
              </w:r>
            </w:hyperlink>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 or Registration</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SEC File or</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0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16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Statement</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80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line="156" w:lineRule="exact"/>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13"/>
                <w:szCs w:val="13"/>
                <w:color w:val="auto"/>
              </w:rPr>
            </w:pPr>
          </w:p>
        </w:tc>
        <w:tc>
          <w:tcPr>
            <w:tcW w:w="1240" w:type="dxa"/>
            <w:vAlign w:val="bottom"/>
            <w:gridSpan w:val="2"/>
          </w:tcPr>
          <w:p>
            <w:pPr>
              <w:jc w:val="center"/>
              <w:ind w:right="120"/>
              <w:spacing w:after="0" w:line="156"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May 6, 2020</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8-K dated May 6, 2020</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Houston Electric’s 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1-3187</w:t>
            </w:r>
          </w:p>
        </w:tc>
        <w:tc>
          <w:tcPr>
            <w:tcW w:w="10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rPr>
              <w:t>4(j)(1)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10-Q for the quarter ended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September 30, 2002</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Houston Electric’s Form 8-</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gridSpan w:val="2"/>
          </w:tcPr>
          <w:p>
            <w:pPr>
              <w:ind w:left="20"/>
              <w:spacing w:after="0"/>
              <w:rPr>
                <w:sz w:val="20"/>
                <w:szCs w:val="20"/>
                <w:color w:val="auto"/>
              </w:rPr>
            </w:pPr>
            <w:r>
              <w:rPr>
                <w:rFonts w:ascii="Arial" w:cs="Arial" w:eastAsia="Arial" w:hAnsi="Arial"/>
                <w:sz w:val="14"/>
                <w:szCs w:val="14"/>
                <w:color w:val="auto"/>
              </w:rPr>
              <w:t>K dated June 2, 2020</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59" w:lineRule="exact"/>
        <w:rPr>
          <w:sz w:val="20"/>
          <w:szCs w:val="20"/>
          <w:color w:val="auto"/>
        </w:rPr>
      </w:pPr>
    </w:p>
    <w:p>
      <w:pPr>
        <w:sectPr>
          <w:pgSz w:w="11900" w:h="16838" w:orient="portrait"/>
          <w:cols w:equalWidth="0" w:num="2">
            <w:col w:w="3740" w:space="120"/>
            <w:col w:w="7380"/>
          </w:cols>
          <w:pgMar w:left="320" w:top="125" w:right="339" w:bottom="1440" w:gutter="0" w:footer="0" w:header="0"/>
          <w:type w:val="continuous"/>
        </w:sectPr>
      </w:pPr>
    </w:p>
    <w:tbl>
      <w:tblPr>
        <w:tblLayout w:type="fixed"/>
        <w:tblInd w:w="120" w:type="dxa"/>
        <w:tblCellMar>
          <w:top w:w="0" w:type="dxa"/>
          <w:left w:w="0" w:type="dxa"/>
          <w:bottom w:w="0" w:type="dxa"/>
          <w:right w:w="0" w:type="dxa"/>
        </w:tblCellMar>
      </w:tblPr>
      <w:tr>
        <w:trPr>
          <w:trHeight w:val="161"/>
        </w:trPr>
        <w:tc>
          <w:tcPr>
            <w:tcW w:w="720" w:type="dxa"/>
            <w:vAlign w:val="bottom"/>
          </w:tcPr>
          <w:p>
            <w:pPr>
              <w:jc w:val="center"/>
              <w:ind w:right="188"/>
              <w:spacing w:after="0"/>
              <w:rPr>
                <w:sz w:val="20"/>
                <w:szCs w:val="20"/>
                <w:color w:val="auto"/>
              </w:rPr>
            </w:pPr>
            <w:r>
              <w:rPr>
                <w:rFonts w:ascii="Arial" w:cs="Arial" w:eastAsia="Arial" w:hAnsi="Arial"/>
                <w:sz w:val="14"/>
                <w:szCs w:val="14"/>
                <w:color w:val="auto"/>
                <w:w w:val="95"/>
              </w:rPr>
              <w:t>+4.26</w:t>
            </w:r>
          </w:p>
        </w:tc>
        <w:tc>
          <w:tcPr>
            <w:tcW w:w="2900" w:type="dxa"/>
            <w:vAlign w:val="bottom"/>
            <w:gridSpan w:val="22"/>
          </w:tcPr>
          <w:p>
            <w:pPr>
              <w:spacing w:after="0"/>
              <w:rPr>
                <w:rFonts w:ascii="Arial" w:cs="Arial" w:eastAsia="Arial" w:hAnsi="Arial"/>
                <w:sz w:val="14"/>
                <w:szCs w:val="14"/>
                <w:color w:val="0000FF"/>
              </w:rPr>
            </w:pPr>
            <w:hyperlink w:anchor="page120">
              <w:r>
                <w:rPr>
                  <w:rFonts w:ascii="Arial" w:cs="Arial" w:eastAsia="Arial" w:hAnsi="Arial"/>
                  <w:sz w:val="14"/>
                  <w:szCs w:val="14"/>
                  <w:color w:val="0000FF"/>
                </w:rPr>
                <w:t>Officer’s Certificate, dated as of June 5, 2020,</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2640" w:type="dxa"/>
            <w:vAlign w:val="bottom"/>
            <w:tcBorders>
              <w:top w:val="single" w:sz="8" w:color="0000FF"/>
            </w:tcBorders>
            <w:gridSpan w:val="13"/>
          </w:tcPr>
          <w:p>
            <w:pPr>
              <w:spacing w:after="0" w:line="129" w:lineRule="exact"/>
              <w:rPr>
                <w:rFonts w:ascii="Arial" w:cs="Arial" w:eastAsia="Arial" w:hAnsi="Arial"/>
                <w:sz w:val="14"/>
                <w:szCs w:val="14"/>
                <w:color w:val="0000FF"/>
                <w:w w:val="93"/>
              </w:rPr>
            </w:pPr>
            <w:hyperlink w:anchor="page120">
              <w:r>
                <w:rPr>
                  <w:rFonts w:ascii="Arial" w:cs="Arial" w:eastAsia="Arial" w:hAnsi="Arial"/>
                  <w:sz w:val="14"/>
                  <w:szCs w:val="14"/>
                  <w:color w:val="0000FF"/>
                  <w:w w:val="93"/>
                </w:rPr>
                <w:t>setting forth the form, terms and provisions of</w:t>
              </w:r>
            </w:hyperlink>
          </w:p>
        </w:tc>
        <w:tc>
          <w:tcPr>
            <w:tcW w:w="260" w:type="dxa"/>
            <w:vAlign w:val="bottom"/>
            <w:gridSpan w:val="9"/>
          </w:tcPr>
          <w:p>
            <w:pPr>
              <w:ind w:left="40"/>
              <w:spacing w:after="0" w:line="129" w:lineRule="exact"/>
              <w:rPr>
                <w:rFonts w:ascii="Arial" w:cs="Arial" w:eastAsia="Arial" w:hAnsi="Arial"/>
                <w:sz w:val="14"/>
                <w:szCs w:val="14"/>
                <w:color w:val="0000FF"/>
              </w:rPr>
            </w:pPr>
            <w:hyperlink w:anchor="page120">
              <w:r>
                <w:rPr>
                  <w:rFonts w:ascii="Arial" w:cs="Arial" w:eastAsia="Arial" w:hAnsi="Arial"/>
                  <w:sz w:val="14"/>
                  <w:szCs w:val="14"/>
                  <w:color w:val="0000FF"/>
                </w:rPr>
                <w:t>the</w:t>
              </w:r>
            </w:hyperlink>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2880" w:type="dxa"/>
            <w:vAlign w:val="bottom"/>
            <w:tcBorders>
              <w:top w:val="single" w:sz="8" w:color="0000FF"/>
            </w:tcBorders>
            <w:gridSpan w:val="21"/>
          </w:tcPr>
          <w:p>
            <w:pPr>
              <w:spacing w:after="0"/>
              <w:rPr>
                <w:rFonts w:ascii="Arial" w:cs="Arial" w:eastAsia="Arial" w:hAnsi="Arial"/>
                <w:sz w:val="14"/>
                <w:szCs w:val="14"/>
                <w:u w:val="single" w:color="auto"/>
                <w:color w:val="0000FF"/>
              </w:rPr>
            </w:pPr>
            <w:hyperlink w:anchor="page120">
              <w:r>
                <w:rPr>
                  <w:rFonts w:ascii="Arial" w:cs="Arial" w:eastAsia="Arial" w:hAnsi="Arial"/>
                  <w:sz w:val="14"/>
                  <w:szCs w:val="14"/>
                  <w:u w:val="single" w:color="auto"/>
                  <w:color w:val="0000FF"/>
                </w:rPr>
                <w:t>Thirtieth Series of General Mortgage Bonds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20" w:type="dxa"/>
            <w:vAlign w:val="bottom"/>
          </w:tcPr>
          <w:p>
            <w:pPr>
              <w:jc w:val="center"/>
              <w:ind w:right="188"/>
              <w:spacing w:after="0" w:line="155" w:lineRule="exact"/>
              <w:rPr>
                <w:sz w:val="20"/>
                <w:szCs w:val="20"/>
                <w:color w:val="auto"/>
              </w:rPr>
            </w:pPr>
            <w:r>
              <w:rPr>
                <w:rFonts w:ascii="Arial" w:cs="Arial" w:eastAsia="Arial" w:hAnsi="Arial"/>
                <w:sz w:val="14"/>
                <w:szCs w:val="14"/>
                <w:color w:val="auto"/>
                <w:w w:val="95"/>
              </w:rPr>
              <w:t>10.1</w:t>
            </w:r>
          </w:p>
        </w:tc>
        <w:tc>
          <w:tcPr>
            <w:tcW w:w="2900" w:type="dxa"/>
            <w:vAlign w:val="bottom"/>
            <w:gridSpan w:val="22"/>
          </w:tcPr>
          <w:p>
            <w:pPr>
              <w:spacing w:after="0" w:line="155" w:lineRule="exact"/>
              <w:rPr>
                <w:rFonts w:ascii="Arial" w:cs="Arial" w:eastAsia="Arial" w:hAnsi="Arial"/>
                <w:sz w:val="14"/>
                <w:szCs w:val="14"/>
                <w:color w:val="0000FF"/>
                <w:w w:val="97"/>
              </w:rPr>
            </w:pPr>
            <w:hyperlink r:id="rId58">
              <w:r>
                <w:rPr>
                  <w:rFonts w:ascii="Arial" w:cs="Arial" w:eastAsia="Arial" w:hAnsi="Arial"/>
                  <w:sz w:val="14"/>
                  <w:szCs w:val="14"/>
                  <w:color w:val="0000FF"/>
                  <w:w w:val="97"/>
                </w:rPr>
                <w:t>First Amendment to the Amended and Restated</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276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r:id="rId58">
              <w:r>
                <w:rPr>
                  <w:rFonts w:ascii="Arial" w:cs="Arial" w:eastAsia="Arial" w:hAnsi="Arial"/>
                  <w:sz w:val="14"/>
                  <w:szCs w:val="14"/>
                  <w:color w:val="0000FF"/>
                </w:rPr>
                <w:t>CenterPoint Energy Stock Plan for Outside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2480" w:type="dxa"/>
            <w:vAlign w:val="bottom"/>
            <w:tcBorders>
              <w:top w:val="single" w:sz="8" w:color="0000FF"/>
            </w:tcBorders>
            <w:gridSpan w:val="10"/>
          </w:tcPr>
          <w:p>
            <w:pPr>
              <w:spacing w:after="0" w:line="129" w:lineRule="exact"/>
              <w:rPr>
                <w:rFonts w:ascii="Arial" w:cs="Arial" w:eastAsia="Arial" w:hAnsi="Arial"/>
                <w:sz w:val="14"/>
                <w:szCs w:val="14"/>
                <w:color w:val="0000FF"/>
              </w:rPr>
            </w:pPr>
            <w:hyperlink r:id="rId58">
              <w:r>
                <w:rPr>
                  <w:rFonts w:ascii="Arial" w:cs="Arial" w:eastAsia="Arial" w:hAnsi="Arial"/>
                  <w:sz w:val="14"/>
                  <w:szCs w:val="14"/>
                  <w:color w:val="0000FF"/>
                </w:rPr>
                <w:t>Directors</w:t>
              </w:r>
            </w:hyperlink>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20" w:type="dxa"/>
            <w:vAlign w:val="bottom"/>
          </w:tcPr>
          <w:p>
            <w:pPr>
              <w:jc w:val="center"/>
              <w:ind w:right="188"/>
              <w:spacing w:after="0"/>
              <w:rPr>
                <w:sz w:val="20"/>
                <w:szCs w:val="20"/>
                <w:color w:val="auto"/>
              </w:rPr>
            </w:pPr>
            <w:r>
              <w:rPr>
                <w:rFonts w:ascii="Arial" w:cs="Arial" w:eastAsia="Arial" w:hAnsi="Arial"/>
                <w:sz w:val="14"/>
                <w:szCs w:val="14"/>
                <w:color w:val="auto"/>
                <w:w w:val="95"/>
              </w:rPr>
              <w:t>10.2</w:t>
            </w:r>
          </w:p>
        </w:tc>
        <w:tc>
          <w:tcPr>
            <w:tcW w:w="2900" w:type="dxa"/>
            <w:vAlign w:val="bottom"/>
            <w:gridSpan w:val="22"/>
          </w:tcPr>
          <w:p>
            <w:pPr>
              <w:spacing w:after="0"/>
              <w:rPr>
                <w:rFonts w:ascii="Arial" w:cs="Arial" w:eastAsia="Arial" w:hAnsi="Arial"/>
                <w:sz w:val="14"/>
                <w:szCs w:val="14"/>
                <w:color w:val="0000FF"/>
              </w:rPr>
            </w:pPr>
            <w:hyperlink r:id="rId59">
              <w:r>
                <w:rPr>
                  <w:rFonts w:ascii="Arial" w:cs="Arial" w:eastAsia="Arial" w:hAnsi="Arial"/>
                  <w:sz w:val="14"/>
                  <w:szCs w:val="14"/>
                  <w:color w:val="0000FF"/>
                </w:rPr>
                <w:t>Form of Award Agreement for Performance</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252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r:id="rId59">
              <w:r>
                <w:rPr>
                  <w:rFonts w:ascii="Arial" w:cs="Arial" w:eastAsia="Arial" w:hAnsi="Arial"/>
                  <w:sz w:val="14"/>
                  <w:szCs w:val="14"/>
                  <w:color w:val="0000FF"/>
                </w:rPr>
                <w:t>Share Units</w:t>
              </w:r>
            </w:hyperlink>
          </w:p>
        </w:tc>
        <w:tc>
          <w:tcPr>
            <w:tcW w:w="10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20" w:type="dxa"/>
            <w:vAlign w:val="bottom"/>
          </w:tcPr>
          <w:p>
            <w:pPr>
              <w:jc w:val="center"/>
              <w:ind w:right="188"/>
              <w:spacing w:after="0"/>
              <w:rPr>
                <w:sz w:val="20"/>
                <w:szCs w:val="20"/>
                <w:color w:val="auto"/>
              </w:rPr>
            </w:pPr>
            <w:r>
              <w:rPr>
                <w:rFonts w:ascii="Arial" w:cs="Arial" w:eastAsia="Arial" w:hAnsi="Arial"/>
                <w:sz w:val="14"/>
                <w:szCs w:val="14"/>
                <w:color w:val="auto"/>
                <w:w w:val="95"/>
              </w:rPr>
              <w:t>10.3</w:t>
            </w:r>
          </w:p>
        </w:tc>
        <w:tc>
          <w:tcPr>
            <w:tcW w:w="2900" w:type="dxa"/>
            <w:vAlign w:val="bottom"/>
            <w:gridSpan w:val="22"/>
          </w:tcPr>
          <w:p>
            <w:pPr>
              <w:spacing w:after="0"/>
              <w:rPr>
                <w:rFonts w:ascii="Arial" w:cs="Arial" w:eastAsia="Arial" w:hAnsi="Arial"/>
                <w:sz w:val="14"/>
                <w:szCs w:val="14"/>
                <w:color w:val="0000FF"/>
                <w:w w:val="99"/>
              </w:rPr>
            </w:pPr>
            <w:hyperlink r:id="rId60">
              <w:r>
                <w:rPr>
                  <w:rFonts w:ascii="Arial" w:cs="Arial" w:eastAsia="Arial" w:hAnsi="Arial"/>
                  <w:sz w:val="14"/>
                  <w:szCs w:val="14"/>
                  <w:color w:val="0000FF"/>
                  <w:w w:val="99"/>
                </w:rPr>
                <w:t>Form of Award Agreement for Restricted Stock</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72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w w:val="92"/>
              </w:rPr>
            </w:pPr>
            <w:hyperlink r:id="rId60">
              <w:r>
                <w:rPr>
                  <w:rFonts w:ascii="Arial" w:cs="Arial" w:eastAsia="Arial" w:hAnsi="Arial"/>
                  <w:sz w:val="14"/>
                  <w:szCs w:val="14"/>
                  <w:color w:val="0000FF"/>
                  <w:w w:val="92"/>
                </w:rPr>
                <w:t>Unit Awards</w:t>
              </w:r>
            </w:hyperlink>
          </w:p>
        </w:tc>
        <w:tc>
          <w:tcPr>
            <w:tcW w:w="208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720" w:type="dxa"/>
            <w:vAlign w:val="bottom"/>
          </w:tcPr>
          <w:p>
            <w:pPr>
              <w:jc w:val="center"/>
              <w:ind w:right="188"/>
              <w:spacing w:after="0"/>
              <w:rPr>
                <w:sz w:val="20"/>
                <w:szCs w:val="20"/>
                <w:color w:val="auto"/>
              </w:rPr>
            </w:pPr>
            <w:r>
              <w:rPr>
                <w:rFonts w:ascii="Arial" w:cs="Arial" w:eastAsia="Arial" w:hAnsi="Arial"/>
                <w:sz w:val="14"/>
                <w:szCs w:val="14"/>
                <w:color w:val="auto"/>
                <w:w w:val="95"/>
              </w:rPr>
              <w:t>10.4</w:t>
            </w:r>
          </w:p>
        </w:tc>
        <w:tc>
          <w:tcPr>
            <w:tcW w:w="2900" w:type="dxa"/>
            <w:vAlign w:val="bottom"/>
            <w:gridSpan w:val="22"/>
          </w:tcPr>
          <w:p>
            <w:pPr>
              <w:spacing w:after="0"/>
              <w:rPr>
                <w:rFonts w:ascii="Arial" w:cs="Arial" w:eastAsia="Arial" w:hAnsi="Arial"/>
                <w:sz w:val="14"/>
                <w:szCs w:val="14"/>
                <w:color w:val="0000FF"/>
              </w:rPr>
            </w:pPr>
            <w:hyperlink r:id="rId61">
              <w:r>
                <w:rPr>
                  <w:rFonts w:ascii="Arial" w:cs="Arial" w:eastAsia="Arial" w:hAnsi="Arial"/>
                  <w:sz w:val="14"/>
                  <w:szCs w:val="14"/>
                  <w:color w:val="0000FF"/>
                </w:rPr>
                <w:t>Offer Letter dated July 1, 2020 between</w:t>
              </w:r>
            </w:hyperlink>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2280" w:type="dxa"/>
            <w:vAlign w:val="bottom"/>
            <w:tcBorders>
              <w:top w:val="single" w:sz="8" w:color="0000FF"/>
            </w:tcBorders>
            <w:gridSpan w:val="9"/>
          </w:tcPr>
          <w:p>
            <w:pPr>
              <w:spacing w:after="0"/>
              <w:rPr>
                <w:rFonts w:ascii="Arial" w:cs="Arial" w:eastAsia="Arial" w:hAnsi="Arial"/>
                <w:sz w:val="14"/>
                <w:szCs w:val="14"/>
                <w:u w:val="single" w:color="auto"/>
                <w:color w:val="0000FF"/>
                <w:w w:val="93"/>
              </w:rPr>
            </w:pPr>
            <w:hyperlink r:id="rId61">
              <w:r>
                <w:rPr>
                  <w:rFonts w:ascii="Arial" w:cs="Arial" w:eastAsia="Arial" w:hAnsi="Arial"/>
                  <w:sz w:val="14"/>
                  <w:szCs w:val="14"/>
                  <w:u w:val="single" w:color="auto"/>
                  <w:color w:val="0000FF"/>
                  <w:w w:val="93"/>
                </w:rPr>
                <w:t>CenterPoint Energy and David J. Lesar</w:t>
              </w:r>
            </w:hyperlink>
          </w:p>
        </w:tc>
        <w:tc>
          <w:tcPr>
            <w:tcW w:w="34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81"/>
        </w:trPr>
        <w:tc>
          <w:tcPr>
            <w:tcW w:w="720" w:type="dxa"/>
            <w:vAlign w:val="bottom"/>
          </w:tcPr>
          <w:p>
            <w:pPr>
              <w:jc w:val="center"/>
              <w:ind w:right="188"/>
              <w:spacing w:after="0"/>
              <w:rPr>
                <w:sz w:val="20"/>
                <w:szCs w:val="20"/>
                <w:color w:val="auto"/>
              </w:rPr>
            </w:pPr>
            <w:r>
              <w:rPr>
                <w:rFonts w:ascii="Arial" w:cs="Arial" w:eastAsia="Arial" w:hAnsi="Arial"/>
                <w:sz w:val="14"/>
                <w:szCs w:val="14"/>
                <w:color w:val="auto"/>
                <w:w w:val="95"/>
              </w:rPr>
              <w:t>10.5</w:t>
            </w:r>
          </w:p>
        </w:tc>
        <w:tc>
          <w:tcPr>
            <w:tcW w:w="2900" w:type="dxa"/>
            <w:vAlign w:val="bottom"/>
            <w:gridSpan w:val="22"/>
            <w:vMerge w:val="restart"/>
          </w:tcPr>
          <w:p>
            <w:pPr>
              <w:spacing w:after="0"/>
              <w:rPr>
                <w:rFonts w:ascii="Arial" w:cs="Arial" w:eastAsia="Arial" w:hAnsi="Arial"/>
                <w:sz w:val="14"/>
                <w:szCs w:val="14"/>
                <w:color w:val="0000FF"/>
                <w:w w:val="98"/>
              </w:rPr>
            </w:pPr>
            <w:hyperlink r:id="rId62">
              <w:r>
                <w:rPr>
                  <w:rFonts w:ascii="Arial" w:cs="Arial" w:eastAsia="Arial" w:hAnsi="Arial"/>
                  <w:sz w:val="14"/>
                  <w:szCs w:val="14"/>
                  <w:color w:val="0000FF"/>
                  <w:w w:val="98"/>
                </w:rPr>
                <w:t>Form of Performance Award Agreement for the</w:t>
              </w:r>
            </w:hyperlink>
          </w:p>
        </w:tc>
        <w:tc>
          <w:tcPr>
            <w:tcW w:w="0" w:type="dxa"/>
            <w:vAlign w:val="bottom"/>
          </w:tcPr>
          <w:p>
            <w:pPr>
              <w:spacing w:after="0"/>
              <w:rPr>
                <w:sz w:val="1"/>
                <w:szCs w:val="1"/>
                <w:color w:val="auto"/>
              </w:rPr>
            </w:pPr>
          </w:p>
        </w:tc>
      </w:tr>
      <w:tr>
        <w:trPr>
          <w:trHeight w:val="53"/>
        </w:trPr>
        <w:tc>
          <w:tcPr>
            <w:tcW w:w="720" w:type="dxa"/>
            <w:vAlign w:val="bottom"/>
          </w:tcPr>
          <w:p>
            <w:pPr>
              <w:spacing w:after="0"/>
              <w:rPr>
                <w:sz w:val="4"/>
                <w:szCs w:val="4"/>
                <w:color w:val="auto"/>
              </w:rPr>
            </w:pPr>
          </w:p>
        </w:tc>
        <w:tc>
          <w:tcPr>
            <w:tcW w:w="2900" w:type="dxa"/>
            <w:vAlign w:val="bottom"/>
            <w:gridSpan w:val="2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38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5"/>
              </w:rPr>
            </w:pPr>
            <w:hyperlink r:id="rId62">
              <w:r>
                <w:rPr>
                  <w:rFonts w:ascii="Arial" w:cs="Arial" w:eastAsia="Arial" w:hAnsi="Arial"/>
                  <w:sz w:val="14"/>
                  <w:szCs w:val="14"/>
                  <w:color w:val="0000FF"/>
                  <w:w w:val="95"/>
                </w:rPr>
                <w:t>Chief Executive Officer</w:t>
              </w:r>
            </w:hyperlink>
          </w:p>
        </w:tc>
        <w:tc>
          <w:tcPr>
            <w:tcW w:w="1400" w:type="dxa"/>
            <w:vAlign w:val="bottom"/>
            <w:tcBorders>
              <w:top w:val="single" w:sz="8" w:color="0000FF"/>
            </w:tcBorders>
            <w:gridSpan w:val="11"/>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41"/>
        </w:trPr>
        <w:tc>
          <w:tcPr>
            <w:tcW w:w="720" w:type="dxa"/>
            <w:vAlign w:val="bottom"/>
          </w:tcPr>
          <w:p>
            <w:pPr>
              <w:jc w:val="center"/>
              <w:ind w:right="188"/>
              <w:spacing w:after="0"/>
              <w:rPr>
                <w:sz w:val="20"/>
                <w:szCs w:val="20"/>
                <w:color w:val="auto"/>
              </w:rPr>
            </w:pPr>
            <w:r>
              <w:rPr>
                <w:rFonts w:ascii="Arial" w:cs="Arial" w:eastAsia="Arial" w:hAnsi="Arial"/>
                <w:sz w:val="14"/>
                <w:szCs w:val="14"/>
                <w:color w:val="auto"/>
                <w:w w:val="95"/>
              </w:rPr>
              <w:t>10.6</w:t>
            </w:r>
          </w:p>
        </w:tc>
        <w:tc>
          <w:tcPr>
            <w:tcW w:w="2900" w:type="dxa"/>
            <w:vAlign w:val="bottom"/>
            <w:gridSpan w:val="22"/>
            <w:vMerge w:val="restart"/>
          </w:tcPr>
          <w:p>
            <w:pPr>
              <w:spacing w:after="0"/>
              <w:rPr>
                <w:rFonts w:ascii="Arial" w:cs="Arial" w:eastAsia="Arial" w:hAnsi="Arial"/>
                <w:sz w:val="14"/>
                <w:szCs w:val="14"/>
                <w:color w:val="0000FF"/>
                <w:w w:val="96"/>
              </w:rPr>
            </w:pPr>
            <w:hyperlink r:id="rId63">
              <w:r>
                <w:rPr>
                  <w:rFonts w:ascii="Arial" w:cs="Arial" w:eastAsia="Arial" w:hAnsi="Arial"/>
                  <w:sz w:val="14"/>
                  <w:szCs w:val="14"/>
                  <w:color w:val="0000FF"/>
                  <w:w w:val="96"/>
                </w:rPr>
                <w:t>Form of Restricted Stock Unit Award Agreement</w:t>
              </w:r>
            </w:hyperlink>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2900" w:type="dxa"/>
            <w:vAlign w:val="bottom"/>
            <w:gridSpan w:val="2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286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63">
              <w:r>
                <w:rPr>
                  <w:rFonts w:ascii="Arial" w:cs="Arial" w:eastAsia="Arial" w:hAnsi="Arial"/>
                  <w:sz w:val="14"/>
                  <w:szCs w:val="14"/>
                  <w:color w:val="0000FF"/>
                </w:rPr>
                <w:t>for the Chief Executive Officer</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center"/>
              <w:ind w:right="188"/>
              <w:spacing w:after="0"/>
              <w:rPr>
                <w:sz w:val="20"/>
                <w:szCs w:val="20"/>
                <w:color w:val="auto"/>
              </w:rPr>
            </w:pPr>
            <w:r>
              <w:rPr>
                <w:rFonts w:ascii="Arial" w:cs="Arial" w:eastAsia="Arial" w:hAnsi="Arial"/>
                <w:sz w:val="14"/>
                <w:szCs w:val="14"/>
                <w:color w:val="auto"/>
                <w:w w:val="95"/>
              </w:rPr>
              <w:t>10.7</w:t>
            </w: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20" w:type="dxa"/>
            <w:vAlign w:val="bottom"/>
            <w:vMerge w:val="continue"/>
          </w:tcPr>
          <w:p>
            <w:pPr>
              <w:spacing w:after="0"/>
              <w:rPr>
                <w:sz w:val="24"/>
                <w:szCs w:val="24"/>
                <w:color w:val="auto"/>
              </w:rPr>
            </w:pPr>
          </w:p>
        </w:tc>
        <w:tc>
          <w:tcPr>
            <w:tcW w:w="2900" w:type="dxa"/>
            <w:vAlign w:val="bottom"/>
            <w:gridSpan w:val="22"/>
            <w:vMerge w:val="restart"/>
          </w:tcPr>
          <w:p>
            <w:pPr>
              <w:spacing w:after="0"/>
              <w:rPr>
                <w:rFonts w:ascii="Arial" w:cs="Arial" w:eastAsia="Arial" w:hAnsi="Arial"/>
                <w:sz w:val="14"/>
                <w:szCs w:val="14"/>
                <w:color w:val="0000FF"/>
                <w:w w:val="96"/>
              </w:rPr>
            </w:pPr>
            <w:hyperlink r:id="rId64">
              <w:r>
                <w:rPr>
                  <w:rFonts w:ascii="Arial" w:cs="Arial" w:eastAsia="Arial" w:hAnsi="Arial"/>
                  <w:sz w:val="14"/>
                  <w:szCs w:val="14"/>
                  <w:color w:val="0000FF"/>
                  <w:w w:val="96"/>
                </w:rPr>
                <w:t>Form of Restricted Stock Unit Award Agreement</w:t>
              </w:r>
            </w:hyperlink>
          </w:p>
        </w:tc>
        <w:tc>
          <w:tcPr>
            <w:tcW w:w="0" w:type="dxa"/>
            <w:vAlign w:val="bottom"/>
          </w:tcPr>
          <w:p>
            <w:pPr>
              <w:spacing w:after="0"/>
              <w:rPr>
                <w:sz w:val="1"/>
                <w:szCs w:val="1"/>
                <w:color w:val="auto"/>
              </w:rPr>
            </w:pPr>
          </w:p>
        </w:tc>
      </w:tr>
      <w:tr>
        <w:trPr>
          <w:trHeight w:val="53"/>
        </w:trPr>
        <w:tc>
          <w:tcPr>
            <w:tcW w:w="720" w:type="dxa"/>
            <w:vAlign w:val="bottom"/>
          </w:tcPr>
          <w:p>
            <w:pPr>
              <w:spacing w:after="0"/>
              <w:rPr>
                <w:sz w:val="4"/>
                <w:szCs w:val="4"/>
                <w:color w:val="auto"/>
              </w:rPr>
            </w:pPr>
          </w:p>
        </w:tc>
        <w:tc>
          <w:tcPr>
            <w:tcW w:w="2900" w:type="dxa"/>
            <w:vAlign w:val="bottom"/>
            <w:gridSpan w:val="2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202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1"/>
              </w:rPr>
            </w:pPr>
            <w:hyperlink r:id="rId64">
              <w:r>
                <w:rPr>
                  <w:rFonts w:ascii="Arial" w:cs="Arial" w:eastAsia="Arial" w:hAnsi="Arial"/>
                  <w:sz w:val="14"/>
                  <w:szCs w:val="14"/>
                  <w:color w:val="0000FF"/>
                  <w:w w:val="91"/>
                </w:rPr>
                <w:t>(Retention, Service-Based Vesting)</w:t>
              </w:r>
            </w:hyperlink>
          </w:p>
        </w:tc>
        <w:tc>
          <w:tcPr>
            <w:tcW w:w="840" w:type="dxa"/>
            <w:vAlign w:val="bottom"/>
            <w:tcBorders>
              <w:top w:val="single" w:sz="8" w:color="0000FF"/>
            </w:tcBorders>
            <w:gridSpan w:val="1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20" w:type="dxa"/>
            <w:vAlign w:val="bottom"/>
          </w:tcPr>
          <w:p>
            <w:pPr>
              <w:jc w:val="center"/>
              <w:ind w:right="188"/>
              <w:spacing w:after="0"/>
              <w:rPr>
                <w:sz w:val="20"/>
                <w:szCs w:val="20"/>
                <w:color w:val="auto"/>
              </w:rPr>
            </w:pPr>
            <w:r>
              <w:rPr>
                <w:rFonts w:ascii="Arial" w:cs="Arial" w:eastAsia="Arial" w:hAnsi="Arial"/>
                <w:sz w:val="14"/>
                <w:szCs w:val="14"/>
                <w:color w:val="auto"/>
                <w:w w:val="95"/>
              </w:rPr>
              <w:t>10.8</w:t>
            </w:r>
          </w:p>
        </w:tc>
        <w:tc>
          <w:tcPr>
            <w:tcW w:w="2900" w:type="dxa"/>
            <w:vAlign w:val="bottom"/>
            <w:gridSpan w:val="22"/>
          </w:tcPr>
          <w:p>
            <w:pPr>
              <w:spacing w:after="0"/>
              <w:rPr>
                <w:rFonts w:ascii="Arial" w:cs="Arial" w:eastAsia="Arial" w:hAnsi="Arial"/>
                <w:sz w:val="14"/>
                <w:szCs w:val="14"/>
                <w:color w:val="0000FF"/>
              </w:rPr>
            </w:pPr>
            <w:hyperlink r:id="rId65">
              <w:r>
                <w:rPr>
                  <w:rFonts w:ascii="Arial" w:cs="Arial" w:eastAsia="Arial" w:hAnsi="Arial"/>
                  <w:sz w:val="14"/>
                  <w:szCs w:val="14"/>
                  <w:color w:val="0000FF"/>
                </w:rPr>
                <w:t>Governance Arrangement Agreement, by and</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262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r:id="rId65">
              <w:r>
                <w:rPr>
                  <w:rFonts w:ascii="Arial" w:cs="Arial" w:eastAsia="Arial" w:hAnsi="Arial"/>
                  <w:sz w:val="14"/>
                  <w:szCs w:val="14"/>
                  <w:color w:val="0000FF"/>
                </w:rPr>
                <w:t>among CenterPoint Energy, Inc., Elliott</w:t>
              </w:r>
            </w:hyperlink>
          </w:p>
        </w:tc>
        <w:tc>
          <w:tcPr>
            <w:tcW w:w="12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2260" w:type="dxa"/>
            <w:vAlign w:val="bottom"/>
            <w:tcBorders>
              <w:top w:val="single" w:sz="8" w:color="0000FF"/>
            </w:tcBorders>
            <w:gridSpan w:val="8"/>
          </w:tcPr>
          <w:p>
            <w:pPr>
              <w:spacing w:after="0" w:line="129" w:lineRule="exact"/>
              <w:rPr>
                <w:rFonts w:ascii="Arial" w:cs="Arial" w:eastAsia="Arial" w:hAnsi="Arial"/>
                <w:sz w:val="14"/>
                <w:szCs w:val="14"/>
                <w:color w:val="0000FF"/>
                <w:w w:val="88"/>
              </w:rPr>
            </w:pPr>
            <w:hyperlink r:id="rId65">
              <w:r>
                <w:rPr>
                  <w:rFonts w:ascii="Arial" w:cs="Arial" w:eastAsia="Arial" w:hAnsi="Arial"/>
                  <w:sz w:val="14"/>
                  <w:szCs w:val="14"/>
                  <w:color w:val="0000FF"/>
                  <w:w w:val="88"/>
                </w:rPr>
                <w:t>International, L.P., and Elliott Associates,</w:t>
              </w:r>
            </w:hyperlink>
          </w:p>
        </w:tc>
        <w:tc>
          <w:tcPr>
            <w:tcW w:w="640" w:type="dxa"/>
            <w:vAlign w:val="bottom"/>
            <w:gridSpan w:val="14"/>
          </w:tcPr>
          <w:p>
            <w:pPr>
              <w:ind w:left="160"/>
              <w:spacing w:after="0" w:line="129" w:lineRule="exact"/>
              <w:rPr>
                <w:rFonts w:ascii="Arial" w:cs="Arial" w:eastAsia="Arial" w:hAnsi="Arial"/>
                <w:sz w:val="14"/>
                <w:szCs w:val="14"/>
                <w:color w:val="0000FF"/>
              </w:rPr>
            </w:pPr>
            <w:hyperlink r:id="rId65">
              <w:r>
                <w:rPr>
                  <w:rFonts w:ascii="Arial" w:cs="Arial" w:eastAsia="Arial" w:hAnsi="Arial"/>
                  <w:sz w:val="14"/>
                  <w:szCs w:val="14"/>
                  <w:color w:val="0000FF"/>
                </w:rPr>
                <w:t>dated</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274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r:id="rId65">
              <w:r>
                <w:rPr>
                  <w:rFonts w:ascii="Arial" w:cs="Arial" w:eastAsia="Arial" w:hAnsi="Arial"/>
                  <w:sz w:val="14"/>
                  <w:szCs w:val="14"/>
                  <w:color w:val="0000FF"/>
                </w:rPr>
                <w:t>May 6, 2020</w:t>
              </w:r>
            </w:hyperlink>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tcPr>
          <w:p>
            <w:pPr>
              <w:jc w:val="center"/>
              <w:ind w:right="208"/>
              <w:spacing w:after="0"/>
              <w:rPr>
                <w:sz w:val="20"/>
                <w:szCs w:val="20"/>
                <w:color w:val="auto"/>
              </w:rPr>
            </w:pPr>
            <w:r>
              <w:rPr>
                <w:rFonts w:ascii="Arial" w:cs="Arial" w:eastAsia="Arial" w:hAnsi="Arial"/>
                <w:sz w:val="14"/>
                <w:szCs w:val="14"/>
                <w:color w:val="auto"/>
                <w:w w:val="93"/>
              </w:rPr>
              <w:t>+31.1.1</w:t>
            </w:r>
          </w:p>
        </w:tc>
        <w:tc>
          <w:tcPr>
            <w:tcW w:w="2900" w:type="dxa"/>
            <w:vAlign w:val="bottom"/>
            <w:gridSpan w:val="22"/>
          </w:tcPr>
          <w:p>
            <w:pPr>
              <w:spacing w:after="0"/>
              <w:rPr>
                <w:rFonts w:ascii="Arial" w:cs="Arial" w:eastAsia="Arial" w:hAnsi="Arial"/>
                <w:sz w:val="14"/>
                <w:szCs w:val="14"/>
                <w:color w:val="0000FF"/>
                <w:w w:val="98"/>
              </w:rPr>
            </w:pPr>
            <w:hyperlink w:anchor="page134">
              <w:r>
                <w:rPr>
                  <w:rFonts w:ascii="Arial" w:cs="Arial" w:eastAsia="Arial" w:hAnsi="Arial"/>
                  <w:sz w:val="14"/>
                  <w:szCs w:val="14"/>
                  <w:color w:val="0000FF"/>
                  <w:w w:val="98"/>
                </w:rPr>
                <w:t>Rule 13a-14(a)/15d-14(a) Certification of David</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44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4"/>
              </w:rPr>
            </w:pPr>
            <w:hyperlink w:anchor="page134">
              <w:r>
                <w:rPr>
                  <w:rFonts w:ascii="Arial" w:cs="Arial" w:eastAsia="Arial" w:hAnsi="Arial"/>
                  <w:sz w:val="14"/>
                  <w:szCs w:val="14"/>
                  <w:color w:val="0000FF"/>
                  <w:w w:val="84"/>
                </w:rPr>
                <w:t>J. Lesar</w:t>
              </w:r>
            </w:hyperlink>
          </w:p>
        </w:tc>
        <w:tc>
          <w:tcPr>
            <w:tcW w:w="2380" w:type="dxa"/>
            <w:vAlign w:val="bottom"/>
            <w:tcBorders>
              <w:top w:val="single" w:sz="8" w:color="0000FF"/>
            </w:tcBorders>
            <w:gridSpan w:val="17"/>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20" w:type="dxa"/>
            <w:vAlign w:val="bottom"/>
          </w:tcPr>
          <w:p>
            <w:pPr>
              <w:jc w:val="center"/>
              <w:ind w:right="208"/>
              <w:spacing w:after="0"/>
              <w:rPr>
                <w:sz w:val="20"/>
                <w:szCs w:val="20"/>
                <w:color w:val="auto"/>
              </w:rPr>
            </w:pPr>
            <w:r>
              <w:rPr>
                <w:rFonts w:ascii="Arial" w:cs="Arial" w:eastAsia="Arial" w:hAnsi="Arial"/>
                <w:sz w:val="14"/>
                <w:szCs w:val="14"/>
                <w:color w:val="auto"/>
                <w:w w:val="93"/>
              </w:rPr>
              <w:t>+31.1.2</w:t>
            </w:r>
          </w:p>
        </w:tc>
        <w:tc>
          <w:tcPr>
            <w:tcW w:w="2900" w:type="dxa"/>
            <w:vAlign w:val="bottom"/>
            <w:gridSpan w:val="22"/>
          </w:tcPr>
          <w:p>
            <w:pPr>
              <w:spacing w:after="0"/>
              <w:rPr>
                <w:rFonts w:ascii="Arial" w:cs="Arial" w:eastAsia="Arial" w:hAnsi="Arial"/>
                <w:sz w:val="14"/>
                <w:szCs w:val="14"/>
                <w:color w:val="0000FF"/>
                <w:w w:val="98"/>
              </w:rPr>
            </w:pPr>
            <w:hyperlink w:anchor="page135">
              <w:r>
                <w:rPr>
                  <w:rFonts w:ascii="Arial" w:cs="Arial" w:eastAsia="Arial" w:hAnsi="Arial"/>
                  <w:sz w:val="14"/>
                  <w:szCs w:val="14"/>
                  <w:color w:val="0000FF"/>
                  <w:w w:val="98"/>
                </w:rPr>
                <w:t>Rule 13a-14(a)/15d-14(a) Certification of David</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44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4"/>
              </w:rPr>
            </w:pPr>
            <w:hyperlink w:anchor="page135">
              <w:r>
                <w:rPr>
                  <w:rFonts w:ascii="Arial" w:cs="Arial" w:eastAsia="Arial" w:hAnsi="Arial"/>
                  <w:sz w:val="14"/>
                  <w:szCs w:val="14"/>
                  <w:color w:val="0000FF"/>
                  <w:w w:val="84"/>
                </w:rPr>
                <w:t>J. Lesar</w:t>
              </w:r>
            </w:hyperlink>
          </w:p>
        </w:tc>
        <w:tc>
          <w:tcPr>
            <w:tcW w:w="2380" w:type="dxa"/>
            <w:vAlign w:val="bottom"/>
            <w:tcBorders>
              <w:top w:val="single" w:sz="8" w:color="0000FF"/>
            </w:tcBorders>
            <w:gridSpan w:val="17"/>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20" w:type="dxa"/>
            <w:vAlign w:val="bottom"/>
          </w:tcPr>
          <w:p>
            <w:pPr>
              <w:jc w:val="center"/>
              <w:ind w:right="208"/>
              <w:spacing w:after="0"/>
              <w:rPr>
                <w:sz w:val="20"/>
                <w:szCs w:val="20"/>
                <w:color w:val="auto"/>
              </w:rPr>
            </w:pPr>
            <w:r>
              <w:rPr>
                <w:rFonts w:ascii="Arial" w:cs="Arial" w:eastAsia="Arial" w:hAnsi="Arial"/>
                <w:sz w:val="14"/>
                <w:szCs w:val="14"/>
                <w:color w:val="auto"/>
                <w:w w:val="93"/>
              </w:rPr>
              <w:t>+31.1.3</w:t>
            </w:r>
          </w:p>
        </w:tc>
        <w:tc>
          <w:tcPr>
            <w:tcW w:w="2900" w:type="dxa"/>
            <w:vAlign w:val="bottom"/>
            <w:gridSpan w:val="22"/>
          </w:tcPr>
          <w:p>
            <w:pPr>
              <w:spacing w:after="0"/>
              <w:rPr>
                <w:rFonts w:ascii="Arial" w:cs="Arial" w:eastAsia="Arial" w:hAnsi="Arial"/>
                <w:sz w:val="14"/>
                <w:szCs w:val="14"/>
                <w:color w:val="0000FF"/>
                <w:w w:val="98"/>
              </w:rPr>
            </w:pPr>
            <w:hyperlink w:anchor="page136">
              <w:r>
                <w:rPr>
                  <w:rFonts w:ascii="Arial" w:cs="Arial" w:eastAsia="Arial" w:hAnsi="Arial"/>
                  <w:sz w:val="14"/>
                  <w:szCs w:val="14"/>
                  <w:color w:val="0000FF"/>
                  <w:w w:val="98"/>
                </w:rPr>
                <w:t>Rule 13a-14(a)/15d-14(a) Certification of David</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44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4"/>
              </w:rPr>
            </w:pPr>
            <w:hyperlink w:anchor="page136">
              <w:r>
                <w:rPr>
                  <w:rFonts w:ascii="Arial" w:cs="Arial" w:eastAsia="Arial" w:hAnsi="Arial"/>
                  <w:sz w:val="14"/>
                  <w:szCs w:val="14"/>
                  <w:color w:val="0000FF"/>
                  <w:w w:val="84"/>
                </w:rPr>
                <w:t>J. Lesar</w:t>
              </w:r>
            </w:hyperlink>
          </w:p>
        </w:tc>
        <w:tc>
          <w:tcPr>
            <w:tcW w:w="2380" w:type="dxa"/>
            <w:vAlign w:val="bottom"/>
            <w:tcBorders>
              <w:top w:val="single" w:sz="8" w:color="0000FF"/>
            </w:tcBorders>
            <w:gridSpan w:val="17"/>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20" w:type="dxa"/>
            <w:vAlign w:val="bottom"/>
          </w:tcPr>
          <w:p>
            <w:pPr>
              <w:jc w:val="center"/>
              <w:ind w:right="208"/>
              <w:spacing w:after="0"/>
              <w:rPr>
                <w:sz w:val="20"/>
                <w:szCs w:val="20"/>
                <w:color w:val="auto"/>
              </w:rPr>
            </w:pPr>
            <w:r>
              <w:rPr>
                <w:rFonts w:ascii="Arial" w:cs="Arial" w:eastAsia="Arial" w:hAnsi="Arial"/>
                <w:sz w:val="14"/>
                <w:szCs w:val="14"/>
                <w:color w:val="auto"/>
                <w:w w:val="93"/>
              </w:rPr>
              <w:t>+31.2.1</w:t>
            </w:r>
          </w:p>
        </w:tc>
        <w:tc>
          <w:tcPr>
            <w:tcW w:w="2900" w:type="dxa"/>
            <w:vAlign w:val="bottom"/>
            <w:gridSpan w:val="22"/>
          </w:tcPr>
          <w:p>
            <w:pPr>
              <w:spacing w:after="0"/>
              <w:rPr>
                <w:rFonts w:ascii="Arial" w:cs="Arial" w:eastAsia="Arial" w:hAnsi="Arial"/>
                <w:sz w:val="14"/>
                <w:szCs w:val="14"/>
                <w:color w:val="0000FF"/>
                <w:w w:val="97"/>
              </w:rPr>
            </w:pPr>
            <w:hyperlink w:anchor="page137">
              <w:r>
                <w:rPr>
                  <w:rFonts w:ascii="Arial" w:cs="Arial" w:eastAsia="Arial" w:hAnsi="Arial"/>
                  <w:sz w:val="14"/>
                  <w:szCs w:val="14"/>
                  <w:color w:val="0000FF"/>
                  <w:w w:val="97"/>
                </w:rPr>
                <w:t>Rule 13a-14(a)/15d-14(a) Certification of Kristie</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2840" w:type="dxa"/>
            <w:vAlign w:val="bottom"/>
            <w:tcBorders>
              <w:top w:val="single" w:sz="8" w:color="0000FF"/>
            </w:tcBorders>
            <w:gridSpan w:val="19"/>
          </w:tcPr>
          <w:p>
            <w:pPr>
              <w:spacing w:after="0" w:line="129" w:lineRule="exact"/>
              <w:rPr>
                <w:rFonts w:ascii="Arial" w:cs="Arial" w:eastAsia="Arial" w:hAnsi="Arial"/>
                <w:sz w:val="14"/>
                <w:szCs w:val="14"/>
                <w:color w:val="0000FF"/>
              </w:rPr>
            </w:pPr>
            <w:hyperlink w:anchor="page137">
              <w:r>
                <w:rPr>
                  <w:rFonts w:ascii="Arial" w:cs="Arial" w:eastAsia="Arial" w:hAnsi="Arial"/>
                  <w:sz w:val="14"/>
                  <w:szCs w:val="14"/>
                  <w:color w:val="0000FF"/>
                </w:rPr>
                <w:t>L. Colvin</w:t>
              </w:r>
            </w:hyperlink>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380" w:type="dxa"/>
            <w:vAlign w:val="bottom"/>
            <w:tcBorders>
              <w:left w:val="single" w:sz="8" w:color="0000FF"/>
            </w:tcBorders>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tcPr>
          <w:p>
            <w:pPr>
              <w:jc w:val="center"/>
              <w:ind w:right="208"/>
              <w:spacing w:after="0"/>
              <w:rPr>
                <w:sz w:val="20"/>
                <w:szCs w:val="20"/>
                <w:color w:val="auto"/>
              </w:rPr>
            </w:pPr>
            <w:r>
              <w:rPr>
                <w:rFonts w:ascii="Arial" w:cs="Arial" w:eastAsia="Arial" w:hAnsi="Arial"/>
                <w:sz w:val="14"/>
                <w:szCs w:val="14"/>
                <w:color w:val="auto"/>
                <w:w w:val="93"/>
              </w:rPr>
              <w:t>+31.2.2</w:t>
            </w:r>
          </w:p>
        </w:tc>
        <w:tc>
          <w:tcPr>
            <w:tcW w:w="2900" w:type="dxa"/>
            <w:vAlign w:val="bottom"/>
            <w:gridSpan w:val="22"/>
          </w:tcPr>
          <w:p>
            <w:pPr>
              <w:spacing w:after="0"/>
              <w:rPr>
                <w:rFonts w:ascii="Arial" w:cs="Arial" w:eastAsia="Arial" w:hAnsi="Arial"/>
                <w:sz w:val="14"/>
                <w:szCs w:val="14"/>
                <w:color w:val="0000FF"/>
                <w:w w:val="97"/>
              </w:rPr>
            </w:pPr>
            <w:hyperlink w:anchor="page138">
              <w:r>
                <w:rPr>
                  <w:rFonts w:ascii="Arial" w:cs="Arial" w:eastAsia="Arial" w:hAnsi="Arial"/>
                  <w:sz w:val="14"/>
                  <w:szCs w:val="14"/>
                  <w:color w:val="0000FF"/>
                  <w:w w:val="97"/>
                </w:rPr>
                <w:t>Rule 13a-14(a)/15d-14(a) Certification of Kristie</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2840" w:type="dxa"/>
            <w:vAlign w:val="bottom"/>
            <w:tcBorders>
              <w:top w:val="single" w:sz="8" w:color="0000FF"/>
            </w:tcBorders>
            <w:gridSpan w:val="19"/>
          </w:tcPr>
          <w:p>
            <w:pPr>
              <w:spacing w:after="0" w:line="129" w:lineRule="exact"/>
              <w:rPr>
                <w:rFonts w:ascii="Arial" w:cs="Arial" w:eastAsia="Arial" w:hAnsi="Arial"/>
                <w:sz w:val="14"/>
                <w:szCs w:val="14"/>
                <w:color w:val="0000FF"/>
              </w:rPr>
            </w:pPr>
            <w:hyperlink w:anchor="page138">
              <w:r>
                <w:rPr>
                  <w:rFonts w:ascii="Arial" w:cs="Arial" w:eastAsia="Arial" w:hAnsi="Arial"/>
                  <w:sz w:val="14"/>
                  <w:szCs w:val="14"/>
                  <w:color w:val="0000FF"/>
                </w:rPr>
                <w:t>L. Colvin</w:t>
              </w:r>
            </w:hyperlink>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5720"/>
        <w:spacing w:after="0"/>
        <w:rPr>
          <w:sz w:val="20"/>
          <w:szCs w:val="20"/>
          <w:color w:val="auto"/>
        </w:rPr>
      </w:pPr>
      <w:r>
        <w:rPr>
          <w:rFonts w:ascii="Arial" w:cs="Arial" w:eastAsia="Arial" w:hAnsi="Arial"/>
          <w:sz w:val="14"/>
          <w:szCs w:val="14"/>
          <w:color w:val="auto"/>
        </w:rPr>
        <w:t>x</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20"/>
                <w:szCs w:val="20"/>
                <w:color w:val="auto"/>
              </w:rPr>
            </w:pPr>
            <w:r>
              <w:rPr>
                <w:rFonts w:ascii="Arial" w:cs="Arial" w:eastAsia="Arial" w:hAnsi="Arial"/>
                <w:sz w:val="14"/>
                <w:szCs w:val="14"/>
                <w:color w:val="auto"/>
              </w:rPr>
              <w:t>CenterPoint Energy’s</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1-31447</w:t>
            </w:r>
          </w:p>
        </w:tc>
        <w:tc>
          <w:tcPr>
            <w:tcW w:w="1220" w:type="dxa"/>
            <w:vAlign w:val="bottom"/>
          </w:tcPr>
          <w:p>
            <w:pPr>
              <w:jc w:val="center"/>
              <w:ind w:right="28"/>
              <w:spacing w:after="0"/>
              <w:rPr>
                <w:sz w:val="20"/>
                <w:szCs w:val="20"/>
                <w:color w:val="auto"/>
              </w:rPr>
            </w:pPr>
            <w:r>
              <w:rPr>
                <w:rFonts w:ascii="Arial" w:cs="Arial" w:eastAsia="Arial" w:hAnsi="Arial"/>
                <w:sz w:val="14"/>
                <w:szCs w:val="14"/>
                <w:color w:val="auto"/>
                <w:w w:val="96"/>
              </w:rPr>
              <w:t>10(n)(2)</w:t>
            </w:r>
          </w:p>
        </w:tc>
        <w:tc>
          <w:tcPr>
            <w:tcW w:w="480" w:type="dxa"/>
            <w:vAlign w:val="bottom"/>
          </w:tcPr>
          <w:p>
            <w:pPr>
              <w:ind w:left="400"/>
              <w:spacing w:after="0"/>
              <w:rPr>
                <w:sz w:val="20"/>
                <w:szCs w:val="20"/>
                <w:color w:val="auto"/>
              </w:rPr>
            </w:pPr>
            <w:r>
              <w:rPr>
                <w:rFonts w:ascii="Arial" w:cs="Arial" w:eastAsia="Arial" w:hAnsi="Arial"/>
                <w:sz w:val="14"/>
                <w:szCs w:val="14"/>
                <w:color w:val="auto"/>
                <w:w w:val="85"/>
              </w:rPr>
              <w:t>x</w:t>
            </w:r>
          </w:p>
        </w:tc>
      </w:tr>
      <w:tr>
        <w:trPr>
          <w:trHeight w:val="148"/>
        </w:trPr>
        <w:tc>
          <w:tcPr>
            <w:tcW w:w="1840" w:type="dxa"/>
            <w:vAlign w:val="bottom"/>
          </w:tcPr>
          <w:p>
            <w:pPr>
              <w:spacing w:after="0" w:line="149" w:lineRule="exact"/>
              <w:rPr>
                <w:sz w:val="20"/>
                <w:szCs w:val="20"/>
                <w:color w:val="auto"/>
              </w:rPr>
            </w:pPr>
            <w:r>
              <w:rPr>
                <w:rFonts w:ascii="Arial" w:cs="Arial" w:eastAsia="Arial" w:hAnsi="Arial"/>
                <w:sz w:val="14"/>
                <w:szCs w:val="14"/>
                <w:color w:val="auto"/>
              </w:rPr>
              <w:t>Form 10-K for the year</w:t>
            </w: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82"/>
        </w:trPr>
        <w:tc>
          <w:tcPr>
            <w:tcW w:w="1840" w:type="dxa"/>
            <w:vAlign w:val="bottom"/>
          </w:tcPr>
          <w:p>
            <w:pPr>
              <w:spacing w:after="0"/>
              <w:rPr>
                <w:sz w:val="20"/>
                <w:szCs w:val="20"/>
                <w:color w:val="auto"/>
              </w:rPr>
            </w:pPr>
            <w:r>
              <w:rPr>
                <w:rFonts w:ascii="Arial" w:cs="Arial" w:eastAsia="Arial" w:hAnsi="Arial"/>
                <w:sz w:val="14"/>
                <w:szCs w:val="14"/>
                <w:color w:val="auto"/>
              </w:rPr>
              <w:t>ended December 31, 2019</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69"/>
        </w:trPr>
        <w:tc>
          <w:tcPr>
            <w:tcW w:w="1840" w:type="dxa"/>
            <w:vAlign w:val="bottom"/>
          </w:tcPr>
          <w:p>
            <w:pPr>
              <w:spacing w:after="0"/>
              <w:rPr>
                <w:sz w:val="20"/>
                <w:szCs w:val="20"/>
                <w:color w:val="auto"/>
              </w:rPr>
            </w:pPr>
            <w:r>
              <w:rPr>
                <w:rFonts w:ascii="Arial" w:cs="Arial" w:eastAsia="Arial" w:hAnsi="Arial"/>
                <w:sz w:val="14"/>
                <w:szCs w:val="14"/>
                <w:color w:val="auto"/>
              </w:rPr>
              <w:t>CenterPoint Energy’s Form</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1-31447</w:t>
            </w:r>
          </w:p>
        </w:tc>
        <w:tc>
          <w:tcPr>
            <w:tcW w:w="1220" w:type="dxa"/>
            <w:vAlign w:val="bottom"/>
          </w:tcPr>
          <w:p>
            <w:pPr>
              <w:jc w:val="center"/>
              <w:ind w:right="48"/>
              <w:spacing w:after="0"/>
              <w:rPr>
                <w:sz w:val="20"/>
                <w:szCs w:val="20"/>
                <w:color w:val="auto"/>
              </w:rPr>
            </w:pPr>
            <w:r>
              <w:rPr>
                <w:rFonts w:ascii="Arial" w:cs="Arial" w:eastAsia="Arial" w:hAnsi="Arial"/>
                <w:sz w:val="14"/>
                <w:szCs w:val="14"/>
                <w:color w:val="auto"/>
                <w:w w:val="95"/>
              </w:rPr>
              <w:t>10.1</w:t>
            </w:r>
          </w:p>
        </w:tc>
        <w:tc>
          <w:tcPr>
            <w:tcW w:w="480" w:type="dxa"/>
            <w:vAlign w:val="bottom"/>
          </w:tcPr>
          <w:p>
            <w:pPr>
              <w:ind w:left="400"/>
              <w:spacing w:after="0"/>
              <w:rPr>
                <w:sz w:val="20"/>
                <w:szCs w:val="20"/>
                <w:color w:val="auto"/>
              </w:rPr>
            </w:pPr>
            <w:r>
              <w:rPr>
                <w:rFonts w:ascii="Arial" w:cs="Arial" w:eastAsia="Arial" w:hAnsi="Arial"/>
                <w:sz w:val="14"/>
                <w:szCs w:val="14"/>
                <w:color w:val="auto"/>
                <w:w w:val="85"/>
              </w:rPr>
              <w:t>x</w:t>
            </w:r>
          </w:p>
        </w:tc>
      </w:tr>
      <w:tr>
        <w:trPr>
          <w:trHeight w:val="148"/>
        </w:trPr>
        <w:tc>
          <w:tcPr>
            <w:tcW w:w="1840" w:type="dxa"/>
            <w:vAlign w:val="bottom"/>
          </w:tcPr>
          <w:p>
            <w:pPr>
              <w:spacing w:after="0" w:line="149" w:lineRule="exact"/>
              <w:rPr>
                <w:sz w:val="20"/>
                <w:szCs w:val="20"/>
                <w:color w:val="auto"/>
              </w:rPr>
            </w:pPr>
            <w:r>
              <w:rPr>
                <w:rFonts w:ascii="Arial" w:cs="Arial" w:eastAsia="Arial" w:hAnsi="Arial"/>
                <w:sz w:val="14"/>
                <w:szCs w:val="14"/>
                <w:color w:val="auto"/>
              </w:rPr>
              <w:t>8-K/A dated March 30,</w:t>
            </w: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82"/>
        </w:trPr>
        <w:tc>
          <w:tcPr>
            <w:tcW w:w="1840" w:type="dxa"/>
            <w:vAlign w:val="bottom"/>
          </w:tcPr>
          <w:p>
            <w:pPr>
              <w:spacing w:after="0"/>
              <w:rPr>
                <w:sz w:val="20"/>
                <w:szCs w:val="20"/>
                <w:color w:val="auto"/>
              </w:rPr>
            </w:pPr>
            <w:r>
              <w:rPr>
                <w:rFonts w:ascii="Arial" w:cs="Arial" w:eastAsia="Arial" w:hAnsi="Arial"/>
                <w:sz w:val="14"/>
                <w:szCs w:val="14"/>
                <w:color w:val="auto"/>
              </w:rPr>
              <w:t>2020</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69"/>
        </w:trPr>
        <w:tc>
          <w:tcPr>
            <w:tcW w:w="1840" w:type="dxa"/>
            <w:vAlign w:val="bottom"/>
          </w:tcPr>
          <w:p>
            <w:pPr>
              <w:spacing w:after="0"/>
              <w:rPr>
                <w:sz w:val="20"/>
                <w:szCs w:val="20"/>
                <w:color w:val="auto"/>
              </w:rPr>
            </w:pPr>
            <w:r>
              <w:rPr>
                <w:rFonts w:ascii="Arial" w:cs="Arial" w:eastAsia="Arial" w:hAnsi="Arial"/>
                <w:sz w:val="14"/>
                <w:szCs w:val="14"/>
                <w:color w:val="auto"/>
              </w:rPr>
              <w:t>CenterPoint Energy’s Form</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1-31447</w:t>
            </w:r>
          </w:p>
        </w:tc>
        <w:tc>
          <w:tcPr>
            <w:tcW w:w="1220" w:type="dxa"/>
            <w:vAlign w:val="bottom"/>
          </w:tcPr>
          <w:p>
            <w:pPr>
              <w:jc w:val="center"/>
              <w:ind w:right="48"/>
              <w:spacing w:after="0"/>
              <w:rPr>
                <w:sz w:val="20"/>
                <w:szCs w:val="20"/>
                <w:color w:val="auto"/>
              </w:rPr>
            </w:pPr>
            <w:r>
              <w:rPr>
                <w:rFonts w:ascii="Arial" w:cs="Arial" w:eastAsia="Arial" w:hAnsi="Arial"/>
                <w:sz w:val="14"/>
                <w:szCs w:val="14"/>
                <w:color w:val="auto"/>
                <w:w w:val="95"/>
              </w:rPr>
              <w:t>10.2</w:t>
            </w:r>
          </w:p>
        </w:tc>
        <w:tc>
          <w:tcPr>
            <w:tcW w:w="480" w:type="dxa"/>
            <w:vAlign w:val="bottom"/>
          </w:tcPr>
          <w:p>
            <w:pPr>
              <w:ind w:left="400"/>
              <w:spacing w:after="0"/>
              <w:rPr>
                <w:sz w:val="20"/>
                <w:szCs w:val="20"/>
                <w:color w:val="auto"/>
              </w:rPr>
            </w:pPr>
            <w:r>
              <w:rPr>
                <w:rFonts w:ascii="Arial" w:cs="Arial" w:eastAsia="Arial" w:hAnsi="Arial"/>
                <w:sz w:val="14"/>
                <w:szCs w:val="14"/>
                <w:color w:val="auto"/>
                <w:w w:val="85"/>
              </w:rPr>
              <w:t>x</w:t>
            </w:r>
          </w:p>
        </w:tc>
      </w:tr>
      <w:tr>
        <w:trPr>
          <w:trHeight w:val="148"/>
        </w:trPr>
        <w:tc>
          <w:tcPr>
            <w:tcW w:w="1840" w:type="dxa"/>
            <w:vAlign w:val="bottom"/>
          </w:tcPr>
          <w:p>
            <w:pPr>
              <w:spacing w:after="0" w:line="149" w:lineRule="exact"/>
              <w:rPr>
                <w:sz w:val="20"/>
                <w:szCs w:val="20"/>
                <w:color w:val="auto"/>
              </w:rPr>
            </w:pPr>
            <w:r>
              <w:rPr>
                <w:rFonts w:ascii="Arial" w:cs="Arial" w:eastAsia="Arial" w:hAnsi="Arial"/>
                <w:sz w:val="14"/>
                <w:szCs w:val="14"/>
                <w:color w:val="auto"/>
              </w:rPr>
              <w:t>8-K/A dated March 30,</w:t>
            </w: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82"/>
        </w:trPr>
        <w:tc>
          <w:tcPr>
            <w:tcW w:w="1840" w:type="dxa"/>
            <w:vAlign w:val="bottom"/>
          </w:tcPr>
          <w:p>
            <w:pPr>
              <w:spacing w:after="0"/>
              <w:rPr>
                <w:sz w:val="20"/>
                <w:szCs w:val="20"/>
                <w:color w:val="auto"/>
              </w:rPr>
            </w:pPr>
            <w:r>
              <w:rPr>
                <w:rFonts w:ascii="Arial" w:cs="Arial" w:eastAsia="Arial" w:hAnsi="Arial"/>
                <w:sz w:val="14"/>
                <w:szCs w:val="14"/>
                <w:color w:val="auto"/>
              </w:rPr>
              <w:t>2020</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69"/>
        </w:trPr>
        <w:tc>
          <w:tcPr>
            <w:tcW w:w="1840" w:type="dxa"/>
            <w:vAlign w:val="bottom"/>
          </w:tcPr>
          <w:p>
            <w:pPr>
              <w:spacing w:after="0"/>
              <w:rPr>
                <w:sz w:val="20"/>
                <w:szCs w:val="20"/>
                <w:color w:val="auto"/>
              </w:rPr>
            </w:pPr>
            <w:r>
              <w:rPr>
                <w:rFonts w:ascii="Arial" w:cs="Arial" w:eastAsia="Arial" w:hAnsi="Arial"/>
                <w:sz w:val="14"/>
                <w:szCs w:val="14"/>
                <w:color w:val="auto"/>
              </w:rPr>
              <w:t>Form 8-K of CenterPoint</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1-31447</w:t>
            </w:r>
          </w:p>
        </w:tc>
        <w:tc>
          <w:tcPr>
            <w:tcW w:w="1220" w:type="dxa"/>
            <w:vAlign w:val="bottom"/>
          </w:tcPr>
          <w:p>
            <w:pPr>
              <w:jc w:val="center"/>
              <w:ind w:right="48"/>
              <w:spacing w:after="0"/>
              <w:rPr>
                <w:sz w:val="20"/>
                <w:szCs w:val="20"/>
                <w:color w:val="auto"/>
              </w:rPr>
            </w:pPr>
            <w:r>
              <w:rPr>
                <w:rFonts w:ascii="Arial" w:cs="Arial" w:eastAsia="Arial" w:hAnsi="Arial"/>
                <w:sz w:val="14"/>
                <w:szCs w:val="14"/>
                <w:color w:val="auto"/>
                <w:w w:val="95"/>
              </w:rPr>
              <w:t>10.1</w:t>
            </w:r>
          </w:p>
        </w:tc>
        <w:tc>
          <w:tcPr>
            <w:tcW w:w="480" w:type="dxa"/>
            <w:vAlign w:val="bottom"/>
          </w:tcPr>
          <w:p>
            <w:pPr>
              <w:ind w:left="400"/>
              <w:spacing w:after="0"/>
              <w:rPr>
                <w:sz w:val="20"/>
                <w:szCs w:val="20"/>
                <w:color w:val="auto"/>
              </w:rPr>
            </w:pPr>
            <w:r>
              <w:rPr>
                <w:rFonts w:ascii="Arial" w:cs="Arial" w:eastAsia="Arial" w:hAnsi="Arial"/>
                <w:sz w:val="14"/>
                <w:szCs w:val="14"/>
                <w:color w:val="auto"/>
                <w:w w:val="85"/>
              </w:rPr>
              <w:t>x</w:t>
            </w:r>
          </w:p>
        </w:tc>
      </w:tr>
      <w:tr>
        <w:trPr>
          <w:trHeight w:val="148"/>
        </w:trPr>
        <w:tc>
          <w:tcPr>
            <w:tcW w:w="1840" w:type="dxa"/>
            <w:vAlign w:val="bottom"/>
          </w:tcPr>
          <w:p>
            <w:pPr>
              <w:spacing w:after="0" w:line="149" w:lineRule="exact"/>
              <w:rPr>
                <w:sz w:val="20"/>
                <w:szCs w:val="20"/>
                <w:color w:val="auto"/>
              </w:rPr>
            </w:pPr>
            <w:r>
              <w:rPr>
                <w:rFonts w:ascii="Arial" w:cs="Arial" w:eastAsia="Arial" w:hAnsi="Arial"/>
                <w:sz w:val="14"/>
                <w:szCs w:val="14"/>
                <w:color w:val="auto"/>
              </w:rPr>
              <w:t>Energy, Inc. dated June 30,</w:t>
            </w: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82"/>
        </w:trPr>
        <w:tc>
          <w:tcPr>
            <w:tcW w:w="1840" w:type="dxa"/>
            <w:vAlign w:val="bottom"/>
          </w:tcPr>
          <w:p>
            <w:pPr>
              <w:spacing w:after="0"/>
              <w:rPr>
                <w:sz w:val="20"/>
                <w:szCs w:val="20"/>
                <w:color w:val="auto"/>
              </w:rPr>
            </w:pPr>
            <w:r>
              <w:rPr>
                <w:rFonts w:ascii="Arial" w:cs="Arial" w:eastAsia="Arial" w:hAnsi="Arial"/>
                <w:sz w:val="14"/>
                <w:szCs w:val="14"/>
                <w:color w:val="auto"/>
              </w:rPr>
              <w:t>2020</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17"/>
        </w:trPr>
        <w:tc>
          <w:tcPr>
            <w:tcW w:w="1840" w:type="dxa"/>
            <w:vAlign w:val="bottom"/>
          </w:tcPr>
          <w:p>
            <w:pPr>
              <w:spacing w:after="0"/>
              <w:rPr>
                <w:sz w:val="20"/>
                <w:szCs w:val="20"/>
                <w:color w:val="auto"/>
              </w:rPr>
            </w:pPr>
            <w:r>
              <w:rPr>
                <w:rFonts w:ascii="Arial" w:cs="Arial" w:eastAsia="Arial" w:hAnsi="Arial"/>
                <w:sz w:val="14"/>
                <w:szCs w:val="14"/>
                <w:color w:val="auto"/>
              </w:rPr>
              <w:t>Form 8-K of CenterPoint</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1-31447</w:t>
            </w:r>
          </w:p>
        </w:tc>
        <w:tc>
          <w:tcPr>
            <w:tcW w:w="1220" w:type="dxa"/>
            <w:vAlign w:val="bottom"/>
          </w:tcPr>
          <w:p>
            <w:pPr>
              <w:jc w:val="center"/>
              <w:ind w:right="48"/>
              <w:spacing w:after="0"/>
              <w:rPr>
                <w:sz w:val="20"/>
                <w:szCs w:val="20"/>
                <w:color w:val="auto"/>
              </w:rPr>
            </w:pPr>
            <w:r>
              <w:rPr>
                <w:rFonts w:ascii="Arial" w:cs="Arial" w:eastAsia="Arial" w:hAnsi="Arial"/>
                <w:sz w:val="14"/>
                <w:szCs w:val="14"/>
                <w:color w:val="auto"/>
                <w:w w:val="95"/>
              </w:rPr>
              <w:t>10.2</w:t>
            </w:r>
          </w:p>
        </w:tc>
        <w:tc>
          <w:tcPr>
            <w:tcW w:w="480" w:type="dxa"/>
            <w:vAlign w:val="bottom"/>
          </w:tcPr>
          <w:p>
            <w:pPr>
              <w:ind w:left="400"/>
              <w:spacing w:after="0"/>
              <w:rPr>
                <w:sz w:val="20"/>
                <w:szCs w:val="20"/>
                <w:color w:val="auto"/>
              </w:rPr>
            </w:pPr>
            <w:r>
              <w:rPr>
                <w:rFonts w:ascii="Arial" w:cs="Arial" w:eastAsia="Arial" w:hAnsi="Arial"/>
                <w:sz w:val="14"/>
                <w:szCs w:val="14"/>
                <w:color w:val="auto"/>
                <w:w w:val="85"/>
              </w:rPr>
              <w:t>x</w:t>
            </w:r>
          </w:p>
        </w:tc>
      </w:tr>
      <w:tr>
        <w:trPr>
          <w:trHeight w:val="148"/>
        </w:trPr>
        <w:tc>
          <w:tcPr>
            <w:tcW w:w="1840" w:type="dxa"/>
            <w:vAlign w:val="bottom"/>
          </w:tcPr>
          <w:p>
            <w:pPr>
              <w:spacing w:after="0" w:line="149" w:lineRule="exact"/>
              <w:rPr>
                <w:sz w:val="20"/>
                <w:szCs w:val="20"/>
                <w:color w:val="auto"/>
              </w:rPr>
            </w:pPr>
            <w:r>
              <w:rPr>
                <w:rFonts w:ascii="Arial" w:cs="Arial" w:eastAsia="Arial" w:hAnsi="Arial"/>
                <w:sz w:val="14"/>
                <w:szCs w:val="14"/>
                <w:color w:val="auto"/>
              </w:rPr>
              <w:t>Energy, Inc. dated June 30,</w:t>
            </w: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82"/>
        </w:trPr>
        <w:tc>
          <w:tcPr>
            <w:tcW w:w="1840" w:type="dxa"/>
            <w:vAlign w:val="bottom"/>
          </w:tcPr>
          <w:p>
            <w:pPr>
              <w:spacing w:after="0"/>
              <w:rPr>
                <w:sz w:val="20"/>
                <w:szCs w:val="20"/>
                <w:color w:val="auto"/>
              </w:rPr>
            </w:pPr>
            <w:r>
              <w:rPr>
                <w:rFonts w:ascii="Arial" w:cs="Arial" w:eastAsia="Arial" w:hAnsi="Arial"/>
                <w:sz w:val="14"/>
                <w:szCs w:val="14"/>
                <w:color w:val="auto"/>
              </w:rPr>
              <w:t>2020</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31"/>
        </w:trPr>
        <w:tc>
          <w:tcPr>
            <w:tcW w:w="1840" w:type="dxa"/>
            <w:vAlign w:val="bottom"/>
          </w:tcPr>
          <w:p>
            <w:pPr>
              <w:spacing w:after="0"/>
              <w:rPr>
                <w:sz w:val="20"/>
                <w:szCs w:val="20"/>
                <w:color w:val="auto"/>
              </w:rPr>
            </w:pPr>
            <w:r>
              <w:rPr>
                <w:rFonts w:ascii="Arial" w:cs="Arial" w:eastAsia="Arial" w:hAnsi="Arial"/>
                <w:sz w:val="14"/>
                <w:szCs w:val="14"/>
                <w:color w:val="auto"/>
              </w:rPr>
              <w:t>Form 8-K of CenterPoint</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1-31447</w:t>
            </w:r>
          </w:p>
        </w:tc>
        <w:tc>
          <w:tcPr>
            <w:tcW w:w="1220" w:type="dxa"/>
            <w:vAlign w:val="bottom"/>
          </w:tcPr>
          <w:p>
            <w:pPr>
              <w:jc w:val="center"/>
              <w:ind w:right="48"/>
              <w:spacing w:after="0"/>
              <w:rPr>
                <w:sz w:val="20"/>
                <w:szCs w:val="20"/>
                <w:color w:val="auto"/>
              </w:rPr>
            </w:pPr>
            <w:r>
              <w:rPr>
                <w:rFonts w:ascii="Arial" w:cs="Arial" w:eastAsia="Arial" w:hAnsi="Arial"/>
                <w:sz w:val="14"/>
                <w:szCs w:val="14"/>
                <w:color w:val="auto"/>
                <w:w w:val="95"/>
              </w:rPr>
              <w:t>10.3</w:t>
            </w:r>
          </w:p>
        </w:tc>
        <w:tc>
          <w:tcPr>
            <w:tcW w:w="480" w:type="dxa"/>
            <w:vAlign w:val="bottom"/>
          </w:tcPr>
          <w:p>
            <w:pPr>
              <w:ind w:left="400"/>
              <w:spacing w:after="0"/>
              <w:rPr>
                <w:sz w:val="20"/>
                <w:szCs w:val="20"/>
                <w:color w:val="auto"/>
              </w:rPr>
            </w:pPr>
            <w:r>
              <w:rPr>
                <w:rFonts w:ascii="Arial" w:cs="Arial" w:eastAsia="Arial" w:hAnsi="Arial"/>
                <w:sz w:val="14"/>
                <w:szCs w:val="14"/>
                <w:color w:val="auto"/>
                <w:w w:val="85"/>
              </w:rPr>
              <w:t>x</w:t>
            </w:r>
          </w:p>
        </w:tc>
      </w:tr>
      <w:tr>
        <w:trPr>
          <w:trHeight w:val="148"/>
        </w:trPr>
        <w:tc>
          <w:tcPr>
            <w:tcW w:w="1840" w:type="dxa"/>
            <w:vAlign w:val="bottom"/>
          </w:tcPr>
          <w:p>
            <w:pPr>
              <w:spacing w:after="0" w:line="149" w:lineRule="exact"/>
              <w:rPr>
                <w:sz w:val="20"/>
                <w:szCs w:val="20"/>
                <w:color w:val="auto"/>
              </w:rPr>
            </w:pPr>
            <w:r>
              <w:rPr>
                <w:rFonts w:ascii="Arial" w:cs="Arial" w:eastAsia="Arial" w:hAnsi="Arial"/>
                <w:sz w:val="14"/>
                <w:szCs w:val="14"/>
                <w:color w:val="auto"/>
              </w:rPr>
              <w:t>Energy, Inc. dated June 30,</w:t>
            </w: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82"/>
        </w:trPr>
        <w:tc>
          <w:tcPr>
            <w:tcW w:w="1840" w:type="dxa"/>
            <w:vAlign w:val="bottom"/>
          </w:tcPr>
          <w:p>
            <w:pPr>
              <w:spacing w:after="0"/>
              <w:rPr>
                <w:sz w:val="20"/>
                <w:szCs w:val="20"/>
                <w:color w:val="auto"/>
              </w:rPr>
            </w:pPr>
            <w:r>
              <w:rPr>
                <w:rFonts w:ascii="Arial" w:cs="Arial" w:eastAsia="Arial" w:hAnsi="Arial"/>
                <w:sz w:val="14"/>
                <w:szCs w:val="14"/>
                <w:color w:val="auto"/>
              </w:rPr>
              <w:t>2020</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331"/>
        </w:trPr>
        <w:tc>
          <w:tcPr>
            <w:tcW w:w="1840" w:type="dxa"/>
            <w:vAlign w:val="bottom"/>
          </w:tcPr>
          <w:p>
            <w:pPr>
              <w:spacing w:after="0"/>
              <w:rPr>
                <w:sz w:val="20"/>
                <w:szCs w:val="20"/>
                <w:color w:val="auto"/>
              </w:rPr>
            </w:pPr>
            <w:r>
              <w:rPr>
                <w:rFonts w:ascii="Arial" w:cs="Arial" w:eastAsia="Arial" w:hAnsi="Arial"/>
                <w:sz w:val="14"/>
                <w:szCs w:val="14"/>
                <w:color w:val="auto"/>
              </w:rPr>
              <w:t>Form 8-K of CenterPoint</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1-31447</w:t>
            </w:r>
          </w:p>
        </w:tc>
        <w:tc>
          <w:tcPr>
            <w:tcW w:w="1220" w:type="dxa"/>
            <w:vAlign w:val="bottom"/>
          </w:tcPr>
          <w:p>
            <w:pPr>
              <w:jc w:val="center"/>
              <w:ind w:right="48"/>
              <w:spacing w:after="0"/>
              <w:rPr>
                <w:sz w:val="20"/>
                <w:szCs w:val="20"/>
                <w:color w:val="auto"/>
              </w:rPr>
            </w:pPr>
            <w:r>
              <w:rPr>
                <w:rFonts w:ascii="Arial" w:cs="Arial" w:eastAsia="Arial" w:hAnsi="Arial"/>
                <w:sz w:val="14"/>
                <w:szCs w:val="14"/>
                <w:color w:val="auto"/>
                <w:w w:val="95"/>
              </w:rPr>
              <w:t>10.4</w:t>
            </w:r>
          </w:p>
        </w:tc>
        <w:tc>
          <w:tcPr>
            <w:tcW w:w="480" w:type="dxa"/>
            <w:vAlign w:val="bottom"/>
          </w:tcPr>
          <w:p>
            <w:pPr>
              <w:ind w:left="400"/>
              <w:spacing w:after="0"/>
              <w:rPr>
                <w:sz w:val="20"/>
                <w:szCs w:val="20"/>
                <w:color w:val="auto"/>
              </w:rPr>
            </w:pPr>
            <w:r>
              <w:rPr>
                <w:rFonts w:ascii="Arial" w:cs="Arial" w:eastAsia="Arial" w:hAnsi="Arial"/>
                <w:sz w:val="14"/>
                <w:szCs w:val="14"/>
                <w:color w:val="auto"/>
                <w:w w:val="85"/>
              </w:rPr>
              <w:t>x</w:t>
            </w:r>
          </w:p>
        </w:tc>
      </w:tr>
      <w:tr>
        <w:trPr>
          <w:trHeight w:val="148"/>
        </w:trPr>
        <w:tc>
          <w:tcPr>
            <w:tcW w:w="1840" w:type="dxa"/>
            <w:vAlign w:val="bottom"/>
          </w:tcPr>
          <w:p>
            <w:pPr>
              <w:spacing w:after="0" w:line="149" w:lineRule="exact"/>
              <w:rPr>
                <w:sz w:val="20"/>
                <w:szCs w:val="20"/>
                <w:color w:val="auto"/>
              </w:rPr>
            </w:pPr>
            <w:r>
              <w:rPr>
                <w:rFonts w:ascii="Arial" w:cs="Arial" w:eastAsia="Arial" w:hAnsi="Arial"/>
                <w:sz w:val="14"/>
                <w:szCs w:val="14"/>
                <w:color w:val="auto"/>
              </w:rPr>
              <w:t>Energy, Inc. dated June 30,</w:t>
            </w: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82"/>
        </w:trPr>
        <w:tc>
          <w:tcPr>
            <w:tcW w:w="1840" w:type="dxa"/>
            <w:vAlign w:val="bottom"/>
          </w:tcPr>
          <w:p>
            <w:pPr>
              <w:spacing w:after="0"/>
              <w:rPr>
                <w:sz w:val="20"/>
                <w:szCs w:val="20"/>
                <w:color w:val="auto"/>
              </w:rPr>
            </w:pPr>
            <w:r>
              <w:rPr>
                <w:rFonts w:ascii="Arial" w:cs="Arial" w:eastAsia="Arial" w:hAnsi="Arial"/>
                <w:sz w:val="14"/>
                <w:szCs w:val="14"/>
                <w:color w:val="auto"/>
              </w:rPr>
              <w:t>2020</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2"/>
        </w:trPr>
        <w:tc>
          <w:tcPr>
            <w:tcW w:w="1840" w:type="dxa"/>
            <w:vAlign w:val="bottom"/>
          </w:tcPr>
          <w:p>
            <w:pPr>
              <w:spacing w:after="0"/>
              <w:rPr>
                <w:sz w:val="20"/>
                <w:szCs w:val="20"/>
                <w:color w:val="auto"/>
              </w:rPr>
            </w:pPr>
            <w:r>
              <w:rPr>
                <w:rFonts w:ascii="Arial" w:cs="Arial" w:eastAsia="Arial" w:hAnsi="Arial"/>
                <w:sz w:val="14"/>
                <w:szCs w:val="14"/>
                <w:color w:val="auto"/>
              </w:rPr>
              <w:t>Form 8-K of CenterPoint</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1-31447</w:t>
            </w:r>
          </w:p>
        </w:tc>
        <w:tc>
          <w:tcPr>
            <w:tcW w:w="1220" w:type="dxa"/>
            <w:vAlign w:val="bottom"/>
          </w:tcPr>
          <w:p>
            <w:pPr>
              <w:jc w:val="center"/>
              <w:ind w:right="48"/>
              <w:spacing w:after="0"/>
              <w:rPr>
                <w:sz w:val="20"/>
                <w:szCs w:val="20"/>
                <w:color w:val="auto"/>
              </w:rPr>
            </w:pPr>
            <w:r>
              <w:rPr>
                <w:rFonts w:ascii="Arial" w:cs="Arial" w:eastAsia="Arial" w:hAnsi="Arial"/>
                <w:sz w:val="14"/>
                <w:szCs w:val="14"/>
                <w:color w:val="auto"/>
                <w:w w:val="95"/>
              </w:rPr>
              <w:t>10.1</w:t>
            </w:r>
          </w:p>
        </w:tc>
        <w:tc>
          <w:tcPr>
            <w:tcW w:w="480" w:type="dxa"/>
            <w:vAlign w:val="bottom"/>
          </w:tcPr>
          <w:p>
            <w:pPr>
              <w:ind w:left="400"/>
              <w:spacing w:after="0"/>
              <w:rPr>
                <w:sz w:val="20"/>
                <w:szCs w:val="20"/>
                <w:color w:val="auto"/>
              </w:rPr>
            </w:pPr>
            <w:r>
              <w:rPr>
                <w:rFonts w:ascii="Arial" w:cs="Arial" w:eastAsia="Arial" w:hAnsi="Arial"/>
                <w:sz w:val="14"/>
                <w:szCs w:val="14"/>
                <w:color w:val="auto"/>
                <w:w w:val="85"/>
              </w:rPr>
              <w:t>x</w:t>
            </w:r>
          </w:p>
        </w:tc>
      </w:tr>
      <w:tr>
        <w:trPr>
          <w:trHeight w:val="148"/>
        </w:trPr>
        <w:tc>
          <w:tcPr>
            <w:tcW w:w="1840" w:type="dxa"/>
            <w:vAlign w:val="bottom"/>
          </w:tcPr>
          <w:p>
            <w:pPr>
              <w:spacing w:after="0" w:line="149" w:lineRule="exact"/>
              <w:rPr>
                <w:sz w:val="20"/>
                <w:szCs w:val="20"/>
                <w:color w:val="auto"/>
              </w:rPr>
            </w:pPr>
            <w:r>
              <w:rPr>
                <w:rFonts w:ascii="Arial" w:cs="Arial" w:eastAsia="Arial" w:hAnsi="Arial"/>
                <w:sz w:val="14"/>
                <w:szCs w:val="14"/>
                <w:color w:val="auto"/>
              </w:rPr>
              <w:t>Energy, Inc. dated May 6,</w:t>
            </w: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82"/>
        </w:trPr>
        <w:tc>
          <w:tcPr>
            <w:tcW w:w="1840" w:type="dxa"/>
            <w:vAlign w:val="bottom"/>
          </w:tcPr>
          <w:p>
            <w:pPr>
              <w:spacing w:after="0"/>
              <w:rPr>
                <w:sz w:val="20"/>
                <w:szCs w:val="20"/>
                <w:color w:val="auto"/>
              </w:rPr>
            </w:pPr>
            <w:r>
              <w:rPr>
                <w:rFonts w:ascii="Arial" w:cs="Arial" w:eastAsia="Arial" w:hAnsi="Arial"/>
                <w:sz w:val="14"/>
                <w:szCs w:val="14"/>
                <w:color w:val="auto"/>
              </w:rPr>
              <w:t>2020</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r>
    </w:tbl>
    <w:p>
      <w:pPr>
        <w:spacing w:after="0" w:line="169"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x</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x</w:t>
      </w:r>
    </w:p>
    <w:p>
      <w:pPr>
        <w:spacing w:after="0" w:line="190" w:lineRule="exact"/>
        <w:rPr>
          <w:sz w:val="20"/>
          <w:szCs w:val="20"/>
          <w:color w:val="auto"/>
        </w:rPr>
      </w:pPr>
    </w:p>
    <w:p>
      <w:pPr>
        <w:jc w:val="right"/>
        <w:ind w:right="460"/>
        <w:spacing w:after="0"/>
        <w:rPr>
          <w:sz w:val="20"/>
          <w:szCs w:val="20"/>
          <w:color w:val="auto"/>
        </w:rPr>
      </w:pPr>
      <w:r>
        <w:rPr>
          <w:rFonts w:ascii="Arial" w:cs="Arial" w:eastAsia="Arial" w:hAnsi="Arial"/>
          <w:sz w:val="14"/>
          <w:szCs w:val="14"/>
          <w:color w:val="auto"/>
        </w:rPr>
        <w:t>x</w:t>
      </w:r>
    </w:p>
    <w:p>
      <w:pPr>
        <w:spacing w:after="0" w:line="190"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x</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x</w:t>
      </w:r>
    </w:p>
    <w:p>
      <w:pPr>
        <w:spacing w:after="0" w:line="38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106</w:t>
      </w:r>
    </w:p>
    <w:p>
      <w:pPr>
        <w:sectPr>
          <w:pgSz w:w="11900" w:h="16838" w:orient="portrait"/>
          <w:cols w:equalWidth="0" w:num="2">
            <w:col w:w="3700" w:space="180"/>
            <w:col w:w="7360"/>
          </w:cols>
          <w:pgMar w:left="320" w:top="125" w:right="339" w:bottom="1440" w:gutter="0" w:footer="0" w:header="0"/>
          <w:type w:val="continuous"/>
        </w:sectPr>
      </w:pPr>
    </w:p>
    <w:bookmarkStart w:id="117" w:name="page118"/>
    <w:bookmarkEnd w:id="11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Report or Registration</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0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2"/>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Statement</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Energy</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Electric</w:t>
            </w:r>
          </w:p>
        </w:tc>
        <w:tc>
          <w:tcPr>
            <w:tcW w:w="10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00" w:type="dxa"/>
            <w:vAlign w:val="bottom"/>
          </w:tcPr>
          <w:p>
            <w:pPr>
              <w:jc w:val="center"/>
              <w:spacing w:after="0"/>
              <w:rPr>
                <w:sz w:val="20"/>
                <w:szCs w:val="20"/>
                <w:color w:val="auto"/>
              </w:rPr>
            </w:pPr>
            <w:r>
              <w:rPr>
                <w:rFonts w:ascii="Arial" w:cs="Arial" w:eastAsia="Arial" w:hAnsi="Arial"/>
                <w:sz w:val="14"/>
                <w:szCs w:val="14"/>
                <w:color w:val="auto"/>
                <w:w w:val="93"/>
              </w:rPr>
              <w:t>+31.2.3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gridSpan w:val="4"/>
          </w:tcPr>
          <w:p>
            <w:pPr>
              <w:spacing w:after="0"/>
              <w:rPr>
                <w:rFonts w:ascii="Arial" w:cs="Arial" w:eastAsia="Arial" w:hAnsi="Arial"/>
                <w:sz w:val="14"/>
                <w:szCs w:val="14"/>
                <w:color w:val="0000FF"/>
              </w:rPr>
            </w:pPr>
            <w:hyperlink w:anchor="page139">
              <w:r>
                <w:rPr>
                  <w:rFonts w:ascii="Arial" w:cs="Arial" w:eastAsia="Arial" w:hAnsi="Arial"/>
                  <w:sz w:val="14"/>
                  <w:szCs w:val="14"/>
                  <w:color w:val="0000FF"/>
                </w:rPr>
                <w:t>Rule 13a-14(a)/15d-14(a) Certification of Kristie</w:t>
              </w:r>
            </w:hyperlink>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9"/>
              </w:rPr>
            </w:pPr>
            <w:hyperlink w:anchor="page139">
              <w:r>
                <w:rPr>
                  <w:rFonts w:ascii="Arial" w:cs="Arial" w:eastAsia="Arial" w:hAnsi="Arial"/>
                  <w:sz w:val="14"/>
                  <w:szCs w:val="14"/>
                  <w:color w:val="0000FF"/>
                  <w:w w:val="99"/>
                </w:rPr>
                <w:t>L. Colvin</w:t>
              </w:r>
            </w:hyperlink>
          </w:p>
        </w:tc>
        <w:tc>
          <w:tcPr>
            <w:tcW w:w="2260" w:type="dxa"/>
            <w:vAlign w:val="bottom"/>
            <w:tcBorders>
              <w:top w:val="single" w:sz="8" w:color="0000FF"/>
            </w:tcBorders>
          </w:tcPr>
          <w:p>
            <w:pPr>
              <w:spacing w:after="0"/>
              <w:rPr>
                <w:sz w:val="11"/>
                <w:szCs w:val="11"/>
                <w:color w:val="auto"/>
              </w:rPr>
            </w:pPr>
          </w:p>
        </w:tc>
        <w:tc>
          <w:tcPr>
            <w:tcW w:w="200" w:type="dxa"/>
            <w:vAlign w:val="bottom"/>
            <w:gridSpan w:val="2"/>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20" w:type="dxa"/>
            <w:vAlign w:val="bottom"/>
            <w:gridSpan w:val="4"/>
          </w:tcPr>
          <w:p>
            <w:pPr>
              <w:spacing w:after="0"/>
              <w:rPr>
                <w:rFonts w:ascii="Arial" w:cs="Arial" w:eastAsia="Arial" w:hAnsi="Arial"/>
                <w:sz w:val="14"/>
                <w:szCs w:val="14"/>
                <w:u w:val="single" w:color="auto"/>
                <w:color w:val="0000FF"/>
              </w:rPr>
            </w:pPr>
            <w:hyperlink w:anchor="page140">
              <w:r>
                <w:rPr>
                  <w:rFonts w:ascii="Arial" w:cs="Arial" w:eastAsia="Arial" w:hAnsi="Arial"/>
                  <w:sz w:val="14"/>
                  <w:szCs w:val="14"/>
                  <w:u w:val="single" w:color="auto"/>
                  <w:color w:val="0000FF"/>
                </w:rPr>
                <w:t>Section 1350 Certification of David J. Lesar</w:t>
              </w:r>
            </w:hyperlink>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+32.1.2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20" w:type="dxa"/>
            <w:vAlign w:val="bottom"/>
            <w:gridSpan w:val="4"/>
          </w:tcPr>
          <w:p>
            <w:pPr>
              <w:spacing w:after="0"/>
              <w:rPr>
                <w:rFonts w:ascii="Arial" w:cs="Arial" w:eastAsia="Arial" w:hAnsi="Arial"/>
                <w:sz w:val="14"/>
                <w:szCs w:val="14"/>
                <w:u w:val="single" w:color="auto"/>
                <w:color w:val="0000FF"/>
              </w:rPr>
            </w:pPr>
            <w:hyperlink w:anchor="page141">
              <w:r>
                <w:rPr>
                  <w:rFonts w:ascii="Arial" w:cs="Arial" w:eastAsia="Arial" w:hAnsi="Arial"/>
                  <w:sz w:val="14"/>
                  <w:szCs w:val="14"/>
                  <w:u w:val="single" w:color="auto"/>
                  <w:color w:val="0000FF"/>
                </w:rPr>
                <w:t>Section 1350 Certification of David J. Lesar</w:t>
              </w:r>
            </w:hyperlink>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+32.1.3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20" w:type="dxa"/>
            <w:vAlign w:val="bottom"/>
            <w:gridSpan w:val="4"/>
          </w:tcPr>
          <w:p>
            <w:pPr>
              <w:spacing w:after="0"/>
              <w:rPr>
                <w:rFonts w:ascii="Arial" w:cs="Arial" w:eastAsia="Arial" w:hAnsi="Arial"/>
                <w:sz w:val="14"/>
                <w:szCs w:val="14"/>
                <w:u w:val="single" w:color="auto"/>
                <w:color w:val="0000FF"/>
              </w:rPr>
            </w:pPr>
            <w:hyperlink w:anchor="page142">
              <w:r>
                <w:rPr>
                  <w:rFonts w:ascii="Arial" w:cs="Arial" w:eastAsia="Arial" w:hAnsi="Arial"/>
                  <w:sz w:val="14"/>
                  <w:szCs w:val="14"/>
                  <w:u w:val="single" w:color="auto"/>
                  <w:color w:val="0000FF"/>
                </w:rPr>
                <w:t>Section 1350 Certification of David J. Lesar</w:t>
              </w:r>
            </w:hyperlink>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70"/>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+32.2.1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20" w:type="dxa"/>
            <w:vAlign w:val="bottom"/>
            <w:gridSpan w:val="4"/>
          </w:tcPr>
          <w:p>
            <w:pPr>
              <w:spacing w:after="0"/>
              <w:rPr>
                <w:rFonts w:ascii="Arial" w:cs="Arial" w:eastAsia="Arial" w:hAnsi="Arial"/>
                <w:sz w:val="14"/>
                <w:szCs w:val="14"/>
                <w:u w:val="single" w:color="auto"/>
                <w:color w:val="0000FF"/>
              </w:rPr>
            </w:pPr>
            <w:hyperlink w:anchor="page143">
              <w:r>
                <w:rPr>
                  <w:rFonts w:ascii="Arial" w:cs="Arial" w:eastAsia="Arial" w:hAnsi="Arial"/>
                  <w:sz w:val="14"/>
                  <w:szCs w:val="14"/>
                  <w:u w:val="single" w:color="auto"/>
                  <w:color w:val="0000FF"/>
                </w:rPr>
                <w:t>Section 1350 Certification of Kristie L. Colvin</w:t>
              </w:r>
            </w:hyperlink>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+32.2.2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20" w:type="dxa"/>
            <w:vAlign w:val="bottom"/>
            <w:gridSpan w:val="4"/>
          </w:tcPr>
          <w:p>
            <w:pPr>
              <w:spacing w:after="0"/>
              <w:rPr>
                <w:rFonts w:ascii="Arial" w:cs="Arial" w:eastAsia="Arial" w:hAnsi="Arial"/>
                <w:sz w:val="14"/>
                <w:szCs w:val="14"/>
                <w:u w:val="single" w:color="auto"/>
                <w:color w:val="0000FF"/>
              </w:rPr>
            </w:pPr>
            <w:hyperlink w:anchor="page144">
              <w:r>
                <w:rPr>
                  <w:rFonts w:ascii="Arial" w:cs="Arial" w:eastAsia="Arial" w:hAnsi="Arial"/>
                  <w:sz w:val="14"/>
                  <w:szCs w:val="14"/>
                  <w:u w:val="single" w:color="auto"/>
                  <w:color w:val="0000FF"/>
                </w:rPr>
                <w:t>Section 1350 Certification of Kristie L. Colvin</w:t>
              </w:r>
            </w:hyperlink>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0" w:type="dxa"/>
            <w:vAlign w:val="bottom"/>
          </w:tcPr>
          <w:p>
            <w:pPr>
              <w:jc w:val="center"/>
              <w:spacing w:after="0"/>
              <w:rPr>
                <w:sz w:val="20"/>
                <w:szCs w:val="20"/>
                <w:color w:val="auto"/>
              </w:rPr>
            </w:pPr>
            <w:r>
              <w:rPr>
                <w:rFonts w:ascii="Arial" w:cs="Arial" w:eastAsia="Arial" w:hAnsi="Arial"/>
                <w:sz w:val="14"/>
                <w:szCs w:val="14"/>
                <w:color w:val="auto"/>
                <w:w w:val="93"/>
              </w:rPr>
              <w:t>+32.2.3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20" w:type="dxa"/>
            <w:vAlign w:val="bottom"/>
            <w:gridSpan w:val="4"/>
          </w:tcPr>
          <w:p>
            <w:pPr>
              <w:spacing w:after="0"/>
              <w:rPr>
                <w:rFonts w:ascii="Arial" w:cs="Arial" w:eastAsia="Arial" w:hAnsi="Arial"/>
                <w:sz w:val="14"/>
                <w:szCs w:val="14"/>
                <w:u w:val="single" w:color="auto"/>
                <w:color w:val="0000FF"/>
              </w:rPr>
            </w:pPr>
            <w:hyperlink w:anchor="page145">
              <w:r>
                <w:rPr>
                  <w:rFonts w:ascii="Arial" w:cs="Arial" w:eastAsia="Arial" w:hAnsi="Arial"/>
                  <w:sz w:val="14"/>
                  <w:szCs w:val="14"/>
                  <w:u w:val="single" w:color="auto"/>
                  <w:color w:val="0000FF"/>
                </w:rPr>
                <w:t>Section 1350 Certification of Kristie L. Colvin</w:t>
              </w:r>
            </w:hyperlink>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36"/>
        </w:trPr>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+101.INS</w:t>
            </w:r>
          </w:p>
        </w:tc>
        <w:tc>
          <w:tcPr>
            <w:tcW w:w="20" w:type="dxa"/>
            <w:vAlign w:val="bottom"/>
          </w:tcPr>
          <w:p>
            <w:pPr>
              <w:spacing w:after="0"/>
              <w:rPr>
                <w:sz w:val="20"/>
                <w:szCs w:val="20"/>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Inline XBRL Instance Document - the instance</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gridSpan w:val="4"/>
          </w:tcPr>
          <w:p>
            <w:pPr>
              <w:spacing w:after="0" w:line="149" w:lineRule="exact"/>
              <w:rPr>
                <w:sz w:val="20"/>
                <w:szCs w:val="20"/>
                <w:color w:val="auto"/>
              </w:rPr>
            </w:pPr>
            <w:r>
              <w:rPr>
                <w:rFonts w:ascii="Arial" w:cs="Arial" w:eastAsia="Arial" w:hAnsi="Arial"/>
                <w:sz w:val="14"/>
                <w:szCs w:val="14"/>
                <w:color w:val="auto"/>
                <w:w w:val="97"/>
              </w:rPr>
              <w:t>document does not appear in the Interactive Data</w:t>
            </w: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gridSpan w:val="4"/>
          </w:tcPr>
          <w:p>
            <w:pPr>
              <w:spacing w:after="0" w:line="149" w:lineRule="exact"/>
              <w:rPr>
                <w:sz w:val="20"/>
                <w:szCs w:val="20"/>
                <w:color w:val="auto"/>
              </w:rPr>
            </w:pPr>
            <w:r>
              <w:rPr>
                <w:rFonts w:ascii="Arial" w:cs="Arial" w:eastAsia="Arial" w:hAnsi="Arial"/>
                <w:sz w:val="14"/>
                <w:szCs w:val="14"/>
                <w:color w:val="auto"/>
                <w:w w:val="99"/>
              </w:rPr>
              <w:t>File because its XBRL tags are embedded within</w:t>
            </w: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the Inline XBRL 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+101.SCH</w:t>
            </w:r>
          </w:p>
        </w:tc>
        <w:tc>
          <w:tcPr>
            <w:tcW w:w="20" w:type="dxa"/>
            <w:vAlign w:val="bottom"/>
          </w:tcPr>
          <w:p>
            <w:pPr>
              <w:spacing w:after="0"/>
              <w:rPr>
                <w:sz w:val="14"/>
                <w:szCs w:val="14"/>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Inline XBRL Taxonomy Extension Schema</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+101.CAL</w:t>
            </w:r>
          </w:p>
        </w:tc>
        <w:tc>
          <w:tcPr>
            <w:tcW w:w="20" w:type="dxa"/>
            <w:vAlign w:val="bottom"/>
          </w:tcPr>
          <w:p>
            <w:pPr>
              <w:spacing w:after="0"/>
              <w:rPr>
                <w:sz w:val="14"/>
                <w:szCs w:val="14"/>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Inline XBRL Taxonomy Extension Calculation</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Linkbase 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+101.DEF</w:t>
            </w:r>
          </w:p>
        </w:tc>
        <w:tc>
          <w:tcPr>
            <w:tcW w:w="20" w:type="dxa"/>
            <w:vAlign w:val="bottom"/>
          </w:tcPr>
          <w:p>
            <w:pPr>
              <w:spacing w:after="0"/>
              <w:rPr>
                <w:sz w:val="14"/>
                <w:szCs w:val="14"/>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Inline XBRL Taxonomy Extension Definition</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Linkbase 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14"/>
                <w:szCs w:val="14"/>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Inline XBRL Taxonomy Extension Labels</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Linkbase 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+101.PRE</w:t>
            </w:r>
          </w:p>
        </w:tc>
        <w:tc>
          <w:tcPr>
            <w:tcW w:w="20" w:type="dxa"/>
            <w:vAlign w:val="bottom"/>
          </w:tcPr>
          <w:p>
            <w:pPr>
              <w:spacing w:after="0"/>
              <w:rPr>
                <w:sz w:val="14"/>
                <w:szCs w:val="14"/>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Inline XBRL Taxonomy Extension Presentation</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Linkbase Document</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jc w:val="center"/>
              <w:spacing w:after="0"/>
              <w:rPr>
                <w:sz w:val="20"/>
                <w:szCs w:val="20"/>
                <w:color w:val="auto"/>
              </w:rPr>
            </w:pPr>
            <w:r>
              <w:rPr>
                <w:rFonts w:ascii="Arial" w:cs="Arial" w:eastAsia="Arial" w:hAnsi="Arial"/>
                <w:sz w:val="14"/>
                <w:szCs w:val="14"/>
                <w:color w:val="auto"/>
                <w:w w:val="94"/>
              </w:rPr>
              <w:t>+104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Cover Page Interactive Data File (formatted as</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gridSpan w:val="4"/>
          </w:tcPr>
          <w:p>
            <w:pPr>
              <w:spacing w:after="0"/>
              <w:rPr>
                <w:sz w:val="20"/>
                <w:szCs w:val="20"/>
                <w:color w:val="auto"/>
              </w:rPr>
            </w:pPr>
            <w:r>
              <w:rPr>
                <w:rFonts w:ascii="Arial" w:cs="Arial" w:eastAsia="Arial" w:hAnsi="Arial"/>
                <w:sz w:val="14"/>
                <w:szCs w:val="14"/>
                <w:color w:val="auto"/>
              </w:rPr>
              <w:t>Inline XBRL and contained in Exhibit 101)</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40" w:right="800" w:hanging="212"/>
        <w:spacing w:after="0" w:line="263" w:lineRule="auto"/>
        <w:tabs>
          <w:tab w:leader="none" w:pos="7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Schedules to this agreement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344"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color w:val="auto"/>
        </w:rPr>
        <w:t>CENTERPOINT ENERGY, INC.</w:t>
      </w:r>
    </w:p>
    <w:p>
      <w:pPr>
        <w:spacing w:after="0" w:line="63"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color w:val="auto"/>
        </w:rPr>
        <w:t>CENTERPOINT ENERGY HOUSTON ELECTRIC, LLC</w:t>
      </w:r>
    </w:p>
    <w:p>
      <w:pPr>
        <w:spacing w:after="0" w:line="63"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color w:val="auto"/>
        </w:rPr>
        <w:t>CENTERPOINT ENERGY RESOURCES CORP.</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78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31750</wp:posOffset>
            </wp:positionV>
            <wp:extent cx="39173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57"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Kristie L. Colvin</w:t>
      </w:r>
    </w:p>
    <w:p>
      <w:pPr>
        <w:spacing w:after="0" w:line="63"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Interim Executive Vice President and Chief Financial Officer</w:t>
      </w:r>
    </w:p>
    <w:p>
      <w:pPr>
        <w:spacing w:after="0" w:line="63"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and Chief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125" w:right="35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4.26</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CENTERPOINT ENERGY HOUSTON ELECTRIC, LLC</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OFFICER’S CERTIFICATE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June 5, 2020</w:t>
      </w:r>
    </w:p>
    <w:p>
      <w:pPr>
        <w:spacing w:after="0" w:line="200" w:lineRule="exact"/>
        <w:rPr>
          <w:sz w:val="20"/>
          <w:szCs w:val="20"/>
          <w:color w:val="auto"/>
        </w:rPr>
      </w:pPr>
    </w:p>
    <w:p>
      <w:pPr>
        <w:spacing w:after="0" w:line="23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I, the undersigned officer of CenterPoint Energy Houston Electric, LLC, a Texas limited liability company (the “Company”), do hereby certify that I am an Authorized Officer of the Company as such term is defined in the Indenture (as defined herein). I am delivering this certificate pursuant to the authority granted in the Resolutions adopted by written consent of the sole Manager of the Company dated May 29, 2020, and Sections 105, 201, 301, 401(1), 401(5) and 1403 of the General Mortgage Indenture, dated as of October 10, 2002, as heretofore supplemented to the date hereof (as heretofore supplemented, the “Indenture”), between the Company and The Bank of New York Mellon Trust Company, National Association (successor in trust to JPMorgan Chase Bank), as Trustee (the “Trustee”). Terms used herein and not otherwise defined herein shall have the meanings assigned to them in the Indenture, unless the context clearly requires otherwise. Based upon the foregoing, I hereby certify on behalf of the Company as follows:</w:t>
      </w:r>
    </w:p>
    <w:p>
      <w:pPr>
        <w:spacing w:after="0" w:line="179" w:lineRule="exact"/>
        <w:rPr>
          <w:sz w:val="20"/>
          <w:szCs w:val="20"/>
          <w:color w:val="auto"/>
        </w:rPr>
      </w:pPr>
    </w:p>
    <w:p>
      <w:pPr>
        <w:ind w:firstLine="8"/>
        <w:spacing w:after="0" w:line="343" w:lineRule="auto"/>
        <w:tabs>
          <w:tab w:leader="none" w:pos="423"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terms and conditions of the Securities of the series described in this Officer’s Certificate are as follows (the numbered subdivisions set forth in this Paragraph 1 corresponding to the numbered subdivisions of Section 301 of the Indenture):</w:t>
      </w:r>
    </w:p>
    <w:p>
      <w:pPr>
        <w:spacing w:after="0" w:line="104" w:lineRule="exact"/>
        <w:rPr>
          <w:rFonts w:ascii="Arial" w:cs="Arial" w:eastAsia="Arial" w:hAnsi="Arial"/>
          <w:sz w:val="19"/>
          <w:szCs w:val="19"/>
          <w:color w:val="auto"/>
        </w:rPr>
      </w:pPr>
    </w:p>
    <w:p>
      <w:pPr>
        <w:jc w:val="both"/>
        <w:ind w:left="660" w:hanging="4"/>
        <w:spacing w:after="0" w:line="253" w:lineRule="auto"/>
        <w:tabs>
          <w:tab w:leader="none" w:pos="1220"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Securities of the thirtieth series to be issued under the Indenture shall be designated as the “2.90% General Mortgage Bonds, Series AD, due 2050” (the “Bonds”), as set forth in the Twenty-Ninth Supplemental Indenture, dated as of the date hereof, between the Company and the Trustee.</w:t>
      </w:r>
    </w:p>
    <w:p>
      <w:pPr>
        <w:spacing w:after="0" w:line="77" w:lineRule="exact"/>
        <w:rPr>
          <w:rFonts w:ascii="Arial" w:cs="Arial" w:eastAsia="Arial" w:hAnsi="Arial"/>
          <w:sz w:val="22"/>
          <w:szCs w:val="22"/>
          <w:color w:val="auto"/>
        </w:rPr>
      </w:pPr>
    </w:p>
    <w:p>
      <w:pPr>
        <w:jc w:val="both"/>
        <w:ind w:left="660" w:hanging="4"/>
        <w:spacing w:after="0" w:line="247" w:lineRule="auto"/>
        <w:tabs>
          <w:tab w:leader="none" w:pos="1208"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Trustee shall authenticate and deliver the Bonds for original issue on June 5, 2020 (the “Issue Date”) in the aggregate principal amount of $300,000,000, upon a Company Order for the authentication and delivery thereof and satisfaction of Section 401 of the Indenture; provided, however, that, as contemplated in the second paragraph of Section 301 of the Indenture and the definition of “Tranche” in Section 101 of the Indenture, additional Securities of such series or Tranche may be subsequently issued from time to time, without any consent of Holders of the Securities of such series, pursuant to Section 1401(4) of the Indenture.</w:t>
      </w:r>
    </w:p>
    <w:p>
      <w:pPr>
        <w:spacing w:after="0" w:line="84" w:lineRule="exact"/>
        <w:rPr>
          <w:rFonts w:ascii="Arial" w:cs="Arial" w:eastAsia="Arial" w:hAnsi="Arial"/>
          <w:sz w:val="22"/>
          <w:szCs w:val="22"/>
          <w:color w:val="auto"/>
        </w:rPr>
      </w:pPr>
    </w:p>
    <w:p>
      <w:pPr>
        <w:jc w:val="both"/>
        <w:ind w:left="660" w:hanging="4"/>
        <w:spacing w:after="0" w:line="253" w:lineRule="auto"/>
        <w:tabs>
          <w:tab w:leader="none" w:pos="1175" w:val="left"/>
        </w:tabs>
        <w:numPr>
          <w:ilvl w:val="1"/>
          <w:numId w:val="99"/>
        </w:numPr>
        <w:rPr>
          <w:rFonts w:ascii="Arial" w:cs="Arial" w:eastAsia="Arial" w:hAnsi="Arial"/>
          <w:sz w:val="22"/>
          <w:szCs w:val="22"/>
          <w:color w:val="auto"/>
        </w:rPr>
      </w:pPr>
      <w:r>
        <w:rPr>
          <w:rFonts w:ascii="Arial" w:cs="Arial" w:eastAsia="Arial" w:hAnsi="Arial"/>
          <w:sz w:val="22"/>
          <w:szCs w:val="22"/>
          <w:color w:val="auto"/>
        </w:rPr>
        <w:t xml:space="preserve">Interest on the Bonds shall be payable to the Persons in whose names such Securities are registered at the close of business on the Regular Record Date for such interest (as specified in (5) below), except as otherwise expressly provided in the form of such Securities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77" w:lineRule="exact"/>
        <w:rPr>
          <w:rFonts w:ascii="Arial" w:cs="Arial" w:eastAsia="Arial" w:hAnsi="Arial"/>
          <w:sz w:val="22"/>
          <w:szCs w:val="22"/>
          <w:color w:val="auto"/>
        </w:rPr>
      </w:pPr>
    </w:p>
    <w:p>
      <w:pPr>
        <w:ind w:left="660" w:right="20" w:hanging="4"/>
        <w:spacing w:after="0" w:line="263" w:lineRule="auto"/>
        <w:tabs>
          <w:tab w:leader="none" w:pos="1215"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Bonds shall mature and the principal thereof shall be due and payable together with all accrued and unpaid interest thereon on July 1, 2050.</w:t>
      </w:r>
    </w:p>
    <w:p>
      <w:pPr>
        <w:sectPr>
          <w:pgSz w:w="11900" w:h="16838" w:orient="portrait"/>
          <w:cols w:equalWidth="0" w:num="1">
            <w:col w:w="11240"/>
          </w:cols>
          <w:pgMar w:left="320" w:top="594" w:right="339" w:bottom="1440" w:gutter="0" w:footer="0" w:header="0"/>
        </w:sectPr>
      </w:pPr>
    </w:p>
    <w:bookmarkStart w:id="120" w:name="page121"/>
    <w:bookmarkEnd w:id="120"/>
    <w:p>
      <w:pPr>
        <w:jc w:val="both"/>
        <w:ind w:left="4" w:hanging="4"/>
        <w:spacing w:after="0" w:line="294" w:lineRule="auto"/>
        <w:tabs>
          <w:tab w:leader="none" w:pos="47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Bonds shall bear interest at the rate of 2.90% per annum. Interest shall accrue on the Bonds from the Issue Date, or the most recent date to which interest has been paid or duly provided for. The Interest Payment Dates for the Bonds shall be January 1 and July 1 in each year commencing January 1, 2021, and the Regular Record Dates with respect to the Interest Payment Dates for the Bonds shall be the December 15 and June 15, respectively, immediately preceding each Interest Payment Date (whether or not a Business Day); provided however that interest payable at maturity, upon redemption or when principal is otherwise due will be payable to the Holder to whom principal is payable.</w:t>
      </w:r>
    </w:p>
    <w:p>
      <w:pPr>
        <w:spacing w:after="0" w:line="41" w:lineRule="exact"/>
        <w:rPr>
          <w:rFonts w:ascii="Arial" w:cs="Arial" w:eastAsia="Arial" w:hAnsi="Arial"/>
          <w:sz w:val="19"/>
          <w:szCs w:val="19"/>
          <w:color w:val="auto"/>
        </w:rPr>
      </w:pPr>
    </w:p>
    <w:p>
      <w:pPr>
        <w:jc w:val="both"/>
        <w:ind w:left="4" w:hanging="4"/>
        <w:spacing w:after="0" w:line="289" w:lineRule="auto"/>
        <w:tabs>
          <w:tab w:leader="none" w:pos="51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Corporate Trust Office of The Bank of New York Mellon Trust Company, National Association in New York, New York shall be the place at which (i) the principal of and premium, if any, and interest on the Bonds shall be payable, (ii) registration of transfer of the Bonds may be effected, (iii) exchanges of the Bonds may be effected, and (iv) notices and demands to or upon the Company in respect of the Bonds and the Indenture may be served; and The Bank of New York Mellon Trust Company, National Association shall be the Security Registrar and Paying Agent for the Bonds; provided, however, that the Company reserves the right to change, by one or more Officer’s Certificates, any such place or the Security Registrar; and provided, further, that the Company reserves the right to designate, by one or more Officer’s Certificates, its principal office in Houston, Texas as any such place or itself as the Security Registrar; provided, however, that there shall be only a single Security Registrar for each series of Bonds.</w:t>
      </w:r>
    </w:p>
    <w:p>
      <w:pPr>
        <w:spacing w:after="0" w:line="48" w:lineRule="exact"/>
        <w:rPr>
          <w:rFonts w:ascii="Arial" w:cs="Arial" w:eastAsia="Arial" w:hAnsi="Arial"/>
          <w:sz w:val="19"/>
          <w:szCs w:val="19"/>
          <w:color w:val="auto"/>
        </w:rPr>
      </w:pPr>
    </w:p>
    <w:p>
      <w:pPr>
        <w:jc w:val="both"/>
        <w:ind w:left="4" w:hanging="4"/>
        <w:spacing w:after="0" w:line="258" w:lineRule="auto"/>
        <w:tabs>
          <w:tab w:leader="none" w:pos="49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Bonds shall be redeemable, at the option of the Company, at any time or from time to time, in whole or in part, on any date prior to January 1, 2050 at a redemption price equal to the greater of (i) 100% of the principal amount of the Bonds to be redeemed or (ii) the sum of the present values of the remaining scheduled payments of principal and interest on the Bonds to be redeemed that would be due if the Bonds matured on January 1, 2050 but for the redemption (not including any portion of such payments of interest accrued to the Redemption Date) discounted to the date of redemption (the “Redemption Date”) on a semiannual basis (assuming a 360-day year consisting of twelve 30-day months) at the applicable Treasury Rate plus 25 basis points; plus, in each case, accrued and unpaid interest on the principal amount being redeemed to, but excluding, the Redemption Date. On or after January 1, 2050, the Company may redeem the Bonds, at any time or from time to time, in whole or in part, by paying 100% of the principal amount of Bonds to be redeemed plus accrued and unpaid interest on the principal amount being redeemed to, but excluding, the Redemption Date.</w:t>
      </w:r>
    </w:p>
    <w:p>
      <w:pPr>
        <w:spacing w:after="0" w:line="74"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21"/>
          <w:szCs w:val="21"/>
          <w:color w:val="auto"/>
        </w:rPr>
        <w:t>“Treasury Rate” means, with respect to any Redemption Date, the yield calculated on the third Business Day preceding the Redemption Date, as follows: for the latest day that appears in the most recent statistical release published by the Board of Governors of the Federal Reserve System designated as “Selected Interest Rates (Daily) - H.15” (or any successor publication) (“H.15”) under the caption “Treasury Constant Maturities - Nominal”, the Independent Investment Banker shall select two yields – one for the maturity immediately before and one for the maturity immediately after the remaining maturity of the notes (assuming the notes matured on January 1, 2050) – and shall interpolate on a straight-line basis using such yields; if there is no such maturity either before or after, the Independent Investment Banker shall select the maturity closest to January 1, 2050 that</w:t>
      </w:r>
    </w:p>
    <w:p>
      <w:pPr>
        <w:spacing w:after="0" w:line="280"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584"/>
          </w:cols>
          <w:pgMar w:left="976" w:top="604" w:right="339" w:bottom="1440" w:gutter="0" w:footer="0" w:header="0"/>
        </w:sectPr>
      </w:pPr>
    </w:p>
    <w:bookmarkStart w:id="121" w:name="page122"/>
    <w:bookmarkEnd w:id="121"/>
    <w:p>
      <w:pPr>
        <w:jc w:val="both"/>
        <w:spacing w:after="0" w:line="247" w:lineRule="auto"/>
        <w:rPr>
          <w:sz w:val="20"/>
          <w:szCs w:val="20"/>
          <w:color w:val="auto"/>
        </w:rPr>
      </w:pPr>
      <w:r>
        <w:rPr>
          <w:rFonts w:ascii="Arial" w:cs="Arial" w:eastAsia="Arial" w:hAnsi="Arial"/>
          <w:sz w:val="22"/>
          <w:szCs w:val="22"/>
          <w:color w:val="auto"/>
        </w:rPr>
        <w:t>appears on the release; or if such release (or any successor release) is not published during the week preceding the calculation date or does not contain such yields, the rate per annum equal to the semiannual equivalent yield to maturity of the Comparable Treasury Issue, calculated by the Independent Investment Banker using a price for the Comparable Treasury Issue (expressed as a percentage of its principal amount) equal to the Comparable Treasury Price for such Redemption Date. The Treasury Rate will be calculated by the Independent Investment Banker on the third Business Day preceding the Redemption Date.</w:t>
      </w:r>
    </w:p>
    <w:p>
      <w:pPr>
        <w:spacing w:after="0" w:line="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“Comparable Treasury Issue” means the U.S. Treasury security selected by an Independent Investment Banker as having an actual or interpolated maturity comparable to the remaining term (“remaining life”) of the Bonds to be redeemed (assuming for this purpose that the Bonds matured on January 1, 2050) that would be utilized, at the time of selection and in accordance with customary financial practice, in pricing new issues of corporate debt securities of comparable maturity to the remaining term of such Bonds.</w:t>
      </w:r>
    </w:p>
    <w:p>
      <w:pPr>
        <w:spacing w:after="0" w:line="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“Comparable Treasury Price” means (1) the average of five Reference Treasury Dealer Quotations for such Redemption Date, after excluding the highest and lowest Reference Treasury Dealer Quotations, or (2) if the Independent Investment Banker obtains fewer than five such Reference Treasury Dealer Quotations, the average of all such quotations.</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“Independent Investment Banker” means one of the reference treasury dealers appointed by the Company.</w:t>
      </w:r>
    </w:p>
    <w:p>
      <w:pPr>
        <w:spacing w:after="0" w:line="12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“Reference Treasury Dealer” means each of (1) BofA Securities, Inc., RBC Capital Markets, LLC and Wells Fargo Securities, LLC and a primary U.S. government securities dealer in the United States of America (a “Primary Treasury Dealer”) designated by MUFG Securities Americas Inc. and each of their respective successors, provided, however, that if any of the foregoing shall cease to be a Primary Treasury Dealer, the Company will substitute therefor another Primary Treasury Dealer and (2) any other Primary Treasury Dealer selected by the Company after consultation with the Independent Investment Banker.</w:t>
      </w:r>
    </w:p>
    <w:p>
      <w:pPr>
        <w:spacing w:after="0" w:line="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Trustee, at the written direction of the Company, will send a notice of redemption to each holder of Bonds to be redeemed by first-class mail (or in accordance with the procedures of The Depository Trust Company with respect to Bonds registered in the name of Cede &amp; Co.) at least 15 and not more than 60 days prior to the date fixed for redemption. Unless the Company defaults on payment of the redemption price, interest will cease to accrue on the Bonds or portions thereof called for redemption on the Redemption Date. If fewer than all of the Bonds are to be redeemed, not more than 60 days prior to the Redemption Date, the particular Bonds or portions thereof called for redemption will be selected from the outstanding Bonds not previously called by such method as the Trustee deems fair and</w:t>
      </w:r>
    </w:p>
    <w:p>
      <w:pPr>
        <w:spacing w:after="0" w:line="248" w:lineRule="exact"/>
        <w:rPr>
          <w:sz w:val="20"/>
          <w:szCs w:val="20"/>
          <w:color w:val="auto"/>
        </w:rPr>
      </w:pPr>
    </w:p>
    <w:p>
      <w:pPr>
        <w:ind w:left="492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580"/>
          </w:cols>
          <w:pgMar w:left="980" w:top="604" w:right="339" w:bottom="1440" w:gutter="0" w:footer="0" w:header="0"/>
        </w:sectPr>
      </w:pPr>
    </w:p>
    <w:bookmarkStart w:id="122" w:name="page123"/>
    <w:bookmarkEnd w:id="122"/>
    <w:p>
      <w:pPr>
        <w:jc w:val="both"/>
        <w:ind w:left="4"/>
        <w:spacing w:after="0" w:line="271" w:lineRule="auto"/>
        <w:rPr>
          <w:sz w:val="20"/>
          <w:szCs w:val="20"/>
          <w:color w:val="auto"/>
        </w:rPr>
      </w:pPr>
      <w:r>
        <w:rPr>
          <w:rFonts w:ascii="Arial" w:cs="Arial" w:eastAsia="Arial" w:hAnsi="Arial"/>
          <w:sz w:val="21"/>
          <w:szCs w:val="21"/>
          <w:color w:val="auto"/>
        </w:rPr>
        <w:t>appropriate. The Trustee may select for redemption Bonds and portions of Bonds in amounts of $2,000 or whole multiples of $1,000. In the case of a partial redemption of Bonds registered in the name of Cede &amp; Co, the Bonds to be redeemed will be determined in accordance with the procedures of The Depository Trust Company.</w:t>
      </w:r>
    </w:p>
    <w:p>
      <w:pPr>
        <w:spacing w:after="0" w:line="59" w:lineRule="exact"/>
        <w:rPr>
          <w:sz w:val="20"/>
          <w:szCs w:val="20"/>
          <w:color w:val="auto"/>
        </w:rPr>
      </w:pPr>
    </w:p>
    <w:p>
      <w:pPr>
        <w:ind w:left="464" w:hanging="464"/>
        <w:spacing w:after="0"/>
        <w:tabs>
          <w:tab w:leader="none" w:pos="46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111" w:lineRule="exact"/>
        <w:rPr>
          <w:rFonts w:ascii="Arial" w:cs="Arial" w:eastAsia="Arial" w:hAnsi="Arial"/>
          <w:sz w:val="22"/>
          <w:szCs w:val="22"/>
          <w:color w:val="auto"/>
        </w:rPr>
      </w:pPr>
    </w:p>
    <w:p>
      <w:pPr>
        <w:ind w:left="464" w:hanging="464"/>
        <w:spacing w:after="0"/>
        <w:tabs>
          <w:tab w:leader="none" w:pos="46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Bonds will be issued in minimum denominations of $2,000 and integral multiples of $1,000 in excess thereof.</w:t>
      </w:r>
    </w:p>
    <w:p>
      <w:pPr>
        <w:spacing w:after="0" w:line="146" w:lineRule="exact"/>
        <w:rPr>
          <w:rFonts w:ascii="Arial" w:cs="Arial" w:eastAsia="Arial" w:hAnsi="Arial"/>
          <w:sz w:val="19"/>
          <w:szCs w:val="19"/>
          <w:color w:val="auto"/>
        </w:rPr>
      </w:pPr>
    </w:p>
    <w:p>
      <w:pPr>
        <w:ind w:left="584" w:hanging="584"/>
        <w:spacing w:after="0"/>
        <w:tabs>
          <w:tab w:leader="none" w:pos="58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111" w:lineRule="exact"/>
        <w:rPr>
          <w:rFonts w:ascii="Arial" w:cs="Arial" w:eastAsia="Arial" w:hAnsi="Arial"/>
          <w:sz w:val="22"/>
          <w:szCs w:val="22"/>
          <w:color w:val="auto"/>
        </w:rPr>
      </w:pPr>
    </w:p>
    <w:p>
      <w:pPr>
        <w:ind w:left="564" w:hanging="564"/>
        <w:spacing w:after="0"/>
        <w:tabs>
          <w:tab w:leader="none" w:pos="56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111" w:lineRule="exact"/>
        <w:rPr>
          <w:rFonts w:ascii="Arial" w:cs="Arial" w:eastAsia="Arial" w:hAnsi="Arial"/>
          <w:sz w:val="22"/>
          <w:szCs w:val="22"/>
          <w:color w:val="auto"/>
        </w:rPr>
      </w:pPr>
    </w:p>
    <w:p>
      <w:pPr>
        <w:ind w:left="584" w:hanging="584"/>
        <w:spacing w:after="0"/>
        <w:tabs>
          <w:tab w:leader="none" w:pos="58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111" w:lineRule="exact"/>
        <w:rPr>
          <w:rFonts w:ascii="Arial" w:cs="Arial" w:eastAsia="Arial" w:hAnsi="Arial"/>
          <w:sz w:val="22"/>
          <w:szCs w:val="22"/>
          <w:color w:val="auto"/>
        </w:rPr>
      </w:pPr>
    </w:p>
    <w:p>
      <w:pPr>
        <w:ind w:left="584" w:hanging="584"/>
        <w:spacing w:after="0"/>
        <w:tabs>
          <w:tab w:leader="none" w:pos="58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See subsection (7) above.</w:t>
      </w:r>
    </w:p>
    <w:p>
      <w:pPr>
        <w:spacing w:after="0" w:line="111" w:lineRule="exact"/>
        <w:rPr>
          <w:rFonts w:ascii="Arial" w:cs="Arial" w:eastAsia="Arial" w:hAnsi="Arial"/>
          <w:sz w:val="22"/>
          <w:szCs w:val="22"/>
          <w:color w:val="auto"/>
        </w:rPr>
      </w:pPr>
    </w:p>
    <w:p>
      <w:pPr>
        <w:ind w:left="584" w:hanging="584"/>
        <w:spacing w:after="0"/>
        <w:tabs>
          <w:tab w:leader="none" w:pos="58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111" w:lineRule="exact"/>
        <w:rPr>
          <w:rFonts w:ascii="Arial" w:cs="Arial" w:eastAsia="Arial" w:hAnsi="Arial"/>
          <w:sz w:val="22"/>
          <w:szCs w:val="22"/>
          <w:color w:val="auto"/>
        </w:rPr>
      </w:pPr>
    </w:p>
    <w:p>
      <w:pPr>
        <w:ind w:left="584" w:hanging="584"/>
        <w:spacing w:after="0"/>
        <w:tabs>
          <w:tab w:leader="none" w:pos="58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111" w:lineRule="exact"/>
        <w:rPr>
          <w:rFonts w:ascii="Arial" w:cs="Arial" w:eastAsia="Arial" w:hAnsi="Arial"/>
          <w:sz w:val="22"/>
          <w:szCs w:val="22"/>
          <w:color w:val="auto"/>
        </w:rPr>
      </w:pPr>
    </w:p>
    <w:p>
      <w:pPr>
        <w:ind w:left="584" w:hanging="584"/>
        <w:spacing w:after="0"/>
        <w:tabs>
          <w:tab w:leader="none" w:pos="58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111" w:lineRule="exact"/>
        <w:rPr>
          <w:rFonts w:ascii="Arial" w:cs="Arial" w:eastAsia="Arial" w:hAnsi="Arial"/>
          <w:sz w:val="22"/>
          <w:szCs w:val="22"/>
          <w:color w:val="auto"/>
        </w:rPr>
      </w:pPr>
    </w:p>
    <w:p>
      <w:pPr>
        <w:jc w:val="both"/>
        <w:ind w:left="4" w:hanging="4"/>
        <w:spacing w:after="0" w:line="247" w:lineRule="auto"/>
        <w:tabs>
          <w:tab w:leader="none" w:pos="63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Bonds shall be issuable in whole or in part in the form of one or more Global Securities (as defined below). The Depository Trust Company shall initially serve as Depositary (as defined below) with respect to the Global Securities. “Depositary” means, with respect to Securities of any series issuable in whole or in part in the form of one or more Global Securities, a clearing agency registered under the Exchange Act that is designated to act as depositary for such Securities. “Global Security” means a Security that evidences all or part of the Securities of a series and bears a legend in substantially the following form:</w:t>
      </w:r>
    </w:p>
    <w:p>
      <w:pPr>
        <w:spacing w:after="0" w:line="85" w:lineRule="exact"/>
        <w:rPr>
          <w:sz w:val="20"/>
          <w:szCs w:val="20"/>
          <w:color w:val="auto"/>
        </w:rPr>
      </w:pPr>
    </w:p>
    <w:p>
      <w:pPr>
        <w:jc w:val="both"/>
        <w:ind w:left="644"/>
        <w:spacing w:after="0" w:line="246" w:lineRule="auto"/>
        <w:rPr>
          <w:sz w:val="20"/>
          <w:szCs w:val="20"/>
          <w:color w:val="auto"/>
        </w:rPr>
      </w:pPr>
      <w:r>
        <w:rPr>
          <w:rFonts w:ascii="Arial" w:cs="Arial" w:eastAsia="Arial" w:hAnsi="Arial"/>
          <w:sz w:val="22"/>
          <w:szCs w:val="22"/>
          <w:color w:val="auto"/>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88"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The provisions of Clauses (1), (2), (3) and (4) below shall apply only to Global Securities:</w:t>
      </w:r>
    </w:p>
    <w:p>
      <w:pPr>
        <w:spacing w:after="0" w:line="112" w:lineRule="exact"/>
        <w:rPr>
          <w:sz w:val="20"/>
          <w:szCs w:val="20"/>
          <w:color w:val="auto"/>
        </w:rPr>
      </w:pPr>
    </w:p>
    <w:p>
      <w:pPr>
        <w:jc w:val="both"/>
        <w:ind w:left="4" w:firstLine="644"/>
        <w:spacing w:after="0" w:line="312" w:lineRule="auto"/>
        <w:tabs>
          <w:tab w:leader="none" w:pos="99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Each Global Security authenticated under the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the Indenture.</w:t>
      </w:r>
    </w:p>
    <w:p>
      <w:pPr>
        <w:spacing w:after="0" w:line="25" w:lineRule="exact"/>
        <w:rPr>
          <w:rFonts w:ascii="Arial" w:cs="Arial" w:eastAsia="Arial" w:hAnsi="Arial"/>
          <w:sz w:val="19"/>
          <w:szCs w:val="19"/>
          <w:color w:val="auto"/>
        </w:rPr>
      </w:pPr>
    </w:p>
    <w:p>
      <w:pPr>
        <w:ind w:left="4" w:firstLine="644"/>
        <w:spacing w:after="0" w:line="263" w:lineRule="auto"/>
        <w:tabs>
          <w:tab w:leader="none" w:pos="97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Notwithstanding any other provision in the Indenture, no Global Security may be exchanged in whole or in part for Securities registered, and no transfer of a Global Security</w:t>
      </w:r>
    </w:p>
    <w:p>
      <w:pPr>
        <w:spacing w:after="0" w:line="272"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584"/>
          </w:cols>
          <w:pgMar w:left="976" w:top="604" w:right="339" w:bottom="1440" w:gutter="0" w:footer="0" w:header="0"/>
        </w:sectPr>
      </w:pPr>
    </w:p>
    <w:bookmarkStart w:id="123" w:name="page124"/>
    <w:bookmarkEnd w:id="123"/>
    <w:p>
      <w:pPr>
        <w:jc w:val="both"/>
        <w:ind w:left="660"/>
        <w:spacing w:after="0" w:line="292" w:lineRule="auto"/>
        <w:rPr>
          <w:sz w:val="20"/>
          <w:szCs w:val="20"/>
          <w:color w:val="auto"/>
        </w:rPr>
      </w:pPr>
      <w:r>
        <w:rPr>
          <w:rFonts w:ascii="Arial" w:cs="Arial" w:eastAsia="Arial" w:hAnsi="Arial"/>
          <w:sz w:val="19"/>
          <w:szCs w:val="19"/>
          <w:color w:val="auto"/>
        </w:rPr>
        <w:t>in whole or in part may be registered, in the name of any Person other than the Depositary for such Global Security or a nominee thereof unless (A) the Company has notified the Trustee that the Depositary is unwilling or unable to continue as Depositary for such Global Security, the Depositary defaults in the performance of its duties as Depositary, or the Depositary has ceased to be a clearing agency registered under the Exchange Act, in each case, unless the Company has approved a successor Depositary within 90 days, (B) the Company in its sole discretion determines that such Global Security will be so exchangeable or transferable or (C) there shall exist such circumstances, if any, in addition to or in lieu of the foregoing as have been specified for this purpose as contemplated by the Indenture.</w:t>
      </w:r>
    </w:p>
    <w:p>
      <w:pPr>
        <w:spacing w:after="0" w:line="43" w:lineRule="exact"/>
        <w:rPr>
          <w:sz w:val="20"/>
          <w:szCs w:val="20"/>
          <w:color w:val="auto"/>
        </w:rPr>
      </w:pPr>
    </w:p>
    <w:p>
      <w:pPr>
        <w:jc w:val="both"/>
        <w:ind w:left="660" w:firstLine="644"/>
        <w:spacing w:after="0" w:line="253" w:lineRule="auto"/>
        <w:tabs>
          <w:tab w:leader="none" w:pos="1623" w:val="left"/>
        </w:tabs>
        <w:numPr>
          <w:ilvl w:val="2"/>
          <w:numId w:val="103"/>
        </w:numPr>
        <w:rPr>
          <w:rFonts w:ascii="Arial" w:cs="Arial" w:eastAsia="Arial" w:hAnsi="Arial"/>
          <w:sz w:val="22"/>
          <w:szCs w:val="22"/>
          <w:color w:val="auto"/>
        </w:rPr>
      </w:pPr>
      <w:r>
        <w:rPr>
          <w:rFonts w:ascii="Arial" w:cs="Arial" w:eastAsia="Arial" w:hAnsi="Arial"/>
          <w:sz w:val="22"/>
          <w:szCs w:val="22"/>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77" w:lineRule="exact"/>
        <w:rPr>
          <w:rFonts w:ascii="Arial" w:cs="Arial" w:eastAsia="Arial" w:hAnsi="Arial"/>
          <w:sz w:val="22"/>
          <w:szCs w:val="22"/>
          <w:color w:val="auto"/>
        </w:rPr>
      </w:pPr>
    </w:p>
    <w:p>
      <w:pPr>
        <w:jc w:val="both"/>
        <w:ind w:left="660" w:firstLine="644"/>
        <w:spacing w:after="0" w:line="302" w:lineRule="auto"/>
        <w:tabs>
          <w:tab w:leader="none" w:pos="1627" w:val="left"/>
        </w:tabs>
        <w:numPr>
          <w:ilvl w:val="2"/>
          <w:numId w:val="103"/>
        </w:numPr>
        <w:rPr>
          <w:rFonts w:ascii="Arial" w:cs="Arial" w:eastAsia="Arial" w:hAnsi="Arial"/>
          <w:sz w:val="19"/>
          <w:szCs w:val="19"/>
          <w:color w:val="auto"/>
        </w:rPr>
      </w:pPr>
      <w:r>
        <w:rPr>
          <w:rFonts w:ascii="Arial" w:cs="Arial" w:eastAsia="Arial" w:hAnsi="Arial"/>
          <w:sz w:val="19"/>
          <w:szCs w:val="19"/>
          <w:color w:val="auto"/>
        </w:rPr>
        <w:t>Every Security authenticated and delivered upon registration of transfer of, or in exchange for or in lieu of, a Global Security or any portion thereof, whether pursuant to Sections 304, 305, 306, 507 or 1406 of the Indenture or otherwise, shall be authenticated and delivered in the form of, and shall be, a Global Security, unless such Security is registered in the name of a Person other than the Depositary for such Global Security or a nominee thereof.</w:t>
      </w:r>
    </w:p>
    <w:p>
      <w:pPr>
        <w:spacing w:after="0" w:line="34" w:lineRule="exact"/>
        <w:rPr>
          <w:rFonts w:ascii="Arial" w:cs="Arial" w:eastAsia="Arial" w:hAnsi="Arial"/>
          <w:sz w:val="19"/>
          <w:szCs w:val="19"/>
          <w:color w:val="auto"/>
        </w:rPr>
      </w:pPr>
    </w:p>
    <w:p>
      <w:pPr>
        <w:ind w:left="1240" w:hanging="584"/>
        <w:spacing w:after="0"/>
        <w:tabs>
          <w:tab w:leader="none" w:pos="12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111" w:lineRule="exact"/>
        <w:rPr>
          <w:rFonts w:ascii="Arial" w:cs="Arial" w:eastAsia="Arial" w:hAnsi="Arial"/>
          <w:sz w:val="22"/>
          <w:szCs w:val="22"/>
          <w:color w:val="auto"/>
        </w:rPr>
      </w:pPr>
    </w:p>
    <w:p>
      <w:pPr>
        <w:ind w:left="1240" w:hanging="584"/>
        <w:spacing w:after="0"/>
        <w:tabs>
          <w:tab w:leader="none" w:pos="12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111" w:lineRule="exact"/>
        <w:rPr>
          <w:rFonts w:ascii="Arial" w:cs="Arial" w:eastAsia="Arial" w:hAnsi="Arial"/>
          <w:sz w:val="22"/>
          <w:szCs w:val="22"/>
          <w:color w:val="auto"/>
        </w:rPr>
      </w:pPr>
    </w:p>
    <w:p>
      <w:pPr>
        <w:jc w:val="both"/>
        <w:ind w:left="660" w:hanging="4"/>
        <w:spacing w:after="0" w:line="253" w:lineRule="auto"/>
        <w:tabs>
          <w:tab w:leader="none" w:pos="1408" w:val="left"/>
        </w:tabs>
        <w:numPr>
          <w:ilvl w:val="1"/>
          <w:numId w:val="104"/>
        </w:numPr>
        <w:rPr>
          <w:rFonts w:ascii="Arial" w:cs="Arial" w:eastAsia="Arial" w:hAnsi="Arial"/>
          <w:sz w:val="22"/>
          <w:szCs w:val="22"/>
          <w:color w:val="auto"/>
        </w:rPr>
      </w:pPr>
      <w:r>
        <w:rPr>
          <w:rFonts w:ascii="Arial" w:cs="Arial" w:eastAsia="Arial" w:hAnsi="Arial"/>
          <w:sz w:val="22"/>
          <w:szCs w:val="22"/>
          <w:color w:val="auto"/>
        </w:rPr>
        <w:t>For purposes of the Bonds, “Business Day” shall mean any day, other than Saturday or Sunday, on which commercial banks and foreign exchange markets are open for business, including dealings in deposits in U.S. dollars, in New York, New York.</w:t>
      </w:r>
    </w:p>
    <w:p>
      <w:pPr>
        <w:spacing w:after="0" w:line="77" w:lineRule="exact"/>
        <w:rPr>
          <w:rFonts w:ascii="Arial" w:cs="Arial" w:eastAsia="Arial" w:hAnsi="Arial"/>
          <w:sz w:val="22"/>
          <w:szCs w:val="22"/>
          <w:color w:val="auto"/>
        </w:rPr>
      </w:pPr>
    </w:p>
    <w:p>
      <w:pPr>
        <w:ind w:left="1240" w:hanging="584"/>
        <w:spacing w:after="0"/>
        <w:tabs>
          <w:tab w:leader="none" w:pos="12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111" w:lineRule="exact"/>
        <w:rPr>
          <w:rFonts w:ascii="Arial" w:cs="Arial" w:eastAsia="Arial" w:hAnsi="Arial"/>
          <w:sz w:val="22"/>
          <w:szCs w:val="22"/>
          <w:color w:val="auto"/>
        </w:rPr>
      </w:pPr>
    </w:p>
    <w:p>
      <w:pPr>
        <w:ind w:left="660" w:right="20" w:hanging="4"/>
        <w:spacing w:after="0" w:line="263" w:lineRule="auto"/>
        <w:tabs>
          <w:tab w:leader="none" w:pos="13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 xml:space="preserve">The Bonds shall have such other terms and provisions as are provided in the forms thereof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shall be issued in substantially such forms.</w:t>
      </w:r>
    </w:p>
    <w:p>
      <w:pPr>
        <w:spacing w:after="0" w:line="66" w:lineRule="exact"/>
        <w:rPr>
          <w:rFonts w:ascii="Arial" w:cs="Arial" w:eastAsia="Arial" w:hAnsi="Arial"/>
          <w:sz w:val="22"/>
          <w:szCs w:val="22"/>
          <w:color w:val="auto"/>
        </w:rPr>
      </w:pPr>
    </w:p>
    <w:p>
      <w:pPr>
        <w:jc w:val="both"/>
        <w:ind w:firstLine="8"/>
        <w:spacing w:after="0" w:line="271" w:lineRule="auto"/>
        <w:tabs>
          <w:tab w:leader="none" w:pos="395"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undersigned has read all of the covenants and conditions contained in the Indenture, and the definitions in the Indenture relating thereto, relating to the authentication, delivery and issuance of the Bonds and the execution and delivery of the Twenty-Ninth Supplemental Indenture and in respect of compliance with which this certificate is made.</w:t>
      </w:r>
    </w:p>
    <w:p>
      <w:pPr>
        <w:spacing w:after="0" w:line="59" w:lineRule="exact"/>
        <w:rPr>
          <w:rFonts w:ascii="Arial" w:cs="Arial" w:eastAsia="Arial" w:hAnsi="Arial"/>
          <w:sz w:val="21"/>
          <w:szCs w:val="21"/>
          <w:color w:val="auto"/>
        </w:rPr>
      </w:pPr>
    </w:p>
    <w:p>
      <w:pPr>
        <w:jc w:val="both"/>
        <w:ind w:firstLine="8"/>
        <w:spacing w:after="0" w:line="253" w:lineRule="auto"/>
        <w:tabs>
          <w:tab w:leader="none" w:pos="53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statements contained in this certificate are based upon the familiarity of the undersigned with the Indenture, the documents accompanying this certificate, and upon discussions by the undersigned with officers and employees of the Company familiar with the matters set forth herein.</w:t>
      </w:r>
    </w:p>
    <w:p>
      <w:pPr>
        <w:spacing w:after="0" w:line="77" w:lineRule="exact"/>
        <w:rPr>
          <w:rFonts w:ascii="Arial" w:cs="Arial" w:eastAsia="Arial" w:hAnsi="Arial"/>
          <w:sz w:val="22"/>
          <w:szCs w:val="22"/>
          <w:color w:val="auto"/>
        </w:rPr>
      </w:pPr>
    </w:p>
    <w:p>
      <w:pPr>
        <w:ind w:firstLine="8"/>
        <w:spacing w:after="0" w:line="263" w:lineRule="auto"/>
        <w:tabs>
          <w:tab w:leader="none" w:pos="38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In the opinion of the undersigned, she has made such examination or investigation as is necessary to enable her to express an informed opinion as to whether or not such covenants and conditions have been complied with.</w:t>
      </w:r>
    </w:p>
    <w:p>
      <w:pPr>
        <w:spacing w:after="0" w:line="66" w:lineRule="exact"/>
        <w:rPr>
          <w:rFonts w:ascii="Arial" w:cs="Arial" w:eastAsia="Arial" w:hAnsi="Arial"/>
          <w:sz w:val="22"/>
          <w:szCs w:val="22"/>
          <w:color w:val="auto"/>
        </w:rPr>
      </w:pPr>
    </w:p>
    <w:p>
      <w:pPr>
        <w:ind w:left="380" w:hanging="372"/>
        <w:spacing w:after="0"/>
        <w:tabs>
          <w:tab w:leader="none" w:pos="3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In the opinion of the undersigned, such conditions and covenants have been complied with.</w:t>
      </w:r>
    </w:p>
    <w:p>
      <w:pPr>
        <w:spacing w:after="0" w:line="111" w:lineRule="exact"/>
        <w:rPr>
          <w:rFonts w:ascii="Arial" w:cs="Arial" w:eastAsia="Arial" w:hAnsi="Arial"/>
          <w:sz w:val="22"/>
          <w:szCs w:val="22"/>
          <w:color w:val="auto"/>
        </w:rPr>
      </w:pPr>
    </w:p>
    <w:p>
      <w:pPr>
        <w:ind w:left="380" w:hanging="372"/>
        <w:spacing w:after="0"/>
        <w:tabs>
          <w:tab w:leader="none" w:pos="3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To my knowledge, no Event of Default has occurred and is continuing.</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604" w:right="339" w:bottom="1440" w:gutter="0" w:footer="0" w:header="0"/>
        </w:sectPr>
      </w:pPr>
    </w:p>
    <w:bookmarkStart w:id="124" w:name="page125"/>
    <w:bookmarkEnd w:id="124"/>
    <w:p>
      <w:pPr>
        <w:ind w:firstLine="8"/>
        <w:spacing w:after="0" w:line="263" w:lineRule="auto"/>
        <w:tabs>
          <w:tab w:leader="none" w:pos="485"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execution of the Twenty-Ninth Supplemental Indenture, dated as of the date hereof, between the Company and the Trustee is authorized or permitted by the Indenture.</w:t>
      </w:r>
    </w:p>
    <w:p>
      <w:pPr>
        <w:spacing w:after="0" w:line="66" w:lineRule="exact"/>
        <w:rPr>
          <w:rFonts w:ascii="Arial" w:cs="Arial" w:eastAsia="Arial" w:hAnsi="Arial"/>
          <w:sz w:val="22"/>
          <w:szCs w:val="22"/>
          <w:color w:val="auto"/>
        </w:rPr>
      </w:pPr>
    </w:p>
    <w:p>
      <w:pPr>
        <w:ind w:firstLine="8"/>
        <w:spacing w:after="0" w:line="263" w:lineRule="auto"/>
        <w:tabs>
          <w:tab w:leader="none" w:pos="39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With respect to Section 402(2)(B) of the Indenture, Property Additions of $6,060,777,469.73 are the basis for authentication and delivery of $300,000,000 aggregate principal amount of the Bonds.</w:t>
      </w:r>
    </w:p>
    <w:p>
      <w:pPr>
        <w:spacing w:after="0" w:line="66" w:lineRule="exact"/>
        <w:rPr>
          <w:rFonts w:ascii="Arial" w:cs="Arial" w:eastAsia="Arial" w:hAnsi="Arial"/>
          <w:sz w:val="22"/>
          <w:szCs w:val="22"/>
          <w:color w:val="auto"/>
        </w:rPr>
      </w:pPr>
    </w:p>
    <w:p>
      <w:pPr>
        <w:ind w:left="380" w:hanging="372"/>
        <w:spacing w:after="0"/>
        <w:tabs>
          <w:tab w:leader="none" w:pos="3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First Mortgage Collateralization Date has not occurred.</w:t>
      </w:r>
    </w:p>
    <w:p>
      <w:pPr>
        <w:spacing w:after="0" w:line="219" w:lineRule="exact"/>
        <w:rPr>
          <w:rFonts w:ascii="Arial" w:cs="Arial" w:eastAsia="Arial" w:hAnsi="Arial"/>
          <w:sz w:val="22"/>
          <w:szCs w:val="22"/>
          <w:color w:val="auto"/>
        </w:rPr>
      </w:pPr>
    </w:p>
    <w:p>
      <w:pPr>
        <w:jc w:val="both"/>
        <w:ind w:firstLine="8"/>
        <w:spacing w:after="0" w:line="297" w:lineRule="auto"/>
        <w:tabs>
          <w:tab w:leader="none" w:pos="5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No certificate of an Independent Accountant pursuant to Section 104 of the Indenture is required in connection with the authentication and delivery of the Bonds because (i) the Net Earnings Certificate covers a period different from that required to be covered by annual reports required to be filed by the Company and (ii) an Independent Accountant has provided the Company with a letter addressed to the Company containing the results of procedures on financial information included in the Net Earnings Certificate that are agreed upon by the Authorized Officer signing the Net Earnings Certificate.</w:t>
      </w:r>
    </w:p>
    <w:p>
      <w:pPr>
        <w:spacing w:after="0" w:line="146" w:lineRule="exact"/>
        <w:rPr>
          <w:rFonts w:ascii="Arial" w:cs="Arial" w:eastAsia="Arial" w:hAnsi="Arial"/>
          <w:sz w:val="19"/>
          <w:szCs w:val="19"/>
          <w:color w:val="auto"/>
        </w:rPr>
      </w:pPr>
    </w:p>
    <w:p>
      <w:pPr>
        <w:jc w:val="both"/>
        <w:ind w:firstLine="8"/>
        <w:spacing w:after="0" w:line="312" w:lineRule="auto"/>
        <w:tabs>
          <w:tab w:leader="none" w:pos="60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Pursuant to the resolutions adopted by the Sole Manager of the Company by written consent on May 29, 2020, Carla A. Kneipp, Senior Vice President – Treasury, Strategic Sourcing &amp; Logistics and Risk Management, has been named an Authorized Officer, as defined under the Indenture, including for purposes of executing the Net Earnings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604"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color w:val="auto"/>
        </w:rPr>
        <w:t>IN WITNESS WHEREOF, the undersigned has executed this Officer’s Certificate as of the date first written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Carla A. Kneipp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-17780</wp:posOffset>
            </wp:positionV>
            <wp:extent cx="1203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7">
                      <a:extLst>
                        <a:ext uri="{28A0092B-C50C-407E-A947-70E740481C1C}"/>
                      </a:extLst>
                    </a:blip>
                    <a:srcRect/>
                    <a:stretch>
                      <a:fillRect/>
                    </a:stretch>
                  </pic:blipFill>
                  <pic:spPr bwMode="auto">
                    <a:xfrm>
                      <a:off x="0" y="0"/>
                      <a:ext cx="1203960" cy="8890"/>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Carla A. Kneipp</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Senior Vice President – Treasury, Strategic Sourcing and Logistics and Risk</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Management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Received 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of the date first written above</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MELLON TRUST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NATIONAL ASSOCIATION,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/s/ Julie Hoffman-Ramos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510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8">
                      <a:extLst>
                        <a:ext uri="{28A0092B-C50C-407E-A947-70E740481C1C}"/>
                      </a:extLst>
                    </a:blip>
                    <a:srcRect/>
                    <a:stretch>
                      <a:fillRect/>
                    </a:stretch>
                  </pic:blipFill>
                  <pic:spPr bwMode="auto">
                    <a:xfrm>
                      <a:off x="0" y="0"/>
                      <a:ext cx="165100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Julie Hoffman-Ramos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Signature Page to Officer’s Certificate Under the Indenture</w:t>
      </w:r>
    </w:p>
    <w:p>
      <w:pPr>
        <w:sectPr>
          <w:pgSz w:w="11900" w:h="16838" w:orient="portrait"/>
          <w:cols w:equalWidth="0" w:num="1">
            <w:col w:w="11240"/>
          </w:cols>
          <w:pgMar w:left="320" w:top="604" w:right="339" w:bottom="144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22"/>
          <w:szCs w:val="22"/>
          <w:b w:val="1"/>
          <w:bCs w:val="1"/>
          <w:color w:val="auto"/>
        </w:rPr>
        <w:t>EXHIBIT A</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BONDS</w:t>
      </w:r>
    </w:p>
    <w:p>
      <w:pPr>
        <w:sectPr>
          <w:pgSz w:w="11900" w:h="16838" w:orient="portrait"/>
          <w:cols w:equalWidth="0" w:num="1">
            <w:col w:w="9019"/>
          </w:cols>
          <w:pgMar w:left="1440" w:top="1071" w:right="1440" w:bottom="1440" w:gutter="0" w:footer="0" w:header="0"/>
        </w:sectPr>
      </w:pPr>
    </w:p>
    <w:bookmarkStart w:id="127" w:name="page128"/>
    <w:bookmarkEnd w:id="127"/>
    <w:p>
      <w:pPr>
        <w:jc w:val="both"/>
        <w:spacing w:after="0" w:line="257" w:lineRule="auto"/>
        <w:rPr>
          <w:sz w:val="20"/>
          <w:szCs w:val="20"/>
          <w:color w:val="auto"/>
        </w:rPr>
      </w:pPr>
      <w:r>
        <w:rPr>
          <w:rFonts w:ascii="Arial" w:cs="Arial" w:eastAsia="Arial" w:hAnsi="Arial"/>
          <w:sz w:val="18"/>
          <w:szCs w:val="18"/>
          <w:color w:val="auto"/>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(“DTC”), to CenterPoint Energy Houston Electric, LLC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CENTERPOINT ENERGY HOUSTON ELECTRIC, LLC</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2.90% General Mortgage Bonds, Series AD, due 2050</w:t>
      </w:r>
    </w:p>
    <w:p>
      <w:pPr>
        <w:sectPr>
          <w:pgSz w:w="11900" w:h="16838" w:orient="portrait"/>
          <w:cols w:equalWidth="0" w:num="1">
            <w:col w:w="11240"/>
          </w:cols>
          <w:pgMar w:left="320" w:top="1070" w:right="339" w:bottom="1440" w:gutter="0" w:footer="0" w:header="0"/>
        </w:sect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Original Interest Accrual Date: June 5, 2020</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Stated Maturity: July 1, 2050</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2.90%</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Payment Dates: January 1 and July 1</w:t>
      </w:r>
    </w:p>
    <w:p>
      <w:pPr>
        <w:spacing w:after="0" w:line="9" w:lineRule="exact"/>
        <w:rPr>
          <w:sz w:val="20"/>
          <w:szCs w:val="20"/>
          <w:color w:val="auto"/>
        </w:rPr>
      </w:pPr>
    </w:p>
    <w:p>
      <w:pPr>
        <w:ind w:left="220" w:hanging="202"/>
        <w:spacing w:after="0" w:line="260" w:lineRule="auto"/>
        <w:rPr>
          <w:sz w:val="20"/>
          <w:szCs w:val="20"/>
          <w:color w:val="auto"/>
        </w:rPr>
      </w:pPr>
      <w:r>
        <w:rPr>
          <w:rFonts w:ascii="Arial" w:cs="Arial" w:eastAsia="Arial" w:hAnsi="Arial"/>
          <w:sz w:val="18"/>
          <w:szCs w:val="18"/>
          <w:color w:val="auto"/>
        </w:rPr>
        <w:t>Regular Record Dates: December 15 and June 15 immediately preceding the respective Interest Payment Date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Redeemable: Yes [X] No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Redemption Date: At any time.</w:t>
      </w:r>
    </w:p>
    <w:p>
      <w:pPr>
        <w:spacing w:after="0" w:line="9" w:lineRule="exact"/>
        <w:rPr>
          <w:sz w:val="20"/>
          <w:szCs w:val="20"/>
          <w:color w:val="auto"/>
        </w:rPr>
      </w:pPr>
    </w:p>
    <w:p>
      <w:pPr>
        <w:jc w:val="both"/>
        <w:ind w:left="280" w:right="20" w:hanging="269"/>
        <w:spacing w:after="0" w:line="285" w:lineRule="auto"/>
        <w:rPr>
          <w:sz w:val="20"/>
          <w:szCs w:val="20"/>
          <w:color w:val="auto"/>
        </w:rPr>
      </w:pPr>
      <w:r>
        <w:rPr>
          <w:rFonts w:ascii="Arial" w:cs="Arial" w:eastAsia="Arial" w:hAnsi="Arial"/>
          <w:sz w:val="16"/>
          <w:szCs w:val="16"/>
          <w:color w:val="auto"/>
        </w:rPr>
        <w:t>Redemption Price: on any date prior to January 1, 2050 at a price equal to the greater of (i) 100% of the principal amount of this Security or the portion hereof to be redeemed or (ii) the sum of the present values of the remaining scheduled payments of principal and interest on this Security or the portion thereof to be redeemed that would be due if this Security matured on January 1, 2050 but for the redemption (not including any portion of such payments of interest accrued to the Redemption Date) discounted to the Redemption Date on a semiannual basis at the applicable Treasury Rate plus 25 basis points; plus, in each case, accrued and unpaid interest to the Redemption Date on the principal amount being redeemed; or on or after January 1, 2050, at a price equal to 100% of the principal amount of this Security or the portion thereof to be redeemed plus accrued and unpaid interest to the Redemption Date on the principal amount being redeemed.</w:t>
      </w:r>
    </w:p>
    <w:p>
      <w:pPr>
        <w:spacing w:after="0" w:line="200" w:lineRule="exact"/>
        <w:rPr>
          <w:sz w:val="20"/>
          <w:szCs w:val="20"/>
          <w:color w:val="auto"/>
        </w:rPr>
      </w:pPr>
    </w:p>
    <w:p>
      <w:pPr>
        <w:sectPr>
          <w:pgSz w:w="11900" w:h="16838" w:orient="portrait"/>
          <w:cols w:equalWidth="0" w:num="2">
            <w:col w:w="5380" w:space="40"/>
            <w:col w:w="5820"/>
          </w:cols>
          <w:pgMar w:left="320" w:top="1070" w:right="339" w:bottom="1440" w:gutter="0" w:footer="0" w:header="0"/>
          <w:type w:val="continuous"/>
        </w:sectPr>
      </w:pPr>
    </w:p>
    <w:p>
      <w:pPr>
        <w:spacing w:after="0" w:line="21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This Security is not an Original Issue Discount Security</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within the meaning of the within-mentioned Indenture.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_____________________________</w:t>
      </w:r>
    </w:p>
    <w:p>
      <w:pPr>
        <w:spacing w:after="0" w:line="21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Principal Amount</w:t>
      </w:r>
      <w:r>
        <w:rPr>
          <w:sz w:val="20"/>
          <w:szCs w:val="20"/>
          <w:color w:val="auto"/>
        </w:rPr>
        <w:tab/>
      </w:r>
      <w:r>
        <w:rPr>
          <w:rFonts w:ascii="Arial" w:cs="Arial" w:eastAsia="Arial" w:hAnsi="Arial"/>
          <w:sz w:val="16"/>
          <w:szCs w:val="16"/>
          <w:color w:val="auto"/>
        </w:rPr>
        <w:t>Registered No. T-1</w:t>
      </w:r>
    </w:p>
    <w:p>
      <w:pPr>
        <w:spacing w:after="0" w:line="200" w:lineRule="exact"/>
        <w:rPr>
          <w:sz w:val="20"/>
          <w:szCs w:val="20"/>
          <w:color w:val="auto"/>
        </w:rPr>
      </w:pPr>
    </w:p>
    <w:p>
      <w:pPr>
        <w:spacing w:after="0" w:line="24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$300,000,000*</w:t>
      </w:r>
      <w:r>
        <w:rPr>
          <w:sz w:val="20"/>
          <w:szCs w:val="20"/>
          <w:color w:val="auto"/>
        </w:rPr>
        <w:tab/>
      </w:r>
      <w:r>
        <w:rPr>
          <w:rFonts w:ascii="Arial" w:cs="Arial" w:eastAsia="Arial" w:hAnsi="Arial"/>
          <w:sz w:val="17"/>
          <w:szCs w:val="17"/>
          <w:color w:val="auto"/>
        </w:rPr>
        <w:t>CUSIP 15189X AU2</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CENTERPOINT ENERGY HOUSTON ELECTRIC, LLC, a limited liability company duly organized and existing under the laws of the State of Texas (herein called the “Company,” which term includes any successor under the Indenture referred to below), for value received, hereby promises to pay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***CEDE &amp; Co.***</w:t>
      </w:r>
    </w:p>
    <w:p>
      <w:pPr>
        <w:sectPr>
          <w:pgSz w:w="11900" w:h="16838" w:orient="portrait"/>
          <w:cols w:equalWidth="0" w:num="1">
            <w:col w:w="11240"/>
          </w:cols>
          <w:pgMar w:left="320" w:top="1070" w:right="33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6"/>
          <w:szCs w:val="16"/>
          <w:color w:val="auto"/>
        </w:rPr>
        <w:t>*Reference is made to Schedule A attached hereto with respect to decreases and increases in the aggregate principal amount of Securities evidenced hereby.</w:t>
      </w:r>
    </w:p>
    <w:p>
      <w:pPr>
        <w:spacing w:after="0" w:line="217" w:lineRule="exact"/>
        <w:rPr>
          <w:sz w:val="20"/>
          <w:szCs w:val="20"/>
          <w:color w:val="auto"/>
        </w:rPr>
      </w:pPr>
    </w:p>
    <w:p>
      <w:pPr>
        <w:jc w:val="both"/>
        <w:ind w:firstLine="8"/>
        <w:spacing w:after="0" w:line="268" w:lineRule="auto"/>
        <w:tabs>
          <w:tab w:leader="none" w:pos="10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or its registered assigns, the principal sum of THREE HUNDRED MILLION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January 1, 2021, and at Maturity, at the Interest Rate per annum specified above, until the principal hereof is paid or duly provided for. The interest so payable, and paid or duly provided for, on any Interest Payment Date shall, as provided in such Indenture, be paid to the Person in whose name this Security (or one or more Predecessor Securities) is registered at the close of business on the Regular Record Date specified above (whether or not a Business Day) next preceding such Interest Payment Date. Notwithstanding the foregoing, interest payable at Maturity shall be paid to the Person to whom principal shall be paid. Except as otherwise provided in said Indenture, any such interest not so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of which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Payment of the principal of and premium, if any, on this Security and interest hereon at Maturity shall be made upon presentation of this Security at the office of the Corporate Trust Administration of The Bank of New York Mellon Trust Company, National Association, located in New York, New York or at such other office or agency as may be designated for such purpose by the Company from time to time. Payment of interest on this Security (other than interest at Maturity) shall be made by check mailed to the address of the Person entitled thereto as such address shall appear in the Security Register, except that if such Person shall be a securities depositary, such payment may be made by such other means in lieu of check, as shall be agreed upon by the Company, the Trustee and such Person. Payment of the principal of and premium, if any, and interest on this Security, as aforesaid, shall be made in such coin or currency of the United States of America as at the time of payment shall be legal tender for the payment of public and private debts.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Security is one of a duly authorized issue of securities of the Company (herein called the “Securities”), issued and issuable in one or more series under and equally secured by a General Mortgage Indenture, dated as of October 10, 2002, as supplemented and amended (such Indenture as originally executed and delivered and as supplemented or amended from time to time thereafter, together with any constituent instruments establishing the terms of particular Securities, being herein called the “Indenture”), between the Company and The Bank of New York Mellon Trust Company, National Association (successor in trust to JPMorgan Chase Bank), trustee (herein called the “Trustee,” which term includes any successor trustee under the Indenture), to which Indenture and all indentures supplemental thereto reference is hereby made for a description of the property mortgaged, pledged and held in trust, the nature and extent of the security and the respective rights, limitations of rights, duties and immunities of the Company, the Trustee and the Holders of the Securities thereunder and of the terms and conditions upon which the Securities are, and are to be, authenticated and delivered and secured. The acceptance of this Security shall be deemed to constitute the consent and agreement by the Holder hereof to all of the terms and provisions of the Indenture. This Security is one of the series designated above.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any Interest Payment Date, any Redemption Date or the Stated Maturity shall not be a Business Day (as hereinafter defined), payment of the amounts due on this Security on such date may be made on the next succeeding Business Day; and, if such payment is made or duly provided for on such Business Day, no interest shall accrue on such amounts for the period from and after such Interest Payment Date, Redemption Date or Stated Maturity, as the case may be, to such Business Day. Interest will be computed on the basis of a 360-day year of twelve 30-day months.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Security is subject to redemption, at the option of the Company, at any time or from time to time, in whole or in part, on any date prior to January 1, 2050 at a price equal to the greater of (i) 100% of the principal amount of this Security (or the portion hereof to be redeemed) or (ii) the sum of the present values of the remaining scheduled payments of principal and interest on this Security (or such portion to be redeemed) that would be due if this Security (or such</w:t>
      </w:r>
    </w:p>
    <w:p>
      <w:pPr>
        <w:sectPr>
          <w:pgSz w:w="11900" w:h="16838" w:orient="portrait"/>
          <w:cols w:equalWidth="0" w:num="1">
            <w:col w:w="11240"/>
          </w:cols>
          <w:pgMar w:left="320" w:top="602" w:right="339" w:bottom="1440" w:gutter="0" w:footer="0" w:header="0"/>
        </w:sectPr>
      </w:pPr>
    </w:p>
    <w:bookmarkStart w:id="129" w:name="page130"/>
    <w:bookmarkEnd w:id="129"/>
    <w:p>
      <w:pPr>
        <w:jc w:val="both"/>
        <w:spacing w:after="0" w:line="273" w:lineRule="auto"/>
        <w:rPr>
          <w:sz w:val="20"/>
          <w:szCs w:val="20"/>
          <w:color w:val="auto"/>
        </w:rPr>
      </w:pPr>
      <w:r>
        <w:rPr>
          <w:rFonts w:ascii="Arial" w:cs="Arial" w:eastAsia="Arial" w:hAnsi="Arial"/>
          <w:sz w:val="17"/>
          <w:szCs w:val="17"/>
          <w:color w:val="auto"/>
        </w:rPr>
        <w:t>portion to be redeemed) matured on January 1, 2050 but for the redemption (not including any portion of such payments of interest accrued to the Redemption Date) discounted to the Redemption Date on a semiannual basis (assuming a 360-day year consisting of twelve 30-day months) at the applicable Treasury Rate plus 25 basis points; plus, in each case, accrued and unpaid interest on the principal amount being redeemed to, but excluding, the Redemption Date. On or after January 1, 2050, the Company may redeem this Security, at any time or from time to time, in whole or in part, by paying 100% of the principal amount of this Security (or such portion to be redeemed) plus accrued and unpaid interest on the principal amount being redeemed to, but excluding, the Redemption Date. The Trustee shall have no responsibility for the calculation of such amount.</w:t>
      </w:r>
    </w:p>
    <w:p>
      <w:pPr>
        <w:spacing w:after="0" w:line="178" w:lineRule="exact"/>
        <w:rPr>
          <w:sz w:val="20"/>
          <w:szCs w:val="20"/>
          <w:color w:val="auto"/>
        </w:rPr>
      </w:pPr>
    </w:p>
    <w:p>
      <w:pPr>
        <w:jc w:val="both"/>
        <w:ind w:firstLine="661"/>
        <w:spacing w:after="0" w:line="288" w:lineRule="auto"/>
        <w:rPr>
          <w:sz w:val="20"/>
          <w:szCs w:val="20"/>
          <w:color w:val="auto"/>
        </w:rPr>
      </w:pPr>
      <w:r>
        <w:rPr>
          <w:rFonts w:ascii="Arial" w:cs="Arial" w:eastAsia="Arial" w:hAnsi="Arial"/>
          <w:sz w:val="16"/>
          <w:szCs w:val="16"/>
          <w:color w:val="auto"/>
        </w:rPr>
        <w:t>“Treasury Rate” means, with respect to any Redemption Date the yield calculated on the third business day preceding the Redemption Date, as follows: for the latest day that appears in the most recent statistical release published by the Board of Governors of the Federal Reserve System designated as “Selected Interest Rates (Daily) - H.15” (or any successor publication) (“H.15”) under the caption “Treasury Constant Maturities - Nominal”, the independent investment banker shall select two yields – one for the maturity immediately before and one for the maturity immediately after the remaining maturity of the notes (assuming the notes matured on January 1, 2050) – and shall interpolate on a straight-line basis using such yields; if there is no such maturity either before or after, the independent investment banker shall select the maturity closest to January 1, 2050 that appears on the release; or if such release (or any successor release) is not published during the week preceding the calculation date or does not contain such yields, the rate per annum equal to the semiannual equivalent yield to maturity of the Comparable Treasury Issue, calculated by the Independent Investment Banker using a price for the Comparable Treasury Issue (expressed as a percentage of its principal amount) equal to the Comparable Treasury Price for such Redemption Date. The Treasury Rate will be calculated by the Independent Investment Banker on the third Business Day preceding the Redemption Date.</w:t>
      </w:r>
    </w:p>
    <w:p>
      <w:pPr>
        <w:spacing w:after="0" w:line="168"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“Comparable Treasury Issue” means the U.S. Treasury security selected by an Independent Investment Banker as having an actual or interpolated maturity comparable to the remaining term (“remaining life”) of this Security to be redeemed (assuming for this purpose that this Security matured on January 1, 2050) that would be utilized, at the time of selection and in accordance with customary financial practice, in pricing new issues of corporate debt securities of comparable maturity to the remaining term of this Security.</w:t>
      </w:r>
    </w:p>
    <w:p>
      <w:pPr>
        <w:spacing w:after="0" w:line="187" w:lineRule="exact"/>
        <w:rPr>
          <w:sz w:val="20"/>
          <w:szCs w:val="20"/>
          <w:color w:val="auto"/>
        </w:rPr>
      </w:pPr>
    </w:p>
    <w:p>
      <w:pPr>
        <w:jc w:val="both"/>
        <w:ind w:firstLine="661"/>
        <w:spacing w:after="0" w:line="263" w:lineRule="auto"/>
        <w:rPr>
          <w:sz w:val="20"/>
          <w:szCs w:val="20"/>
          <w:color w:val="auto"/>
        </w:rPr>
      </w:pPr>
      <w:r>
        <w:rPr>
          <w:rFonts w:ascii="Arial" w:cs="Arial" w:eastAsia="Arial" w:hAnsi="Arial"/>
          <w:sz w:val="18"/>
          <w:szCs w:val="18"/>
          <w:color w:val="auto"/>
        </w:rPr>
        <w:t>“Comparable Treasury Price” means (1) the average of five Reference Treasury Dealer Quotations for such Redemption Date, after excluding the highest and lowest Reference Treasury Dealer Quotations, or (2) if the Independent Investment Banker obtains fewer than five such Reference Treasury Dealer Quotations, the average of all such quotations.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“Independent Investment Banker” means one of the reference treasury dealers appointed by the Company.</w:t>
      </w:r>
    </w:p>
    <w:p>
      <w:pPr>
        <w:spacing w:after="0" w:line="225"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“Reference Treasury Dealer” means each of (1) BofA Securities, Inc., RBC Capital Markets, LLC and Wells Fargo Securities, LLC and a primary U.S. government securities dealer in the United States of America (a “Primary Treasury Dealer”) designated by MUFG Securities Americas Inc. and each of their respective successors, provided, however, that if any of the foregoing shall cease to be a Primary Treasury Dealer, the Company will substitute therefor another Primary Treasury Dealer and (2) any other Primary Treasury Dealer selected by the Company after consultation with the Independent Investment Banker.</w:t>
      </w:r>
    </w:p>
    <w:p>
      <w:pPr>
        <w:spacing w:after="0" w:line="188"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Trustee, at the written direction of the Company, will send a notice of redemption to each Holder of Securities to be redeemed by first-class mail (or in accordance with the procedures of The Depository Trust Company with respect to Securities registered in the name of Cede &amp; Co.) at least 15 and not more than 60 days prior to the date fixed for redemption. Unless the Company defaults on payment of the redemption price, interest will cease to accrue on the Securities or portions thereof called for redemption on the Redemption Date. If fewer than all of the Securities of this</w:t>
      </w:r>
    </w:p>
    <w:p>
      <w:pPr>
        <w:sectPr>
          <w:pgSz w:w="11900" w:h="16838" w:orient="portrait"/>
          <w:cols w:equalWidth="0" w:num="1">
            <w:col w:w="11240"/>
          </w:cols>
          <w:pgMar w:left="320" w:top="598" w:right="339" w:bottom="1440" w:gutter="0" w:footer="0" w:header="0"/>
        </w:sectPr>
      </w:pPr>
    </w:p>
    <w:bookmarkStart w:id="130" w:name="page131"/>
    <w:bookmarkEnd w:id="130"/>
    <w:p>
      <w:pPr>
        <w:jc w:val="both"/>
        <w:spacing w:after="0" w:line="257" w:lineRule="auto"/>
        <w:rPr>
          <w:sz w:val="20"/>
          <w:szCs w:val="20"/>
          <w:color w:val="auto"/>
        </w:rPr>
      </w:pPr>
      <w:r>
        <w:rPr>
          <w:rFonts w:ascii="Arial" w:cs="Arial" w:eastAsia="Arial" w:hAnsi="Arial"/>
          <w:sz w:val="18"/>
          <w:szCs w:val="18"/>
          <w:color w:val="auto"/>
        </w:rPr>
        <w:t>series are to be redeemed, not more than 60 days prior to the Redemption Date, the particular Securities of this series or portions thereof for redemption will be selected from the outstanding Securities of this series not previously called by such method as the Trustee deems fair and appropriate. The Trustee may select for redemption Securities of this series and portions of Securities of this series in amounts of $2,000 or whole multiples of $1,000. In the case of a partial redemption of Securities registered in the name of Cede &amp; Co, the Securities to be redeemed will be determined in accordance with the procedures of The Depository Trust Company.</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The Indenture permits, with certain exceptions as therein provided, the Trustee to enter into one or more supplemental indentures for the purpose of adding any provisions to, or changing in any manner or eliminating any of the provisions of, the Indenture with the consent of the Holders of not less than a majority in aggregate principal amount of the Securities of all series then Outstanding under the Indenture, considered as one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there shall be Securities of more than one series Outstanding under the Indenture and if a proposed supplemental indenture shall directly affect the rights of the Holders of Securities of one or more, but less than all, of such series, then the consent only of the Holders of a majority in aggregate principal amount of the Outstanding Securities of all series so directly affected, considered as one class, shall be required;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the Securities of any series shall have been issued in more than one Tranche and if the proposed supplemental indenture shall directly affect the rights of the Holders of Securities of one or more, but less than all, of such Tranches, then the consent only of the Holders of a majority in aggregate principal amount of the Outstanding Securities of all Tranches so directly affected, considered as one class, shall be required;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Indenture permits the Trustee to enter into one or more supplemental indentures for limited purposes without the consent of any Holders of Securities. The Indenture also contains provisions permitting the Holders of a majority in principal amount of the Securities then Outstanding, on behalf of the Holders of all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provided in the Indenture and subject to certain limitations therein set forth, this Security or any portion of the principal amount hereof will be deemed to have been paid for all purposes of the Indenture and to be no longer Outstanding thereunder, and, at the election of the Company, the Company’s entire indebtedness in respect thereof will be satisfied and discharged, if there has been irrevocably deposited with the Trustee or any Paying Agent (other than the Company), in trust, money in an amount which will be sufficient and/or Eligible Obligations, the principal of and interest on which when due, without regard to any reinvestment thereof, will provide moneys which, together with moneys so deposited, will be sufficient to pay when due the principal of and interest on this Security when due.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in the Security Register, upon surrender of this Security for registration of transfer at the Corporate Trust Office of The Bank of New York Mellon Trust Company, National Association in New York, New York, or such other office or agency as may be designated by the Company from time to time,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of like tenor and aggregate principal amount, will be issued to the designated transferee or transferees.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Securities of this series are issuable only as registered Securities, without coupons, and in minimum denominations of $2,000 and integral multiples of $1,000 in excess thereof. As provided in the Indenture and subject to certain limitations therein set forth, Securities of this series are exchangeable for a like aggregate principal amount of Securities of the same series and Tranche, of any authorized denominations, as requested by the Holder surrendering the same, and of like tenor upon surrender of the Security or Securities to be exchanged at the office of The Bank of New York Mellon Trust Company, National Association in New York, New York, or such other office or agency as may be designated by the Company from time to time.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ectPr>
          <w:pgSz w:w="11900" w:h="16838" w:orient="portrait"/>
          <w:cols w:equalWidth="0" w:num="1">
            <w:col w:w="11240"/>
          </w:cols>
          <w:pgMar w:left="320" w:top="598" w:right="339" w:bottom="1440" w:gutter="0" w:footer="0" w:header="0"/>
        </w:sectPr>
      </w:pPr>
    </w:p>
    <w:bookmarkStart w:id="131" w:name="page132"/>
    <w:bookmarkEnd w:id="131"/>
    <w:p>
      <w:pPr>
        <w:jc w:val="both"/>
        <w:spacing w:after="0" w:line="263"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absolute owner hereof for all purposes, whether or not this Security be overdue, and neither the Company, the Trustee nor any such agent shall be affected by notice to the contrary.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are not entitled to the benefit of any sinking fund.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used herein, “Business Day” shall mean any day, other than Saturday or Sunday, on which commercial banks and foreign exchange markets are open for business, including dealings in deposits in U.S. dollars, in New York, New York. All other terms used in this Security which are defined in the Indenture shall have the meanings assigned to them in the Indenture.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provided in the Indenture, no recourse shall be had for the payment of the principal of or premium, if any, or interest on any Securities, or any part thereof, or for any claim based thereon or otherwise in respect thereof, or of the indebtedness represented thereby, or upon any obligation, covenant or agreement under the Indenture, against, and no personal liability whatsoever shall attach to, or be incurred by, any incorporator, member, manager, stockholder, officer, director or employee, as such, past, present or future of the Company or of any predecessor or successor corporation (either directly or through the Company or a predecessor or successor corporation), whether by virtue of any constitutional provision, statute or rule of law, or by the enforcement of any assessment or penalty or otherwise; it being expressly agreed and understood that the Indenture and all the Securities are solely corporate obligations and that any such personal liability is hereby expressly waived and released as a condition of, and as part of the consideration for, the execution of the Indenture and the issuance of the Securities.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or an Authenticating Agent by manual or electronic signature, this Security shall not be entitled to any benefit under the Indenture or be valid or obligatory for any purpose.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1240"/>
          </w:cols>
          <w:pgMar w:left="320" w:top="598" w:right="339" w:bottom="1440" w:gutter="0" w:footer="0" w:header="0"/>
        </w:sectPr>
      </w:pPr>
    </w:p>
    <w:bookmarkStart w:id="132" w:name="page133"/>
    <w:bookmarkEnd w:id="132"/>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38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CENTERPOINT ENERGY HOUSTON ELECTRIC, LLC</w:t>
      </w:r>
    </w:p>
    <w:p>
      <w:pPr>
        <w:sectPr>
          <w:pgSz w:w="11900" w:h="16838" w:orient="portrait"/>
          <w:cols w:equalWidth="0" w:num="1">
            <w:col w:w="11240"/>
          </w:cols>
          <w:pgMar w:left="320" w:top="598" w:right="3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Attest: ____________________________</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Vincent A. Mercaldi</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____________________________________________</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Kristie L. Colvin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Interim Executive Vice President and Chief Financial Officer and Chief Accounting</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ectPr>
          <w:pgSz w:w="11900" w:h="16838" w:orient="portrait"/>
          <w:cols w:equalWidth="0" w:num="2">
            <w:col w:w="4140" w:space="720"/>
            <w:col w:w="6380"/>
          </w:cols>
          <w:pgMar w:left="320" w:top="598"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AUTHENTICATION</w:t>
      </w:r>
    </w:p>
    <w:p>
      <w:pPr>
        <w:sectPr>
          <w:pgSz w:w="11900" w:h="16838" w:orient="portrait"/>
          <w:cols w:equalWidth="0" w:num="1">
            <w:col w:w="11240"/>
          </w:cols>
          <w:pgMar w:left="320" w:top="598" w:right="3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of Authentication: ______________, 2020</w:t>
      </w:r>
    </w:p>
    <w:p>
      <w:pPr>
        <w:spacing w:after="0" w:line="221" w:lineRule="exact"/>
        <w:rPr>
          <w:sz w:val="20"/>
          <w:szCs w:val="20"/>
          <w:color w:val="auto"/>
        </w:rPr>
      </w:pPr>
    </w:p>
    <w:p>
      <w:pPr>
        <w:ind w:left="3900" w:right="40" w:hanging="26"/>
        <w:spacing w:after="0" w:line="282" w:lineRule="auto"/>
        <w:rPr>
          <w:sz w:val="20"/>
          <w:szCs w:val="20"/>
          <w:color w:val="auto"/>
        </w:rPr>
      </w:pPr>
      <w:r>
        <w:rPr>
          <w:rFonts w:ascii="Arial" w:cs="Arial" w:eastAsia="Arial" w:hAnsi="Arial"/>
          <w:sz w:val="18"/>
          <w:szCs w:val="18"/>
          <w:b w:val="1"/>
          <w:bCs w:val="1"/>
          <w:color w:val="auto"/>
        </w:rPr>
        <w:t>THE BANK OF NEW YORK MELLON TRUST COMPANY, NATIONAL ASSOCIATION</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w:t>
      </w:r>
    </w:p>
    <w:p>
      <w:pPr>
        <w:spacing w:after="0" w:line="382"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2658745</wp:posOffset>
            </wp:positionH>
            <wp:positionV relativeFrom="paragraph">
              <wp:posOffset>-10160</wp:posOffset>
            </wp:positionV>
            <wp:extent cx="228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9">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ind w:firstLine="419"/>
        <w:spacing w:after="0" w:line="308" w:lineRule="auto"/>
        <w:rPr>
          <w:sz w:val="20"/>
          <w:szCs w:val="20"/>
          <w:color w:val="auto"/>
        </w:rPr>
      </w:pPr>
      <w:r>
        <w:rPr>
          <w:rFonts w:ascii="Arial" w:cs="Arial" w:eastAsia="Arial" w:hAnsi="Arial"/>
          <w:sz w:val="17"/>
          <w:szCs w:val="17"/>
          <w:color w:val="auto"/>
        </w:rPr>
        <w:t>The initial aggregate principal amount of Securities evidenced by the Certificate to which this Schedule is attached is $300,000,000. The notations on the following table evidence decreases and increases in the aggregate principal amount of Securities evidenced by such Certificate.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6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Aggregate Principal</w:t>
            </w:r>
          </w:p>
        </w:tc>
        <w:tc>
          <w:tcPr>
            <w:tcW w:w="1560" w:type="dxa"/>
            <w:vAlign w:val="bottom"/>
          </w:tcPr>
          <w:p>
            <w:pPr>
              <w:spacing w:after="0"/>
              <w:rPr>
                <w:sz w:val="20"/>
                <w:szCs w:val="20"/>
                <w:color w:val="auto"/>
              </w:rPr>
            </w:pPr>
          </w:p>
        </w:tc>
      </w:tr>
      <w:tr>
        <w:trPr>
          <w:trHeight w:val="270"/>
        </w:trPr>
        <w:tc>
          <w:tcPr>
            <w:tcW w:w="1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Amount of Securities</w:t>
            </w:r>
          </w:p>
        </w:tc>
        <w:tc>
          <w:tcPr>
            <w:tcW w:w="1560" w:type="dxa"/>
            <w:vAlign w:val="bottom"/>
          </w:tcPr>
          <w:p>
            <w:pPr>
              <w:spacing w:after="0"/>
              <w:rPr>
                <w:sz w:val="23"/>
                <w:szCs w:val="23"/>
                <w:color w:val="auto"/>
              </w:rPr>
            </w:pPr>
          </w:p>
        </w:tc>
      </w:tr>
      <w:tr>
        <w:trPr>
          <w:trHeight w:val="270"/>
        </w:trPr>
        <w:tc>
          <w:tcPr>
            <w:tcW w:w="1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Decrease in Aggregate</w:t>
            </w:r>
          </w:p>
        </w:tc>
        <w:tc>
          <w:tcPr>
            <w:tcW w:w="25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Increase in Aggregate</w:t>
            </w:r>
          </w:p>
        </w:tc>
        <w:tc>
          <w:tcPr>
            <w:tcW w:w="246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Remaining After</w:t>
            </w: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Notation by</w:t>
            </w:r>
          </w:p>
        </w:tc>
      </w:tr>
      <w:tr>
        <w:trPr>
          <w:trHeight w:val="270"/>
        </w:trPr>
        <w:tc>
          <w:tcPr>
            <w:tcW w:w="20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Date of</w:t>
            </w:r>
          </w:p>
        </w:tc>
        <w:tc>
          <w:tcPr>
            <w:tcW w:w="260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Principal Amount of</w:t>
            </w:r>
          </w:p>
        </w:tc>
        <w:tc>
          <w:tcPr>
            <w:tcW w:w="258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Principal Amount of</w:t>
            </w:r>
          </w:p>
        </w:tc>
        <w:tc>
          <w:tcPr>
            <w:tcW w:w="246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Such Decrease or</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Security</w:t>
            </w:r>
          </w:p>
        </w:tc>
      </w:tr>
      <w:tr>
        <w:trPr>
          <w:trHeight w:val="270"/>
        </w:trPr>
        <w:tc>
          <w:tcPr>
            <w:tcW w:w="20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Adjustment</w:t>
            </w:r>
          </w:p>
        </w:tc>
        <w:tc>
          <w:tcPr>
            <w:tcW w:w="26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Securities</w:t>
            </w:r>
          </w:p>
        </w:tc>
        <w:tc>
          <w:tcPr>
            <w:tcW w:w="258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Securities</w:t>
            </w:r>
          </w:p>
        </w:tc>
        <w:tc>
          <w:tcPr>
            <w:tcW w:w="246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Increase</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Registrar</w:t>
            </w:r>
          </w:p>
        </w:tc>
      </w:tr>
      <w:tr>
        <w:trPr>
          <w:trHeight w:val="27"/>
        </w:trPr>
        <w:tc>
          <w:tcPr>
            <w:tcW w:w="15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598" w:right="339" w:bottom="1440" w:gutter="0" w:footer="0" w:header="0"/>
          <w:type w:val="continuous"/>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31.1.1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Lesar, certify that:</w:t>
      </w:r>
    </w:p>
    <w:p>
      <w:pPr>
        <w:spacing w:after="0" w:line="225" w:lineRule="exact"/>
        <w:rPr>
          <w:sz w:val="20"/>
          <w:szCs w:val="20"/>
          <w:color w:val="auto"/>
        </w:rPr>
      </w:pPr>
    </w:p>
    <w:p>
      <w:pPr>
        <w:ind w:left="1440" w:hanging="784"/>
        <w:spacing w:after="0"/>
        <w:tabs>
          <w:tab w:leader="none" w:pos="1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43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143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91" w:lineRule="auto"/>
        <w:tabs>
          <w:tab w:leader="none" w:pos="143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jc w:val="both"/>
        <w:ind w:left="1300" w:hanging="644"/>
        <w:spacing w:after="0" w:line="263"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656"/>
        <w:spacing w:after="0" w:line="342" w:lineRule="auto"/>
        <w:tabs>
          <w:tab w:leader="none" w:pos="143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00" w:hanging="644"/>
        <w:spacing w:after="0" w:line="308" w:lineRule="auto"/>
        <w:tabs>
          <w:tab w:leader="none" w:pos="13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J. Lesar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7"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31.1.2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Lesar, certify that:</w:t>
      </w:r>
    </w:p>
    <w:p>
      <w:pPr>
        <w:spacing w:after="0" w:line="225"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43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143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91" w:lineRule="auto"/>
        <w:tabs>
          <w:tab w:leader="none" w:pos="143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jc w:val="both"/>
        <w:ind w:left="1300" w:hanging="644"/>
        <w:spacing w:after="0" w:line="263"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656"/>
        <w:spacing w:after="0" w:line="342" w:lineRule="auto"/>
        <w:tabs>
          <w:tab w:leader="none" w:pos="143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00" w:hanging="644"/>
        <w:spacing w:after="0" w:line="308" w:lineRule="auto"/>
        <w:tabs>
          <w:tab w:leader="none" w:pos="13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J. Lesar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Manager and Chairman (Principal Executive Officer)</w:t>
      </w:r>
    </w:p>
    <w:p>
      <w:pPr>
        <w:sectPr>
          <w:pgSz w:w="11900" w:h="16838" w:orient="portrait"/>
          <w:cols w:equalWidth="0" w:num="1">
            <w:col w:w="11240"/>
          </w:cols>
          <w:pgMar w:left="320" w:top="557"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31.1.3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Lesar, certify that:</w:t>
      </w:r>
    </w:p>
    <w:p>
      <w:pPr>
        <w:spacing w:after="0" w:line="225" w:lineRule="exact"/>
        <w:rPr>
          <w:sz w:val="20"/>
          <w:szCs w:val="20"/>
          <w:color w:val="auto"/>
        </w:rPr>
      </w:pPr>
    </w:p>
    <w:p>
      <w:pPr>
        <w:ind w:left="1280" w:hanging="624"/>
        <w:spacing w:after="0"/>
        <w:tabs>
          <w:tab w:leader="none" w:pos="12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25" w:lineRule="exact"/>
        <w:rPr>
          <w:rFonts w:ascii="Arial" w:cs="Arial" w:eastAsia="Arial" w:hAnsi="Arial"/>
          <w:sz w:val="18"/>
          <w:szCs w:val="18"/>
          <w:color w:val="auto"/>
        </w:rPr>
      </w:pPr>
    </w:p>
    <w:p>
      <w:pPr>
        <w:ind w:right="80" w:firstLine="656"/>
        <w:spacing w:after="0" w:line="263" w:lineRule="auto"/>
        <w:tabs>
          <w:tab w:leader="none" w:pos="127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340" w:firstLine="656"/>
        <w:spacing w:after="0" w:line="308" w:lineRule="auto"/>
        <w:tabs>
          <w:tab w:leader="none" w:pos="127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80" w:firstLine="656"/>
        <w:spacing w:after="0" w:line="291" w:lineRule="auto"/>
        <w:tabs>
          <w:tab w:leader="none" w:pos="127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ind w:left="1300" w:right="120" w:hanging="644"/>
        <w:spacing w:after="0" w:line="263"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40" w:hanging="644"/>
        <w:spacing w:after="0" w:line="263"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0" w:firstLine="656"/>
        <w:spacing w:after="0" w:line="342" w:lineRule="auto"/>
        <w:tabs>
          <w:tab w:leader="none" w:pos="127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00" w:right="460" w:hanging="644"/>
        <w:spacing w:after="0" w:line="342" w:lineRule="auto"/>
        <w:tabs>
          <w:tab w:leader="none" w:pos="13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644"/>
        <w:spacing w:after="0" w:line="277" w:lineRule="auto"/>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38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31750</wp:posOffset>
            </wp:positionV>
            <wp:extent cx="2854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David J. Lesar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557"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31.2.1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Kristie L. Colvin, certify that:</w:t>
      </w:r>
    </w:p>
    <w:p>
      <w:pPr>
        <w:spacing w:after="0" w:line="225" w:lineRule="exact"/>
        <w:rPr>
          <w:sz w:val="20"/>
          <w:szCs w:val="20"/>
          <w:color w:val="auto"/>
        </w:rPr>
      </w:pPr>
    </w:p>
    <w:p>
      <w:pPr>
        <w:ind w:left="1440" w:hanging="784"/>
        <w:spacing w:after="0"/>
        <w:tabs>
          <w:tab w:leader="none" w:pos="14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43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143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91" w:lineRule="auto"/>
        <w:tabs>
          <w:tab w:leader="none" w:pos="143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jc w:val="both"/>
        <w:ind w:left="1300" w:hanging="644"/>
        <w:spacing w:after="0" w:line="263"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656"/>
        <w:spacing w:after="0" w:line="342" w:lineRule="auto"/>
        <w:tabs>
          <w:tab w:leader="none" w:pos="143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00" w:hanging="644"/>
        <w:spacing w:after="0" w:line="308" w:lineRule="auto"/>
        <w:tabs>
          <w:tab w:leader="none" w:pos="13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Kristie L. Colvin</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Interim Executive Vice President and 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Chief Accounting Officer</w:t>
      </w:r>
    </w:p>
    <w:p>
      <w:pPr>
        <w:sectPr>
          <w:pgSz w:w="11900" w:h="16838" w:orient="portrait"/>
          <w:cols w:equalWidth="0" w:num="1">
            <w:col w:w="11240"/>
          </w:cols>
          <w:pgMar w:left="320" w:top="557"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31.2.2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Kristie L. Colvin, certify that:</w:t>
      </w:r>
    </w:p>
    <w:p>
      <w:pPr>
        <w:spacing w:after="0" w:line="225" w:lineRule="exact"/>
        <w:rPr>
          <w:sz w:val="20"/>
          <w:szCs w:val="20"/>
          <w:color w:val="auto"/>
        </w:rPr>
      </w:pPr>
    </w:p>
    <w:p>
      <w:pPr>
        <w:ind w:left="1440" w:hanging="784"/>
        <w:spacing w:after="0"/>
        <w:tabs>
          <w:tab w:leader="none" w:pos="14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43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143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91" w:lineRule="auto"/>
        <w:tabs>
          <w:tab w:leader="none" w:pos="143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jc w:val="both"/>
        <w:ind w:left="1300" w:hanging="644"/>
        <w:spacing w:after="0" w:line="263"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656"/>
        <w:spacing w:after="0" w:line="342" w:lineRule="auto"/>
        <w:tabs>
          <w:tab w:leader="none" w:pos="143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00" w:hanging="644"/>
        <w:spacing w:after="0" w:line="308" w:lineRule="auto"/>
        <w:tabs>
          <w:tab w:leader="none" w:pos="13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Kristie L. Colvin</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Interim Executive Vice President and 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Chief Accounting Officer</w:t>
      </w:r>
    </w:p>
    <w:p>
      <w:pPr>
        <w:sectPr>
          <w:pgSz w:w="11900" w:h="16838" w:orient="portrait"/>
          <w:cols w:equalWidth="0" w:num="1">
            <w:col w:w="11240"/>
          </w:cols>
          <w:pgMar w:left="320" w:top="557"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Exhibit 31.2.3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Kristie L. Colvin, certify that:</w:t>
      </w:r>
    </w:p>
    <w:p>
      <w:pPr>
        <w:spacing w:after="0" w:line="225" w:lineRule="exact"/>
        <w:rPr>
          <w:sz w:val="20"/>
          <w:szCs w:val="20"/>
          <w:color w:val="auto"/>
        </w:rPr>
      </w:pPr>
    </w:p>
    <w:p>
      <w:pPr>
        <w:ind w:left="1280" w:hanging="624"/>
        <w:spacing w:after="0"/>
        <w:tabs>
          <w:tab w:leader="none" w:pos="12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25" w:lineRule="exact"/>
        <w:rPr>
          <w:rFonts w:ascii="Arial" w:cs="Arial" w:eastAsia="Arial" w:hAnsi="Arial"/>
          <w:sz w:val="18"/>
          <w:szCs w:val="18"/>
          <w:color w:val="auto"/>
        </w:rPr>
      </w:pPr>
    </w:p>
    <w:p>
      <w:pPr>
        <w:ind w:right="80" w:firstLine="656"/>
        <w:spacing w:after="0" w:line="263" w:lineRule="auto"/>
        <w:tabs>
          <w:tab w:leader="none" w:pos="127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340" w:firstLine="656"/>
        <w:spacing w:after="0" w:line="308" w:lineRule="auto"/>
        <w:tabs>
          <w:tab w:leader="none" w:pos="127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80" w:firstLine="656"/>
        <w:spacing w:after="0" w:line="291" w:lineRule="auto"/>
        <w:tabs>
          <w:tab w:leader="none" w:pos="127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ind w:left="1300" w:right="120" w:hanging="644"/>
        <w:spacing w:after="0" w:line="263" w:lineRule="auto"/>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40" w:hanging="644"/>
        <w:spacing w:after="0" w:line="263" w:lineRule="auto"/>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0" w:firstLine="656"/>
        <w:spacing w:after="0" w:line="342" w:lineRule="auto"/>
        <w:tabs>
          <w:tab w:leader="none" w:pos="127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300" w:right="460" w:hanging="644"/>
        <w:spacing w:after="0" w:line="342" w:lineRule="auto"/>
        <w:tabs>
          <w:tab w:leader="none" w:pos="13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644"/>
        <w:spacing w:after="0" w:line="277" w:lineRule="auto"/>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38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31750</wp:posOffset>
            </wp:positionV>
            <wp:extent cx="29229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Kristie L. Colvin</w:t>
      </w:r>
    </w:p>
    <w:p>
      <w:pPr>
        <w:spacing w:after="0" w:line="279"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Interim Executive Vice President and Chief Financial Officer</w:t>
      </w:r>
    </w:p>
    <w:p>
      <w:pPr>
        <w:spacing w:after="0" w:line="7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and Chief Accounting Officer</w:t>
      </w:r>
    </w:p>
    <w:p>
      <w:pPr>
        <w:sectPr>
          <w:pgSz w:w="11900" w:h="16838" w:orient="portrait"/>
          <w:cols w:equalWidth="0" w:num="1">
            <w:col w:w="11240"/>
          </w:cols>
          <w:pgMar w:left="320" w:top="557"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32.1.1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June 30, 2020 (the “Report”), as filed with the Securities and Exchange Commission on the date hereof, I, David J. Lesar, Chief Executive Officer, certify, pursuant to 18 U.S.C. Section 1350, as adopted pursuant to Section 906 of the Sarbanes-Oxley Act of 2002, to the best of my knowledge, that:</w:t>
      </w:r>
    </w:p>
    <w:p>
      <w:pPr>
        <w:spacing w:after="0" w:line="165" w:lineRule="exact"/>
        <w:rPr>
          <w:sz w:val="20"/>
          <w:szCs w:val="20"/>
          <w:color w:val="auto"/>
        </w:rPr>
      </w:pPr>
    </w:p>
    <w:p>
      <w:pPr>
        <w:ind w:left="800" w:hanging="792"/>
        <w:spacing w:after="0"/>
        <w:tabs>
          <w:tab w:leader="none" w:pos="8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J. Lesar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6, 2020</w:t>
      </w:r>
    </w:p>
    <w:p>
      <w:pPr>
        <w:sectPr>
          <w:pgSz w:w="11900" w:h="16838" w:orient="portrait"/>
          <w:cols w:equalWidth="0" w:num="1">
            <w:col w:w="11240"/>
          </w:cols>
          <w:pgMar w:left="320" w:top="557"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32.1.2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CenterPoint Energy Houston Electric, LLC (the “Company”) on Form 10-Q for the three months ended June 30, 2020 (the “Report”), as filed with the Securities and Exchange Commission on the date hereof, I, David J. Lesar, Chairman (Principal Executive Officer), certify, pursuant to 18 U.S.C. Section 1350, as adopted pursuant to Section 906 of the Sarbanes-Oxley Act of 2002, to the best of my knowledge, that:</w:t>
      </w:r>
    </w:p>
    <w:p>
      <w:pPr>
        <w:spacing w:after="0" w:line="149" w:lineRule="exact"/>
        <w:rPr>
          <w:sz w:val="20"/>
          <w:szCs w:val="20"/>
          <w:color w:val="auto"/>
        </w:rPr>
      </w:pPr>
    </w:p>
    <w:p>
      <w:pPr>
        <w:ind w:left="800" w:hanging="792"/>
        <w:spacing w:after="0"/>
        <w:tabs>
          <w:tab w:leader="none" w:pos="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J. Lesar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6, 2020</w:t>
      </w:r>
    </w:p>
    <w:p>
      <w:pPr>
        <w:sectPr>
          <w:pgSz w:w="11900" w:h="16838" w:orient="portrait"/>
          <w:cols w:equalWidth="0" w:num="1">
            <w:col w:w="11240"/>
          </w:cols>
          <w:pgMar w:left="320" w:top="557"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32.1.3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of CenterPoint Energy Resources Corp. (the “Company”) on Form 10-Q for the three months ended June 30, 2020 (the “Report”), as filed with the Securities and Exchange Commission on the date hereof, I, David J. Lesar, Chief Executive Officer, certify, pursuant to 18 U.S.C. Section 1350, as adopted pursuant to Section 906 of the Sarbanes-Oxley Act of 2002, to the best of my knowledge, that:</w:t>
      </w:r>
    </w:p>
    <w:p>
      <w:pPr>
        <w:spacing w:after="0" w:line="165" w:lineRule="exact"/>
        <w:rPr>
          <w:sz w:val="20"/>
          <w:szCs w:val="20"/>
          <w:color w:val="auto"/>
        </w:rPr>
      </w:pPr>
    </w:p>
    <w:p>
      <w:pPr>
        <w:ind w:left="640" w:hanging="632"/>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286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J. Lesar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6, 2020</w:t>
      </w:r>
    </w:p>
    <w:p>
      <w:pPr>
        <w:sectPr>
          <w:pgSz w:w="11900" w:h="16838" w:orient="portrait"/>
          <w:cols w:equalWidth="0" w:num="1">
            <w:col w:w="11240"/>
          </w:cols>
          <w:pgMar w:left="320" w:top="557"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32.2.1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June 30, 2020 (the “Report”), as filed with the Securities and Exchange Commission on the date hereof, I, Kristie L. Colvin, Interim Chief Financial Officer, certify, pursuant to 18 U.S.C. Section 1350, as adopted pursuant to Section 906 of the Sarbanes-Oxley Act of 2002, to the best of my knowledge, that:</w:t>
      </w:r>
    </w:p>
    <w:p>
      <w:pPr>
        <w:spacing w:after="0" w:line="165" w:lineRule="exact"/>
        <w:rPr>
          <w:sz w:val="20"/>
          <w:szCs w:val="20"/>
          <w:color w:val="auto"/>
        </w:rPr>
      </w:pPr>
    </w:p>
    <w:p>
      <w:pPr>
        <w:ind w:left="800" w:hanging="792"/>
        <w:spacing w:after="0"/>
        <w:tabs>
          <w:tab w:leader="none" w:pos="8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Kristie L. Colvin</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Chief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6, 2020</w:t>
      </w:r>
    </w:p>
    <w:p>
      <w:pPr>
        <w:sectPr>
          <w:pgSz w:w="11900" w:h="16838" w:orient="portrait"/>
          <w:cols w:equalWidth="0" w:num="1">
            <w:col w:w="11240"/>
          </w:cols>
          <w:pgMar w:left="320" w:top="557"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32.2.2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CenterPoint Energy Houston Electric, LLC (the “Company”) on Form 10-Q for the three months ended June 30, 2020 (the “Report”), as filed with the Securities and Exchange Commission on the date hereof, I, Kristie L. Colvin, Interim Chief Financial Officer, certify, pursuant to 18 U.S.C. Section 1350, as adopted pursuant to Section 906 of the Sarbanes-Oxley Act of 2002, to the best of my knowledge, that:</w:t>
      </w:r>
    </w:p>
    <w:p>
      <w:pPr>
        <w:spacing w:after="0" w:line="149" w:lineRule="exact"/>
        <w:rPr>
          <w:sz w:val="20"/>
          <w:szCs w:val="20"/>
          <w:color w:val="auto"/>
        </w:rPr>
      </w:pPr>
    </w:p>
    <w:p>
      <w:pPr>
        <w:ind w:left="800" w:hanging="792"/>
        <w:spacing w:after="0"/>
        <w:tabs>
          <w:tab w:leader="none" w:pos="8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00" w:hanging="792"/>
        <w:spacing w:after="0"/>
        <w:tabs>
          <w:tab w:leader="none" w:pos="8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Kristie L. Colvin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Chief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6, 2020</w:t>
      </w:r>
    </w:p>
    <w:p>
      <w:pPr>
        <w:sectPr>
          <w:pgSz w:w="11900" w:h="16838" w:orient="portrait"/>
          <w:cols w:equalWidth="0" w:num="1">
            <w:col w:w="11240"/>
          </w:cols>
          <w:pgMar w:left="320" w:top="557"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32.2.3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connection with the Quarterly Report of CenterPoint Energy Resources Corp. (the “Company”) on Form 10-Q for the three months ended June 30, 2020 (the “Report”), as filed with the Securities and Exchange Commission on the date hereof, I, Kristie L. Colvin, Interim Chief Financial Officer, certify, pursuant to 18 U.S.C. Section 1350, as adopted pursuant to Section 906 of the Sarbanes-Oxley Act of 2002, to the best of my knowledge, that:</w:t>
      </w:r>
    </w:p>
    <w:p>
      <w:pPr>
        <w:spacing w:after="0" w:line="149" w:lineRule="exact"/>
        <w:rPr>
          <w:sz w:val="20"/>
          <w:szCs w:val="20"/>
          <w:color w:val="auto"/>
        </w:rPr>
      </w:pPr>
    </w:p>
    <w:p>
      <w:pPr>
        <w:ind w:left="640" w:hanging="632"/>
        <w:spacing w:after="0"/>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Kristie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Kristie L. Colvin</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Chief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6, 2020</w:t>
      </w:r>
    </w:p>
    <w:sectPr>
      <w:pgSz w:w="11900" w:h="16838" w:orient="portrait"/>
      <w:cols w:equalWidth="0" w:num="1">
        <w:col w:w="11240"/>
      </w:cols>
      <w:pgMar w:left="320" w:top="7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lvl w:ilvl="1">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lvl w:ilvl="1">
      <w:lvlJc w:val="left"/>
      <w:lvlText w:val="•"/>
      <w:numFmt w:val="bullet"/>
      <w:start w:val="1"/>
    </w:lvl>
  </w:abstractNum>
  <w:abstractNum w:abstractNumId="6">
    <w:nsid w:val="42C296BD"/>
    <w:multiLevelType w:val="hybridMultilevel"/>
    <w:lvl w:ilvl="0">
      <w:lvlJc w:val="left"/>
      <w:lvlText w:val="(%1)"/>
      <w:numFmt w:val="decimal"/>
      <w:start w:val="1"/>
    </w:lvl>
  </w:abstractNum>
  <w:abstractNum w:abstractNumId="7">
    <w:nsid w:val="168E121F"/>
    <w:multiLevelType w:val="hybridMultilevel"/>
    <w:lvl w:ilvl="0">
      <w:lvlJc w:val="left"/>
      <w:lvlText w:val="(%1)"/>
      <w:numFmt w:val="decimal"/>
      <w:start w:val="1"/>
    </w:lvl>
  </w:abstractNum>
  <w:abstractNum w:abstractNumId="8">
    <w:nsid w:val="1EBA5D23"/>
    <w:multiLevelType w:val="hybridMultilevel"/>
    <w:lvl w:ilvl="0">
      <w:lvlJc w:val="left"/>
      <w:lvlText w:val="%1"/>
      <w:numFmt w:val="decimal"/>
      <w:start w:val="1"/>
    </w:lvl>
    <w:lvl w:ilvl="1">
      <w:lvlJc w:val="left"/>
      <w:lvlText w:val="(%2)"/>
      <w:numFmt w:val="decimal"/>
      <w:start w:val="1"/>
    </w:lvl>
  </w:abstractNum>
  <w:abstractNum w:abstractNumId="9">
    <w:nsid w:val="661E3F1E"/>
    <w:multiLevelType w:val="hybridMultilevel"/>
    <w:lvl w:ilvl="0">
      <w:lvlJc w:val="left"/>
      <w:lvlText w:val="(%1)"/>
      <w:numFmt w:val="decimal"/>
      <w:start w:val="4"/>
    </w:lvl>
    <w:lvl w:ilvl="1">
      <w:lvlJc w:val="left"/>
      <w:lvlText w:val="%2"/>
      <w:numFmt w:val="decimal"/>
      <w:start w:val="1"/>
    </w:lvl>
  </w:abstractNum>
  <w:abstractNum w:abstractNumId="10">
    <w:nsid w:val="5DC79EA8"/>
    <w:multiLevelType w:val="hybridMultilevel"/>
    <w:lvl w:ilvl="0">
      <w:lvlJc w:val="left"/>
      <w:lvlText w:val="(%1)"/>
      <w:numFmt w:val="decimal"/>
      <w:start w:val="1"/>
    </w:lvl>
  </w:abstractNum>
  <w:abstractNum w:abstractNumId="11">
    <w:nsid w:val="540A471C"/>
    <w:multiLevelType w:val="hybridMultilevel"/>
    <w:lvl w:ilvl="0">
      <w:lvlJc w:val="left"/>
      <w:lvlText w:val="(%1)"/>
      <w:numFmt w:val="decimal"/>
      <w:start w:val="1"/>
    </w:lvl>
  </w:abstractNum>
  <w:abstractNum w:abstractNumId="12">
    <w:nsid w:val="7BD3EE7B"/>
    <w:multiLevelType w:val="hybridMultilevel"/>
    <w:lvl w:ilvl="0">
      <w:lvlJc w:val="left"/>
      <w:lvlText w:val="(%1)"/>
      <w:numFmt w:val="decimal"/>
      <w:start w:val="1"/>
    </w:lvl>
  </w:abstractNum>
  <w:abstractNum w:abstractNumId="13">
    <w:nsid w:val="51D9C564"/>
    <w:multiLevelType w:val="hybridMultilevel"/>
    <w:lvl w:ilvl="0">
      <w:lvlJc w:val="left"/>
      <w:lvlText w:val="(%1)"/>
      <w:numFmt w:val="decimal"/>
      <w:start w:val="1"/>
    </w:lvl>
  </w:abstractNum>
  <w:abstractNum w:abstractNumId="14">
    <w:nsid w:val="613EFDC5"/>
    <w:multiLevelType w:val="hybridMultilevel"/>
    <w:lvl w:ilvl="0">
      <w:lvlJc w:val="left"/>
      <w:lvlText w:val="(%1)"/>
      <w:numFmt w:val="decimal"/>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1)"/>
      <w:numFmt w:val="decimal"/>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1"/>
      <w:numFmt w:val="decimal"/>
      <w:start w:val="1"/>
    </w:lvl>
    <w:lvl w:ilvl="1">
      <w:lvlJc w:val="left"/>
      <w:lvlText w:val="(%2)"/>
      <w:numFmt w:val="decimal"/>
      <w:start w:val="1"/>
    </w:lvl>
  </w:abstractNum>
  <w:abstractNum w:abstractNumId="19">
    <w:nsid w:val="8F2B15E"/>
    <w:multiLevelType w:val="hybridMultilevel"/>
    <w:lvl w:ilvl="0">
      <w:lvlJc w:val="left"/>
      <w:lvlText w:val="(%1)"/>
      <w:numFmt w:val="decimal"/>
      <w:start w:val="9"/>
    </w:lvl>
    <w:lvl w:ilvl="1">
      <w:lvlJc w:val="left"/>
      <w:lvlText w:val="%2"/>
      <w:numFmt w:val="decimal"/>
      <w:start w:val="1"/>
    </w:lvl>
  </w:abstractNum>
  <w:abstractNum w:abstractNumId="20">
    <w:nsid w:val="1A32234B"/>
    <w:multiLevelType w:val="hybridMultilevel"/>
    <w:lvl w:ilvl="0">
      <w:lvlJc w:val="left"/>
      <w:lvlText w:val="(%1)"/>
      <w:numFmt w:val="decimal"/>
      <w:start w:val="1"/>
    </w:lvl>
  </w:abstractNum>
  <w:abstractNum w:abstractNumId="21">
    <w:nsid w:val="3B0FD379"/>
    <w:multiLevelType w:val="hybridMultilevel"/>
    <w:lvl w:ilvl="0">
      <w:lvlJc w:val="left"/>
      <w:lvlText w:val="(%1)"/>
      <w:numFmt w:val="decimal"/>
      <w:start w:val="1"/>
    </w:lvl>
  </w:abstractNum>
  <w:abstractNum w:abstractNumId="22">
    <w:nsid w:val="68EB2F63"/>
    <w:multiLevelType w:val="hybridMultilevel"/>
    <w:lvl w:ilvl="0">
      <w:lvlJc w:val="left"/>
      <w:lvlText w:val="(%1)"/>
      <w:numFmt w:val="decimal"/>
      <w:start w:val="2"/>
    </w:lvl>
  </w:abstractNum>
  <w:abstractNum w:abstractNumId="23">
    <w:nsid w:val="4962813B"/>
    <w:multiLevelType w:val="hybridMultilevel"/>
    <w:lvl w:ilvl="0">
      <w:lvlJc w:val="left"/>
      <w:lvlText w:val="(%1)"/>
      <w:numFmt w:val="decimal"/>
      <w:start w:val="1"/>
    </w:lvl>
  </w:abstractNum>
  <w:abstractNum w:abstractNumId="24">
    <w:nsid w:val="60B6DF70"/>
    <w:multiLevelType w:val="hybridMultilevel"/>
    <w:lvl w:ilvl="0">
      <w:lvlJc w:val="left"/>
      <w:lvlText w:val="%1"/>
      <w:numFmt w:val="decimal"/>
      <w:start w:val="1"/>
    </w:lvl>
    <w:lvl w:ilvl="1">
      <w:lvlJc w:val="left"/>
      <w:lvlText w:val="(%2)"/>
      <w:numFmt w:val="decimal"/>
      <w:start w:val="1"/>
    </w:lvl>
  </w:abstractNum>
  <w:abstractNum w:abstractNumId="25">
    <w:nsid w:val="6A5EE64"/>
    <w:multiLevelType w:val="hybridMultilevel"/>
    <w:lvl w:ilvl="0">
      <w:lvlJc w:val="left"/>
      <w:lvlText w:val="(%1)"/>
      <w:numFmt w:val="decimal"/>
      <w:start w:val="10"/>
    </w:lvl>
    <w:lvl w:ilvl="1">
      <w:lvlJc w:val="left"/>
      <w:lvlText w:val="%2"/>
      <w:numFmt w:val="decimal"/>
      <w:start w:val="1"/>
    </w:lvl>
  </w:abstractNum>
  <w:abstractNum w:abstractNumId="26">
    <w:nsid w:val="14330624"/>
    <w:multiLevelType w:val="hybridMultilevel"/>
    <w:lvl w:ilvl="0">
      <w:lvlJc w:val="left"/>
      <w:lvlText w:val="(%1)"/>
      <w:numFmt w:val="decimal"/>
      <w:start w:val="1"/>
    </w:lvl>
  </w:abstractNum>
  <w:abstractNum w:abstractNumId="27">
    <w:nsid w:val="7FFFCA11"/>
    <w:multiLevelType w:val="hybridMultilevel"/>
    <w:lvl w:ilvl="0">
      <w:lvlJc w:val="left"/>
      <w:lvlText w:val="(%1)"/>
      <w:numFmt w:val="decimal"/>
      <w:start w:val="1"/>
    </w:lvl>
  </w:abstractNum>
  <w:abstractNum w:abstractNumId="28">
    <w:nsid w:val="1A27709E"/>
    <w:multiLevelType w:val="hybridMultilevel"/>
    <w:lvl w:ilvl="0">
      <w:lvlJc w:val="left"/>
      <w:lvlText w:val="(%1)"/>
      <w:numFmt w:val="decimal"/>
      <w:start w:val="1"/>
    </w:lvl>
  </w:abstractNum>
  <w:abstractNum w:abstractNumId="29">
    <w:nsid w:val="71EA1109"/>
    <w:multiLevelType w:val="hybridMultilevel"/>
    <w:lvl w:ilvl="0">
      <w:lvlJc w:val="left"/>
      <w:lvlText w:val="(%1)"/>
      <w:numFmt w:val="decimal"/>
      <w:start w:val="11"/>
    </w:lvl>
    <w:lvl w:ilvl="1">
      <w:lvlJc w:val="left"/>
      <w:lvlText w:val="(%2)"/>
      <w:numFmt w:val="lowerLetter"/>
      <w:start w:val="1"/>
    </w:lvl>
  </w:abstractNum>
  <w:abstractNum w:abstractNumId="30">
    <w:nsid w:val="100F59DC"/>
    <w:multiLevelType w:val="hybridMultilevel"/>
    <w:lvl w:ilvl="0">
      <w:lvlJc w:val="left"/>
      <w:lvlText w:val="(%1)"/>
      <w:numFmt w:val="decimal"/>
      <w:start w:val="1"/>
    </w:lvl>
  </w:abstractNum>
  <w:abstractNum w:abstractNumId="31">
    <w:nsid w:val="7FB7E0AA"/>
    <w:multiLevelType w:val="hybridMultilevel"/>
    <w:lvl w:ilvl="0">
      <w:lvlJc w:val="left"/>
      <w:lvlText w:val="(%1)"/>
      <w:numFmt w:val="decimal"/>
      <w:start w:val="1"/>
    </w:lvl>
  </w:abstractNum>
  <w:abstractNum w:abstractNumId="32">
    <w:nsid w:val="6EB5BD4"/>
    <w:multiLevelType w:val="hybridMultilevel"/>
    <w:lvl w:ilvl="0">
      <w:lvlJc w:val="left"/>
      <w:lvlText w:val="(%1)"/>
      <w:numFmt w:val="decimal"/>
      <w:start w:val="1"/>
    </w:lvl>
  </w:abstractNum>
  <w:abstractNum w:abstractNumId="33">
    <w:nsid w:val="6F6DD9AC"/>
    <w:multiLevelType w:val="hybridMultilevel"/>
    <w:lvl w:ilvl="0">
      <w:lvlJc w:val="left"/>
      <w:lvlText w:val="(%1)"/>
      <w:numFmt w:val="decimal"/>
      <w:start w:val="8"/>
    </w:lvl>
  </w:abstractNum>
  <w:abstractNum w:abstractNumId="34">
    <w:nsid w:val="94211F2"/>
    <w:multiLevelType w:val="hybridMultilevel"/>
    <w:lvl w:ilvl="0">
      <w:lvlJc w:val="left"/>
      <w:lvlText w:val="(%1)"/>
      <w:numFmt w:val="decimal"/>
      <w:start w:val="14"/>
    </w:lvl>
    <w:lvl w:ilvl="1">
      <w:lvlJc w:val="left"/>
      <w:lvlText w:val="(%2)"/>
      <w:numFmt w:val="lowerLetter"/>
      <w:start w:val="1"/>
    </w:lvl>
  </w:abstractNum>
  <w:abstractNum w:abstractNumId="35">
    <w:nsid w:val="885E1B"/>
    <w:multiLevelType w:val="hybridMultilevel"/>
    <w:lvl w:ilvl="0">
      <w:lvlJc w:val="left"/>
      <w:lvlText w:val="(%1)"/>
      <w:numFmt w:val="lowerLetter"/>
      <w:start w:val="4"/>
    </w:lvl>
  </w:abstractNum>
  <w:abstractNum w:abstractNumId="36">
    <w:nsid w:val="76272110"/>
    <w:multiLevelType w:val="hybridMultilevel"/>
    <w:lvl w:ilvl="0">
      <w:lvlJc w:val="left"/>
      <w:lvlText w:val="(%1)"/>
      <w:numFmt w:val="lowerRoman"/>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1)"/>
      <w:numFmt w:val="decimal"/>
      <w:start w:val="1"/>
    </w:lvl>
  </w:abstractNum>
  <w:abstractNum w:abstractNumId="39">
    <w:nsid w:val="14E17E33"/>
    <w:multiLevelType w:val="hybridMultilevel"/>
    <w:lvl w:ilvl="0">
      <w:lvlJc w:val="left"/>
      <w:lvlText w:val="%1"/>
      <w:numFmt w:val="decimal"/>
      <w:start w:val="1"/>
    </w:lvl>
    <w:lvl w:ilvl="1">
      <w:lvlJc w:val="left"/>
      <w:lvlText w:val="(%2)"/>
      <w:numFmt w:val="decimal"/>
      <w:start w:val="4"/>
    </w:lvl>
  </w:abstractNum>
  <w:abstractNum w:abstractNumId="40">
    <w:nsid w:val="3222E7CD"/>
    <w:multiLevelType w:val="hybridMultilevel"/>
    <w:lvl w:ilvl="0">
      <w:lvlJc w:val="left"/>
      <w:lvlText w:val="(%1)"/>
      <w:numFmt w:val="decimal"/>
      <w:start w:val="16"/>
    </w:lvl>
    <w:lvl w:ilvl="1">
      <w:lvlJc w:val="left"/>
      <w:lvlText w:val="%2"/>
      <w:numFmt w:val="decimal"/>
      <w:start w:val="1"/>
    </w:lvl>
  </w:abstractNum>
  <w:abstractNum w:abstractNumId="41">
    <w:nsid w:val="74DE0EE3"/>
    <w:multiLevelType w:val="hybridMultilevel"/>
    <w:lvl w:ilvl="0">
      <w:lvlJc w:val="left"/>
      <w:lvlText w:val="•"/>
      <w:numFmt w:val="bullet"/>
      <w:start w:val="1"/>
    </w:lvl>
  </w:abstractNum>
  <w:abstractNum w:abstractNumId="42">
    <w:nsid w:val="68EBC550"/>
    <w:multiLevelType w:val="hybridMultilevel"/>
    <w:lvl w:ilvl="0">
      <w:lvlJc w:val="left"/>
      <w:lvlText w:val="(%1)"/>
      <w:numFmt w:val="decimal"/>
      <w:start w:val="1"/>
    </w:lvl>
  </w:abstractNum>
  <w:abstractNum w:abstractNumId="43">
    <w:nsid w:val="2DF6D648"/>
    <w:multiLevelType w:val="hybridMultilevel"/>
    <w:lvl w:ilvl="0">
      <w:lvlJc w:val="left"/>
      <w:lvlText w:val="(%1)"/>
      <w:numFmt w:val="decimal"/>
      <w:start w:val="4"/>
    </w:lvl>
  </w:abstractNum>
  <w:abstractNum w:abstractNumId="44">
    <w:nsid w:val="46B7D447"/>
    <w:multiLevelType w:val="hybridMultilevel"/>
    <w:lvl w:ilvl="0">
      <w:lvlJc w:val="left"/>
      <w:lvlText w:val="(%1)"/>
      <w:numFmt w:val="decimal"/>
      <w:start w:val="1"/>
    </w:lvl>
  </w:abstractNum>
  <w:abstractNum w:abstractNumId="45">
    <w:nsid w:val="4A2AC315"/>
    <w:multiLevelType w:val="hybridMultilevel"/>
    <w:lvl w:ilvl="0">
      <w:lvlJc w:val="left"/>
      <w:lvlText w:val="(%1)"/>
      <w:numFmt w:val="decimal"/>
      <w:start w:val="1"/>
    </w:lvl>
  </w:abstractNum>
  <w:abstractNum w:abstractNumId="46">
    <w:nsid w:val="39EE015C"/>
    <w:multiLevelType w:val="hybridMultilevel"/>
    <w:lvl w:ilvl="0">
      <w:lvlJc w:val="left"/>
      <w:lvlText w:val="(%1)"/>
      <w:numFmt w:val="decimal"/>
      <w:start w:val="1"/>
    </w:lvl>
  </w:abstractNum>
  <w:abstractNum w:abstractNumId="47">
    <w:nsid w:val="57FC4FBB"/>
    <w:multiLevelType w:val="hybridMultilevel"/>
    <w:lvl w:ilvl="0">
      <w:lvlJc w:val="left"/>
      <w:lvlText w:val="(%1)"/>
      <w:numFmt w:val="decimal"/>
      <w:start w:val="1"/>
    </w:lvl>
  </w:abstractNum>
  <w:abstractNum w:abstractNumId="48">
    <w:nsid w:val="CC1016F"/>
    <w:multiLevelType w:val="hybridMultilevel"/>
    <w:lvl w:ilvl="0">
      <w:lvlJc w:val="left"/>
      <w:lvlText w:val="(%1)"/>
      <w:numFmt w:val="decimal"/>
      <w:start w:val="1"/>
    </w:lvl>
  </w:abstractNum>
  <w:abstractNum w:abstractNumId="49">
    <w:nsid w:val="43F18422"/>
    <w:multiLevelType w:val="hybridMultilevel"/>
    <w:lvl w:ilvl="0">
      <w:lvlJc w:val="left"/>
      <w:lvlText w:val="(%1)"/>
      <w:numFmt w:val="decimal"/>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
      <w:numFmt w:val="bullet"/>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1)"/>
      <w:numFmt w:val="decimal"/>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1)"/>
      <w:numFmt w:val="decimal"/>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
      <w:numFmt w:val="bullet"/>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
      <w:numFmt w:val="bullet"/>
      <w:start w:val="1"/>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
      <w:numFmt w:val="bullet"/>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
      <w:numFmt w:val="bullet"/>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
      <w:numFmt w:val="bullet"/>
      <w:start w:val="1"/>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1)"/>
      <w:numFmt w:val="decimal"/>
      <w:start w:val="1"/>
    </w:lvl>
  </w:abstractNum>
  <w:abstractNum w:abstractNumId="84">
    <w:nsid w:val="53584BCB"/>
    <w:multiLevelType w:val="hybridMultilevel"/>
    <w:lvl w:ilvl="0">
      <w:lvlJc w:val="left"/>
      <w:lvlText w:val="•"/>
      <w:numFmt w:val="bullet"/>
      <w:start w:val="1"/>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
      <w:numFmt w:val="bullet"/>
      <w:start w:val="1"/>
    </w:lvl>
  </w:abstractNum>
  <w:abstractNum w:abstractNumId="88">
    <w:nsid w:val="45E6D486"/>
    <w:multiLevelType w:val="hybridMultilevel"/>
    <w:lvl w:ilvl="0">
      <w:lvlJc w:val="left"/>
      <w:lvlText w:val="•"/>
      <w:numFmt w:val="bullet"/>
      <w:start w:val="1"/>
    </w:lvl>
  </w:abstractNum>
  <w:abstractNum w:abstractNumId="89">
    <w:nsid w:val="5C10FE21"/>
    <w:multiLevelType w:val="hybridMultilevel"/>
    <w:lvl w:ilvl="0">
      <w:lvlJc w:val="left"/>
      <w:lvlText w:val="(%1)"/>
      <w:numFmt w:val="decimal"/>
      <w:start w:val="1"/>
    </w:lvl>
  </w:abstractNum>
  <w:abstractNum w:abstractNumId="90">
    <w:nsid w:val="E7FFA2B"/>
    <w:multiLevelType w:val="hybridMultilevel"/>
    <w:lvl w:ilvl="0">
      <w:lvlJc w:val="left"/>
      <w:lvlText w:val="•"/>
      <w:numFmt w:val="bullet"/>
      <w:start w:val="1"/>
    </w:lvl>
  </w:abstractNum>
  <w:abstractNum w:abstractNumId="91">
    <w:nsid w:val="3C5991AA"/>
    <w:multiLevelType w:val="hybridMultilevel"/>
    <w:lvl w:ilvl="0">
      <w:lvlJc w:val="left"/>
      <w:lvlText w:val="•"/>
      <w:numFmt w:val="bullet"/>
      <w:start w:val="1"/>
    </w:lvl>
  </w:abstractNum>
  <w:abstractNum w:abstractNumId="92">
    <w:nsid w:val="4BD8591A"/>
    <w:multiLevelType w:val="hybridMultilevel"/>
    <w:lvl w:ilvl="0">
      <w:lvlJc w:val="left"/>
      <w:lvlText w:val="(%1)"/>
      <w:numFmt w:val="decimal"/>
      <w:start w:val="1"/>
    </w:lvl>
  </w:abstractNum>
  <w:abstractNum w:abstractNumId="93">
    <w:nsid w:val="78DF6A55"/>
    <w:multiLevelType w:val="hybridMultilevel"/>
    <w:lvl w:ilvl="0">
      <w:lvlJc w:val="left"/>
      <w:lvlText w:val="(%1)"/>
      <w:numFmt w:val="decimal"/>
      <w:start w:val="1"/>
    </w:lvl>
  </w:abstractNum>
  <w:abstractNum w:abstractNumId="94">
    <w:nsid w:val="39B7AAA2"/>
    <w:multiLevelType w:val="hybridMultilevel"/>
    <w:lvl w:ilvl="0">
      <w:lvlJc w:val="left"/>
      <w:lvlText w:val="(%1)"/>
      <w:numFmt w:val="decimal"/>
      <w:start w:val="1"/>
    </w:lvl>
  </w:abstractNum>
  <w:abstractNum w:abstractNumId="95">
    <w:nsid w:val="2B0D8DBE"/>
    <w:multiLevelType w:val="hybridMultilevel"/>
    <w:lvl w:ilvl="0">
      <w:lvlJc w:val="left"/>
      <w:lvlText w:val="•"/>
      <w:numFmt w:val="bullet"/>
      <w:start w:val="1"/>
    </w:lvl>
  </w:abstractNum>
  <w:abstractNum w:abstractNumId="96">
    <w:nsid w:val="6C80EC70"/>
    <w:multiLevelType w:val="hybridMultilevel"/>
    <w:lvl w:ilvl="0">
      <w:lvlJc w:val="left"/>
      <w:lvlText w:val="•"/>
      <w:numFmt w:val="bullet"/>
      <w:start w:val="1"/>
    </w:lvl>
  </w:abstractNum>
  <w:abstractNum w:abstractNumId="97">
    <w:nsid w:val="379E21B5"/>
    <w:multiLevelType w:val="hybridMultilevel"/>
    <w:lvl w:ilvl="0">
      <w:lvlJc w:val="left"/>
      <w:lvlText w:val="*"/>
      <w:numFmt w:val="bullet"/>
      <w:start w:val="1"/>
    </w:lvl>
  </w:abstractNum>
  <w:abstractNum w:abstractNumId="98">
    <w:nsid w:val="69E373"/>
    <w:multiLevelType w:val="hybridMultilevel"/>
    <w:lvl w:ilvl="0">
      <w:lvlJc w:val="left"/>
      <w:lvlText w:val="%1."/>
      <w:numFmt w:val="decimal"/>
      <w:start w:val="1"/>
    </w:lvl>
    <w:lvl w:ilvl="1">
      <w:lvlJc w:val="left"/>
      <w:lvlText w:val="(%2)"/>
      <w:numFmt w:val="decimal"/>
      <w:start w:val="1"/>
    </w:lvl>
  </w:abstractNum>
  <w:abstractNum w:abstractNumId="99">
    <w:nsid w:val="2C27173B"/>
    <w:multiLevelType w:val="hybridMultilevel"/>
    <w:lvl w:ilvl="0">
      <w:lvlJc w:val="left"/>
      <w:lvlText w:val="(%1)"/>
      <w:numFmt w:val="decimal"/>
      <w:start w:val="5"/>
    </w:lvl>
  </w:abstractNum>
  <w:abstractNum w:abstractNumId="100">
    <w:nsid w:val="4C9B0904"/>
    <w:multiLevelType w:val="hybridMultilevel"/>
    <w:lvl w:ilvl="0">
      <w:lvlJc w:val="left"/>
      <w:lvlText w:val="(%1)"/>
      <w:numFmt w:val="decimal"/>
      <w:start w:val="8"/>
    </w:lvl>
  </w:abstractNum>
  <w:abstractNum w:abstractNumId="101">
    <w:nsid w:val="6AA7B75C"/>
    <w:multiLevelType w:val="hybridMultilevel"/>
    <w:lvl w:ilvl="0">
      <w:lvlJc w:val="left"/>
      <w:lvlText w:val="(%1)"/>
      <w:numFmt w:val="decimal"/>
      <w:start w:val="1"/>
    </w:lvl>
  </w:abstractNum>
  <w:abstractNum w:abstractNumId="102">
    <w:nsid w:val="1DF029D3"/>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abstractNum>
  <w:abstractNum w:abstractNumId="103">
    <w:nsid w:val="5675FF36"/>
    <w:multiLevelType w:val="hybridMultilevel"/>
    <w:lvl w:ilvl="0">
      <w:lvlJc w:val="left"/>
      <w:lvlText w:val="%1"/>
      <w:numFmt w:val="decimal"/>
      <w:start w:val="1"/>
    </w:lvl>
    <w:lvl w:ilvl="1">
      <w:lvlJc w:val="left"/>
      <w:lvlText w:val="(%2)"/>
      <w:numFmt w:val="decimal"/>
      <w:start w:val="18"/>
    </w:lvl>
    <w:lvl w:ilvl="2">
      <w:lvlJc w:val="left"/>
      <w:lvlText w:val="%3"/>
      <w:numFmt w:val="decimal"/>
      <w:start w:val="1"/>
    </w:lvl>
  </w:abstractNum>
  <w:abstractNum w:abstractNumId="104">
    <w:nsid w:val="3DD15094"/>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105">
    <w:nsid w:val="3DB012B3"/>
    <w:multiLevelType w:val="hybridMultilevel"/>
    <w:lvl w:ilvl="0">
      <w:lvlJc w:val="left"/>
      <w:lvlText w:val="%1."/>
      <w:numFmt w:val="decimal"/>
      <w:start w:val="7"/>
    </w:lvl>
  </w:abstractNum>
  <w:abstractNum w:abstractNumId="106">
    <w:nsid w:val="2708C9AF"/>
    <w:multiLevelType w:val="hybridMultilevel"/>
    <w:lvl w:ilvl="0">
      <w:lvlJc w:val="left"/>
      <w:lvlText w:val=","/>
      <w:numFmt w:val="bullet"/>
      <w:start w:val="1"/>
    </w:lvl>
  </w:abstractNum>
  <w:abstractNum w:abstractNumId="107">
    <w:nsid w:val="5B25ACE2"/>
    <w:multiLevelType w:val="hybridMultilevel"/>
    <w:lvl w:ilvl="0">
      <w:lvlJc w:val="left"/>
      <w:lvlText w:val="%1."/>
      <w:numFmt w:val="decimal"/>
      <w:start w:val="1"/>
    </w:lvl>
  </w:abstractNum>
  <w:abstractNum w:abstractNumId="108">
    <w:nsid w:val="175DFCF0"/>
    <w:multiLevelType w:val="hybridMultilevel"/>
    <w:lvl w:ilvl="0">
      <w:lvlJc w:val="left"/>
      <w:lvlText w:val="(%1)"/>
      <w:numFmt w:val="lowerLetter"/>
      <w:start w:val="1"/>
    </w:lvl>
  </w:abstractNum>
  <w:abstractNum w:abstractNumId="109">
    <w:nsid w:val="4F97E3E4"/>
    <w:multiLevelType w:val="hybridMultilevel"/>
    <w:lvl w:ilvl="0">
      <w:lvlJc w:val="left"/>
      <w:lvlText w:val="%1."/>
      <w:numFmt w:val="decimal"/>
      <w:start w:val="5"/>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1."/>
      <w:numFmt w:val="decimal"/>
      <w:start w:val="1"/>
    </w:lvl>
  </w:abstractNum>
  <w:abstractNum w:abstractNumId="112">
    <w:nsid w:val="5915FF32"/>
    <w:multiLevelType w:val="hybridMultilevel"/>
    <w:lvl w:ilvl="0">
      <w:lvlJc w:val="left"/>
      <w:lvlText w:val="(%1)"/>
      <w:numFmt w:val="lowerLetter"/>
      <w:start w:val="1"/>
    </w:lvl>
  </w:abstractNum>
  <w:abstractNum w:abstractNumId="113">
    <w:nsid w:val="56438D15"/>
    <w:multiLevelType w:val="hybridMultilevel"/>
    <w:lvl w:ilvl="0">
      <w:lvlJc w:val="left"/>
      <w:lvlText w:val="%1."/>
      <w:numFmt w:val="decimal"/>
      <w:start w:val="5"/>
    </w:lvl>
  </w:abstractNum>
  <w:abstractNum w:abstractNumId="114">
    <w:nsid w:val="519E3149"/>
    <w:multiLevelType w:val="hybridMultilevel"/>
    <w:lvl w:ilvl="0">
      <w:lvlJc w:val="left"/>
      <w:lvlText w:val="(%1)"/>
      <w:numFmt w:val="lowerLetter"/>
      <w:start w:val="1"/>
    </w:lvl>
  </w:abstractNum>
  <w:abstractNum w:abstractNumId="115">
    <w:nsid w:val="2C6E4AFD"/>
    <w:multiLevelType w:val="hybridMultilevel"/>
    <w:lvl w:ilvl="0">
      <w:lvlJc w:val="left"/>
      <w:lvlText w:val="%1."/>
      <w:numFmt w:val="decimal"/>
      <w:start w:val="1"/>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1."/>
      <w:numFmt w:val="decimal"/>
      <w:start w:val="5"/>
    </w:lvl>
  </w:abstractNum>
  <w:abstractNum w:abstractNumId="118">
    <w:nsid w:val="5046B5A9"/>
    <w:multiLevelType w:val="hybridMultilevel"/>
    <w:lvl w:ilvl="0">
      <w:lvlJc w:val="left"/>
      <w:lvlText w:val="(%1)"/>
      <w:numFmt w:val="lowerLetter"/>
      <w:start w:val="1"/>
    </w:lvl>
  </w:abstractNum>
  <w:abstractNum w:abstractNumId="119">
    <w:nsid w:val="5D888A08"/>
    <w:multiLevelType w:val="hybridMultilevel"/>
    <w:lvl w:ilvl="0">
      <w:lvlJc w:val="left"/>
      <w:lvlText w:val="%1."/>
      <w:numFmt w:val="decimal"/>
      <w:start w:val="1"/>
    </w:lvl>
  </w:abstractNum>
  <w:abstractNum w:abstractNumId="120">
    <w:nsid w:val="2A082C70"/>
    <w:multiLevelType w:val="hybridMultilevel"/>
    <w:lvl w:ilvl="0">
      <w:lvlJc w:val="left"/>
      <w:lvlText w:val="(%1)"/>
      <w:numFmt w:val="lowerLetter"/>
      <w:start w:val="1"/>
    </w:lvl>
  </w:abstractNum>
  <w:abstractNum w:abstractNumId="121">
    <w:nsid w:val="5EC6AFD4"/>
    <w:multiLevelType w:val="hybridMultilevel"/>
    <w:lvl w:ilvl="0">
      <w:lvlJc w:val="left"/>
      <w:lvlText w:val="%1."/>
      <w:numFmt w:val="decimal"/>
      <w:start w:val="5"/>
    </w:lvl>
  </w:abstractNum>
  <w:abstractNum w:abstractNumId="122">
    <w:nsid w:val="19E21BB2"/>
    <w:multiLevelType w:val="hybridMultilevel"/>
    <w:lvl w:ilvl="0">
      <w:lvlJc w:val="left"/>
      <w:lvlText w:val="(%1)"/>
      <w:numFmt w:val="lowerLetter"/>
      <w:start w:val="1"/>
    </w:lvl>
  </w:abstractNum>
  <w:abstractNum w:abstractNumId="123">
    <w:nsid w:val="75E0858A"/>
    <w:multiLevelType w:val="hybridMultilevel"/>
    <w:lvl w:ilvl="0">
      <w:lvlJc w:val="left"/>
      <w:lvlText w:val="%1."/>
      <w:numFmt w:val="decimal"/>
      <w:start w:val="1"/>
    </w:lvl>
  </w:abstractNum>
  <w:abstractNum w:abstractNumId="124">
    <w:nsid w:val="57A61A29"/>
    <w:multiLevelType w:val="hybridMultilevel"/>
    <w:lvl w:ilvl="0">
      <w:lvlJc w:val="left"/>
      <w:lvlText w:val="(%1)"/>
      <w:numFmt w:val="lowerLetter"/>
      <w:start w:val="1"/>
    </w:lvl>
  </w:abstractNum>
  <w:abstractNum w:abstractNumId="125">
    <w:nsid w:val="5399C654"/>
    <w:multiLevelType w:val="hybridMultilevel"/>
    <w:lvl w:ilvl="0">
      <w:lvlJc w:val="left"/>
      <w:lvlText w:val="%1."/>
      <w:numFmt w:val="decimal"/>
      <w:start w:val="5"/>
    </w:lvl>
  </w:abstractNum>
  <w:abstractNum w:abstractNumId="126">
    <w:nsid w:val="20EE1348"/>
    <w:multiLevelType w:val="hybridMultilevel"/>
    <w:lvl w:ilvl="0">
      <w:lvlJc w:val="left"/>
      <w:lvlText w:val="(%1)"/>
      <w:numFmt w:val="lowerLetter"/>
      <w:start w:val="1"/>
    </w:lvl>
  </w:abstractNum>
  <w:abstractNum w:abstractNumId="127">
    <w:nsid w:val="4427069A"/>
    <w:multiLevelType w:val="hybridMultilevel"/>
    <w:lvl w:ilvl="0">
      <w:lvlJc w:val="left"/>
      <w:lvlText w:val="%1."/>
      <w:numFmt w:val="decimal"/>
      <w:start w:val="1"/>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decimal"/>
      <w:start w:val="5"/>
    </w:lvl>
  </w:abstractNum>
  <w:abstractNum w:abstractNumId="130">
    <w:nsid w:val="704E1DD5"/>
    <w:multiLevelType w:val="hybridMultilevel"/>
    <w:lvl w:ilvl="0">
      <w:lvlJc w:val="left"/>
      <w:lvlText w:val="(%1)"/>
      <w:numFmt w:val="lowerLetter"/>
      <w:start w:val="1"/>
    </w:lvl>
  </w:abstractNum>
  <w:abstractNum w:abstractNumId="131">
    <w:nsid w:val="57D2F10E"/>
    <w:multiLevelType w:val="hybridMultilevel"/>
    <w:lvl w:ilvl="0">
      <w:lvlJc w:val="left"/>
      <w:lvlText w:val="%1."/>
      <w:numFmt w:val="decimal"/>
      <w:start w:val="1"/>
    </w:lvl>
  </w:abstractNum>
  <w:abstractNum w:abstractNumId="132">
    <w:nsid w:val="BFFAE18"/>
    <w:multiLevelType w:val="hybridMultilevel"/>
    <w:lvl w:ilvl="0">
      <w:lvlJc w:val="left"/>
      <w:lvlText w:val="%1."/>
      <w:numFmt w:val="decimal"/>
      <w:start w:val="1"/>
    </w:lvl>
  </w:abstractNum>
  <w:abstractNum w:abstractNumId="133">
    <w:nsid w:val="E3E47A8"/>
    <w:multiLevelType w:val="hybridMultilevel"/>
    <w:lvl w:ilvl="0">
      <w:lvlJc w:val="left"/>
      <w:lvlText w:val="%1."/>
      <w:numFmt w:val="decimal"/>
      <w:start w:val="1"/>
    </w:lvl>
  </w:abstractNum>
  <w:abstractNum w:abstractNumId="134">
    <w:nsid w:val="2E48F044"/>
    <w:multiLevelType w:val="hybridMultilevel"/>
    <w:lvl w:ilvl="0">
      <w:lvlJc w:val="left"/>
      <w:lvlText w:val="%1."/>
      <w:numFmt w:val="decimal"/>
      <w:start w:val="1"/>
    </w:lvl>
  </w:abstractNum>
  <w:abstractNum w:abstractNumId="135">
    <w:nsid w:val="49D0FEAC"/>
    <w:multiLevelType w:val="hybridMultilevel"/>
    <w:lvl w:ilvl="0">
      <w:lvlJc w:val="left"/>
      <w:lvlText w:val="%1."/>
      <w:numFmt w:val="decimal"/>
      <w:start w:val="1"/>
    </w:lvl>
  </w:abstractNum>
  <w:abstractNum w:abstractNumId="136">
    <w:nsid w:val="4BEE5A5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8" Type="http://schemas.openxmlformats.org/officeDocument/2006/relationships/image" Target="media/image9.png"/><Relationship Id="rId20" Type="http://schemas.openxmlformats.org/officeDocument/2006/relationships/image" Target="media/image10.png"/><Relationship Id="rId23" Type="http://schemas.openxmlformats.org/officeDocument/2006/relationships/image" Target="media/image11.png"/><Relationship Id="rId38" Type="http://schemas.openxmlformats.org/officeDocument/2006/relationships/image" Target="media/image12.png"/><Relationship Id="rId66" Type="http://schemas.openxmlformats.org/officeDocument/2006/relationships/image" Target="media/image13.png"/><Relationship Id="rId67" Type="http://schemas.openxmlformats.org/officeDocument/2006/relationships/image" Target="media/image14.png"/><Relationship Id="rId68" Type="http://schemas.openxmlformats.org/officeDocument/2006/relationships/image" Target="media/image15.png"/><Relationship Id="rId69" Type="http://schemas.openxmlformats.org/officeDocument/2006/relationships/image" Target="media/image16.png"/><Relationship Id="rId70" Type="http://schemas.openxmlformats.org/officeDocument/2006/relationships/image" Target="media/image17.png"/><Relationship Id="rId71" Type="http://schemas.openxmlformats.org/officeDocument/2006/relationships/image" Target="media/image18.png"/><Relationship Id="rId72" Type="http://schemas.openxmlformats.org/officeDocument/2006/relationships/image" Target="media/image19.png"/><Relationship Id="rId73" Type="http://schemas.openxmlformats.org/officeDocument/2006/relationships/image" Target="media/image20.png"/><Relationship Id="rId74" Type="http://schemas.openxmlformats.org/officeDocument/2006/relationships/image" Target="media/image21.png"/><Relationship Id="rId75" Type="http://schemas.openxmlformats.org/officeDocument/2006/relationships/image" Target="media/image22.png"/><Relationship Id="rId76" Type="http://schemas.openxmlformats.org/officeDocument/2006/relationships/image" Target="media/image23.png"/><Relationship Id="rId77" Type="http://schemas.openxmlformats.org/officeDocument/2006/relationships/image" Target="media/image24.png"/><Relationship Id="rId78" Type="http://schemas.openxmlformats.org/officeDocument/2006/relationships/image" Target="media/image25.png"/><Relationship Id="rId79" Type="http://schemas.openxmlformats.org/officeDocument/2006/relationships/image" Target="media/image26.png"/><Relationship Id="rId80" Type="http://schemas.openxmlformats.org/officeDocument/2006/relationships/image" Target="media/image27.png"/><Relationship Id="rId81" Type="http://schemas.openxmlformats.org/officeDocument/2006/relationships/image" Target="media/image28.png"/><Relationship Id="rId10" Type="http://schemas.openxmlformats.org/officeDocument/2006/relationships/hyperlink" Target="http://www.sec.gov/Archives/edgar/data/48732/000113031020000016/cnp10k12312019.htm#sD3793EA5412555CB914AA6CDB5D40DFC" TargetMode="External"/><Relationship Id="rId17" Type="http://schemas.openxmlformats.org/officeDocument/2006/relationships/hyperlink" Target="http://www.sec.gov/Archives/edgar/data/1130310/000119312518125804/d561804dex21.htm" TargetMode="External"/><Relationship Id="rId19" Type="http://schemas.openxmlformats.org/officeDocument/2006/relationships/hyperlink" Target="http://www.sec.gov/Archives/edgar/data/1130310/000113031020000006/exhibit21purchaseagreeme.htm" TargetMode="External"/><Relationship Id="rId21" Type="http://schemas.openxmlformats.org/officeDocument/2006/relationships/hyperlink" Target="http://www.sec.gov/Archives/edgar/data/1042773/000113031020000012/exhibit21.htm" TargetMode="External"/><Relationship Id="rId22" Type="http://schemas.openxmlformats.org/officeDocument/2006/relationships/hyperlink" Target="http://www.sec.gov/Archives/edgar/data/1130310/000113031008000004/ex3-2.htm" TargetMode="External"/><Relationship Id="rId24" Type="http://schemas.openxmlformats.org/officeDocument/2006/relationships/hyperlink" Target="http://www.sec.gov/Archives/edgar/data/48732/000113031011000048/ex3-1.htm" TargetMode="External"/><Relationship Id="rId25" Type="http://schemas.openxmlformats.org/officeDocument/2006/relationships/hyperlink" Target="http://www.sec.gov/Archives/edgar/data/1042773/0000950129-98-001585.txt" TargetMode="External"/><Relationship Id="rId26" Type="http://schemas.openxmlformats.org/officeDocument/2006/relationships/hyperlink" Target="http://www.sec.gov/Archives/edgar/data/48732/0000950129-99-001059.txt" TargetMode="External"/><Relationship Id="rId27" Type="http://schemas.openxmlformats.org/officeDocument/2006/relationships/hyperlink" Target="http://www.sec.gov/Archives/edgar/data/1042773/000095012903004183/h07971exv3wa4.txt" TargetMode="External"/><Relationship Id="rId28" Type="http://schemas.openxmlformats.org/officeDocument/2006/relationships/hyperlink" Target="http://www.sec.gov/Archives/edgar/data/1130310/000119312517056500/d354129dex31.htm" TargetMode="External"/><Relationship Id="rId29" Type="http://schemas.openxmlformats.org/officeDocument/2006/relationships/hyperlink" Target="http://www.sec.gov/Archives/edgar/data/48732/000113031011000048/ex3-2.htm" TargetMode="External"/><Relationship Id="rId30" Type="http://schemas.openxmlformats.org/officeDocument/2006/relationships/hyperlink" Target="http://www.sec.gov/Archives/edgar/data/1130310/000113031012000011/exhibit3c.htm" TargetMode="External"/><Relationship Id="rId31" Type="http://schemas.openxmlformats.org/officeDocument/2006/relationships/hyperlink" Target="http://www.sec.gov/Archives/edgar/data/1130310/000119312518256372/d601681dex31.htm" TargetMode="External"/><Relationship Id="rId32" Type="http://schemas.openxmlformats.org/officeDocument/2006/relationships/hyperlink" Target="http://www.sec.gov/Archives/edgar/data/1130310/000119312518288531/d589550dex31.htm" TargetMode="External"/><Relationship Id="rId33" Type="http://schemas.openxmlformats.org/officeDocument/2006/relationships/hyperlink" Target="http://www.sec.gov/Archives/edgar/data/1130310/000119312520135744/d926772dex31.htm" TargetMode="External"/><Relationship Id="rId34" Type="http://schemas.openxmlformats.org/officeDocument/2006/relationships/hyperlink" Target="http://www.sec.gov/Archives/edgar/data/1130310/000095012901503771/h90625a1ex4-1.txt" TargetMode="External"/><Relationship Id="rId35" Type="http://schemas.openxmlformats.org/officeDocument/2006/relationships/hyperlink" Target="http://www.sec.gov/Archives/edgar/data/1130310/000119312518256372/d601681dex41.htm" TargetMode="External"/><Relationship Id="rId36" Type="http://schemas.openxmlformats.org/officeDocument/2006/relationships/hyperlink" Target="http://www.sec.gov/Archives/edgar/data/1130310/000119312518288531/d589550dex42.htm" TargetMode="External"/><Relationship Id="rId37" Type="http://schemas.openxmlformats.org/officeDocument/2006/relationships/hyperlink" Target="http://www.sec.gov/Archives/edgar/data/48732/000119312516496852/d113097dex41.htm" TargetMode="External"/><Relationship Id="rId39" Type="http://schemas.openxmlformats.org/officeDocument/2006/relationships/hyperlink" Target="http://www.sec.gov/Archives/edgar/data/48732/000119312516496852/d113097dex42.htm" TargetMode="External"/><Relationship Id="rId40" Type="http://schemas.openxmlformats.org/officeDocument/2006/relationships/hyperlink" Target="http://www.sec.gov/Archives/edgar/data/48732/000119312516496852/d113097dex43.htm" TargetMode="External"/><Relationship Id="rId41" Type="http://schemas.openxmlformats.org/officeDocument/2006/relationships/hyperlink" Target="http://www.sec.gov/Archives/edgar/data/48732/000119312517207142/d415215dex41.htm" TargetMode="External"/><Relationship Id="rId42" Type="http://schemas.openxmlformats.org/officeDocument/2006/relationships/hyperlink" Target="http://www.sec.gov/Archives/edgar/data/1130310/000119312518176843/d421944dex41.htm" TargetMode="External"/><Relationship Id="rId43" Type="http://schemas.openxmlformats.org/officeDocument/2006/relationships/hyperlink" Target="http://www.sec.gov/Archives/edgar/data/48732/000119312517207142/d415215dex42.htm" TargetMode="External"/><Relationship Id="rId44" Type="http://schemas.openxmlformats.org/officeDocument/2006/relationships/hyperlink" Target="http://www.sec.gov/Archives/edgar/data/48732/000119312517207142/d415215dex43.htm" TargetMode="External"/><Relationship Id="rId45" Type="http://schemas.openxmlformats.org/officeDocument/2006/relationships/hyperlink" Target="http://www.sec.gov/Archives/edgar/data/1096385/000090883417000142/vc_8k0713ex101.htm" TargetMode="External"/><Relationship Id="rId46" Type="http://schemas.openxmlformats.org/officeDocument/2006/relationships/hyperlink" Target="http://www.sec.gov/Archives/edgar/data/1096385/000090883417000142/vc_8k0713ex102.htm" TargetMode="External"/><Relationship Id="rId47" Type="http://schemas.openxmlformats.org/officeDocument/2006/relationships/hyperlink" Target="http://www.sec.gov/Archives/edgar/data/1096385/000090883418000156/vc_8k0730ex.htm" TargetMode="External"/><Relationship Id="rId48" Type="http://schemas.openxmlformats.org/officeDocument/2006/relationships/hyperlink" Target="http://www.sec.gov/Archives/edgar/data/1096385/000090883418000163/vc_8k0914ex.htm" TargetMode="External"/><Relationship Id="rId49" Type="http://schemas.openxmlformats.org/officeDocument/2006/relationships/hyperlink" Target="http://www.sec.gov/Archives/edgar/data/48732/000113031019000028/cnpexhibit417firstamen.htm" TargetMode="External"/><Relationship Id="rId50" Type="http://schemas.openxmlformats.org/officeDocument/2006/relationships/hyperlink" Target="http://www.sec.gov/Archives/edgar/data/1130310/000119312519149468/d727379dex41.htm" TargetMode="External"/><Relationship Id="rId51" Type="http://schemas.openxmlformats.org/officeDocument/2006/relationships/hyperlink" Target="http://www.sec.gov/Archives/edgar/data/1130310/000119312520135744/d926772dex41.htm" TargetMode="External"/><Relationship Id="rId52" Type="http://schemas.openxmlformats.org/officeDocument/2006/relationships/hyperlink" Target="http://www.sec.gov/Archives/edgar/data/1130310/000119312520135744/d926772dex42.htm" TargetMode="External"/><Relationship Id="rId53" Type="http://schemas.openxmlformats.org/officeDocument/2006/relationships/hyperlink" Target="http://www.sec.gov/Archives/edgar/data/1130310/000119312520135744/d926772dex43.htm" TargetMode="External"/><Relationship Id="rId54" Type="http://schemas.openxmlformats.org/officeDocument/2006/relationships/hyperlink" Target="http://www.sec.gov/Archives/edgar/data/1130310/000119312520135744/d926772dex44.htm" TargetMode="External"/><Relationship Id="rId55" Type="http://schemas.openxmlformats.org/officeDocument/2006/relationships/hyperlink" Target="http://www.sec.gov/Archives/edgar/data/1130310/000119312520135744/d926772dex45.htm" TargetMode="External"/><Relationship Id="rId56" Type="http://schemas.openxmlformats.org/officeDocument/2006/relationships/hyperlink" Target="http://www.sec.gov/Archives/edgar/data/48732/000095012902005703/h01010exv4wj1.txt" TargetMode="External"/><Relationship Id="rId57" Type="http://schemas.openxmlformats.org/officeDocument/2006/relationships/hyperlink" Target="http://www.sec.gov/Archives/edgar/data/48732/000119312520159544/d880209dex44.htm" TargetMode="External"/><Relationship Id="rId58" Type="http://schemas.openxmlformats.org/officeDocument/2006/relationships/hyperlink" Target="http://www.sec.gov/Archives/edgar/data/48732/000113031020000016/cnpexhibit10n2123120191.htm" TargetMode="External"/><Relationship Id="rId59" Type="http://schemas.openxmlformats.org/officeDocument/2006/relationships/hyperlink" Target="http://www.sec.gov/Archives/edgar/data/48732/000113031020000033/exhibit101psuawardagre.htm" TargetMode="External"/><Relationship Id="rId60" Type="http://schemas.openxmlformats.org/officeDocument/2006/relationships/hyperlink" Target="http://www.sec.gov/Archives/edgar/data/48732/000113031020000033/exhibit102rsuawardagre.htm" TargetMode="External"/><Relationship Id="rId61" Type="http://schemas.openxmlformats.org/officeDocument/2006/relationships/hyperlink" Target="http://www.sec.gov/Archives/edgar/data/48732/000113031020000067/exhibit101offerletter.htm" TargetMode="External"/><Relationship Id="rId62" Type="http://schemas.openxmlformats.org/officeDocument/2006/relationships/hyperlink" Target="http://www.sec.gov/Archives/edgar/data/48732/000113031020000067/exhibit102ceopsu.htm" TargetMode="External"/><Relationship Id="rId63" Type="http://schemas.openxmlformats.org/officeDocument/2006/relationships/hyperlink" Target="http://www.sec.gov/Archives/edgar/data/48732/000113031020000067/exhibit103ceorsu.htm" TargetMode="External"/><Relationship Id="rId64" Type="http://schemas.openxmlformats.org/officeDocument/2006/relationships/hyperlink" Target="http://www.sec.gov/Archives/edgar/data/48732/000113031020000067/exhibit104ceoretention.htm" TargetMode="External"/><Relationship Id="rId65" Type="http://schemas.openxmlformats.org/officeDocument/2006/relationships/hyperlink" Target="http://www.sec.gov/Archives/edgar/data/1130310/000119312520135744/d92677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2020-08-06T05:31:41Z</dcterms:created>
  <dcterms:modified xsi:type="dcterms:W3CDTF">2020-08-06T05:31:41Z</dcterms:modified>
</cp:coreProperties>
</file>