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Wright Russell Keith</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CENTERPOINT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9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Borders>
              <w:top w:val="single" w:sz="8" w:color="0000EE"/>
            </w:tcBorders>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1111 LOUISIANA</w:t>
            </w:r>
          </w:p>
        </w:tc>
        <w:tc>
          <w:tcPr>
            <w:tcW w:w="1520" w:type="dxa"/>
            <w:vAlign w:val="bottom"/>
          </w:tcPr>
          <w:p>
            <w:pPr>
              <w:spacing w:after="0"/>
              <w:rPr>
                <w:sz w:val="19"/>
                <w:szCs w:val="19"/>
                <w:color w:val="auto"/>
              </w:rPr>
            </w:pP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10/30/2026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VP and CAO</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223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8,280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taxes upon vesting of time-based restricted stock units ("RSUs") previously awarded under the Issuer's Long-Term Incentive Plan (the "Plan").</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includes previous awards under the Plan of (i) 404 RSUs vesting in February 2027, (ii) 862 RSUs vesting in two equal installments in February 2027 and 2028, and (iii) 1929 RSUs vesting in three equal installments in February 2027, 2028, and 2029. The awards shall vest (a) upon continued employment with Issuer through the respective vesting date, (b) in the event of earlier disability or death, or (c) on a full or pro-rata basis upon earlier retirement, subject to satisfaction of certain conditions. Vesting of the awards is conditioned upon achievement of positive operating income for the year preceding the applicable vesting date except in the case of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Vincent A. Mercaldi,</w:t>
            </w:r>
          </w:p>
        </w:tc>
        <w:tc>
          <w:tcPr>
            <w:tcW w:w="6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8274" TargetMode="External"/><Relationship Id="rId14" Type="http://schemas.openxmlformats.org/officeDocument/2006/relationships/hyperlink" Target="http://www.sec.gov/cgi-bin/browse-edgar?action=getcompany&amp;CIK=0001130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2026-11-02T15:24:42Z</dcterms:created>
  <dcterms:modified xsi:type="dcterms:W3CDTF">2026-11-02T15:24:42Z</dcterms:modified>
</cp:coreProperties>
</file>