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alibri" w:cs="Calibri" w:eastAsia="Calibri" w:hAnsi="Calibri"/>
          <w:sz w:val="11"/>
          <w:szCs w:val="11"/>
          <w:color w:val="003366"/>
        </w:rPr>
        <w:t>TABLE OF CONTENTS</w:t>
      </w:r>
    </w:p>
    <w:p>
      <w:pPr>
        <w:spacing w:after="0" w:line="387"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May 15, 2026</w:t>
      </w:r>
    </w:p>
    <w:p>
      <w:pPr>
        <w:spacing w:after="0" w:line="28" w:lineRule="exact"/>
        <w:rPr>
          <w:sz w:val="24"/>
          <w:szCs w:val="24"/>
          <w:color w:val="auto"/>
        </w:rPr>
      </w:pPr>
    </w:p>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 xml:space="preserve">Registration Nos. 333-               </w:t>
      </w:r>
    </w:p>
    <w:p>
      <w:pPr>
        <w:spacing w:after="0" w:line="24" w:lineRule="exact"/>
        <w:rPr>
          <w:sz w:val="24"/>
          <w:szCs w:val="24"/>
          <w:color w:val="auto"/>
        </w:rPr>
      </w:pPr>
    </w:p>
    <w:p>
      <w:pPr>
        <w:ind w:left="7480"/>
        <w:spacing w:after="0"/>
        <w:rPr>
          <w:sz w:val="20"/>
          <w:szCs w:val="20"/>
          <w:color w:val="auto"/>
        </w:rPr>
      </w:pPr>
      <w:r>
        <w:rPr>
          <w:rFonts w:ascii="Times New Roman" w:cs="Times New Roman" w:eastAsia="Times New Roman" w:hAnsi="Times New Roman"/>
          <w:sz w:val="14"/>
          <w:szCs w:val="14"/>
          <w:b w:val="1"/>
          <w:bCs w:val="1"/>
          <w:color w:val="auto"/>
        </w:rPr>
        <w:t xml:space="preserve">333-               </w:t>
      </w:r>
    </w:p>
    <w:p>
      <w:pPr>
        <w:spacing w:after="0" w:line="7" w:lineRule="exact"/>
        <w:rPr>
          <w:sz w:val="24"/>
          <w:szCs w:val="24"/>
          <w:color w:val="auto"/>
        </w:rPr>
      </w:pPr>
    </w:p>
    <w:p>
      <w:pPr>
        <w:ind w:left="7520"/>
        <w:spacing w:after="0"/>
        <w:rPr>
          <w:sz w:val="20"/>
          <w:szCs w:val="20"/>
          <w:color w:val="auto"/>
        </w:rPr>
      </w:pPr>
      <w:r>
        <w:rPr>
          <w:rFonts w:ascii="Times New Roman" w:cs="Times New Roman" w:eastAsia="Times New Roman" w:hAnsi="Times New Roman"/>
          <w:sz w:val="14"/>
          <w:szCs w:val="14"/>
          <w:b w:val="1"/>
          <w:bCs w:val="1"/>
          <w:color w:val="auto"/>
        </w:rPr>
        <w:t>333-                ​</w:t>
      </w:r>
    </w:p>
    <w:p>
      <w:pPr>
        <w:spacing w:after="0" w:line="23"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3"/>
          <w:szCs w:val="3"/>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448310</wp:posOffset>
            </wp:positionH>
            <wp:positionV relativeFrom="paragraph">
              <wp:posOffset>-4445</wp:posOffset>
            </wp:positionV>
            <wp:extent cx="4824095"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4095" cy="13335"/>
                    </a:xfrm>
                    <a:prstGeom prst="rect">
                      <a:avLst/>
                    </a:prstGeom>
                    <a:noFill/>
                  </pic:spPr>
                </pic:pic>
              </a:graphicData>
            </a:graphic>
          </wp:anchor>
        </w:drawing>
        <w:drawing>
          <wp:anchor simplePos="0" relativeHeight="251657728" behindDoc="1" locked="0" layoutInCell="0" allowOverlap="1">
            <wp:simplePos x="0" y="0"/>
            <wp:positionH relativeFrom="column">
              <wp:posOffset>448310</wp:posOffset>
            </wp:positionH>
            <wp:positionV relativeFrom="paragraph">
              <wp:posOffset>41910</wp:posOffset>
            </wp:positionV>
            <wp:extent cx="48240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4095" cy="6985"/>
                    </a:xfrm>
                    <a:prstGeom prst="rect">
                      <a:avLst/>
                    </a:prstGeom>
                    <a:noFill/>
                  </pic:spPr>
                </pic:pic>
              </a:graphicData>
            </a:graphic>
          </wp:anchor>
        </w:drawing>
      </w:r>
    </w:p>
    <w:p>
      <w:pPr>
        <w:spacing w:after="0" w:line="1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2378710</wp:posOffset>
            </wp:positionH>
            <wp:positionV relativeFrom="paragraph">
              <wp:posOffset>108585</wp:posOffset>
            </wp:positionV>
            <wp:extent cx="96202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3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S-3</w:t>
      </w:r>
    </w:p>
    <w:p>
      <w:pPr>
        <w:sectPr>
          <w:pgSz w:w="11900" w:h="16838" w:orient="portrait"/>
          <w:cols w:equalWidth="0" w:num="1">
            <w:col w:w="9019"/>
          </w:cols>
          <w:pgMar w:left="1440" w:top="191"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600" w:hanging="893"/>
        <w:spacing w:after="0"/>
        <w:tabs>
          <w:tab w:leader="none" w:pos="1600" w:val="left"/>
        </w:tabs>
        <w:numPr>
          <w:ilvl w:val="0"/>
          <w:numId w:val="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Texas</w:t>
      </w:r>
    </w:p>
    <w:p>
      <w:pPr>
        <w:spacing w:after="0" w:line="23" w:lineRule="exact"/>
        <w:rPr>
          <w:rFonts w:ascii="Times New Roman" w:cs="Times New Roman" w:eastAsia="Times New Roman" w:hAnsi="Times New Roman"/>
          <w:sz w:val="14"/>
          <w:szCs w:val="14"/>
          <w:b w:val="1"/>
          <w:bCs w:val="1"/>
          <w:color w:val="auto"/>
        </w:rPr>
      </w:pPr>
    </w:p>
    <w:p>
      <w:pPr>
        <w:ind w:left="1080" w:hanging="373"/>
        <w:spacing w:after="0" w:line="192" w:lineRule="auto"/>
        <w:tabs>
          <w:tab w:leader="none" w:pos="1080" w:val="left"/>
        </w:tabs>
        <w:numPr>
          <w:ilvl w:val="0"/>
          <w:numId w:val="1"/>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8"/>
          <w:szCs w:val="8"/>
          <w:color w:val="auto"/>
        </w:rPr>
        <w:t>(State or other jurisdiction of</w:t>
      </w:r>
    </w:p>
    <w:p>
      <w:pPr>
        <w:jc w:val="right"/>
        <w:spacing w:after="0"/>
        <w:rPr>
          <w:sz w:val="20"/>
          <w:szCs w:val="20"/>
          <w:color w:val="auto"/>
        </w:rPr>
      </w:pPr>
      <w:r>
        <w:rPr>
          <w:rFonts w:ascii="Times New Roman" w:cs="Times New Roman" w:eastAsia="Times New Roman" w:hAnsi="Times New Roman"/>
          <w:sz w:val="11"/>
          <w:szCs w:val="11"/>
          <w:color w:val="auto"/>
        </w:rPr>
        <w:t>incorporation or organization)</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REGISTRATION STATEMENT</w:t>
      </w:r>
    </w:p>
    <w:p>
      <w:pPr>
        <w:spacing w:after="0" w:line="2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Under</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549910</wp:posOffset>
            </wp:positionH>
            <wp:positionV relativeFrom="paragraph">
              <wp:posOffset>98425</wp:posOffset>
            </wp:positionV>
            <wp:extent cx="96202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284"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22"/>
          <w:szCs w:val="22"/>
          <w:b w:val="1"/>
          <w:bCs w:val="1"/>
          <w:color w:val="auto"/>
        </w:rPr>
        <w:t>CenterPoint Energy, Inc.</w:t>
      </w:r>
    </w:p>
    <w:p>
      <w:pPr>
        <w:spacing w:after="0" w:line="54"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68"/>
        </w:trPr>
        <w:tc>
          <w:tcPr>
            <w:tcW w:w="240" w:type="dxa"/>
            <w:vAlign w:val="bottom"/>
          </w:tcPr>
          <w:p>
            <w:pPr>
              <w:spacing w:after="0"/>
              <w:rPr>
                <w:sz w:val="14"/>
                <w:szCs w:val="14"/>
                <w:color w:val="auto"/>
              </w:rPr>
            </w:pPr>
          </w:p>
        </w:tc>
        <w:tc>
          <w:tcPr>
            <w:tcW w:w="288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3"/>
              </w:rPr>
              <w:t>1111 Louisiana Street</w:t>
            </w:r>
          </w:p>
        </w:tc>
        <w:tc>
          <w:tcPr>
            <w:tcW w:w="160" w:type="dxa"/>
            <w:vAlign w:val="bottom"/>
          </w:tcPr>
          <w:p>
            <w:pPr>
              <w:spacing w:after="0"/>
              <w:rPr>
                <w:sz w:val="14"/>
                <w:szCs w:val="14"/>
                <w:color w:val="auto"/>
              </w:rPr>
            </w:pPr>
          </w:p>
        </w:tc>
      </w:tr>
      <w:tr>
        <w:trPr>
          <w:trHeight w:val="168"/>
        </w:trPr>
        <w:tc>
          <w:tcPr>
            <w:tcW w:w="240" w:type="dxa"/>
            <w:vAlign w:val="bottom"/>
          </w:tcPr>
          <w:p>
            <w:pPr>
              <w:spacing w:after="0"/>
              <w:rPr>
                <w:sz w:val="14"/>
                <w:szCs w:val="14"/>
                <w:color w:val="auto"/>
              </w:rPr>
            </w:pPr>
          </w:p>
        </w:tc>
        <w:tc>
          <w:tcPr>
            <w:tcW w:w="288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4"/>
              </w:rPr>
              <w:t>Houston, Texas 77002</w:t>
            </w:r>
          </w:p>
        </w:tc>
        <w:tc>
          <w:tcPr>
            <w:tcW w:w="160" w:type="dxa"/>
            <w:vAlign w:val="bottom"/>
          </w:tcPr>
          <w:p>
            <w:pPr>
              <w:spacing w:after="0"/>
              <w:rPr>
                <w:sz w:val="14"/>
                <w:szCs w:val="14"/>
                <w:color w:val="auto"/>
              </w:rPr>
            </w:pPr>
          </w:p>
        </w:tc>
      </w:tr>
      <w:tr>
        <w:trPr>
          <w:trHeight w:val="157"/>
        </w:trPr>
        <w:tc>
          <w:tcPr>
            <w:tcW w:w="24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 ​</w:t>
            </w:r>
          </w:p>
        </w:tc>
        <w:tc>
          <w:tcPr>
            <w:tcW w:w="2880" w:type="dxa"/>
            <w:vAlign w:val="bottom"/>
          </w:tcPr>
          <w:p>
            <w:pPr>
              <w:jc w:val="right"/>
              <w:ind w:right="1033"/>
              <w:spacing w:after="0" w:line="157" w:lineRule="exact"/>
              <w:rPr>
                <w:sz w:val="20"/>
                <w:szCs w:val="20"/>
                <w:color w:val="auto"/>
              </w:rPr>
            </w:pPr>
            <w:r>
              <w:rPr>
                <w:rFonts w:ascii="Times New Roman" w:cs="Times New Roman" w:eastAsia="Times New Roman" w:hAnsi="Times New Roman"/>
                <w:sz w:val="14"/>
                <w:szCs w:val="14"/>
                <w:b w:val="1"/>
                <w:bCs w:val="1"/>
                <w:color w:val="auto"/>
              </w:rPr>
              <w:t>(713) 207-1111</w:t>
            </w:r>
          </w:p>
        </w:tc>
        <w:tc>
          <w:tcPr>
            <w:tcW w:w="160" w:type="dxa"/>
            <w:vAlign w:val="bottom"/>
          </w:tcPr>
          <w:p>
            <w:pPr>
              <w:ind w:left="40"/>
              <w:spacing w:after="0" w:line="157" w:lineRule="exact"/>
              <w:rPr>
                <w:sz w:val="20"/>
                <w:szCs w:val="20"/>
                <w:color w:val="auto"/>
              </w:rPr>
            </w:pPr>
            <w:r>
              <w:rPr>
                <w:rFonts w:ascii="Times New Roman" w:cs="Times New Roman" w:eastAsia="Times New Roman" w:hAnsi="Times New Roman"/>
                <w:sz w:val="14"/>
                <w:szCs w:val="14"/>
                <w:b w:val="1"/>
                <w:bCs w:val="1"/>
                <w:color w:val="auto"/>
              </w:rPr>
              <w:t>​ ​</w:t>
            </w:r>
          </w:p>
        </w:tc>
      </w:tr>
      <w:tr>
        <w:trPr>
          <w:trHeight w:val="133"/>
        </w:trPr>
        <w:tc>
          <w:tcPr>
            <w:tcW w:w="3120" w:type="dxa"/>
            <w:vAlign w:val="bottom"/>
            <w:gridSpan w:val="2"/>
          </w:tcPr>
          <w:p>
            <w:pPr>
              <w:spacing w:after="0" w:line="133" w:lineRule="exact"/>
              <w:rPr>
                <w:sz w:val="20"/>
                <w:szCs w:val="20"/>
                <w:color w:val="auto"/>
              </w:rPr>
            </w:pPr>
            <w:r>
              <w:rPr>
                <w:rFonts w:ascii="Times New Roman" w:cs="Times New Roman" w:eastAsia="Times New Roman" w:hAnsi="Times New Roman"/>
                <w:sz w:val="15"/>
                <w:szCs w:val="15"/>
                <w:color w:val="auto"/>
                <w:vertAlign w:val="superscript"/>
              </w:rPr>
              <w:t>​ ​</w:t>
            </w:r>
            <w:r>
              <w:rPr>
                <w:rFonts w:ascii="Times New Roman" w:cs="Times New Roman" w:eastAsia="Times New Roman" w:hAnsi="Times New Roman"/>
                <w:sz w:val="9"/>
                <w:szCs w:val="9"/>
                <w:color w:val="auto"/>
              </w:rPr>
              <w:t xml:space="preserve"> (Address, including zip code, and telephone number, including</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 ​</w:t>
            </w:r>
          </w:p>
        </w:tc>
      </w:tr>
      <w:tr>
        <w:trPr>
          <w:trHeight w:val="146"/>
        </w:trPr>
        <w:tc>
          <w:tcPr>
            <w:tcW w:w="240" w:type="dxa"/>
            <w:vAlign w:val="bottom"/>
          </w:tcPr>
          <w:p>
            <w:pPr>
              <w:spacing w:after="0"/>
              <w:rPr>
                <w:sz w:val="12"/>
                <w:szCs w:val="12"/>
                <w:color w:val="auto"/>
              </w:rPr>
            </w:pPr>
          </w:p>
        </w:tc>
        <w:tc>
          <w:tcPr>
            <w:tcW w:w="2880" w:type="dxa"/>
            <w:vAlign w:val="bottom"/>
          </w:tcPr>
          <w:p>
            <w:pPr>
              <w:jc w:val="center"/>
              <w:ind w:right="53"/>
              <w:spacing w:after="0"/>
              <w:rPr>
                <w:sz w:val="20"/>
                <w:szCs w:val="20"/>
                <w:color w:val="auto"/>
              </w:rPr>
            </w:pPr>
            <w:r>
              <w:rPr>
                <w:rFonts w:ascii="Times New Roman" w:cs="Times New Roman" w:eastAsia="Times New Roman" w:hAnsi="Times New Roman"/>
                <w:sz w:val="11"/>
                <w:szCs w:val="11"/>
                <w:color w:val="auto"/>
              </w:rPr>
              <w:t>area code, of registrant’s principal executive offices)</w:t>
            </w:r>
          </w:p>
        </w:tc>
        <w:tc>
          <w:tcPr>
            <w:tcW w:w="160" w:type="dxa"/>
            <w:vAlign w:val="bottom"/>
          </w:tcPr>
          <w:p>
            <w:pPr>
              <w:spacing w:after="0"/>
              <w:rPr>
                <w:sz w:val="12"/>
                <w:szCs w:val="12"/>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w w:val="97"/>
              </w:rPr>
              <w:t>74-0694415</w:t>
            </w:r>
          </w:p>
        </w:tc>
        <w:tc>
          <w:tcPr>
            <w:tcW w:w="340" w:type="dxa"/>
            <w:vAlign w:val="bottom"/>
          </w:tcPr>
          <w:p>
            <w:pPr>
              <w:ind w:left="320"/>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33"/>
        </w:trPr>
        <w:tc>
          <w:tcPr>
            <w:tcW w:w="1200" w:type="dxa"/>
            <w:vAlign w:val="bottom"/>
          </w:tcPr>
          <w:p>
            <w:pPr>
              <w:jc w:val="center"/>
              <w:ind w:right="259"/>
              <w:spacing w:after="0"/>
              <w:rPr>
                <w:sz w:val="20"/>
                <w:szCs w:val="20"/>
                <w:color w:val="auto"/>
              </w:rPr>
            </w:pPr>
            <w:r>
              <w:rPr>
                <w:rFonts w:ascii="Times New Roman" w:cs="Times New Roman" w:eastAsia="Times New Roman" w:hAnsi="Times New Roman"/>
                <w:sz w:val="11"/>
                <w:szCs w:val="11"/>
                <w:color w:val="auto"/>
              </w:rPr>
              <w:t>(I.R.S. Employer</w:t>
            </w:r>
          </w:p>
        </w:tc>
        <w:tc>
          <w:tcPr>
            <w:tcW w:w="340" w:type="dxa"/>
            <w:vAlign w:val="bottom"/>
          </w:tcPr>
          <w:p>
            <w:pPr>
              <w:ind w:left="32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46"/>
        </w:trPr>
        <w:tc>
          <w:tcPr>
            <w:tcW w:w="1200" w:type="dxa"/>
            <w:vAlign w:val="bottom"/>
          </w:tcPr>
          <w:p>
            <w:pPr>
              <w:jc w:val="center"/>
              <w:ind w:right="259"/>
              <w:spacing w:after="0"/>
              <w:rPr>
                <w:sz w:val="20"/>
                <w:szCs w:val="20"/>
                <w:color w:val="auto"/>
              </w:rPr>
            </w:pPr>
            <w:r>
              <w:rPr>
                <w:rFonts w:ascii="Times New Roman" w:cs="Times New Roman" w:eastAsia="Times New Roman" w:hAnsi="Times New Roman"/>
                <w:sz w:val="11"/>
                <w:szCs w:val="11"/>
                <w:color w:val="auto"/>
              </w:rPr>
              <w:t>Identification No.)</w:t>
            </w:r>
          </w:p>
        </w:tc>
        <w:tc>
          <w:tcPr>
            <w:tcW w:w="340" w:type="dxa"/>
            <w:vAlign w:val="bottom"/>
          </w:tcPr>
          <w:p>
            <w:pPr>
              <w:spacing w:after="0"/>
              <w:rPr>
                <w:sz w:val="12"/>
                <w:szCs w:val="12"/>
                <w:color w:val="auto"/>
              </w:rPr>
            </w:pPr>
          </w:p>
        </w:tc>
      </w:tr>
    </w:tbl>
    <w:p>
      <w:pPr>
        <w:spacing w:after="0" w:line="66" w:lineRule="exact"/>
        <w:rPr>
          <w:sz w:val="24"/>
          <w:szCs w:val="24"/>
          <w:color w:val="auto"/>
        </w:rPr>
      </w:pPr>
    </w:p>
    <w:p>
      <w:pPr>
        <w:sectPr>
          <w:pgSz w:w="11900" w:h="16838" w:orient="portrait"/>
          <w:cols w:equalWidth="0" w:num="3">
            <w:col w:w="2480" w:space="400"/>
            <w:col w:w="3280" w:space="620"/>
            <w:col w:w="2239"/>
          </w:cols>
          <w:pgMar w:left="1440" w:top="191" w:right="1440" w:bottom="1440" w:gutter="0" w:footer="0" w:header="0"/>
          <w:type w:val="continuous"/>
        </w:sectPr>
      </w:pPr>
    </w:p>
    <w:p>
      <w:pPr>
        <w:jc w:val="center"/>
        <w:ind w:left="1360"/>
        <w:spacing w:after="0"/>
        <w:rPr>
          <w:sz w:val="20"/>
          <w:szCs w:val="20"/>
          <w:color w:val="auto"/>
        </w:rPr>
      </w:pPr>
      <w:r>
        <w:rPr>
          <w:rFonts w:ascii="Times New Roman" w:cs="Times New Roman" w:eastAsia="Times New Roman" w:hAnsi="Times New Roman"/>
          <w:sz w:val="22"/>
          <w:szCs w:val="22"/>
          <w:b w:val="1"/>
          <w:bCs w:val="1"/>
          <w:color w:val="auto"/>
        </w:rPr>
        <w:t>CenterPoint Energy Houston Electric, LLC</w:t>
      </w:r>
    </w:p>
    <w:p>
      <w:pPr>
        <w:spacing w:after="0" w:line="54"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p>
      <w:pPr>
        <w:spacing w:after="0" w:line="116" w:lineRule="exact"/>
        <w:rPr>
          <w:sz w:val="24"/>
          <w:szCs w:val="24"/>
          <w:color w:val="auto"/>
        </w:rPr>
      </w:pPr>
    </w:p>
    <w:tbl>
      <w:tblPr>
        <w:tblLayout w:type="fixed"/>
        <w:tblInd w:w="700" w:type="dxa"/>
        <w:tblCellMar>
          <w:top w:w="0" w:type="dxa"/>
          <w:left w:w="0" w:type="dxa"/>
          <w:bottom w:w="0" w:type="dxa"/>
          <w:right w:w="0" w:type="dxa"/>
        </w:tblCellMar>
      </w:tblPr>
      <w:tr>
        <w:trPr>
          <w:trHeight w:val="168"/>
        </w:trPr>
        <w:tc>
          <w:tcPr>
            <w:tcW w:w="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8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3"/>
              </w:rPr>
              <w:t>1111 Louisiana Street</w:t>
            </w: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8"/>
        </w:trPr>
        <w:tc>
          <w:tcPr>
            <w:tcW w:w="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8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4"/>
              </w:rPr>
              <w:t>Houston, Texas 77002</w:t>
            </w: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57"/>
        </w:trPr>
        <w:tc>
          <w:tcPr>
            <w:tcW w:w="20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w:t>
            </w:r>
          </w:p>
        </w:tc>
        <w:tc>
          <w:tcPr>
            <w:tcW w:w="1780" w:type="dxa"/>
            <w:vAlign w:val="bottom"/>
          </w:tcPr>
          <w:p>
            <w:pPr>
              <w:ind w:left="700"/>
              <w:spacing w:after="0" w:line="157" w:lineRule="exact"/>
              <w:rPr>
                <w:sz w:val="20"/>
                <w:szCs w:val="20"/>
                <w:color w:val="auto"/>
              </w:rPr>
            </w:pPr>
            <w:r>
              <w:rPr>
                <w:rFonts w:ascii="Times New Roman" w:cs="Times New Roman" w:eastAsia="Times New Roman" w:hAnsi="Times New Roman"/>
                <w:sz w:val="14"/>
                <w:szCs w:val="14"/>
                <w:b w:val="1"/>
                <w:bCs w:val="1"/>
                <w:color w:val="auto"/>
              </w:rPr>
              <w:t>Texas</w:t>
            </w:r>
          </w:p>
        </w:tc>
        <w:tc>
          <w:tcPr>
            <w:tcW w:w="440" w:type="dxa"/>
            <w:vAlign w:val="bottom"/>
          </w:tcPr>
          <w:p>
            <w:pPr>
              <w:ind w:left="200"/>
              <w:spacing w:after="0" w:line="157" w:lineRule="exact"/>
              <w:rPr>
                <w:sz w:val="20"/>
                <w:szCs w:val="20"/>
                <w:color w:val="auto"/>
              </w:rPr>
            </w:pPr>
            <w:r>
              <w:rPr>
                <w:rFonts w:ascii="Times New Roman" w:cs="Times New Roman" w:eastAsia="Times New Roman" w:hAnsi="Times New Roman"/>
                <w:sz w:val="14"/>
                <w:szCs w:val="14"/>
                <w:b w:val="1"/>
                <w:bCs w:val="1"/>
                <w:color w:val="auto"/>
              </w:rPr>
              <w:t>​ ​</w:t>
            </w:r>
          </w:p>
        </w:tc>
        <w:tc>
          <w:tcPr>
            <w:tcW w:w="2880" w:type="dxa"/>
            <w:vAlign w:val="bottom"/>
          </w:tcPr>
          <w:p>
            <w:pPr>
              <w:jc w:val="right"/>
              <w:ind w:right="1033"/>
              <w:spacing w:after="0" w:line="157" w:lineRule="exact"/>
              <w:rPr>
                <w:sz w:val="20"/>
                <w:szCs w:val="20"/>
                <w:color w:val="auto"/>
              </w:rPr>
            </w:pPr>
            <w:r>
              <w:rPr>
                <w:rFonts w:ascii="Times New Roman" w:cs="Times New Roman" w:eastAsia="Times New Roman" w:hAnsi="Times New Roman"/>
                <w:sz w:val="14"/>
                <w:szCs w:val="14"/>
                <w:b w:val="1"/>
                <w:bCs w:val="1"/>
                <w:color w:val="auto"/>
              </w:rPr>
              <w:t>(713) 207-1111</w:t>
            </w:r>
          </w:p>
        </w:tc>
        <w:tc>
          <w:tcPr>
            <w:tcW w:w="460" w:type="dxa"/>
            <w:vAlign w:val="bottom"/>
          </w:tcPr>
          <w:p>
            <w:pPr>
              <w:ind w:left="40"/>
              <w:spacing w:after="0" w:line="157" w:lineRule="exact"/>
              <w:rPr>
                <w:sz w:val="20"/>
                <w:szCs w:val="20"/>
                <w:color w:val="auto"/>
              </w:rPr>
            </w:pPr>
            <w:r>
              <w:rPr>
                <w:rFonts w:ascii="Times New Roman" w:cs="Times New Roman" w:eastAsia="Times New Roman" w:hAnsi="Times New Roman"/>
                <w:sz w:val="14"/>
                <w:szCs w:val="14"/>
                <w:b w:val="1"/>
                <w:bCs w:val="1"/>
                <w:color w:val="auto"/>
              </w:rPr>
              <w:t>​ ​</w:t>
            </w:r>
          </w:p>
        </w:tc>
        <w:tc>
          <w:tcPr>
            <w:tcW w:w="1200" w:type="dxa"/>
            <w:vAlign w:val="bottom"/>
          </w:tcPr>
          <w:p>
            <w:pPr>
              <w:jc w:val="right"/>
              <w:ind w:right="39"/>
              <w:spacing w:after="0" w:line="157" w:lineRule="exact"/>
              <w:rPr>
                <w:sz w:val="20"/>
                <w:szCs w:val="20"/>
                <w:color w:val="auto"/>
              </w:rPr>
            </w:pPr>
            <w:r>
              <w:rPr>
                <w:rFonts w:ascii="Times New Roman" w:cs="Times New Roman" w:eastAsia="Times New Roman" w:hAnsi="Times New Roman"/>
                <w:sz w:val="14"/>
                <w:szCs w:val="14"/>
                <w:b w:val="1"/>
                <w:bCs w:val="1"/>
                <w:color w:val="auto"/>
              </w:rPr>
              <w:t>22-3865106</w:t>
            </w:r>
          </w:p>
        </w:tc>
      </w:tr>
      <w:tr>
        <w:trPr>
          <w:trHeight w:val="137"/>
        </w:trPr>
        <w:tc>
          <w:tcPr>
            <w:tcW w:w="2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7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(State or other jurisdiction of</w:t>
            </w:r>
          </w:p>
        </w:tc>
        <w:tc>
          <w:tcPr>
            <w:tcW w:w="3320" w:type="dxa"/>
            <w:vAlign w:val="bottom"/>
            <w:gridSpan w:val="2"/>
          </w:tcPr>
          <w:p>
            <w:pPr>
              <w:ind w:left="200"/>
              <w:spacing w:after="0" w:line="137" w:lineRule="exact"/>
              <w:rPr>
                <w:sz w:val="20"/>
                <w:szCs w:val="20"/>
                <w:color w:val="auto"/>
              </w:rPr>
            </w:pPr>
            <w:r>
              <w:rPr>
                <w:rFonts w:ascii="Times New Roman" w:cs="Times New Roman" w:eastAsia="Times New Roman" w:hAnsi="Times New Roman"/>
                <w:sz w:val="15"/>
                <w:szCs w:val="15"/>
                <w:color w:val="auto"/>
                <w:vertAlign w:val="superscript"/>
              </w:rPr>
              <w:t>​ ​</w:t>
            </w:r>
            <w:r>
              <w:rPr>
                <w:rFonts w:ascii="Times New Roman" w:cs="Times New Roman" w:eastAsia="Times New Roman" w:hAnsi="Times New Roman"/>
                <w:sz w:val="9"/>
                <w:szCs w:val="9"/>
                <w:color w:val="auto"/>
              </w:rPr>
              <w:t xml:space="preserve"> (Address, including zip code, and telephone number, including</w:t>
            </w:r>
          </w:p>
        </w:tc>
        <w:tc>
          <w:tcPr>
            <w:tcW w:w="4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 ​</w:t>
            </w:r>
          </w:p>
        </w:tc>
        <w:tc>
          <w:tcPr>
            <w:tcW w:w="1200" w:type="dxa"/>
            <w:vAlign w:val="bottom"/>
          </w:tcPr>
          <w:p>
            <w:pPr>
              <w:jc w:val="center"/>
              <w:ind w:left="259"/>
              <w:spacing w:after="0"/>
              <w:rPr>
                <w:sz w:val="20"/>
                <w:szCs w:val="20"/>
                <w:color w:val="auto"/>
              </w:rPr>
            </w:pPr>
            <w:r>
              <w:rPr>
                <w:rFonts w:ascii="Times New Roman" w:cs="Times New Roman" w:eastAsia="Times New Roman" w:hAnsi="Times New Roman"/>
                <w:sz w:val="11"/>
                <w:szCs w:val="11"/>
                <w:color w:val="auto"/>
              </w:rPr>
              <w:t>(I.R.S. Employer</w:t>
            </w:r>
          </w:p>
        </w:tc>
      </w:tr>
      <w:tr>
        <w:trPr>
          <w:trHeight w:val="146"/>
        </w:trPr>
        <w:tc>
          <w:tcPr>
            <w:tcW w:w="200" w:type="dxa"/>
            <w:vAlign w:val="bottom"/>
          </w:tcPr>
          <w:p>
            <w:pPr>
              <w:spacing w:after="0"/>
              <w:rPr>
                <w:sz w:val="12"/>
                <w:szCs w:val="12"/>
                <w:color w:val="auto"/>
              </w:rPr>
            </w:pPr>
          </w:p>
        </w:tc>
        <w:tc>
          <w:tcPr>
            <w:tcW w:w="17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incorporation or organization)</w:t>
            </w:r>
          </w:p>
        </w:tc>
        <w:tc>
          <w:tcPr>
            <w:tcW w:w="440" w:type="dxa"/>
            <w:vAlign w:val="bottom"/>
          </w:tcPr>
          <w:p>
            <w:pPr>
              <w:spacing w:after="0"/>
              <w:rPr>
                <w:sz w:val="12"/>
                <w:szCs w:val="12"/>
                <w:color w:val="auto"/>
              </w:rPr>
            </w:pPr>
          </w:p>
        </w:tc>
        <w:tc>
          <w:tcPr>
            <w:tcW w:w="2880" w:type="dxa"/>
            <w:vAlign w:val="bottom"/>
          </w:tcPr>
          <w:p>
            <w:pPr>
              <w:jc w:val="center"/>
              <w:ind w:right="53"/>
              <w:spacing w:after="0"/>
              <w:rPr>
                <w:sz w:val="20"/>
                <w:szCs w:val="20"/>
                <w:color w:val="auto"/>
              </w:rPr>
            </w:pPr>
            <w:r>
              <w:rPr>
                <w:rFonts w:ascii="Times New Roman" w:cs="Times New Roman" w:eastAsia="Times New Roman" w:hAnsi="Times New Roman"/>
                <w:sz w:val="11"/>
                <w:szCs w:val="11"/>
                <w:color w:val="auto"/>
              </w:rPr>
              <w:t>area code, of registrant’s principal executive offices)</w:t>
            </w:r>
          </w:p>
        </w:tc>
        <w:tc>
          <w:tcPr>
            <w:tcW w:w="460" w:type="dxa"/>
            <w:vAlign w:val="bottom"/>
          </w:tcPr>
          <w:p>
            <w:pPr>
              <w:spacing w:after="0"/>
              <w:rPr>
                <w:sz w:val="12"/>
                <w:szCs w:val="12"/>
                <w:color w:val="auto"/>
              </w:rPr>
            </w:pPr>
          </w:p>
        </w:tc>
        <w:tc>
          <w:tcPr>
            <w:tcW w:w="1200" w:type="dxa"/>
            <w:vAlign w:val="bottom"/>
          </w:tcPr>
          <w:p>
            <w:pPr>
              <w:jc w:val="center"/>
              <w:ind w:left="259"/>
              <w:spacing w:after="0"/>
              <w:rPr>
                <w:sz w:val="20"/>
                <w:szCs w:val="20"/>
                <w:color w:val="auto"/>
              </w:rPr>
            </w:pPr>
            <w:r>
              <w:rPr>
                <w:rFonts w:ascii="Times New Roman" w:cs="Times New Roman" w:eastAsia="Times New Roman" w:hAnsi="Times New Roman"/>
                <w:sz w:val="11"/>
                <w:szCs w:val="11"/>
                <w:color w:val="auto"/>
              </w:rPr>
              <w:t>Identification No.)</w:t>
            </w:r>
          </w:p>
        </w:tc>
      </w:tr>
    </w:tbl>
    <w:p>
      <w:pPr>
        <w:spacing w:after="0" w:line="73" w:lineRule="exact"/>
        <w:rPr>
          <w:sz w:val="24"/>
          <w:szCs w:val="24"/>
          <w:color w:val="auto"/>
        </w:rPr>
      </w:pPr>
    </w:p>
    <w:p>
      <w:pPr>
        <w:jc w:val="center"/>
        <w:ind w:left="1360"/>
        <w:spacing w:after="0"/>
        <w:rPr>
          <w:sz w:val="20"/>
          <w:szCs w:val="20"/>
          <w:color w:val="auto"/>
        </w:rPr>
      </w:pPr>
      <w:r>
        <w:rPr>
          <w:rFonts w:ascii="Times New Roman" w:cs="Times New Roman" w:eastAsia="Times New Roman" w:hAnsi="Times New Roman"/>
          <w:sz w:val="22"/>
          <w:szCs w:val="22"/>
          <w:b w:val="1"/>
          <w:bCs w:val="1"/>
          <w:color w:val="auto"/>
        </w:rPr>
        <w:t>CenterPoint Energy Resources Corp.</w:t>
      </w:r>
    </w:p>
    <w:p>
      <w:pPr>
        <w:spacing w:after="0" w:line="45"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8"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1"/>
          <w:szCs w:val="11"/>
          <w:color w:val="auto"/>
        </w:rPr>
        <w:t>​</w:t>
      </w:r>
    </w:p>
    <w:p>
      <w:pPr>
        <w:spacing w:after="0" w:line="756" w:lineRule="exact"/>
        <w:rPr>
          <w:sz w:val="24"/>
          <w:szCs w:val="24"/>
          <w:color w:val="auto"/>
        </w:rPr>
      </w:pPr>
    </w:p>
    <w:p>
      <w:pPr>
        <w:sectPr>
          <w:pgSz w:w="11900" w:h="16838" w:orient="portrait"/>
          <w:cols w:equalWidth="0" w:num="2">
            <w:col w:w="7660" w:space="640"/>
            <w:col w:w="719"/>
          </w:cols>
          <w:pgMar w:left="1440" w:top="191" w:right="1440" w:bottom="1440" w:gutter="0" w:footer="0" w:header="0"/>
          <w:type w:val="continuous"/>
        </w:sectPr>
      </w:pPr>
    </w:p>
    <w:p>
      <w:pPr>
        <w:spacing w:after="0" w:line="337" w:lineRule="exact"/>
        <w:rPr>
          <w:sz w:val="24"/>
          <w:szCs w:val="24"/>
          <w:color w:val="auto"/>
        </w:rPr>
      </w:pPr>
    </w:p>
    <w:p>
      <w:pPr>
        <w:ind w:left="1500" w:hanging="793"/>
        <w:spacing w:after="0"/>
        <w:tabs>
          <w:tab w:leader="none" w:pos="1500" w:val="left"/>
        </w:tabs>
        <w:numPr>
          <w:ilvl w:val="0"/>
          <w:numId w:val="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Delaware</w:t>
      </w:r>
    </w:p>
    <w:p>
      <w:pPr>
        <w:spacing w:after="0" w:line="23" w:lineRule="exact"/>
        <w:rPr>
          <w:rFonts w:ascii="Times New Roman" w:cs="Times New Roman" w:eastAsia="Times New Roman" w:hAnsi="Times New Roman"/>
          <w:sz w:val="14"/>
          <w:szCs w:val="14"/>
          <w:b w:val="1"/>
          <w:bCs w:val="1"/>
          <w:color w:val="auto"/>
        </w:rPr>
      </w:pPr>
    </w:p>
    <w:p>
      <w:pPr>
        <w:ind w:left="1080" w:hanging="373"/>
        <w:spacing w:after="0" w:line="180" w:lineRule="auto"/>
        <w:tabs>
          <w:tab w:leader="none" w:pos="1080" w:val="left"/>
        </w:tabs>
        <w:numPr>
          <w:ilvl w:val="0"/>
          <w:numId w:val="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8"/>
          <w:szCs w:val="8"/>
          <w:color w:val="auto"/>
        </w:rPr>
        <w:t>(State or other jurisdiction of</w:t>
      </w:r>
    </w:p>
    <w:p>
      <w:pPr>
        <w:jc w:val="right"/>
        <w:spacing w:after="0"/>
        <w:rPr>
          <w:sz w:val="20"/>
          <w:szCs w:val="20"/>
          <w:color w:val="auto"/>
        </w:rPr>
      </w:pPr>
      <w:r>
        <w:rPr>
          <w:rFonts w:ascii="Times New Roman" w:cs="Times New Roman" w:eastAsia="Times New Roman" w:hAnsi="Times New Roman"/>
          <w:sz w:val="11"/>
          <w:szCs w:val="11"/>
          <w:color w:val="auto"/>
        </w:rPr>
        <w:t>incorporation or organization)</w:t>
      </w:r>
    </w:p>
    <w:p>
      <w:pPr>
        <w:spacing w:after="0" w:line="20" w:lineRule="exact"/>
        <w:rPr>
          <w:sz w:val="24"/>
          <w:szCs w:val="24"/>
          <w:color w:val="auto"/>
        </w:rPr>
      </w:pPr>
      <w:r>
        <w:rPr>
          <w:sz w:val="24"/>
          <w:szCs w:val="24"/>
          <w:color w:val="auto"/>
        </w:rPr>
        <w:br w:type="column"/>
      </w:r>
    </w:p>
    <w:p>
      <w:pPr>
        <w:ind w:left="985"/>
        <w:spacing w:after="0"/>
        <w:rPr>
          <w:sz w:val="20"/>
          <w:szCs w:val="20"/>
          <w:color w:val="auto"/>
        </w:rPr>
      </w:pPr>
      <w:r>
        <w:rPr>
          <w:rFonts w:ascii="Times New Roman" w:cs="Times New Roman" w:eastAsia="Times New Roman" w:hAnsi="Times New Roman"/>
          <w:sz w:val="14"/>
          <w:szCs w:val="14"/>
          <w:b w:val="1"/>
          <w:bCs w:val="1"/>
          <w:color w:val="auto"/>
        </w:rPr>
        <w:t>1111 Louisiana Street</w:t>
      </w:r>
    </w:p>
    <w:p>
      <w:pPr>
        <w:spacing w:after="0" w:line="24" w:lineRule="exact"/>
        <w:rPr>
          <w:sz w:val="24"/>
          <w:szCs w:val="24"/>
          <w:color w:val="auto"/>
        </w:rPr>
      </w:pPr>
    </w:p>
    <w:p>
      <w:pPr>
        <w:ind w:left="985"/>
        <w:spacing w:after="0"/>
        <w:rPr>
          <w:sz w:val="20"/>
          <w:szCs w:val="20"/>
          <w:color w:val="auto"/>
        </w:rPr>
      </w:pPr>
      <w:r>
        <w:rPr>
          <w:rFonts w:ascii="Times New Roman" w:cs="Times New Roman" w:eastAsia="Times New Roman" w:hAnsi="Times New Roman"/>
          <w:sz w:val="14"/>
          <w:szCs w:val="14"/>
          <w:b w:val="1"/>
          <w:bCs w:val="1"/>
          <w:color w:val="auto"/>
        </w:rPr>
        <w:t>Houston, Texas 77002</w:t>
      </w:r>
    </w:p>
    <w:p>
      <w:pPr>
        <w:ind w:left="5"/>
        <w:spacing w:after="0"/>
        <w:tabs>
          <w:tab w:leader="none" w:pos="1185" w:val="left"/>
        </w:tabs>
        <w:rPr>
          <w:sz w:val="20"/>
          <w:szCs w:val="20"/>
          <w:color w:val="auto"/>
        </w:rPr>
      </w:pPr>
      <w:r>
        <w:rPr>
          <w:rFonts w:ascii="Times New Roman" w:cs="Times New Roman" w:eastAsia="Times New Roman" w:hAnsi="Times New Roman"/>
          <w:sz w:val="14"/>
          <w:szCs w:val="14"/>
          <w:b w:val="1"/>
          <w:bCs w:val="1"/>
          <w:color w:val="auto"/>
        </w:rPr>
        <w:t>​ ​</w:t>
      </w:r>
      <w:r>
        <w:rPr>
          <w:sz w:val="20"/>
          <w:szCs w:val="20"/>
          <w:color w:val="auto"/>
        </w:rPr>
        <w:tab/>
      </w:r>
      <w:r>
        <w:rPr>
          <w:rFonts w:ascii="Times New Roman" w:cs="Times New Roman" w:eastAsia="Times New Roman" w:hAnsi="Times New Roman"/>
          <w:sz w:val="13"/>
          <w:szCs w:val="13"/>
          <w:b w:val="1"/>
          <w:bCs w:val="1"/>
          <w:color w:val="auto"/>
        </w:rPr>
        <w:t>(713) 207-1111</w:t>
      </w:r>
    </w:p>
    <w:p>
      <w:pPr>
        <w:ind w:left="385" w:hanging="385"/>
        <w:spacing w:after="0" w:line="188" w:lineRule="auto"/>
        <w:tabs>
          <w:tab w:leader="none" w:pos="88"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0"/>
          <w:szCs w:val="10"/>
          <w:color w:val="auto"/>
        </w:rPr>
        <w:t xml:space="preserve"> (Address,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553720</wp:posOffset>
            </wp:positionH>
            <wp:positionV relativeFrom="paragraph">
              <wp:posOffset>105410</wp:posOffset>
            </wp:positionV>
            <wp:extent cx="96202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309"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4"/>
          <w:szCs w:val="14"/>
          <w:b w:val="1"/>
          <w:bCs w:val="1"/>
          <w:color w:val="auto"/>
        </w:rPr>
        <w:t>Monica Karuturi</w:t>
      </w:r>
    </w:p>
    <w:p>
      <w:pPr>
        <w:spacing w:after="0" w:line="24" w:lineRule="exact"/>
        <w:rPr>
          <w:sz w:val="24"/>
          <w:szCs w:val="24"/>
          <w:color w:val="auto"/>
        </w:rPr>
      </w:pPr>
    </w:p>
    <w:p>
      <w:pPr>
        <w:ind w:left="285"/>
        <w:spacing w:after="0"/>
        <w:rPr>
          <w:sz w:val="20"/>
          <w:szCs w:val="20"/>
          <w:color w:val="auto"/>
        </w:rPr>
      </w:pPr>
      <w:r>
        <w:rPr>
          <w:rFonts w:ascii="Times New Roman" w:cs="Times New Roman" w:eastAsia="Times New Roman" w:hAnsi="Times New Roman"/>
          <w:sz w:val="14"/>
          <w:szCs w:val="14"/>
          <w:b w:val="1"/>
          <w:bCs w:val="1"/>
          <w:color w:val="auto"/>
        </w:rPr>
        <w:t>Executive Vice President and General Counsel</w:t>
      </w:r>
    </w:p>
    <w:p>
      <w:pPr>
        <w:spacing w:after="0" w:line="7"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4"/>
          <w:szCs w:val="14"/>
          <w:b w:val="1"/>
          <w:bCs w:val="1"/>
          <w:color w:val="auto"/>
        </w:rPr>
        <w:t>1111 Louisiana Street</w:t>
      </w:r>
    </w:p>
    <w:p>
      <w:pPr>
        <w:spacing w:after="0" w:line="7" w:lineRule="exact"/>
        <w:rPr>
          <w:sz w:val="24"/>
          <w:szCs w:val="24"/>
          <w:color w:val="auto"/>
        </w:rPr>
      </w:pPr>
    </w:p>
    <w:p>
      <w:pPr>
        <w:ind w:left="985"/>
        <w:spacing w:after="0"/>
        <w:rPr>
          <w:sz w:val="20"/>
          <w:szCs w:val="20"/>
          <w:color w:val="auto"/>
        </w:rPr>
      </w:pPr>
      <w:r>
        <w:rPr>
          <w:rFonts w:ascii="Times New Roman" w:cs="Times New Roman" w:eastAsia="Times New Roman" w:hAnsi="Times New Roman"/>
          <w:sz w:val="14"/>
          <w:szCs w:val="14"/>
          <w:b w:val="1"/>
          <w:bCs w:val="1"/>
          <w:color w:val="auto"/>
        </w:rPr>
        <w:t>Houston, Texas 77002</w:t>
      </w:r>
    </w:p>
    <w:p>
      <w:pPr>
        <w:spacing w:after="0" w:line="7" w:lineRule="exact"/>
        <w:rPr>
          <w:sz w:val="24"/>
          <w:szCs w:val="24"/>
          <w:color w:val="auto"/>
        </w:rPr>
      </w:pPr>
    </w:p>
    <w:p>
      <w:pPr>
        <w:ind w:left="1225"/>
        <w:spacing w:after="0"/>
        <w:rPr>
          <w:sz w:val="20"/>
          <w:szCs w:val="20"/>
          <w:color w:val="auto"/>
        </w:rPr>
      </w:pPr>
      <w:r>
        <w:rPr>
          <w:rFonts w:ascii="Times New Roman" w:cs="Times New Roman" w:eastAsia="Times New Roman" w:hAnsi="Times New Roman"/>
          <w:sz w:val="14"/>
          <w:szCs w:val="14"/>
          <w:b w:val="1"/>
          <w:bCs w:val="1"/>
          <w:color w:val="auto"/>
        </w:rPr>
        <w:t>(713) 207-1111</w:t>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 ​</w:t>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76-0511406</w:t>
      </w:r>
    </w:p>
    <w:p>
      <w:pPr>
        <w:spacing w:after="0" w:line="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1"/>
          <w:szCs w:val="11"/>
          <w:color w:val="auto"/>
        </w:rPr>
        <w:t>(I.R.S. Employer</w:t>
      </w:r>
    </w:p>
    <w:p>
      <w:pPr>
        <w:spacing w:after="0"/>
        <w:rPr>
          <w:sz w:val="20"/>
          <w:szCs w:val="20"/>
          <w:color w:val="auto"/>
        </w:rPr>
      </w:pPr>
      <w:r>
        <w:rPr>
          <w:rFonts w:ascii="Times New Roman" w:cs="Times New Roman" w:eastAsia="Times New Roman" w:hAnsi="Times New Roman"/>
          <w:sz w:val="11"/>
          <w:szCs w:val="11"/>
          <w:color w:val="auto"/>
        </w:rPr>
        <w:t>Identification No.)</w:t>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8" w:lineRule="exact"/>
        <w:rPr>
          <w:sz w:val="24"/>
          <w:szCs w:val="24"/>
          <w:color w:val="auto"/>
        </w:rPr>
      </w:pPr>
    </w:p>
    <w:p>
      <w:pPr>
        <w:jc w:val="center"/>
        <w:ind w:right="699"/>
        <w:spacing w:after="0"/>
        <w:rPr>
          <w:sz w:val="20"/>
          <w:szCs w:val="20"/>
          <w:color w:val="auto"/>
        </w:rPr>
      </w:pPr>
      <w:r>
        <w:rPr>
          <w:rFonts w:ascii="Times New Roman" w:cs="Times New Roman" w:eastAsia="Times New Roman" w:hAnsi="Times New Roman"/>
          <w:sz w:val="11"/>
          <w:szCs w:val="11"/>
          <w:color w:val="auto"/>
        </w:rPr>
        <w:t>​</w:t>
      </w:r>
    </w:p>
    <w:p>
      <w:pPr>
        <w:spacing w:after="0" w:line="1355" w:lineRule="exact"/>
        <w:rPr>
          <w:sz w:val="24"/>
          <w:szCs w:val="24"/>
          <w:color w:val="auto"/>
        </w:rPr>
      </w:pPr>
    </w:p>
    <w:p>
      <w:pPr>
        <w:sectPr>
          <w:pgSz w:w="11900" w:h="16838" w:orient="portrait"/>
          <w:cols w:equalWidth="0" w:num="5">
            <w:col w:w="2480" w:space="395"/>
            <w:col w:w="3085" w:space="80"/>
            <w:col w:w="120" w:space="620"/>
            <w:col w:w="880" w:space="640"/>
            <w:col w:w="719"/>
          </w:cols>
          <w:pgMar w:left="1440" w:top="191" w:right="1440" w:bottom="1440" w:gutter="0" w:footer="0" w:header="0"/>
          <w:type w:val="continuous"/>
        </w:sectPr>
      </w:pPr>
    </w:p>
    <w:tbl>
      <w:tblPr>
        <w:tblLayout w:type="fixed"/>
        <w:tblInd w:w="700" w:type="dxa"/>
        <w:tblCellMar>
          <w:top w:w="0" w:type="dxa"/>
          <w:left w:w="0" w:type="dxa"/>
          <w:bottom w:w="0" w:type="dxa"/>
          <w:right w:w="0" w:type="dxa"/>
        </w:tblCellMar>
      </w:tblPr>
      <w:tr>
        <w:trPr>
          <w:trHeight w:val="146"/>
        </w:trPr>
        <w:tc>
          <w:tcPr>
            <w:tcW w:w="560" w:type="dxa"/>
            <w:vAlign w:val="bottom"/>
          </w:tcPr>
          <w:p>
            <w:pPr>
              <w:spacing w:after="0"/>
              <w:rPr>
                <w:sz w:val="12"/>
                <w:szCs w:val="12"/>
                <w:color w:val="auto"/>
              </w:rPr>
            </w:pPr>
          </w:p>
        </w:tc>
        <w:tc>
          <w:tcPr>
            <w:tcW w:w="6000" w:type="dxa"/>
            <w:vAlign w:val="bottom"/>
            <w:gridSpan w:val="3"/>
          </w:tcPr>
          <w:p>
            <w:pPr>
              <w:jc w:val="center"/>
              <w:ind w:left="412"/>
              <w:spacing w:after="0"/>
              <w:rPr>
                <w:sz w:val="20"/>
                <w:szCs w:val="20"/>
                <w:color w:val="auto"/>
              </w:rPr>
            </w:pPr>
            <w:r>
              <w:rPr>
                <w:rFonts w:ascii="Times New Roman" w:cs="Times New Roman" w:eastAsia="Times New Roman" w:hAnsi="Times New Roman"/>
                <w:sz w:val="11"/>
                <w:szCs w:val="11"/>
                <w:color w:val="auto"/>
              </w:rPr>
              <w:t>(Name, address, including zip code, and telephone number, including area code, of agent for service)</w:t>
            </w:r>
          </w:p>
        </w:tc>
      </w:tr>
      <w:tr>
        <w:trPr>
          <w:trHeight w:val="250"/>
        </w:trPr>
        <w:tc>
          <w:tcPr>
            <w:tcW w:w="56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6"/>
              </w:rPr>
              <w:t>Copies to:</w:t>
            </w:r>
          </w:p>
        </w:tc>
        <w:tc>
          <w:tcPr>
            <w:tcW w:w="2080" w:type="dxa"/>
            <w:vAlign w:val="bottom"/>
          </w:tcPr>
          <w:p>
            <w:pPr>
              <w:spacing w:after="0"/>
              <w:rPr>
                <w:sz w:val="21"/>
                <w:szCs w:val="21"/>
                <w:color w:val="auto"/>
              </w:rPr>
            </w:pPr>
          </w:p>
        </w:tc>
      </w:tr>
      <w:tr>
        <w:trPr>
          <w:trHeight w:val="267"/>
        </w:trPr>
        <w:tc>
          <w:tcPr>
            <w:tcW w:w="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Timothy S. Taylor</w:t>
            </w:r>
          </w:p>
        </w:tc>
        <w:tc>
          <w:tcPr>
            <w:tcW w:w="1400" w:type="dxa"/>
            <w:vAlign w:val="bottom"/>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rPr>
              <w:t>​ ​</w:t>
            </w:r>
          </w:p>
        </w:tc>
        <w:tc>
          <w:tcPr>
            <w:tcW w:w="2080" w:type="dxa"/>
            <w:vAlign w:val="bottom"/>
          </w:tcPr>
          <w:p>
            <w:pPr>
              <w:jc w:val="center"/>
              <w:ind w:left="310"/>
              <w:spacing w:after="0"/>
              <w:rPr>
                <w:sz w:val="20"/>
                <w:szCs w:val="20"/>
                <w:color w:val="auto"/>
              </w:rPr>
            </w:pPr>
            <w:r>
              <w:rPr>
                <w:rFonts w:ascii="Times New Roman" w:cs="Times New Roman" w:eastAsia="Times New Roman" w:hAnsi="Times New Roman"/>
                <w:sz w:val="14"/>
                <w:szCs w:val="14"/>
                <w:b w:val="1"/>
                <w:bCs w:val="1"/>
                <w:color w:val="auto"/>
                <w:w w:val="95"/>
              </w:rPr>
              <w:t>Peter K. O’Brien</w:t>
            </w:r>
          </w:p>
        </w:tc>
      </w:tr>
      <w:tr>
        <w:trPr>
          <w:trHeight w:val="168"/>
        </w:trPr>
        <w:tc>
          <w:tcPr>
            <w:tcW w:w="560" w:type="dxa"/>
            <w:vAlign w:val="bottom"/>
          </w:tcPr>
          <w:p>
            <w:pPr>
              <w:spacing w:after="0"/>
              <w:rPr>
                <w:sz w:val="14"/>
                <w:szCs w:val="1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Clinton W. Rancher</w:t>
            </w:r>
          </w:p>
        </w:tc>
        <w:tc>
          <w:tcPr>
            <w:tcW w:w="1400" w:type="dxa"/>
            <w:vAlign w:val="bottom"/>
          </w:tcPr>
          <w:p>
            <w:pPr>
              <w:spacing w:after="0"/>
              <w:rPr>
                <w:sz w:val="14"/>
                <w:szCs w:val="14"/>
                <w:color w:val="auto"/>
              </w:rPr>
            </w:pPr>
          </w:p>
        </w:tc>
        <w:tc>
          <w:tcPr>
            <w:tcW w:w="2080" w:type="dxa"/>
            <w:vAlign w:val="bottom"/>
          </w:tcPr>
          <w:p>
            <w:pPr>
              <w:jc w:val="center"/>
              <w:ind w:left="310"/>
              <w:spacing w:after="0"/>
              <w:rPr>
                <w:sz w:val="20"/>
                <w:szCs w:val="20"/>
                <w:color w:val="auto"/>
              </w:rPr>
            </w:pPr>
            <w:r>
              <w:rPr>
                <w:rFonts w:ascii="Times New Roman" w:cs="Times New Roman" w:eastAsia="Times New Roman" w:hAnsi="Times New Roman"/>
                <w:sz w:val="14"/>
                <w:szCs w:val="14"/>
                <w:b w:val="1"/>
                <w:bCs w:val="1"/>
                <w:color w:val="auto"/>
                <w:w w:val="94"/>
              </w:rPr>
              <w:t>Brendan P. Harney</w:t>
            </w:r>
          </w:p>
        </w:tc>
      </w:tr>
      <w:tr>
        <w:trPr>
          <w:trHeight w:val="168"/>
        </w:trPr>
        <w:tc>
          <w:tcPr>
            <w:tcW w:w="560" w:type="dxa"/>
            <w:vAlign w:val="bottom"/>
          </w:tcPr>
          <w:p>
            <w:pPr>
              <w:spacing w:after="0"/>
              <w:rPr>
                <w:sz w:val="14"/>
                <w:szCs w:val="1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Baker Botts L.L.P.</w:t>
            </w:r>
          </w:p>
        </w:tc>
        <w:tc>
          <w:tcPr>
            <w:tcW w:w="1400" w:type="dxa"/>
            <w:vAlign w:val="bottom"/>
          </w:tcPr>
          <w:p>
            <w:pPr>
              <w:spacing w:after="0"/>
              <w:rPr>
                <w:sz w:val="14"/>
                <w:szCs w:val="14"/>
                <w:color w:val="auto"/>
              </w:rPr>
            </w:pPr>
          </w:p>
        </w:tc>
        <w:tc>
          <w:tcPr>
            <w:tcW w:w="2080" w:type="dxa"/>
            <w:vAlign w:val="bottom"/>
          </w:tcPr>
          <w:p>
            <w:pPr>
              <w:jc w:val="center"/>
              <w:ind w:left="330"/>
              <w:spacing w:after="0"/>
              <w:rPr>
                <w:sz w:val="20"/>
                <w:szCs w:val="20"/>
                <w:color w:val="auto"/>
              </w:rPr>
            </w:pPr>
            <w:r>
              <w:rPr>
                <w:rFonts w:ascii="Times New Roman" w:cs="Times New Roman" w:eastAsia="Times New Roman" w:hAnsi="Times New Roman"/>
                <w:sz w:val="14"/>
                <w:szCs w:val="14"/>
                <w:b w:val="1"/>
                <w:bCs w:val="1"/>
                <w:color w:val="auto"/>
                <w:w w:val="96"/>
              </w:rPr>
              <w:t>Hunton Andrews Kurth LLP</w:t>
            </w:r>
          </w:p>
        </w:tc>
      </w:tr>
      <w:tr>
        <w:trPr>
          <w:trHeight w:val="168"/>
        </w:trPr>
        <w:tc>
          <w:tcPr>
            <w:tcW w:w="560" w:type="dxa"/>
            <w:vAlign w:val="bottom"/>
          </w:tcPr>
          <w:p>
            <w:pPr>
              <w:spacing w:after="0"/>
              <w:rPr>
                <w:sz w:val="14"/>
                <w:szCs w:val="1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910 Louisiana Street</w:t>
            </w:r>
          </w:p>
        </w:tc>
        <w:tc>
          <w:tcPr>
            <w:tcW w:w="1400" w:type="dxa"/>
            <w:vAlign w:val="bottom"/>
          </w:tcPr>
          <w:p>
            <w:pPr>
              <w:spacing w:after="0"/>
              <w:rPr>
                <w:sz w:val="14"/>
                <w:szCs w:val="14"/>
                <w:color w:val="auto"/>
              </w:rPr>
            </w:pPr>
          </w:p>
        </w:tc>
        <w:tc>
          <w:tcPr>
            <w:tcW w:w="2080" w:type="dxa"/>
            <w:vAlign w:val="bottom"/>
          </w:tcPr>
          <w:p>
            <w:pPr>
              <w:jc w:val="center"/>
              <w:ind w:left="310"/>
              <w:spacing w:after="0"/>
              <w:rPr>
                <w:sz w:val="20"/>
                <w:szCs w:val="20"/>
                <w:color w:val="auto"/>
              </w:rPr>
            </w:pPr>
            <w:r>
              <w:rPr>
                <w:rFonts w:ascii="Times New Roman" w:cs="Times New Roman" w:eastAsia="Times New Roman" w:hAnsi="Times New Roman"/>
                <w:sz w:val="14"/>
                <w:szCs w:val="14"/>
                <w:b w:val="1"/>
                <w:bCs w:val="1"/>
                <w:color w:val="auto"/>
                <w:w w:val="95"/>
              </w:rPr>
              <w:t>200 Park Avenue</w:t>
            </w:r>
          </w:p>
        </w:tc>
      </w:tr>
      <w:tr>
        <w:trPr>
          <w:trHeight w:val="168"/>
        </w:trPr>
        <w:tc>
          <w:tcPr>
            <w:tcW w:w="560" w:type="dxa"/>
            <w:vAlign w:val="bottom"/>
          </w:tcPr>
          <w:p>
            <w:pPr>
              <w:spacing w:after="0"/>
              <w:rPr>
                <w:sz w:val="14"/>
                <w:szCs w:val="14"/>
                <w:color w:val="auto"/>
              </w:rPr>
            </w:pP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Houston, Texas 77002-4995</w:t>
            </w:r>
          </w:p>
        </w:tc>
        <w:tc>
          <w:tcPr>
            <w:tcW w:w="1400" w:type="dxa"/>
            <w:vAlign w:val="bottom"/>
          </w:tcPr>
          <w:p>
            <w:pPr>
              <w:spacing w:after="0"/>
              <w:rPr>
                <w:sz w:val="14"/>
                <w:szCs w:val="14"/>
                <w:color w:val="auto"/>
              </w:rPr>
            </w:pPr>
          </w:p>
        </w:tc>
        <w:tc>
          <w:tcPr>
            <w:tcW w:w="2080" w:type="dxa"/>
            <w:vAlign w:val="bottom"/>
          </w:tcPr>
          <w:p>
            <w:pPr>
              <w:jc w:val="center"/>
              <w:ind w:left="310"/>
              <w:spacing w:after="0"/>
              <w:rPr>
                <w:sz w:val="20"/>
                <w:szCs w:val="20"/>
                <w:color w:val="auto"/>
              </w:rPr>
            </w:pPr>
            <w:r>
              <w:rPr>
                <w:rFonts w:ascii="Times New Roman" w:cs="Times New Roman" w:eastAsia="Times New Roman" w:hAnsi="Times New Roman"/>
                <w:sz w:val="14"/>
                <w:szCs w:val="14"/>
                <w:b w:val="1"/>
                <w:bCs w:val="1"/>
                <w:color w:val="auto"/>
                <w:w w:val="94"/>
              </w:rPr>
              <w:t>New York, New York 10166</w:t>
            </w:r>
          </w:p>
        </w:tc>
      </w:tr>
      <w:tr>
        <w:trPr>
          <w:trHeight w:val="185"/>
        </w:trPr>
        <w:tc>
          <w:tcPr>
            <w:tcW w:w="560" w:type="dxa"/>
            <w:vAlign w:val="bottom"/>
          </w:tcPr>
          <w:p>
            <w:pPr>
              <w:spacing w:after="0"/>
              <w:rPr>
                <w:sz w:val="16"/>
                <w:szCs w:val="16"/>
                <w:color w:val="auto"/>
              </w:rPr>
            </w:pPr>
          </w:p>
        </w:tc>
        <w:tc>
          <w:tcPr>
            <w:tcW w:w="2520" w:type="dxa"/>
            <w:vAlign w:val="bottom"/>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w w:val="95"/>
              </w:rPr>
              <w:t>(713) 229-1234</w:t>
            </w:r>
          </w:p>
        </w:tc>
        <w:tc>
          <w:tcPr>
            <w:tcW w:w="1400" w:type="dxa"/>
            <w:vAlign w:val="bottom"/>
          </w:tcPr>
          <w:p>
            <w:pPr>
              <w:spacing w:after="0"/>
              <w:rPr>
                <w:sz w:val="16"/>
                <w:szCs w:val="16"/>
                <w:color w:val="auto"/>
              </w:rPr>
            </w:pPr>
          </w:p>
        </w:tc>
        <w:tc>
          <w:tcPr>
            <w:tcW w:w="2080" w:type="dxa"/>
            <w:vAlign w:val="bottom"/>
          </w:tcPr>
          <w:p>
            <w:pPr>
              <w:jc w:val="center"/>
              <w:ind w:left="370"/>
              <w:spacing w:after="0"/>
              <w:rPr>
                <w:sz w:val="20"/>
                <w:szCs w:val="20"/>
                <w:color w:val="auto"/>
              </w:rPr>
            </w:pPr>
            <w:r>
              <w:rPr>
                <w:rFonts w:ascii="Times New Roman" w:cs="Times New Roman" w:eastAsia="Times New Roman" w:hAnsi="Times New Roman"/>
                <w:sz w:val="14"/>
                <w:szCs w:val="14"/>
                <w:b w:val="1"/>
                <w:bCs w:val="1"/>
                <w:color w:val="auto"/>
                <w:w w:val="95"/>
              </w:rPr>
              <w:t>(212) 309-1000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194945</wp:posOffset>
            </wp:positionH>
            <wp:positionV relativeFrom="paragraph">
              <wp:posOffset>187960</wp:posOffset>
            </wp:positionV>
            <wp:extent cx="533082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ectPr>
          <w:pgSz w:w="11900" w:h="16838" w:orient="portrait"/>
          <w:cols w:equalWidth="0" w:num="2">
            <w:col w:w="7560" w:space="720"/>
            <w:col w:w="739"/>
          </w:cols>
          <w:pgMar w:left="1440" w:top="191" w:right="1440" w:bottom="1440" w:gutter="0" w:footer="0" w:header="0"/>
          <w:type w:val="continuous"/>
        </w:sectPr>
      </w:pPr>
    </w:p>
    <w:bookmarkStart w:id="1" w:name="page2"/>
    <w:bookmarkEnd w:id="1"/>
    <w:p>
      <w:pPr>
        <w:ind w:left="320"/>
        <w:spacing w:after="0"/>
        <w:rPr>
          <w:sz w:val="20"/>
          <w:szCs w:val="20"/>
          <w:color w:val="auto"/>
        </w:rPr>
      </w:pPr>
      <w:r>
        <w:rPr>
          <w:rFonts w:ascii="Calibri" w:cs="Calibri" w:eastAsia="Calibri" w:hAnsi="Calibri"/>
          <w:sz w:val="11"/>
          <w:szCs w:val="11"/>
          <w:color w:val="003366"/>
        </w:rPr>
        <w:t>TABLE OF CONTENTS</w:t>
      </w:r>
    </w:p>
    <w:p>
      <w:pPr>
        <w:spacing w:after="0" w:line="387" w:lineRule="exact"/>
        <w:rPr>
          <w:sz w:val="20"/>
          <w:szCs w:val="20"/>
          <w:color w:val="auto"/>
        </w:rPr>
      </w:pPr>
    </w:p>
    <w:p>
      <w:pPr>
        <w:ind w:left="700" w:right="1239" w:firstLine="280"/>
        <w:spacing w:after="0" w:line="286" w:lineRule="auto"/>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From time to time after the effective date of this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registration statement.</w:t>
      </w:r>
    </w:p>
    <w:p>
      <w:pPr>
        <w:spacing w:after="0" w:line="60" w:lineRule="exact"/>
        <w:rPr>
          <w:sz w:val="20"/>
          <w:szCs w:val="20"/>
          <w:color w:val="auto"/>
        </w:rPr>
      </w:pPr>
    </w:p>
    <w:p>
      <w:pPr>
        <w:ind w:left="700" w:right="959" w:firstLine="280"/>
        <w:spacing w:after="0" w:line="187"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79" w:lineRule="exact"/>
        <w:rPr>
          <w:sz w:val="20"/>
          <w:szCs w:val="20"/>
          <w:color w:val="auto"/>
        </w:rPr>
      </w:pPr>
    </w:p>
    <w:p>
      <w:pPr>
        <w:ind w:left="700" w:right="1279" w:firstLine="280"/>
        <w:spacing w:after="0" w:line="18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79" w:lineRule="exact"/>
        <w:rPr>
          <w:sz w:val="20"/>
          <w:szCs w:val="20"/>
          <w:color w:val="auto"/>
        </w:rPr>
      </w:pPr>
    </w:p>
    <w:p>
      <w:pPr>
        <w:ind w:left="700" w:right="799" w:firstLine="280"/>
        <w:spacing w:after="0" w:line="181"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9" w:lineRule="exact"/>
        <w:rPr>
          <w:sz w:val="20"/>
          <w:szCs w:val="20"/>
          <w:color w:val="auto"/>
        </w:rPr>
      </w:pPr>
    </w:p>
    <w:p>
      <w:pPr>
        <w:ind w:left="700" w:right="839" w:firstLine="280"/>
        <w:spacing w:after="0" w:line="187"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79" w:lineRule="exact"/>
        <w:rPr>
          <w:sz w:val="20"/>
          <w:szCs w:val="20"/>
          <w:color w:val="auto"/>
        </w:rPr>
      </w:pPr>
    </w:p>
    <w:p>
      <w:pPr>
        <w:ind w:left="700" w:right="739" w:firstLine="280"/>
        <w:spacing w:after="0" w:line="187"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79" w:lineRule="exact"/>
        <w:rPr>
          <w:sz w:val="20"/>
          <w:szCs w:val="20"/>
          <w:color w:val="auto"/>
        </w:rPr>
      </w:pPr>
    </w:p>
    <w:p>
      <w:pPr>
        <w:ind w:left="700" w:right="1059" w:firstLine="280"/>
        <w:spacing w:after="0" w:line="181"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69" w:lineRule="exact"/>
        <w:rPr>
          <w:sz w:val="20"/>
          <w:szCs w:val="20"/>
          <w:color w:val="auto"/>
        </w:rPr>
      </w:pPr>
    </w:p>
    <w:p>
      <w:pPr>
        <w:ind w:left="700" w:right="819" w:firstLine="280"/>
        <w:spacing w:after="0" w:line="26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107" w:right="1440" w:bottom="1440" w:gutter="0" w:footer="0" w:header="0"/>
        </w:sectPr>
      </w:pPr>
    </w:p>
    <w:p>
      <w:pPr>
        <w:spacing w:after="0" w:line="134" w:lineRule="exact"/>
        <w:rPr>
          <w:sz w:val="20"/>
          <w:szCs w:val="20"/>
          <w:color w:val="auto"/>
        </w:rPr>
      </w:pPr>
    </w:p>
    <w:tbl>
      <w:tblPr>
        <w:tblLayout w:type="fixed"/>
        <w:tblInd w:w="700" w:type="dxa"/>
        <w:tblCellMar>
          <w:top w:w="0" w:type="dxa"/>
          <w:left w:w="0" w:type="dxa"/>
          <w:bottom w:w="0" w:type="dxa"/>
          <w:right w:w="0" w:type="dxa"/>
        </w:tblCellMar>
      </w:tblPr>
      <w:tr>
        <w:trPr>
          <w:trHeight w:val="185"/>
        </w:trPr>
        <w:tc>
          <w:tcPr>
            <w:tcW w:w="1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CenterPoint Energy, Inc.</w:t>
            </w:r>
          </w:p>
        </w:tc>
        <w:tc>
          <w:tcPr>
            <w:tcW w:w="5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63"/>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56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17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 ​</w:t>
            </w:r>
          </w:p>
        </w:tc>
        <w:tc>
          <w:tcPr>
            <w:tcW w:w="308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 ​ Accelerated filer</w:t>
            </w:r>
          </w:p>
        </w:tc>
        <w:tc>
          <w:tcPr>
            <w:tcW w:w="2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58"/>
        </w:trPr>
        <w:tc>
          <w:tcPr>
            <w:tcW w:w="148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​Non-accelerated filer</w:t>
            </w:r>
          </w:p>
        </w:tc>
        <w:tc>
          <w:tcPr>
            <w:tcW w:w="56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1780" w:type="dxa"/>
            <w:vAlign w:val="bottom"/>
          </w:tcPr>
          <w:p>
            <w:pPr>
              <w:ind w:left="380"/>
              <w:spacing w:after="0" w:line="158" w:lineRule="exact"/>
              <w:rPr>
                <w:sz w:val="20"/>
                <w:szCs w:val="20"/>
                <w:color w:val="auto"/>
              </w:rPr>
            </w:pPr>
            <w:r>
              <w:rPr>
                <w:rFonts w:ascii="Times New Roman" w:cs="Times New Roman" w:eastAsia="Times New Roman" w:hAnsi="Times New Roman"/>
                <w:sz w:val="14"/>
                <w:szCs w:val="14"/>
                <w:color w:val="auto"/>
              </w:rPr>
              <w:t>​ ​ ​</w:t>
            </w:r>
          </w:p>
        </w:tc>
        <w:tc>
          <w:tcPr>
            <w:tcW w:w="3080" w:type="dxa"/>
            <w:vAlign w:val="bottom"/>
          </w:tcPr>
          <w:p>
            <w:pPr>
              <w:ind w:left="1180"/>
              <w:spacing w:after="0" w:line="158" w:lineRule="exact"/>
              <w:rPr>
                <w:sz w:val="20"/>
                <w:szCs w:val="20"/>
                <w:color w:val="auto"/>
              </w:rPr>
            </w:pPr>
            <w:r>
              <w:rPr>
                <w:rFonts w:ascii="Times New Roman" w:cs="Times New Roman" w:eastAsia="Times New Roman" w:hAnsi="Times New Roman"/>
                <w:sz w:val="14"/>
                <w:szCs w:val="14"/>
                <w:color w:val="auto"/>
              </w:rPr>
              <w:t>​ ​ Smaller reporting company</w:t>
            </w:r>
          </w:p>
        </w:tc>
        <w:tc>
          <w:tcPr>
            <w:tcW w:w="2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20"/>
                <w:szCs w:val="20"/>
                <w:color w:val="auto"/>
              </w:rPr>
            </w:pPr>
          </w:p>
        </w:tc>
        <w:tc>
          <w:tcPr>
            <w:tcW w:w="17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 ​</w:t>
            </w:r>
          </w:p>
        </w:tc>
        <w:tc>
          <w:tcPr>
            <w:tcW w:w="308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 ​ Emerging growth company</w:t>
            </w:r>
          </w:p>
        </w:tc>
        <w:tc>
          <w:tcPr>
            <w:tcW w:w="2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54" w:lineRule="exact"/>
        <w:rPr>
          <w:sz w:val="20"/>
          <w:szCs w:val="20"/>
          <w:color w:val="auto"/>
        </w:rPr>
      </w:pPr>
    </w:p>
    <w:p>
      <w:pPr>
        <w:ind w:left="700" w:firstLine="280"/>
        <w:spacing w:after="0" w:line="18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4"/>
          <w:szCs w:val="14"/>
          <w:color w:val="auto"/>
        </w:rPr>
        <w:t>☐</w:t>
      </w:r>
    </w:p>
    <w:p>
      <w:pPr>
        <w:spacing w:after="0" w:line="13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CenterPoint Energy Houston Electric,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rPr>
          <w:sz w:val="20"/>
          <w:szCs w:val="20"/>
          <w:color w:val="auto"/>
        </w:rPr>
      </w:pPr>
      <w:r>
        <w:rPr>
          <w:rFonts w:ascii="Times New Roman" w:cs="Times New Roman" w:eastAsia="Times New Roman" w:hAnsi="Times New Roman"/>
          <w:sz w:val="14"/>
          <w:szCs w:val="14"/>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055" w:lineRule="exact"/>
        <w:rPr>
          <w:sz w:val="20"/>
          <w:szCs w:val="20"/>
          <w:color w:val="auto"/>
        </w:rPr>
      </w:pPr>
    </w:p>
    <w:p>
      <w:pPr>
        <w:sectPr>
          <w:pgSz w:w="11900" w:h="16838" w:orient="portrait"/>
          <w:cols w:equalWidth="0" w:num="2">
            <w:col w:w="7920" w:space="360"/>
            <w:col w:w="739"/>
          </w:cols>
          <w:pgMar w:left="1440" w:top="107" w:right="1440" w:bottom="1440" w:gutter="0" w:footer="0" w:header="0"/>
          <w:type w:val="continuous"/>
        </w:sectPr>
      </w:pPr>
    </w:p>
    <w:tbl>
      <w:tblPr>
        <w:tblLayout w:type="fixed"/>
        <w:tblInd w:w="700" w:type="dxa"/>
        <w:tblCellMar>
          <w:top w:w="0" w:type="dxa"/>
          <w:left w:w="0" w:type="dxa"/>
          <w:bottom w:w="0" w:type="dxa"/>
          <w:right w:w="0" w:type="dxa"/>
        </w:tblCellMar>
      </w:tblPr>
      <w:tr>
        <w:trPr>
          <w:trHeight w:val="172"/>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600" w:type="dxa"/>
            <w:vAlign w:val="bottom"/>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17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 ​</w:t>
            </w:r>
          </w:p>
        </w:tc>
        <w:tc>
          <w:tcPr>
            <w:tcW w:w="308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 ​ Accelerated filer</w:t>
            </w:r>
          </w:p>
        </w:tc>
        <w:tc>
          <w:tcPr>
            <w:tcW w:w="2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58"/>
        </w:trPr>
        <w:tc>
          <w:tcPr>
            <w:tcW w:w="144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​Non-accelerated filer</w:t>
            </w:r>
          </w:p>
        </w:tc>
        <w:tc>
          <w:tcPr>
            <w:tcW w:w="600" w:type="dxa"/>
            <w:vAlign w:val="bottom"/>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1780" w:type="dxa"/>
            <w:vAlign w:val="bottom"/>
          </w:tcPr>
          <w:p>
            <w:pPr>
              <w:ind w:left="380"/>
              <w:spacing w:after="0" w:line="158" w:lineRule="exact"/>
              <w:rPr>
                <w:sz w:val="20"/>
                <w:szCs w:val="20"/>
                <w:color w:val="auto"/>
              </w:rPr>
            </w:pPr>
            <w:r>
              <w:rPr>
                <w:rFonts w:ascii="Times New Roman" w:cs="Times New Roman" w:eastAsia="Times New Roman" w:hAnsi="Times New Roman"/>
                <w:sz w:val="14"/>
                <w:szCs w:val="14"/>
                <w:color w:val="auto"/>
              </w:rPr>
              <w:t>​ ​ ​</w:t>
            </w:r>
          </w:p>
        </w:tc>
        <w:tc>
          <w:tcPr>
            <w:tcW w:w="3080" w:type="dxa"/>
            <w:vAlign w:val="bottom"/>
          </w:tcPr>
          <w:p>
            <w:pPr>
              <w:ind w:left="1180"/>
              <w:spacing w:after="0" w:line="158" w:lineRule="exact"/>
              <w:rPr>
                <w:sz w:val="20"/>
                <w:szCs w:val="20"/>
                <w:color w:val="auto"/>
              </w:rPr>
            </w:pPr>
            <w:r>
              <w:rPr>
                <w:rFonts w:ascii="Times New Roman" w:cs="Times New Roman" w:eastAsia="Times New Roman" w:hAnsi="Times New Roman"/>
                <w:sz w:val="14"/>
                <w:szCs w:val="14"/>
                <w:color w:val="auto"/>
              </w:rPr>
              <w:t>​ ​ Smaller reporting company</w:t>
            </w:r>
          </w:p>
        </w:tc>
        <w:tc>
          <w:tcPr>
            <w:tcW w:w="2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6"/>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20"/>
                <w:szCs w:val="20"/>
                <w:color w:val="auto"/>
              </w:rPr>
            </w:pPr>
          </w:p>
        </w:tc>
        <w:tc>
          <w:tcPr>
            <w:tcW w:w="17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 ​</w:t>
            </w:r>
          </w:p>
        </w:tc>
        <w:tc>
          <w:tcPr>
            <w:tcW w:w="308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 ​ Emerging growth company</w:t>
            </w:r>
          </w:p>
        </w:tc>
        <w:tc>
          <w:tcPr>
            <w:tcW w:w="2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54" w:lineRule="exact"/>
        <w:rPr>
          <w:sz w:val="20"/>
          <w:szCs w:val="20"/>
          <w:color w:val="auto"/>
        </w:rPr>
      </w:pPr>
    </w:p>
    <w:p>
      <w:pPr>
        <w:ind w:left="700" w:firstLine="280"/>
        <w:spacing w:after="0" w:line="18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4"/>
          <w:szCs w:val="14"/>
          <w:color w:val="auto"/>
        </w:rPr>
        <w:t>☐</w:t>
      </w:r>
    </w:p>
    <w:p>
      <w:pPr>
        <w:spacing w:after="0" w:line="13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CenterPoint Energy Resources Corp.</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rPr>
          <w:sz w:val="20"/>
          <w:szCs w:val="20"/>
          <w:color w:val="auto"/>
        </w:rPr>
      </w:pPr>
      <w:r>
        <w:rPr>
          <w:rFonts w:ascii="Times New Roman" w:cs="Times New Roman" w:eastAsia="Times New Roman" w:hAnsi="Times New Roman"/>
          <w:sz w:val="14"/>
          <w:szCs w:val="14"/>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055" w:lineRule="exact"/>
        <w:rPr>
          <w:sz w:val="20"/>
          <w:szCs w:val="20"/>
          <w:color w:val="auto"/>
        </w:rPr>
      </w:pPr>
    </w:p>
    <w:p>
      <w:pPr>
        <w:sectPr>
          <w:pgSz w:w="11900" w:h="16838" w:orient="portrait"/>
          <w:cols w:equalWidth="0" w:num="2">
            <w:col w:w="7920" w:space="360"/>
            <w:col w:w="739"/>
          </w:cols>
          <w:pgMar w:left="1440" w:top="107" w:right="1440" w:bottom="1440" w:gutter="0" w:footer="0" w:header="0"/>
          <w:type w:val="continuous"/>
        </w:sectPr>
      </w:pPr>
    </w:p>
    <w:tbl>
      <w:tblPr>
        <w:tblLayout w:type="fixed"/>
        <w:tblInd w:w="700" w:type="dxa"/>
        <w:tblCellMar>
          <w:top w:w="0" w:type="dxa"/>
          <w:left w:w="0" w:type="dxa"/>
          <w:bottom w:w="0" w:type="dxa"/>
          <w:right w:w="0" w:type="dxa"/>
        </w:tblCellMar>
      </w:tblPr>
      <w:tr>
        <w:trPr>
          <w:trHeight w:val="172"/>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600" w:type="dxa"/>
            <w:vAlign w:val="bottom"/>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17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 ​</w:t>
            </w:r>
          </w:p>
        </w:tc>
        <w:tc>
          <w:tcPr>
            <w:tcW w:w="308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 ​ Accelerated filer</w:t>
            </w:r>
          </w:p>
        </w:tc>
        <w:tc>
          <w:tcPr>
            <w:tcW w:w="2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58"/>
        </w:trPr>
        <w:tc>
          <w:tcPr>
            <w:tcW w:w="144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​Non-accelerated filer</w:t>
            </w:r>
          </w:p>
        </w:tc>
        <w:tc>
          <w:tcPr>
            <w:tcW w:w="600" w:type="dxa"/>
            <w:vAlign w:val="bottom"/>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1780" w:type="dxa"/>
            <w:vAlign w:val="bottom"/>
          </w:tcPr>
          <w:p>
            <w:pPr>
              <w:ind w:left="380"/>
              <w:spacing w:after="0" w:line="158" w:lineRule="exact"/>
              <w:rPr>
                <w:sz w:val="20"/>
                <w:szCs w:val="20"/>
                <w:color w:val="auto"/>
              </w:rPr>
            </w:pPr>
            <w:r>
              <w:rPr>
                <w:rFonts w:ascii="Times New Roman" w:cs="Times New Roman" w:eastAsia="Times New Roman" w:hAnsi="Times New Roman"/>
                <w:sz w:val="14"/>
                <w:szCs w:val="14"/>
                <w:color w:val="auto"/>
              </w:rPr>
              <w:t>​ ​ ​</w:t>
            </w:r>
          </w:p>
        </w:tc>
        <w:tc>
          <w:tcPr>
            <w:tcW w:w="3080" w:type="dxa"/>
            <w:vAlign w:val="bottom"/>
          </w:tcPr>
          <w:p>
            <w:pPr>
              <w:ind w:left="1180"/>
              <w:spacing w:after="0" w:line="158" w:lineRule="exact"/>
              <w:rPr>
                <w:sz w:val="20"/>
                <w:szCs w:val="20"/>
                <w:color w:val="auto"/>
              </w:rPr>
            </w:pPr>
            <w:r>
              <w:rPr>
                <w:rFonts w:ascii="Times New Roman" w:cs="Times New Roman" w:eastAsia="Times New Roman" w:hAnsi="Times New Roman"/>
                <w:sz w:val="14"/>
                <w:szCs w:val="14"/>
                <w:color w:val="auto"/>
              </w:rPr>
              <w:t>​ ​ Smaller reporting company</w:t>
            </w:r>
          </w:p>
        </w:tc>
        <w:tc>
          <w:tcPr>
            <w:tcW w:w="2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6"/>
        </w:trPr>
        <w:tc>
          <w:tcPr>
            <w:tcW w:w="14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20"/>
                <w:szCs w:val="20"/>
                <w:color w:val="auto"/>
              </w:rPr>
            </w:pPr>
          </w:p>
        </w:tc>
        <w:tc>
          <w:tcPr>
            <w:tcW w:w="17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 ​</w:t>
            </w:r>
          </w:p>
        </w:tc>
        <w:tc>
          <w:tcPr>
            <w:tcW w:w="3080" w:type="dxa"/>
            <w:vAlign w:val="bottom"/>
          </w:tcPr>
          <w:p>
            <w:pPr>
              <w:ind w:left="1180"/>
              <w:spacing w:after="0"/>
              <w:rPr>
                <w:sz w:val="20"/>
                <w:szCs w:val="20"/>
                <w:color w:val="auto"/>
              </w:rPr>
            </w:pPr>
            <w:r>
              <w:rPr>
                <w:rFonts w:ascii="Times New Roman" w:cs="Times New Roman" w:eastAsia="Times New Roman" w:hAnsi="Times New Roman"/>
                <w:sz w:val="14"/>
                <w:szCs w:val="14"/>
                <w:color w:val="auto"/>
              </w:rPr>
              <w:t>​ ​ Emerging growth company</w:t>
            </w:r>
          </w:p>
        </w:tc>
        <w:tc>
          <w:tcPr>
            <w:tcW w:w="26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54" w:lineRule="exact"/>
        <w:rPr>
          <w:sz w:val="20"/>
          <w:szCs w:val="20"/>
          <w:color w:val="auto"/>
        </w:rPr>
      </w:pPr>
    </w:p>
    <w:p>
      <w:pPr>
        <w:ind w:left="700" w:firstLine="280"/>
        <w:spacing w:after="0" w:line="18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86360</wp:posOffset>
            </wp:positionV>
            <wp:extent cx="482409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82409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rPr>
          <w:sz w:val="20"/>
          <w:szCs w:val="20"/>
          <w:color w:val="auto"/>
        </w:rPr>
      </w:pPr>
      <w:r>
        <w:rPr>
          <w:rFonts w:ascii="Times New Roman" w:cs="Times New Roman" w:eastAsia="Times New Roman" w:hAnsi="Times New Roman"/>
          <w:sz w:val="14"/>
          <w:szCs w:val="14"/>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811" w:lineRule="exact"/>
        <w:rPr>
          <w:sz w:val="20"/>
          <w:szCs w:val="20"/>
          <w:color w:val="auto"/>
        </w:rPr>
      </w:pPr>
    </w:p>
    <w:p>
      <w:pPr>
        <w:sectPr>
          <w:pgSz w:w="11900" w:h="16838" w:orient="portrait"/>
          <w:cols w:equalWidth="0" w:num="2">
            <w:col w:w="7920" w:space="360"/>
            <w:col w:w="739"/>
          </w:cols>
          <w:pgMar w:left="1440" w:top="107" w:right="1440"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-4445</wp:posOffset>
            </wp:positionV>
            <wp:extent cx="4824095"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24095" cy="13335"/>
                    </a:xfrm>
                    <a:prstGeom prst="rect">
                      <a:avLst/>
                    </a:prstGeom>
                    <a:noFill/>
                  </pic:spPr>
                </pic:pic>
              </a:graphicData>
            </a:graphic>
          </wp:anchor>
        </w:drawing>
        <w:drawing>
          <wp:anchor simplePos="0" relativeHeight="251657728" behindDoc="1" locked="0" layoutInCell="0" allowOverlap="1">
            <wp:simplePos x="0" y="0"/>
            <wp:positionH relativeFrom="column">
              <wp:posOffset>194945</wp:posOffset>
            </wp:positionH>
            <wp:positionV relativeFrom="paragraph">
              <wp:posOffset>710565</wp:posOffset>
            </wp:positionV>
            <wp:extent cx="533082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2" w:name="page3"/>
    <w:bookmarkEnd w:id="2"/>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Explanatory Note</w:t>
      </w:r>
    </w:p>
    <w:p>
      <w:pPr>
        <w:spacing w:after="0" w:line="125" w:lineRule="exact"/>
        <w:rPr>
          <w:sz w:val="20"/>
          <w:szCs w:val="20"/>
          <w:color w:val="auto"/>
        </w:rPr>
      </w:pPr>
    </w:p>
    <w:p>
      <w:pPr>
        <w:ind w:left="1300" w:right="1519" w:firstLine="281"/>
        <w:spacing w:after="0" w:line="283" w:lineRule="auto"/>
        <w:rPr>
          <w:sz w:val="20"/>
          <w:szCs w:val="20"/>
          <w:color w:val="auto"/>
        </w:rPr>
      </w:pPr>
      <w:r>
        <w:rPr>
          <w:rFonts w:ascii="Times New Roman" w:cs="Times New Roman" w:eastAsia="Times New Roman" w:hAnsi="Times New Roman"/>
          <w:sz w:val="14"/>
          <w:szCs w:val="14"/>
          <w:color w:val="auto"/>
        </w:rPr>
        <w:t>This registration statement contains the following three base prospectuses for use in connection with separate offerings by the respective companies.</w:t>
      </w:r>
    </w:p>
    <w:p>
      <w:pPr>
        <w:spacing w:after="0" w:line="73" w:lineRule="exact"/>
        <w:rPr>
          <w:sz w:val="20"/>
          <w:szCs w:val="20"/>
          <w:color w:val="auto"/>
        </w:rPr>
      </w:pPr>
    </w:p>
    <w:p>
      <w:pPr>
        <w:ind w:left="1300" w:right="1339" w:firstLine="286"/>
        <w:spacing w:after="0" w:line="267" w:lineRule="auto"/>
        <w:tabs>
          <w:tab w:leader="none" w:pos="1729"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base prospectus for use by CenterPoint Energy, Inc. (“CenterPoint Energy”) in connection with the offer and sale from time to time of its common stock, preferred stock, debt securities, which may be senior or junior subordinated, stock purchase contracts, equity units and depositary shares.</w:t>
      </w:r>
    </w:p>
    <w:p>
      <w:pPr>
        <w:spacing w:after="0" w:line="72" w:lineRule="exact"/>
        <w:rPr>
          <w:rFonts w:ascii="Times New Roman" w:cs="Times New Roman" w:eastAsia="Times New Roman" w:hAnsi="Times New Roman"/>
          <w:sz w:val="14"/>
          <w:szCs w:val="14"/>
          <w:color w:val="auto"/>
        </w:rPr>
      </w:pPr>
    </w:p>
    <w:p>
      <w:pPr>
        <w:ind w:left="1300" w:right="1479" w:firstLine="286"/>
        <w:spacing w:after="0" w:line="267" w:lineRule="auto"/>
        <w:tabs>
          <w:tab w:leader="none" w:pos="1729"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base prospectus for use by CenterPoint Energy Houston Electric, LLC (“Houston Electric”) in connection with the offer and sale from time to time of its general mortgage bonds. Houston Electric is an indirect, wholly-owned subsidiary of CenterPoint Energy.</w:t>
      </w:r>
    </w:p>
    <w:p>
      <w:pPr>
        <w:spacing w:after="0" w:line="83" w:lineRule="exact"/>
        <w:rPr>
          <w:rFonts w:ascii="Times New Roman" w:cs="Times New Roman" w:eastAsia="Times New Roman" w:hAnsi="Times New Roman"/>
          <w:sz w:val="14"/>
          <w:szCs w:val="14"/>
          <w:color w:val="auto"/>
        </w:rPr>
      </w:pPr>
    </w:p>
    <w:p>
      <w:pPr>
        <w:jc w:val="both"/>
        <w:ind w:left="1300" w:right="1539" w:firstLine="286"/>
        <w:spacing w:after="0" w:line="267" w:lineRule="auto"/>
        <w:tabs>
          <w:tab w:leader="none" w:pos="1729"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base prospectus for use by CenterPoint Energy Resources Corp. (“CERC Corp.”) in connection with the offer and sale from time to time of its senior debt securities. CERC Corp. is an indirect, wholly-owned subsidiary of CenterPoint Energy.</w:t>
      </w:r>
    </w:p>
    <w:p>
      <w:pPr>
        <w:spacing w:after="0" w:line="84" w:lineRule="exact"/>
        <w:rPr>
          <w:sz w:val="20"/>
          <w:szCs w:val="20"/>
          <w:color w:val="auto"/>
        </w:rPr>
      </w:pPr>
    </w:p>
    <w:p>
      <w:pPr>
        <w:ind w:left="1300" w:right="1639" w:firstLine="281"/>
        <w:spacing w:after="0" w:line="267" w:lineRule="auto"/>
        <w:rPr>
          <w:sz w:val="20"/>
          <w:szCs w:val="20"/>
          <w:color w:val="auto"/>
        </w:rPr>
      </w:pPr>
      <w:r>
        <w:rPr>
          <w:rFonts w:ascii="Times New Roman" w:cs="Times New Roman" w:eastAsia="Times New Roman" w:hAnsi="Times New Roman"/>
          <w:sz w:val="14"/>
          <w:szCs w:val="14"/>
          <w:color w:val="auto"/>
        </w:rPr>
        <w:t>Each offering of securities made under this registration statement will be made by the respective company pursuant to the prospectus applicable to its securities, with the specific terms of the securities offered thereby set forth in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4365625</wp:posOffset>
            </wp:positionV>
            <wp:extent cx="533082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 w:name="page4"/>
    <w:bookmarkEnd w:id="3"/>
    <w:p>
      <w:pPr>
        <w:ind w:left="320"/>
        <w:spacing w:after="0"/>
        <w:rPr>
          <w:sz w:val="20"/>
          <w:szCs w:val="20"/>
          <w:color w:val="auto"/>
        </w:rPr>
      </w:pPr>
      <w:r>
        <w:rPr>
          <w:rFonts w:ascii="Calibri" w:cs="Calibri" w:eastAsia="Calibri" w:hAnsi="Calibri"/>
          <w:sz w:val="11"/>
          <w:szCs w:val="11"/>
          <w:color w:val="003366"/>
        </w:rPr>
        <w:t>TABLE OF CONTENTS</w:t>
      </w:r>
    </w:p>
    <w:p>
      <w:pPr>
        <w:spacing w:after="0" w:line="3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CenterPoint Energy, Inc.</w:t>
      </w:r>
    </w:p>
    <w:p>
      <w:pPr>
        <w:spacing w:after="0" w:line="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1111 Louisiana Street</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Houston, Texas 77002</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(713) 207-1111</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CENTERPOINT ENERGY, INC.</w:t>
      </w:r>
    </w:p>
    <w:p>
      <w:pPr>
        <w:spacing w:after="0" w:line="6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SENIOR DEBT SECURITIES</w:t>
      </w:r>
    </w:p>
    <w:p>
      <w:pPr>
        <w:spacing w:after="0" w:line="1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0"/>
          <w:szCs w:val="20"/>
          <w:b w:val="1"/>
          <w:bCs w:val="1"/>
          <w:color w:val="auto"/>
        </w:rPr>
        <w:t>JUNIOR SUBORDINATED DEBT SECURITIES</w:t>
      </w:r>
    </w:p>
    <w:p>
      <w:pPr>
        <w:ind w:left="3660"/>
        <w:spacing w:after="0" w:line="232" w:lineRule="auto"/>
        <w:rPr>
          <w:sz w:val="20"/>
          <w:szCs w:val="20"/>
          <w:color w:val="auto"/>
        </w:rPr>
      </w:pPr>
      <w:r>
        <w:rPr>
          <w:rFonts w:ascii="Times New Roman" w:cs="Times New Roman" w:eastAsia="Times New Roman" w:hAnsi="Times New Roman"/>
          <w:sz w:val="20"/>
          <w:szCs w:val="20"/>
          <w:b w:val="1"/>
          <w:bCs w:val="1"/>
          <w:color w:val="auto"/>
        </w:rPr>
        <w:t>COMMON STOCK</w:t>
      </w:r>
    </w:p>
    <w:p>
      <w:pPr>
        <w:ind w:left="3540"/>
        <w:spacing w:after="0" w:line="230" w:lineRule="auto"/>
        <w:rPr>
          <w:sz w:val="20"/>
          <w:szCs w:val="20"/>
          <w:color w:val="auto"/>
        </w:rPr>
      </w:pPr>
      <w:r>
        <w:rPr>
          <w:rFonts w:ascii="Times New Roman" w:cs="Times New Roman" w:eastAsia="Times New Roman" w:hAnsi="Times New Roman"/>
          <w:sz w:val="20"/>
          <w:szCs w:val="20"/>
          <w:b w:val="1"/>
          <w:bCs w:val="1"/>
          <w:color w:val="auto"/>
        </w:rPr>
        <w:t>PREFERRED STOCK</w:t>
      </w:r>
    </w:p>
    <w:p>
      <w:pPr>
        <w:spacing w:after="0" w:line="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b w:val="1"/>
          <w:bCs w:val="1"/>
          <w:color w:val="auto"/>
        </w:rPr>
        <w:t>STOCK PURCHASE CONTRACTS</w:t>
      </w:r>
    </w:p>
    <w:p>
      <w:pPr>
        <w:ind w:left="3800"/>
        <w:spacing w:after="0" w:line="232" w:lineRule="auto"/>
        <w:rPr>
          <w:sz w:val="20"/>
          <w:szCs w:val="20"/>
          <w:color w:val="auto"/>
        </w:rPr>
      </w:pPr>
      <w:r>
        <w:rPr>
          <w:rFonts w:ascii="Times New Roman" w:cs="Times New Roman" w:eastAsia="Times New Roman" w:hAnsi="Times New Roman"/>
          <w:sz w:val="20"/>
          <w:szCs w:val="20"/>
          <w:b w:val="1"/>
          <w:bCs w:val="1"/>
          <w:color w:val="auto"/>
        </w:rPr>
        <w:t>EQUITY UNITS</w:t>
      </w:r>
    </w:p>
    <w:p>
      <w:pPr>
        <w:ind w:left="3480"/>
        <w:spacing w:after="0"/>
        <w:rPr>
          <w:sz w:val="20"/>
          <w:szCs w:val="20"/>
          <w:color w:val="auto"/>
        </w:rPr>
      </w:pPr>
      <w:r>
        <w:rPr>
          <w:rFonts w:ascii="Times New Roman" w:cs="Times New Roman" w:eastAsia="Times New Roman" w:hAnsi="Times New Roman"/>
          <w:sz w:val="20"/>
          <w:szCs w:val="20"/>
          <w:b w:val="1"/>
          <w:bCs w:val="1"/>
          <w:color w:val="auto"/>
        </w:rPr>
        <w:t>DEPOSITARY SHARES</w:t>
      </w:r>
    </w:p>
    <w:p>
      <w:pPr>
        <w:spacing w:after="0" w:line="88" w:lineRule="exact"/>
        <w:rPr>
          <w:sz w:val="20"/>
          <w:szCs w:val="20"/>
          <w:color w:val="auto"/>
        </w:rPr>
      </w:pPr>
    </w:p>
    <w:p>
      <w:pPr>
        <w:ind w:left="1300" w:right="1359" w:firstLine="281"/>
        <w:spacing w:after="0" w:line="261" w:lineRule="auto"/>
        <w:rPr>
          <w:sz w:val="20"/>
          <w:szCs w:val="20"/>
          <w:color w:val="auto"/>
        </w:rPr>
      </w:pPr>
      <w:r>
        <w:rPr>
          <w:rFonts w:ascii="Times New Roman" w:cs="Times New Roman" w:eastAsia="Times New Roman" w:hAnsi="Times New Roman"/>
          <w:sz w:val="14"/>
          <w:szCs w:val="14"/>
          <w:color w:val="auto"/>
        </w:rPr>
        <w:t>We will provide additional terms of our securities in one or more supplements to this prospectus. You should read this prospectus and the related prospectus supplement carefully before you invest in our securities. No person may use this prospectus to offer and sell our securities unless a prospectus supplement accompanies this prospectus.</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1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We may offer from time to time:</w:t>
      </w:r>
    </w:p>
    <w:p>
      <w:pPr>
        <w:spacing w:after="0" w:line="92" w:lineRule="exact"/>
        <w:rPr>
          <w:sz w:val="20"/>
          <w:szCs w:val="20"/>
          <w:color w:val="auto"/>
        </w:rPr>
      </w:pPr>
    </w:p>
    <w:p>
      <w:pPr>
        <w:ind w:left="1720" w:hanging="134"/>
        <w:spacing w:after="0"/>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senior debt securities;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junior subordinated debt securities;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preferred stock;</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purchase contracts;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units; and</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depositary shares.</w:t>
      </w:r>
    </w:p>
    <w:p>
      <w:pPr>
        <w:spacing w:after="0" w:line="113" w:lineRule="exact"/>
        <w:rPr>
          <w:sz w:val="20"/>
          <w:szCs w:val="20"/>
          <w:color w:val="auto"/>
        </w:rPr>
      </w:pPr>
    </w:p>
    <w:p>
      <w:pPr>
        <w:ind w:left="1300" w:right="1479" w:firstLine="281"/>
        <w:spacing w:after="0" w:line="283" w:lineRule="auto"/>
        <w:rPr>
          <w:sz w:val="20"/>
          <w:szCs w:val="20"/>
          <w:color w:val="auto"/>
        </w:rPr>
      </w:pPr>
      <w:r>
        <w:rPr>
          <w:rFonts w:ascii="Times New Roman" w:cs="Times New Roman" w:eastAsia="Times New Roman" w:hAnsi="Times New Roman"/>
          <w:sz w:val="14"/>
          <w:szCs w:val="14"/>
          <w:color w:val="auto"/>
        </w:rPr>
        <w:t>Our common stock is listed on the New York Stock Exchange and the NYSE Texas under the symbol “CNP.”</w:t>
      </w:r>
    </w:p>
    <w:p>
      <w:pPr>
        <w:spacing w:after="0" w:line="7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 xml:space="preserve">Investing in our securities involves risks. See “Risk Factors” on page </w:t>
      </w:r>
      <w:r>
        <w:rPr>
          <w:rFonts w:ascii="Times New Roman" w:cs="Times New Roman" w:eastAsia="Times New Roman" w:hAnsi="Times New Roman"/>
          <w:sz w:val="14"/>
          <w:szCs w:val="14"/>
          <w:b w:val="1"/>
          <w:bCs w:val="1"/>
          <w:u w:val="single" w:color="auto"/>
          <w:color w:val="0000EE"/>
        </w:rPr>
        <w:t>4</w:t>
      </w:r>
      <w:r>
        <w:rPr>
          <w:rFonts w:ascii="Times New Roman" w:cs="Times New Roman" w:eastAsia="Times New Roman" w:hAnsi="Times New Roman"/>
          <w:sz w:val="14"/>
          <w:szCs w:val="14"/>
          <w:b w:val="1"/>
          <w:bCs w:val="1"/>
          <w:color w:val="auto"/>
        </w:rPr>
        <w:t xml:space="preserv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2378710</wp:posOffset>
            </wp:positionH>
            <wp:positionV relativeFrom="paragraph">
              <wp:posOffset>182245</wp:posOffset>
            </wp:positionV>
            <wp:extent cx="96202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300" w:right="1499" w:firstLine="281"/>
        <w:spacing w:after="0" w:line="268"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2378710</wp:posOffset>
            </wp:positionH>
            <wp:positionV relativeFrom="paragraph">
              <wp:posOffset>156210</wp:posOffset>
            </wp:positionV>
            <wp:extent cx="96202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date of this prospectus is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 w:name="page5"/>
    <w:bookmarkEnd w:id="4"/>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300" w:type="dxa"/>
        <w:tblCellMar>
          <w:top w:w="0" w:type="dxa"/>
          <w:left w:w="0" w:type="dxa"/>
          <w:bottom w:w="0" w:type="dxa"/>
          <w:right w:w="0" w:type="dxa"/>
        </w:tblCellMar>
      </w:tblPr>
      <w:tr>
        <w:trPr>
          <w:trHeight w:val="185"/>
        </w:trPr>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1340" w:type="dxa"/>
            <w:vAlign w:val="bottom"/>
            <w:gridSpan w:val="6"/>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0000EE"/>
              </w:rPr>
              <w:t>About This Prospectus</w:t>
            </w:r>
          </w:p>
        </w:tc>
        <w:tc>
          <w:tcPr>
            <w:tcW w:w="3700" w:type="dxa"/>
            <w:vAlign w:val="bottom"/>
            <w:gridSpan w:val="8"/>
            <w:shd w:val="clear" w:color="auto" w:fill="CCEEFF"/>
          </w:tcPr>
          <w:p>
            <w:pPr>
              <w:spacing w:after="0"/>
              <w:rPr>
                <w:sz w:val="10"/>
                <w:szCs w:val="10"/>
                <w:color w:val="auto"/>
              </w:rPr>
            </w:pPr>
          </w:p>
        </w:tc>
        <w:tc>
          <w:tcPr>
            <w:tcW w:w="1360" w:type="dxa"/>
            <w:vAlign w:val="bottom"/>
            <w:tcBorders>
              <w:right w:val="single" w:sz="8" w:color="CCEEFF"/>
            </w:tcBorders>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0000EE"/>
              </w:rPr>
              <w:t>1</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40" w:type="dxa"/>
            <w:vAlign w:val="bottom"/>
            <w:tcBorders>
              <w:right w:val="single" w:sz="8" w:color="0000EE"/>
            </w:tcBorders>
            <w:shd w:val="clear" w:color="auto" w:fill="CCEEFF"/>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040" w:type="dxa"/>
            <w:vAlign w:val="bottom"/>
            <w:gridSpan w:val="14"/>
          </w:tcPr>
          <w:p>
            <w:pPr>
              <w:spacing w:after="0" w:line="158"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1220" w:type="dxa"/>
            <w:vAlign w:val="bottom"/>
          </w:tcPr>
          <w:p>
            <w:pPr>
              <w:spacing w:after="0"/>
              <w:rPr>
                <w:sz w:val="13"/>
                <w:szCs w:val="13"/>
                <w:color w:val="auto"/>
              </w:rPr>
            </w:pP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0000EE"/>
              </w:rPr>
              <w:t>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340" w:type="dxa"/>
            <w:vAlign w:val="bottom"/>
            <w:gridSpan w:val="11"/>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tcPr>
          <w:p>
            <w:pPr>
              <w:ind w:left="108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right w:val="single" w:sz="8" w:color="0000EE"/>
            </w:tcBorders>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0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0000EE"/>
              </w:rPr>
              <w:t>Incorporation By Reference</w:t>
            </w:r>
          </w:p>
        </w:tc>
        <w:tc>
          <w:tcPr>
            <w:tcW w:w="12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0000EE"/>
              </w:rPr>
              <w:t>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660" w:type="dxa"/>
            <w:vAlign w:val="bottom"/>
            <w:tcBorders>
              <w:bottom w:val="single" w:sz="8" w:color="CCEEFF"/>
              <w:right w:val="single" w:sz="8" w:color="CCEEFF"/>
            </w:tcBorders>
            <w:gridSpan w:val="7"/>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160" w:type="dxa"/>
            <w:vAlign w:val="bottom"/>
            <w:tcBorders>
              <w:bottom w:val="single" w:sz="8" w:color="CCEEFF"/>
            </w:tcBorders>
            <w:shd w:val="clear" w:color="auto" w:fill="CCEEFF"/>
          </w:tcPr>
          <w:p>
            <w:pPr>
              <w:spacing w:after="0" w:line="20" w:lineRule="exact"/>
              <w:rPr>
                <w:sz w:val="1"/>
                <w:szCs w:val="1"/>
                <w:color w:val="auto"/>
              </w:rPr>
            </w:pPr>
          </w:p>
        </w:tc>
        <w:tc>
          <w:tcPr>
            <w:tcW w:w="140" w:type="dxa"/>
            <w:vAlign w:val="bottom"/>
            <w:tcBorders>
              <w:bottom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bottom w:val="single" w:sz="8" w:color="CCEEFF"/>
            </w:tcBorders>
            <w:shd w:val="clear" w:color="auto" w:fill="CCEEFF"/>
          </w:tcPr>
          <w:p>
            <w:pPr>
              <w:spacing w:after="0" w:line="20" w:lineRule="exact"/>
              <w:rPr>
                <w:sz w:val="1"/>
                <w:szCs w:val="1"/>
                <w:color w:val="auto"/>
              </w:rPr>
            </w:pPr>
          </w:p>
        </w:tc>
        <w:tc>
          <w:tcPr>
            <w:tcW w:w="1360" w:type="dxa"/>
            <w:vAlign w:val="bottom"/>
            <w:tcBorders>
              <w:bottom w:val="single" w:sz="8" w:color="CCEEFF"/>
            </w:tcBorders>
            <w:gridSpan w:val="2"/>
            <w:shd w:val="clear" w:color="auto" w:fill="CCEEFF"/>
          </w:tcPr>
          <w:p>
            <w:pPr>
              <w:spacing w:after="0" w:line="20" w:lineRule="exact"/>
              <w:rPr>
                <w:sz w:val="1"/>
                <w:szCs w:val="1"/>
                <w:color w:val="auto"/>
              </w:rPr>
            </w:pPr>
          </w:p>
        </w:tc>
        <w:tc>
          <w:tcPr>
            <w:tcW w:w="320" w:type="dxa"/>
            <w:vAlign w:val="bottom"/>
            <w:tcBorders>
              <w:bottom w:val="single" w:sz="8" w:color="CCEEFF"/>
            </w:tcBorders>
            <w:shd w:val="clear" w:color="auto" w:fill="CCEEFF"/>
          </w:tcPr>
          <w:p>
            <w:pPr>
              <w:spacing w:after="0" w:line="20" w:lineRule="exact"/>
              <w:rPr>
                <w:sz w:val="1"/>
                <w:szCs w:val="1"/>
                <w:color w:val="auto"/>
              </w:rPr>
            </w:pPr>
          </w:p>
        </w:tc>
        <w:tc>
          <w:tcPr>
            <w:tcW w:w="1300" w:type="dxa"/>
            <w:vAlign w:val="bottom"/>
            <w:tcBorders>
              <w:bottom w:val="single" w:sz="8" w:color="CCEEFF"/>
            </w:tcBorders>
            <w:shd w:val="clear" w:color="auto" w:fill="CCEEFF"/>
          </w:tcPr>
          <w:p>
            <w:pPr>
              <w:spacing w:after="0" w:line="20" w:lineRule="exact"/>
              <w:rPr>
                <w:sz w:val="1"/>
                <w:szCs w:val="1"/>
                <w:color w:val="auto"/>
              </w:rPr>
            </w:pPr>
          </w:p>
        </w:tc>
        <w:tc>
          <w:tcPr>
            <w:tcW w:w="1220" w:type="dxa"/>
            <w:vAlign w:val="bottom"/>
            <w:tcBorders>
              <w:bottom w:val="single" w:sz="8" w:color="CCEEFF"/>
            </w:tcBorders>
            <w:shd w:val="clear" w:color="auto" w:fill="CCEEFF"/>
          </w:tcPr>
          <w:p>
            <w:pPr>
              <w:ind w:left="108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bottom w:val="single" w:sz="8" w:color="CCEEFF"/>
              <w:right w:val="single" w:sz="8" w:color="0000EE"/>
            </w:tcBorders>
            <w:shd w:val="clear" w:color="auto" w:fill="CCEEFF"/>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8"/>
        </w:trPr>
        <w:tc>
          <w:tcPr>
            <w:tcW w:w="5040" w:type="dxa"/>
            <w:vAlign w:val="bottom"/>
            <w:gridSpan w:val="14"/>
          </w:tcPr>
          <w:p>
            <w:pPr>
              <w:spacing w:after="0"/>
              <w:rPr>
                <w:sz w:val="20"/>
                <w:szCs w:val="20"/>
                <w:color w:val="auto"/>
              </w:rPr>
            </w:pPr>
            <w:r>
              <w:rPr>
                <w:rFonts w:ascii="Times New Roman" w:cs="Times New Roman" w:eastAsia="Times New Roman" w:hAnsi="Times New Roman"/>
                <w:sz w:val="14"/>
                <w:szCs w:val="14"/>
                <w:color w:val="0000EE"/>
              </w:rPr>
              <w:t>About CenterPoint Energy, Inc</w:t>
            </w:r>
          </w:p>
        </w:tc>
        <w:tc>
          <w:tcPr>
            <w:tcW w:w="1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0000EE"/>
              </w:rPr>
              <w:t>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820" w:type="dxa"/>
            <w:vAlign w:val="bottom"/>
            <w:gridSpan w:val="8"/>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tcPr>
          <w:p>
            <w:pPr>
              <w:ind w:left="108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right w:val="single" w:sz="8" w:color="0000EE"/>
            </w:tcBorders>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0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0000EE"/>
              </w:rPr>
              <w:t>Risk Factors</w:t>
            </w:r>
          </w:p>
        </w:tc>
        <w:tc>
          <w:tcPr>
            <w:tcW w:w="12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0000EE"/>
              </w:rPr>
              <w:t>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740" w:type="dxa"/>
            <w:vAlign w:val="bottom"/>
            <w:tcBorders>
              <w:bottom w:val="single" w:sz="8" w:color="CCEEFF"/>
            </w:tcBorders>
            <w:gridSpan w:val="2"/>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Borders>
              <w:bottom w:val="single" w:sz="8" w:color="CCEEFF"/>
            </w:tcBorders>
            <w:shd w:val="clear" w:color="auto" w:fill="CCEEFF"/>
          </w:tcPr>
          <w:p>
            <w:pPr>
              <w:spacing w:after="0" w:line="20" w:lineRule="exact"/>
              <w:rPr>
                <w:sz w:val="1"/>
                <w:szCs w:val="1"/>
                <w:color w:val="auto"/>
              </w:rPr>
            </w:pPr>
          </w:p>
        </w:tc>
        <w:tc>
          <w:tcPr>
            <w:tcW w:w="140" w:type="dxa"/>
            <w:vAlign w:val="bottom"/>
            <w:tcBorders>
              <w:bottom w:val="single" w:sz="8" w:color="CCEEFF"/>
            </w:tcBorders>
            <w:shd w:val="clear" w:color="auto" w:fill="CCEEFF"/>
          </w:tcPr>
          <w:p>
            <w:pPr>
              <w:spacing w:after="0" w:line="20" w:lineRule="exact"/>
              <w:rPr>
                <w:sz w:val="1"/>
                <w:szCs w:val="1"/>
                <w:color w:val="auto"/>
              </w:rPr>
            </w:pP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480" w:type="dxa"/>
            <w:vAlign w:val="bottom"/>
            <w:tcBorders>
              <w:bottom w:val="single" w:sz="8" w:color="CCEEFF"/>
              <w:right w:val="single" w:sz="8" w:color="CCEEFF"/>
            </w:tcBorders>
            <w:gridSpan w:val="2"/>
            <w:shd w:val="clear" w:color="auto" w:fill="CCEEFF"/>
          </w:tcPr>
          <w:p>
            <w:pPr>
              <w:spacing w:after="0" w:line="20" w:lineRule="exact"/>
              <w:rPr>
                <w:sz w:val="1"/>
                <w:szCs w:val="1"/>
                <w:color w:val="auto"/>
              </w:rPr>
            </w:pPr>
          </w:p>
        </w:tc>
        <w:tc>
          <w:tcPr>
            <w:tcW w:w="300" w:type="dxa"/>
            <w:vAlign w:val="bottom"/>
            <w:tcBorders>
              <w:bottom w:val="single" w:sz="8" w:color="CCEEFF"/>
              <w:right w:val="single" w:sz="8" w:color="CCEEFF"/>
            </w:tcBorders>
            <w:gridSpan w:val="2"/>
            <w:shd w:val="clear" w:color="auto" w:fill="CCEEFF"/>
          </w:tcPr>
          <w:p>
            <w:pPr>
              <w:spacing w:after="0" w:line="20" w:lineRule="exact"/>
              <w:rPr>
                <w:sz w:val="1"/>
                <w:szCs w:val="1"/>
                <w:color w:val="auto"/>
              </w:rPr>
            </w:pPr>
          </w:p>
        </w:tc>
        <w:tc>
          <w:tcPr>
            <w:tcW w:w="100" w:type="dxa"/>
            <w:vAlign w:val="bottom"/>
            <w:tcBorders>
              <w:bottom w:val="single" w:sz="8" w:color="CCEEFF"/>
            </w:tcBorders>
            <w:shd w:val="clear" w:color="auto" w:fill="CCEEFF"/>
          </w:tcPr>
          <w:p>
            <w:pPr>
              <w:spacing w:after="0" w:line="20" w:lineRule="exact"/>
              <w:rPr>
                <w:sz w:val="1"/>
                <w:szCs w:val="1"/>
                <w:color w:val="auto"/>
              </w:rPr>
            </w:pPr>
          </w:p>
        </w:tc>
        <w:tc>
          <w:tcPr>
            <w:tcW w:w="1360" w:type="dxa"/>
            <w:vAlign w:val="bottom"/>
            <w:tcBorders>
              <w:bottom w:val="single" w:sz="8" w:color="CCEEFF"/>
            </w:tcBorders>
            <w:gridSpan w:val="2"/>
            <w:shd w:val="clear" w:color="auto" w:fill="CCEEFF"/>
          </w:tcPr>
          <w:p>
            <w:pPr>
              <w:spacing w:after="0" w:line="20" w:lineRule="exact"/>
              <w:rPr>
                <w:sz w:val="1"/>
                <w:szCs w:val="1"/>
                <w:color w:val="auto"/>
              </w:rPr>
            </w:pPr>
          </w:p>
        </w:tc>
        <w:tc>
          <w:tcPr>
            <w:tcW w:w="320" w:type="dxa"/>
            <w:vAlign w:val="bottom"/>
            <w:tcBorders>
              <w:bottom w:val="single" w:sz="8" w:color="CCEEFF"/>
            </w:tcBorders>
            <w:shd w:val="clear" w:color="auto" w:fill="CCEEFF"/>
          </w:tcPr>
          <w:p>
            <w:pPr>
              <w:spacing w:after="0" w:line="20" w:lineRule="exact"/>
              <w:rPr>
                <w:sz w:val="1"/>
                <w:szCs w:val="1"/>
                <w:color w:val="auto"/>
              </w:rPr>
            </w:pPr>
          </w:p>
        </w:tc>
        <w:tc>
          <w:tcPr>
            <w:tcW w:w="1300" w:type="dxa"/>
            <w:vAlign w:val="bottom"/>
            <w:tcBorders>
              <w:bottom w:val="single" w:sz="8" w:color="CCEEFF"/>
            </w:tcBorders>
            <w:shd w:val="clear" w:color="auto" w:fill="CCEEFF"/>
          </w:tcPr>
          <w:p>
            <w:pPr>
              <w:spacing w:after="0" w:line="20" w:lineRule="exact"/>
              <w:rPr>
                <w:sz w:val="1"/>
                <w:szCs w:val="1"/>
                <w:color w:val="auto"/>
              </w:rPr>
            </w:pPr>
          </w:p>
        </w:tc>
        <w:tc>
          <w:tcPr>
            <w:tcW w:w="1220" w:type="dxa"/>
            <w:vAlign w:val="bottom"/>
            <w:tcBorders>
              <w:bottom w:val="single" w:sz="8" w:color="CCEEFF"/>
            </w:tcBorders>
            <w:shd w:val="clear" w:color="auto" w:fill="CCEEFF"/>
          </w:tcPr>
          <w:p>
            <w:pPr>
              <w:ind w:left="108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bottom w:val="single" w:sz="8" w:color="CCEEFF"/>
              <w:right w:val="single" w:sz="8" w:color="0000EE"/>
            </w:tcBorders>
            <w:shd w:val="clear" w:color="auto" w:fill="CCEEFF"/>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8"/>
        </w:trPr>
        <w:tc>
          <w:tcPr>
            <w:tcW w:w="5040" w:type="dxa"/>
            <w:vAlign w:val="bottom"/>
            <w:gridSpan w:val="14"/>
          </w:tcPr>
          <w:p>
            <w:pPr>
              <w:spacing w:after="0"/>
              <w:rPr>
                <w:sz w:val="20"/>
                <w:szCs w:val="20"/>
                <w:color w:val="auto"/>
              </w:rPr>
            </w:pPr>
            <w:r>
              <w:rPr>
                <w:rFonts w:ascii="Times New Roman" w:cs="Times New Roman" w:eastAsia="Times New Roman" w:hAnsi="Times New Roman"/>
                <w:sz w:val="14"/>
                <w:szCs w:val="14"/>
                <w:color w:val="0000EE"/>
              </w:rPr>
              <w:t>Cautionary Statement Regarding Forward-Looking Information</w:t>
            </w:r>
          </w:p>
        </w:tc>
        <w:tc>
          <w:tcPr>
            <w:tcW w:w="1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0000EE"/>
              </w:rPr>
              <w:t>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740" w:type="dxa"/>
            <w:vAlign w:val="bottom"/>
            <w:gridSpan w:val="13"/>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1300" w:type="dxa"/>
            <w:vAlign w:val="bottom"/>
          </w:tcPr>
          <w:p>
            <w:pPr>
              <w:spacing w:after="0" w:line="20" w:lineRule="exact"/>
              <w:rPr>
                <w:sz w:val="1"/>
                <w:szCs w:val="1"/>
                <w:color w:val="auto"/>
              </w:rPr>
            </w:pPr>
          </w:p>
        </w:tc>
        <w:tc>
          <w:tcPr>
            <w:tcW w:w="1220" w:type="dxa"/>
            <w:vAlign w:val="bottom"/>
          </w:tcPr>
          <w:p>
            <w:pPr>
              <w:ind w:left="108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right w:val="single" w:sz="8" w:color="0000EE"/>
            </w:tcBorders>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0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0000EE"/>
              </w:rPr>
              <w:t>Use of Proceeds</w:t>
            </w:r>
          </w:p>
        </w:tc>
        <w:tc>
          <w:tcPr>
            <w:tcW w:w="12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0000EE"/>
              </w:rPr>
              <w:t>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960" w:type="dxa"/>
            <w:vAlign w:val="bottom"/>
            <w:tcBorders>
              <w:bottom w:val="single" w:sz="8" w:color="CCEEFF"/>
            </w:tcBorders>
            <w:gridSpan w:val="4"/>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480" w:type="dxa"/>
            <w:vAlign w:val="bottom"/>
            <w:tcBorders>
              <w:bottom w:val="single" w:sz="8" w:color="CCEEFF"/>
              <w:right w:val="single" w:sz="8" w:color="CCEEFF"/>
            </w:tcBorders>
            <w:gridSpan w:val="2"/>
            <w:shd w:val="clear" w:color="auto" w:fill="CCEEFF"/>
          </w:tcPr>
          <w:p>
            <w:pPr>
              <w:spacing w:after="0" w:line="20" w:lineRule="exact"/>
              <w:rPr>
                <w:sz w:val="1"/>
                <w:szCs w:val="1"/>
                <w:color w:val="auto"/>
              </w:rPr>
            </w:pPr>
          </w:p>
        </w:tc>
        <w:tc>
          <w:tcPr>
            <w:tcW w:w="300" w:type="dxa"/>
            <w:vAlign w:val="bottom"/>
            <w:tcBorders>
              <w:bottom w:val="single" w:sz="8" w:color="CCEEFF"/>
              <w:right w:val="single" w:sz="8" w:color="CCEEFF"/>
            </w:tcBorders>
            <w:gridSpan w:val="2"/>
            <w:shd w:val="clear" w:color="auto" w:fill="CCEEFF"/>
          </w:tcPr>
          <w:p>
            <w:pPr>
              <w:spacing w:after="0" w:line="20" w:lineRule="exact"/>
              <w:rPr>
                <w:sz w:val="1"/>
                <w:szCs w:val="1"/>
                <w:color w:val="auto"/>
              </w:rPr>
            </w:pPr>
          </w:p>
        </w:tc>
        <w:tc>
          <w:tcPr>
            <w:tcW w:w="100" w:type="dxa"/>
            <w:vAlign w:val="bottom"/>
            <w:tcBorders>
              <w:bottom w:val="single" w:sz="8" w:color="CCEEFF"/>
            </w:tcBorders>
            <w:shd w:val="clear" w:color="auto" w:fill="CCEEFF"/>
          </w:tcPr>
          <w:p>
            <w:pPr>
              <w:spacing w:after="0" w:line="20" w:lineRule="exact"/>
              <w:rPr>
                <w:sz w:val="1"/>
                <w:szCs w:val="1"/>
                <w:color w:val="auto"/>
              </w:rPr>
            </w:pPr>
          </w:p>
        </w:tc>
        <w:tc>
          <w:tcPr>
            <w:tcW w:w="1360" w:type="dxa"/>
            <w:vAlign w:val="bottom"/>
            <w:tcBorders>
              <w:bottom w:val="single" w:sz="8" w:color="CCEEFF"/>
            </w:tcBorders>
            <w:gridSpan w:val="2"/>
            <w:shd w:val="clear" w:color="auto" w:fill="CCEEFF"/>
          </w:tcPr>
          <w:p>
            <w:pPr>
              <w:spacing w:after="0" w:line="20" w:lineRule="exact"/>
              <w:rPr>
                <w:sz w:val="1"/>
                <w:szCs w:val="1"/>
                <w:color w:val="auto"/>
              </w:rPr>
            </w:pPr>
          </w:p>
        </w:tc>
        <w:tc>
          <w:tcPr>
            <w:tcW w:w="1620" w:type="dxa"/>
            <w:vAlign w:val="bottom"/>
            <w:tcBorders>
              <w:bottom w:val="single" w:sz="8" w:color="CCEEFF"/>
            </w:tcBorders>
            <w:gridSpan w:val="2"/>
            <w:shd w:val="clear" w:color="auto" w:fill="CCEEFF"/>
          </w:tcPr>
          <w:p>
            <w:pPr>
              <w:spacing w:after="0" w:line="20" w:lineRule="exact"/>
              <w:rPr>
                <w:sz w:val="1"/>
                <w:szCs w:val="1"/>
                <w:color w:val="auto"/>
              </w:rPr>
            </w:pPr>
          </w:p>
        </w:tc>
        <w:tc>
          <w:tcPr>
            <w:tcW w:w="1220" w:type="dxa"/>
            <w:vAlign w:val="bottom"/>
            <w:tcBorders>
              <w:bottom w:val="single" w:sz="8" w:color="CCEEFF"/>
            </w:tcBorders>
            <w:shd w:val="clear" w:color="auto" w:fill="CCEEFF"/>
          </w:tcPr>
          <w:p>
            <w:pPr>
              <w:ind w:left="108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bottom w:val="single" w:sz="8" w:color="CCEEFF"/>
              <w:right w:val="single" w:sz="8" w:color="0000EE"/>
            </w:tcBorders>
            <w:shd w:val="clear" w:color="auto" w:fill="CCEEFF"/>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8"/>
        </w:trPr>
        <w:tc>
          <w:tcPr>
            <w:tcW w:w="5040" w:type="dxa"/>
            <w:vAlign w:val="bottom"/>
            <w:gridSpan w:val="14"/>
          </w:tcPr>
          <w:p>
            <w:pPr>
              <w:spacing w:after="0"/>
              <w:rPr>
                <w:sz w:val="20"/>
                <w:szCs w:val="20"/>
                <w:color w:val="auto"/>
              </w:rPr>
            </w:pPr>
            <w:r>
              <w:rPr>
                <w:rFonts w:ascii="Times New Roman" w:cs="Times New Roman" w:eastAsia="Times New Roman" w:hAnsi="Times New Roman"/>
                <w:sz w:val="14"/>
                <w:szCs w:val="14"/>
                <w:color w:val="0000EE"/>
              </w:rPr>
              <w:t>Description of Our Debt Securities</w:t>
            </w:r>
          </w:p>
        </w:tc>
        <w:tc>
          <w:tcPr>
            <w:tcW w:w="1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0000EE"/>
              </w:rPr>
              <w:t>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60" w:type="dxa"/>
            <w:vAlign w:val="bottom"/>
            <w:gridSpan w:val="10"/>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136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220" w:type="dxa"/>
            <w:vAlign w:val="bottom"/>
          </w:tcPr>
          <w:p>
            <w:pPr>
              <w:ind w:left="108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right w:val="single" w:sz="8" w:color="0000EE"/>
            </w:tcBorders>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0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0000EE"/>
              </w:rPr>
              <w:t>Description of Our Capital Stock</w:t>
            </w:r>
          </w:p>
        </w:tc>
        <w:tc>
          <w:tcPr>
            <w:tcW w:w="12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960" w:type="dxa"/>
            <w:vAlign w:val="bottom"/>
            <w:tcBorders>
              <w:bottom w:val="single" w:sz="8" w:color="CCEEFF"/>
              <w:right w:val="single" w:sz="8" w:color="CCEEFF"/>
            </w:tcBorders>
            <w:gridSpan w:val="9"/>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1460" w:type="dxa"/>
            <w:vAlign w:val="bottom"/>
            <w:tcBorders>
              <w:bottom w:val="single" w:sz="8" w:color="CCEEFF"/>
            </w:tcBorders>
            <w:gridSpan w:val="3"/>
            <w:shd w:val="clear" w:color="auto" w:fill="CCEEFF"/>
          </w:tcPr>
          <w:p>
            <w:pPr>
              <w:spacing w:after="0" w:line="20" w:lineRule="exact"/>
              <w:rPr>
                <w:sz w:val="1"/>
                <w:szCs w:val="1"/>
                <w:color w:val="auto"/>
              </w:rPr>
            </w:pPr>
          </w:p>
        </w:tc>
        <w:tc>
          <w:tcPr>
            <w:tcW w:w="1620" w:type="dxa"/>
            <w:vAlign w:val="bottom"/>
            <w:tcBorders>
              <w:bottom w:val="single" w:sz="8" w:color="CCEEFF"/>
            </w:tcBorders>
            <w:gridSpan w:val="2"/>
            <w:shd w:val="clear" w:color="auto" w:fill="CCEEFF"/>
          </w:tcPr>
          <w:p>
            <w:pPr>
              <w:spacing w:after="0" w:line="20" w:lineRule="exact"/>
              <w:rPr>
                <w:sz w:val="1"/>
                <w:szCs w:val="1"/>
                <w:color w:val="auto"/>
              </w:rPr>
            </w:pPr>
          </w:p>
        </w:tc>
        <w:tc>
          <w:tcPr>
            <w:tcW w:w="1220" w:type="dxa"/>
            <w:vAlign w:val="bottom"/>
            <w:tcBorders>
              <w:bottom w:val="single" w:sz="8" w:color="CCEEFF"/>
            </w:tcBorders>
            <w:shd w:val="clear" w:color="auto" w:fill="CCEEFF"/>
          </w:tcPr>
          <w:p>
            <w:pPr>
              <w:ind w:left="108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bottom w:val="single" w:sz="8" w:color="CCEEFF"/>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8"/>
        </w:trPr>
        <w:tc>
          <w:tcPr>
            <w:tcW w:w="5040" w:type="dxa"/>
            <w:vAlign w:val="bottom"/>
            <w:gridSpan w:val="14"/>
          </w:tcPr>
          <w:p>
            <w:pPr>
              <w:spacing w:after="0"/>
              <w:rPr>
                <w:sz w:val="20"/>
                <w:szCs w:val="20"/>
                <w:color w:val="auto"/>
              </w:rPr>
            </w:pPr>
            <w:r>
              <w:rPr>
                <w:rFonts w:ascii="Times New Roman" w:cs="Times New Roman" w:eastAsia="Times New Roman" w:hAnsi="Times New Roman"/>
                <w:sz w:val="14"/>
                <w:szCs w:val="14"/>
                <w:color w:val="0000EE"/>
              </w:rPr>
              <w:t>Description of Stock Purchase Contracts and Equity Units</w:t>
            </w:r>
          </w:p>
        </w:tc>
        <w:tc>
          <w:tcPr>
            <w:tcW w:w="1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420" w:type="dxa"/>
            <w:vAlign w:val="bottom"/>
            <w:gridSpan w:val="12"/>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1620" w:type="dxa"/>
            <w:vAlign w:val="bottom"/>
            <w:gridSpan w:val="2"/>
          </w:tcPr>
          <w:p>
            <w:pPr>
              <w:spacing w:after="0" w:line="20" w:lineRule="exact"/>
              <w:rPr>
                <w:sz w:val="1"/>
                <w:szCs w:val="1"/>
                <w:color w:val="auto"/>
              </w:rPr>
            </w:pPr>
          </w:p>
        </w:tc>
        <w:tc>
          <w:tcPr>
            <w:tcW w:w="1220" w:type="dxa"/>
            <w:vAlign w:val="bottom"/>
          </w:tcPr>
          <w:p>
            <w:pPr>
              <w:ind w:left="108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0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0000EE"/>
              </w:rPr>
              <w:t>Description of Depositary Shares</w:t>
            </w:r>
          </w:p>
        </w:tc>
        <w:tc>
          <w:tcPr>
            <w:tcW w:w="12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960" w:type="dxa"/>
            <w:vAlign w:val="bottom"/>
            <w:tcBorders>
              <w:bottom w:val="single" w:sz="8" w:color="CCEEFF"/>
              <w:right w:val="single" w:sz="8" w:color="0000EE"/>
            </w:tcBorders>
            <w:gridSpan w:val="9"/>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3080" w:type="dxa"/>
            <w:vAlign w:val="bottom"/>
            <w:tcBorders>
              <w:bottom w:val="single" w:sz="8" w:color="CCEEFF"/>
            </w:tcBorders>
            <w:gridSpan w:val="5"/>
            <w:shd w:val="clear" w:color="auto" w:fill="CCEEFF"/>
          </w:tcPr>
          <w:p>
            <w:pPr>
              <w:spacing w:after="0" w:line="20" w:lineRule="exact"/>
              <w:rPr>
                <w:sz w:val="1"/>
                <w:szCs w:val="1"/>
                <w:color w:val="auto"/>
              </w:rPr>
            </w:pPr>
          </w:p>
        </w:tc>
        <w:tc>
          <w:tcPr>
            <w:tcW w:w="1220" w:type="dxa"/>
            <w:vAlign w:val="bottom"/>
            <w:tcBorders>
              <w:bottom w:val="single" w:sz="8" w:color="CCEEFF"/>
            </w:tcBorders>
            <w:shd w:val="clear" w:color="auto" w:fill="CCEEFF"/>
          </w:tcPr>
          <w:p>
            <w:pPr>
              <w:ind w:left="108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bottom w:val="single" w:sz="8" w:color="CCEEFF"/>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8"/>
        </w:trPr>
        <w:tc>
          <w:tcPr>
            <w:tcW w:w="5040" w:type="dxa"/>
            <w:vAlign w:val="bottom"/>
            <w:gridSpan w:val="14"/>
          </w:tcPr>
          <w:p>
            <w:pPr>
              <w:spacing w:after="0"/>
              <w:rPr>
                <w:sz w:val="20"/>
                <w:szCs w:val="20"/>
                <w:color w:val="auto"/>
              </w:rPr>
            </w:pPr>
            <w:r>
              <w:rPr>
                <w:rFonts w:ascii="Times New Roman" w:cs="Times New Roman" w:eastAsia="Times New Roman" w:hAnsi="Times New Roman"/>
                <w:sz w:val="14"/>
                <w:szCs w:val="14"/>
                <w:color w:val="0000EE"/>
              </w:rPr>
              <w:t>Holding Company Structure</w:t>
            </w:r>
          </w:p>
        </w:tc>
        <w:tc>
          <w:tcPr>
            <w:tcW w:w="1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24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660" w:type="dxa"/>
            <w:vAlign w:val="bottom"/>
            <w:tcBorders>
              <w:right w:val="single" w:sz="8" w:color="0000EE"/>
            </w:tcBorders>
            <w:gridSpan w:val="7"/>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3380" w:type="dxa"/>
            <w:vAlign w:val="bottom"/>
            <w:gridSpan w:val="7"/>
          </w:tcPr>
          <w:p>
            <w:pPr>
              <w:spacing w:after="0" w:line="20" w:lineRule="exact"/>
              <w:rPr>
                <w:sz w:val="1"/>
                <w:szCs w:val="1"/>
                <w:color w:val="auto"/>
              </w:rPr>
            </w:pPr>
          </w:p>
        </w:tc>
        <w:tc>
          <w:tcPr>
            <w:tcW w:w="1220" w:type="dxa"/>
            <w:vAlign w:val="bottom"/>
          </w:tcPr>
          <w:p>
            <w:pPr>
              <w:ind w:left="108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0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0000EE"/>
              </w:rPr>
              <w:t>Plan of Distribution</w:t>
            </w:r>
          </w:p>
        </w:tc>
        <w:tc>
          <w:tcPr>
            <w:tcW w:w="12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24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180" w:type="dxa"/>
            <w:vAlign w:val="bottom"/>
            <w:tcBorders>
              <w:bottom w:val="single" w:sz="8" w:color="CCEEFF"/>
            </w:tcBorders>
            <w:gridSpan w:val="5"/>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3860" w:type="dxa"/>
            <w:vAlign w:val="bottom"/>
            <w:tcBorders>
              <w:bottom w:val="single" w:sz="8" w:color="CCEEFF"/>
            </w:tcBorders>
            <w:gridSpan w:val="9"/>
            <w:shd w:val="clear" w:color="auto" w:fill="CCEEFF"/>
          </w:tcPr>
          <w:p>
            <w:pPr>
              <w:spacing w:after="0" w:line="20" w:lineRule="exact"/>
              <w:rPr>
                <w:sz w:val="1"/>
                <w:szCs w:val="1"/>
                <w:color w:val="auto"/>
              </w:rPr>
            </w:pPr>
          </w:p>
        </w:tc>
        <w:tc>
          <w:tcPr>
            <w:tcW w:w="1220" w:type="dxa"/>
            <w:vAlign w:val="bottom"/>
            <w:tcBorders>
              <w:bottom w:val="single" w:sz="8" w:color="CCEEFF"/>
            </w:tcBorders>
            <w:shd w:val="clear" w:color="auto" w:fill="CCEEFF"/>
          </w:tcPr>
          <w:p>
            <w:pPr>
              <w:ind w:left="108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bottom w:val="single" w:sz="8" w:color="CCEEFF"/>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8"/>
        </w:trPr>
        <w:tc>
          <w:tcPr>
            <w:tcW w:w="5040" w:type="dxa"/>
            <w:vAlign w:val="bottom"/>
            <w:gridSpan w:val="14"/>
          </w:tcPr>
          <w:p>
            <w:pPr>
              <w:spacing w:after="0"/>
              <w:rPr>
                <w:sz w:val="20"/>
                <w:szCs w:val="20"/>
                <w:color w:val="auto"/>
              </w:rPr>
            </w:pPr>
            <w:r>
              <w:rPr>
                <w:rFonts w:ascii="Times New Roman" w:cs="Times New Roman" w:eastAsia="Times New Roman" w:hAnsi="Times New Roman"/>
                <w:sz w:val="14"/>
                <w:szCs w:val="14"/>
                <w:color w:val="0000EE"/>
              </w:rPr>
              <w:t>Legal Matters</w:t>
            </w:r>
          </w:p>
        </w:tc>
        <w:tc>
          <w:tcPr>
            <w:tcW w:w="1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26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20" w:type="dxa"/>
            <w:vAlign w:val="bottom"/>
            <w:gridSpan w:val="3"/>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4220" w:type="dxa"/>
            <w:vAlign w:val="bottom"/>
            <w:gridSpan w:val="11"/>
          </w:tcPr>
          <w:p>
            <w:pPr>
              <w:spacing w:after="0" w:line="20" w:lineRule="exact"/>
              <w:rPr>
                <w:sz w:val="1"/>
                <w:szCs w:val="1"/>
                <w:color w:val="auto"/>
              </w:rPr>
            </w:pPr>
          </w:p>
        </w:tc>
        <w:tc>
          <w:tcPr>
            <w:tcW w:w="1220" w:type="dxa"/>
            <w:vAlign w:val="bottom"/>
          </w:tcPr>
          <w:p>
            <w:pPr>
              <w:ind w:left="108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0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0000EE"/>
              </w:rPr>
              <w:t>Experts</w:t>
            </w:r>
          </w:p>
        </w:tc>
        <w:tc>
          <w:tcPr>
            <w:tcW w:w="12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26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460" w:type="dxa"/>
            <w:vAlign w:val="bottom"/>
            <w:tcBorders>
              <w:bottom w:val="single" w:sz="8" w:color="CCEEFF"/>
            </w:tcBorders>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4580" w:type="dxa"/>
            <w:vAlign w:val="bottom"/>
            <w:tcBorders>
              <w:bottom w:val="single" w:sz="8" w:color="CCEEFF"/>
            </w:tcBorders>
            <w:gridSpan w:val="13"/>
            <w:shd w:val="clear" w:color="auto" w:fill="CCEEFF"/>
          </w:tcPr>
          <w:p>
            <w:pPr>
              <w:spacing w:after="0" w:line="20" w:lineRule="exact"/>
              <w:rPr>
                <w:sz w:val="1"/>
                <w:szCs w:val="1"/>
                <w:color w:val="auto"/>
              </w:rPr>
            </w:pPr>
          </w:p>
        </w:tc>
        <w:tc>
          <w:tcPr>
            <w:tcW w:w="1220" w:type="dxa"/>
            <w:vAlign w:val="bottom"/>
            <w:tcBorders>
              <w:bottom w:val="single" w:sz="8" w:color="CCEEFF"/>
            </w:tcBorders>
            <w:shd w:val="clear" w:color="auto" w:fill="CCEEFF"/>
          </w:tcPr>
          <w:p>
            <w:pPr>
              <w:ind w:left="108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bottom w:val="single" w:sz="8" w:color="CCEEFF"/>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4183380</wp:posOffset>
            </wp:positionV>
            <wp:extent cx="533082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 w:name="page6"/>
    <w:bookmarkEnd w:id="5"/>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25" w:lineRule="exact"/>
        <w:rPr>
          <w:sz w:val="20"/>
          <w:szCs w:val="20"/>
          <w:color w:val="auto"/>
        </w:rPr>
      </w:pPr>
    </w:p>
    <w:p>
      <w:pPr>
        <w:ind w:left="1300" w:right="1339" w:firstLine="281"/>
        <w:spacing w:after="0" w:line="255" w:lineRule="auto"/>
        <w:rPr>
          <w:sz w:val="20"/>
          <w:szCs w:val="20"/>
          <w:color w:val="auto"/>
        </w:rPr>
      </w:pPr>
      <w:r>
        <w:rPr>
          <w:rFonts w:ascii="Times New Roman" w:cs="Times New Roman" w:eastAsia="Times New Roman" w:hAnsi="Times New Roman"/>
          <w:sz w:val="14"/>
          <w:szCs w:val="14"/>
          <w:color w:val="auto"/>
        </w:rPr>
        <w:t>This prospectus is part of a registration statement we have filed with the U.S. Securities and Exchange Commission (the “SEC”) using a “shelf” registration process. Using this process, we may offer any combination of the securities described in this prospectus in one or more offerings. This prospectus provides you with a general description of the securities we may offer. Each time we use this prospectus to offer securities, we will file a supplement to this prospectus with the SEC that will describe the specific terms of the offering. The prospectus supplement may also add to, update or change the information contained in this prospectus. Before you invest, you should carefully read this prospectus, the applicable prospectus supplement and the information contained in the documents we refer to under the heading “Where You Can Find More Information.”</w:t>
      </w:r>
    </w:p>
    <w:p>
      <w:pPr>
        <w:spacing w:after="0" w:line="261" w:lineRule="exact"/>
        <w:rPr>
          <w:sz w:val="20"/>
          <w:szCs w:val="20"/>
          <w:color w:val="auto"/>
        </w:rPr>
      </w:pPr>
    </w:p>
    <w:p>
      <w:pPr>
        <w:ind w:left="1300" w:right="1319" w:firstLine="281"/>
        <w:spacing w:after="0" w:line="255" w:lineRule="auto"/>
        <w:rPr>
          <w:sz w:val="20"/>
          <w:szCs w:val="20"/>
          <w:color w:val="auto"/>
        </w:rPr>
      </w:pPr>
      <w:r>
        <w:rPr>
          <w:rFonts w:ascii="Times New Roman" w:cs="Times New Roman" w:eastAsia="Times New Roman" w:hAnsi="Times New Roman"/>
          <w:sz w:val="14"/>
          <w:szCs w:val="14"/>
          <w:b w:val="1"/>
          <w:bCs w:val="1"/>
          <w:color w:val="auto"/>
        </w:rPr>
        <w:t>We have not authorized anyone to provide any information or make any representations other than those contained in this prospectus, any prospectus supplement and any communication from us or any underwriter specifying the final terms of a particular offering.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this prospectus, any prospectus supplement or any communication from us or any underwriter specifying the final terms of a particular offering is accurate as of any date other than the date on the front of that document. Any information we have incorporated by reference is accurate only as of the date of the document incorporated by reference.</w:t>
      </w:r>
    </w:p>
    <w:p>
      <w:pPr>
        <w:spacing w:after="0" w:line="83" w:lineRule="exact"/>
        <w:rPr>
          <w:sz w:val="20"/>
          <w:szCs w:val="20"/>
          <w:color w:val="auto"/>
        </w:rPr>
      </w:pPr>
    </w:p>
    <w:p>
      <w:pPr>
        <w:ind w:left="1300" w:right="1499" w:firstLine="281"/>
        <w:spacing w:after="0" w:line="283" w:lineRule="auto"/>
        <w:rPr>
          <w:sz w:val="20"/>
          <w:szCs w:val="20"/>
          <w:color w:val="auto"/>
        </w:rPr>
      </w:pPr>
      <w:r>
        <w:rPr>
          <w:rFonts w:ascii="Times New Roman" w:cs="Times New Roman" w:eastAsia="Times New Roman" w:hAnsi="Times New Roman"/>
          <w:sz w:val="14"/>
          <w:szCs w:val="14"/>
          <w:color w:val="auto"/>
        </w:rPr>
        <w:t>References in this prospectus to the terms “we,” “us,” “our” or other similar terms mean CenterPoint Energy, Inc. and its subsidiaries, unless the context clearly indicates otherwise.</w:t>
      </w:r>
    </w:p>
    <w:p>
      <w:pPr>
        <w:spacing w:after="0" w:line="73" w:lineRule="exact"/>
        <w:rPr>
          <w:sz w:val="20"/>
          <w:szCs w:val="20"/>
          <w:color w:val="auto"/>
        </w:rPr>
      </w:pPr>
    </w:p>
    <w:p>
      <w:pPr>
        <w:ind w:left="1300" w:right="1439" w:firstLine="281"/>
        <w:spacing w:after="0" w:line="261" w:lineRule="auto"/>
        <w:rPr>
          <w:sz w:val="20"/>
          <w:szCs w:val="20"/>
          <w:color w:val="auto"/>
        </w:rPr>
      </w:pPr>
      <w:r>
        <w:rPr>
          <w:rFonts w:ascii="Times New Roman" w:cs="Times New Roman" w:eastAsia="Times New Roman" w:hAnsi="Times New Roman"/>
          <w:sz w:val="14"/>
          <w:szCs w:val="14"/>
          <w:color w:val="auto"/>
        </w:rPr>
        <w:t>The Bank of New York Mellon Trust Company, National Association, in each of its capacities referenced herein, including, but not limited to, trustee, purchase contract agent, collateral agent, custodial agent, securities intermediary and paying agent, has not participated in the preparation of this prospectus and assumes no responsibility for its content.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25" w:lineRule="exact"/>
        <w:rPr>
          <w:sz w:val="20"/>
          <w:szCs w:val="20"/>
          <w:color w:val="auto"/>
        </w:rPr>
      </w:pPr>
    </w:p>
    <w:p>
      <w:pPr>
        <w:ind w:left="1300" w:right="1439" w:firstLine="281"/>
        <w:spacing w:after="0" w:line="267" w:lineRule="auto"/>
        <w:rPr>
          <w:sz w:val="20"/>
          <w:szCs w:val="20"/>
          <w:color w:val="auto"/>
        </w:rPr>
      </w:pPr>
      <w:r>
        <w:rPr>
          <w:rFonts w:ascii="Times New Roman" w:cs="Times New Roman" w:eastAsia="Times New Roman" w:hAnsi="Times New Roman"/>
          <w:sz w:val="14"/>
          <w:szCs w:val="14"/>
          <w:color w:val="auto"/>
        </w:rPr>
        <w:t xml:space="preserve">We file annual, quarterly and current reports, proxy statements and other information with the SEC. The SEC maintains a website that contains information we file electronically with the SEC, which you can access at </w:t>
      </w:r>
      <w:r>
        <w:rPr>
          <w:rFonts w:ascii="Times New Roman" w:cs="Times New Roman" w:eastAsia="Times New Roman" w:hAnsi="Times New Roman"/>
          <w:sz w:val="14"/>
          <w:szCs w:val="14"/>
          <w:i w:val="1"/>
          <w:iCs w:val="1"/>
          <w:color w:val="auto"/>
        </w:rPr>
        <w:t>http://www.sec.gov</w:t>
      </w:r>
      <w:r>
        <w:rPr>
          <w:rFonts w:ascii="Times New Roman" w:cs="Times New Roman" w:eastAsia="Times New Roman" w:hAnsi="Times New Roman"/>
          <w:sz w:val="14"/>
          <w:szCs w:val="14"/>
          <w:color w:val="auto"/>
        </w:rPr>
        <w:t>.</w:t>
      </w:r>
    </w:p>
    <w:p>
      <w:pPr>
        <w:spacing w:after="0" w:line="71" w:lineRule="exact"/>
        <w:rPr>
          <w:sz w:val="20"/>
          <w:szCs w:val="20"/>
          <w:color w:val="auto"/>
        </w:rPr>
      </w:pPr>
    </w:p>
    <w:p>
      <w:pPr>
        <w:ind w:left="1300" w:right="1339" w:firstLine="281"/>
        <w:spacing w:after="0" w:line="259" w:lineRule="auto"/>
        <w:rPr>
          <w:sz w:val="20"/>
          <w:szCs w:val="20"/>
          <w:color w:val="auto"/>
        </w:rPr>
      </w:pPr>
      <w:r>
        <w:rPr>
          <w:rFonts w:ascii="Times New Roman" w:cs="Times New Roman" w:eastAsia="Times New Roman" w:hAnsi="Times New Roman"/>
          <w:sz w:val="14"/>
          <w:szCs w:val="14"/>
          <w:color w:val="auto"/>
        </w:rPr>
        <w:t xml:space="preserve">Our website is located at </w:t>
      </w:r>
      <w:r>
        <w:rPr>
          <w:rFonts w:ascii="Times New Roman" w:cs="Times New Roman" w:eastAsia="Times New Roman" w:hAnsi="Times New Roman"/>
          <w:sz w:val="14"/>
          <w:szCs w:val="14"/>
          <w:i w:val="1"/>
          <w:iCs w:val="1"/>
          <w:color w:val="auto"/>
        </w:rPr>
        <w:t>http://investors.centerpointenergy.com</w:t>
      </w:r>
      <w:r>
        <w:rPr>
          <w:rFonts w:ascii="Times New Roman" w:cs="Times New Roman" w:eastAsia="Times New Roman" w:hAnsi="Times New Roman"/>
          <w:sz w:val="14"/>
          <w:szCs w:val="14"/>
          <w:color w:val="auto"/>
        </w:rPr>
        <w:t>. Our Annual Reports on Form 10-K, Quarterly Reports on Form 10-Q, Current Reports on Form 8-K and other filings with the SEC are available, free of charge, through our website, as soon as reasonably practicable after those reports or filings are electronically filed with or furnished to the SEC. Information on our website or any other website is not incorporated by reference in this prospectus and does not constitute a part of this prospectus.</w:t>
      </w:r>
    </w:p>
    <w:p>
      <w:pPr>
        <w:spacing w:after="0" w:line="91" w:lineRule="exact"/>
        <w:rPr>
          <w:sz w:val="20"/>
          <w:szCs w:val="20"/>
          <w:color w:val="auto"/>
        </w:rPr>
      </w:pPr>
    </w:p>
    <w:p>
      <w:pPr>
        <w:ind w:left="1300" w:right="1499" w:firstLine="281"/>
        <w:spacing w:after="0" w:line="256" w:lineRule="auto"/>
        <w:rPr>
          <w:sz w:val="20"/>
          <w:szCs w:val="20"/>
          <w:color w:val="auto"/>
        </w:rPr>
      </w:pPr>
      <w:r>
        <w:rPr>
          <w:rFonts w:ascii="Times New Roman" w:cs="Times New Roman" w:eastAsia="Times New Roman" w:hAnsi="Times New Roman"/>
          <w:sz w:val="14"/>
          <w:szCs w:val="14"/>
          <w:color w:val="auto"/>
        </w:rPr>
        <w:t>This prospectus, which includes information incorporated by reference (see “Incorporation by Reference” below),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the exhibits and the schedules for more information about us and our securities. The registration statement, exhibits and schedules are available through the SEC’s website.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25" w:lineRule="exact"/>
        <w:rPr>
          <w:sz w:val="20"/>
          <w:szCs w:val="20"/>
          <w:color w:val="auto"/>
        </w:rPr>
      </w:pPr>
    </w:p>
    <w:p>
      <w:pPr>
        <w:ind w:left="1300" w:right="1339" w:firstLine="281"/>
        <w:spacing w:after="0" w:line="257" w:lineRule="auto"/>
        <w:rPr>
          <w:sz w:val="20"/>
          <w:szCs w:val="20"/>
          <w:color w:val="auto"/>
        </w:rPr>
      </w:pPr>
      <w:r>
        <w:rPr>
          <w:rFonts w:ascii="Times New Roman" w:cs="Times New Roman" w:eastAsia="Times New Roman" w:hAnsi="Times New Roman"/>
          <w:sz w:val="14"/>
          <w:szCs w:val="14"/>
          <w:color w:val="auto"/>
        </w:rPr>
        <w:t>We are “incorporating by reference” into this prospectus certain information we file with the SEC. This means we are disclosing important information to you by referring you to the documents containing the information. The information we incorporate by reference is considered to be part of this prospectus. Information that we file later with the SEC that is deemed incorporated by reference into this prospectus (which does not include information deemed pursuant to the SEC’s rules to be furnished to and not filed with the SEC) will automatically update and supersede information previously included.</w:t>
      </w: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6" w:name="page7"/>
    <w:bookmarkEnd w:id="6"/>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99" w:firstLine="281"/>
        <w:spacing w:after="0" w:line="261" w:lineRule="auto"/>
        <w:rPr>
          <w:sz w:val="20"/>
          <w:szCs w:val="20"/>
          <w:color w:val="auto"/>
        </w:rPr>
      </w:pPr>
      <w:r>
        <w:rPr>
          <w:rFonts w:ascii="Times New Roman" w:cs="Times New Roman" w:eastAsia="Times New Roman" w:hAnsi="Times New Roman"/>
          <w:sz w:val="14"/>
          <w:szCs w:val="14"/>
          <w:color w:val="auto"/>
        </w:rPr>
        <w:t>We are incorporating by reference into this prospectus the documents listed below and any subsequent filings we make with the SEC under Sections 13(a), 13(c), 14 or 15(d) of the Securities Exchange Act of 1934, as amended, (excluding information deemed pursuant to the SEC’s rules to be furnished and not filed with the SEC) until all the securities are sold:</w:t>
      </w:r>
    </w:p>
    <w:p>
      <w:pPr>
        <w:spacing w:after="0" w:line="57" w:lineRule="exact"/>
        <w:rPr>
          <w:sz w:val="20"/>
          <w:szCs w:val="20"/>
          <w:color w:val="auto"/>
        </w:rPr>
      </w:pPr>
    </w:p>
    <w:p>
      <w:pPr>
        <w:ind w:left="1720" w:right="1819" w:hanging="134"/>
        <w:spacing w:after="0" w:line="267" w:lineRule="auto"/>
        <w:tabs>
          <w:tab w:leader="none" w:pos="17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23">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for the fiscal year ended December 31, 2025, including the portions of our definitive proxy statement filed on </w:t>
      </w:r>
      <w:hyperlink r:id="rId24">
        <w:r>
          <w:rPr>
            <w:rFonts w:ascii="Times New Roman" w:cs="Times New Roman" w:eastAsia="Times New Roman" w:hAnsi="Times New Roman"/>
            <w:sz w:val="14"/>
            <w:szCs w:val="14"/>
            <w:u w:val="single" w:color="auto"/>
            <w:color w:val="0000EE"/>
          </w:rPr>
          <w:t>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on March 4, 2026 that are specifically incorporated by reference therein;</w:t>
      </w:r>
    </w:p>
    <w:p>
      <w:pPr>
        <w:spacing w:after="0" w:line="5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w:t>
      </w:r>
      <w:hyperlink r:id="rId25">
        <w:r>
          <w:rPr>
            <w:rFonts w:ascii="Times New Roman" w:cs="Times New Roman" w:eastAsia="Times New Roman" w:hAnsi="Times New Roman"/>
            <w:sz w:val="14"/>
            <w:szCs w:val="14"/>
            <w:u w:val="single" w:color="auto"/>
            <w:color w:val="0000EE"/>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quarter ended March 31, 2026;</w:t>
      </w:r>
    </w:p>
    <w:p>
      <w:pPr>
        <w:spacing w:after="0" w:line="91" w:lineRule="exact"/>
        <w:rPr>
          <w:rFonts w:ascii="Times New Roman" w:cs="Times New Roman" w:eastAsia="Times New Roman" w:hAnsi="Times New Roman"/>
          <w:sz w:val="14"/>
          <w:szCs w:val="14"/>
          <w:color w:val="auto"/>
        </w:rPr>
      </w:pPr>
    </w:p>
    <w:p>
      <w:pPr>
        <w:ind w:left="1720" w:right="1699" w:hanging="134"/>
        <w:spacing w:after="0" w:line="283" w:lineRule="auto"/>
        <w:tabs>
          <w:tab w:leader="none" w:pos="1720" w:val="left"/>
        </w:tabs>
        <w:numPr>
          <w:ilvl w:val="0"/>
          <w:numId w:val="6"/>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Current Reports on Form 8-K filed with the SEC on </w:t>
      </w:r>
      <w:hyperlink r:id="rId26">
        <w:r>
          <w:rPr>
            <w:rFonts w:ascii="Times New Roman" w:cs="Times New Roman" w:eastAsia="Times New Roman" w:hAnsi="Times New Roman"/>
            <w:sz w:val="14"/>
            <w:szCs w:val="14"/>
            <w:u w:val="single" w:color="auto"/>
            <w:color w:val="0000EE"/>
          </w:rPr>
          <w:t>February 12, 2026</w:t>
        </w:r>
      </w:hyperlink>
      <w:r>
        <w:rPr>
          <w:rFonts w:ascii="Times New Roman" w:cs="Times New Roman" w:eastAsia="Times New Roman" w:hAnsi="Times New Roman"/>
          <w:sz w:val="14"/>
          <w:szCs w:val="14"/>
          <w:color w:val="auto"/>
        </w:rPr>
        <w:t xml:space="preserve">, </w:t>
      </w:r>
      <w:hyperlink r:id="rId27">
        <w:r>
          <w:rPr>
            <w:rFonts w:ascii="Times New Roman" w:cs="Times New Roman" w:eastAsia="Times New Roman" w:hAnsi="Times New Roman"/>
            <w:sz w:val="14"/>
            <w:szCs w:val="14"/>
            <w:u w:val="single" w:color="auto"/>
            <w:color w:val="0000EE"/>
          </w:rPr>
          <w:t>February 23, 2026</w:t>
        </w:r>
      </w:hyperlink>
      <w:r>
        <w:rPr>
          <w:rFonts w:ascii="Times New Roman" w:cs="Times New Roman" w:eastAsia="Times New Roman" w:hAnsi="Times New Roman"/>
          <w:sz w:val="14"/>
          <w:szCs w:val="14"/>
          <w:color w:val="auto"/>
        </w:rPr>
        <w:t xml:space="preserve">, </w:t>
      </w:r>
      <w:hyperlink r:id="rId28">
        <w:r>
          <w:rPr>
            <w:rFonts w:ascii="Times New Roman" w:cs="Times New Roman" w:eastAsia="Times New Roman" w:hAnsi="Times New Roman"/>
            <w:sz w:val="14"/>
            <w:szCs w:val="14"/>
            <w:u w:val="single" w:color="auto"/>
            <w:color w:val="0000EE"/>
          </w:rPr>
          <w:t>February 26, 2026</w:t>
        </w:r>
        <w:r>
          <w:rPr>
            <w:rFonts w:ascii="Times New Roman" w:cs="Times New Roman" w:eastAsia="Times New Roman" w:hAnsi="Times New Roman"/>
            <w:sz w:val="14"/>
            <w:szCs w:val="14"/>
            <w:color w:val="0000EE"/>
          </w:rPr>
          <w:t xml:space="preserve"> </w:t>
        </w:r>
      </w:hyperlink>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r:id="rId29">
        <w:r>
          <w:rPr>
            <w:rFonts w:ascii="Times New Roman" w:cs="Times New Roman" w:eastAsia="Times New Roman" w:hAnsi="Times New Roman"/>
            <w:sz w:val="14"/>
            <w:szCs w:val="14"/>
            <w:u w:val="single" w:color="auto"/>
            <w:color w:val="0000EE"/>
          </w:rPr>
          <w:t>April 17, 2026</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p>
    <w:p>
      <w:pPr>
        <w:spacing w:after="0" w:line="41" w:lineRule="exact"/>
        <w:rPr>
          <w:rFonts w:ascii="Times New Roman" w:cs="Times New Roman" w:eastAsia="Times New Roman" w:hAnsi="Times New Roman"/>
          <w:sz w:val="14"/>
          <w:szCs w:val="14"/>
          <w:color w:val="0000EE"/>
        </w:rPr>
      </w:pPr>
    </w:p>
    <w:p>
      <w:pPr>
        <w:ind w:left="1720" w:right="1499" w:hanging="134"/>
        <w:spacing w:after="0" w:line="267" w:lineRule="auto"/>
        <w:tabs>
          <w:tab w:leader="none" w:pos="17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w:t>
      </w:r>
      <w:hyperlink r:id="rId30">
        <w:r>
          <w:rPr>
            <w:rFonts w:ascii="Times New Roman" w:cs="Times New Roman" w:eastAsia="Times New Roman" w:hAnsi="Times New Roman"/>
            <w:sz w:val="14"/>
            <w:szCs w:val="14"/>
            <w:u w:val="single" w:color="auto"/>
            <w:color w:val="0000EE"/>
          </w:rPr>
          <w:t>Exhibit 4(t)</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for the fiscal year ended December 31, 2025, including any amendments or reports filed for the purpose of updating such description.</w:t>
      </w:r>
    </w:p>
    <w:p>
      <w:pPr>
        <w:spacing w:after="0" w:line="84" w:lineRule="exact"/>
        <w:rPr>
          <w:rFonts w:ascii="Times New Roman" w:cs="Times New Roman" w:eastAsia="Times New Roman" w:hAnsi="Times New Roman"/>
          <w:sz w:val="14"/>
          <w:szCs w:val="14"/>
          <w:color w:val="0000EE"/>
        </w:rPr>
      </w:pPr>
    </w:p>
    <w:p>
      <w:pPr>
        <w:ind w:left="1300" w:right="1359" w:firstLine="281"/>
        <w:spacing w:after="0" w:line="283" w:lineRule="auto"/>
        <w:rPr>
          <w:sz w:val="20"/>
          <w:szCs w:val="20"/>
          <w:color w:val="auto"/>
        </w:rPr>
      </w:pPr>
      <w:r>
        <w:rPr>
          <w:rFonts w:ascii="Times New Roman" w:cs="Times New Roman" w:eastAsia="Times New Roman" w:hAnsi="Times New Roman"/>
          <w:sz w:val="14"/>
          <w:szCs w:val="14"/>
          <w:color w:val="auto"/>
        </w:rPr>
        <w:t>You may also obtain a copy of our filings with the SEC at no cost by writing to or telephoning us at the following address:</w:t>
      </w:r>
    </w:p>
    <w:p>
      <w:pPr>
        <w:spacing w:after="0" w:line="73" w:lineRule="exact"/>
        <w:rPr>
          <w:rFonts w:ascii="Times New Roman" w:cs="Times New Roman" w:eastAsia="Times New Roman" w:hAnsi="Times New Roman"/>
          <w:sz w:val="14"/>
          <w:szCs w:val="14"/>
          <w:color w:val="0000EE"/>
        </w:rPr>
      </w:pPr>
    </w:p>
    <w:p>
      <w:pPr>
        <w:jc w:val="center"/>
        <w:ind w:right="59"/>
        <w:spacing w:after="0"/>
        <w:rPr>
          <w:sz w:val="20"/>
          <w:szCs w:val="20"/>
          <w:color w:val="auto"/>
        </w:rPr>
      </w:pPr>
      <w:r>
        <w:rPr>
          <w:rFonts w:ascii="Times New Roman" w:cs="Times New Roman" w:eastAsia="Times New Roman" w:hAnsi="Times New Roman"/>
          <w:sz w:val="14"/>
          <w:szCs w:val="14"/>
          <w:color w:val="auto"/>
        </w:rPr>
        <w:t>CenterPoint Energy, Inc.</w:t>
      </w:r>
    </w:p>
    <w:p>
      <w:pPr>
        <w:spacing w:after="0" w:line="22" w:lineRule="exact"/>
        <w:rPr>
          <w:rFonts w:ascii="Times New Roman" w:cs="Times New Roman" w:eastAsia="Times New Roman" w:hAnsi="Times New Roman"/>
          <w:sz w:val="14"/>
          <w:szCs w:val="14"/>
          <w:color w:val="0000EE"/>
        </w:rPr>
      </w:pPr>
    </w:p>
    <w:p>
      <w:pPr>
        <w:jc w:val="center"/>
        <w:ind w:right="59"/>
        <w:spacing w:after="0"/>
        <w:rPr>
          <w:sz w:val="20"/>
          <w:szCs w:val="20"/>
          <w:color w:val="auto"/>
        </w:rPr>
      </w:pPr>
      <w:r>
        <w:rPr>
          <w:rFonts w:ascii="Times New Roman" w:cs="Times New Roman" w:eastAsia="Times New Roman" w:hAnsi="Times New Roman"/>
          <w:sz w:val="14"/>
          <w:szCs w:val="14"/>
          <w:color w:val="auto"/>
        </w:rPr>
        <w:t>Attn: Investor Relations</w:t>
      </w:r>
    </w:p>
    <w:p>
      <w:pPr>
        <w:spacing w:after="0" w:line="7" w:lineRule="exact"/>
        <w:rPr>
          <w:rFonts w:ascii="Times New Roman" w:cs="Times New Roman" w:eastAsia="Times New Roman" w:hAnsi="Times New Roman"/>
          <w:sz w:val="14"/>
          <w:szCs w:val="14"/>
          <w:color w:val="0000EE"/>
        </w:rPr>
      </w:pPr>
    </w:p>
    <w:p>
      <w:pPr>
        <w:jc w:val="center"/>
        <w:ind w:right="59"/>
        <w:spacing w:after="0"/>
        <w:rPr>
          <w:sz w:val="20"/>
          <w:szCs w:val="20"/>
          <w:color w:val="auto"/>
        </w:rPr>
      </w:pPr>
      <w:r>
        <w:rPr>
          <w:rFonts w:ascii="Times New Roman" w:cs="Times New Roman" w:eastAsia="Times New Roman" w:hAnsi="Times New Roman"/>
          <w:sz w:val="14"/>
          <w:szCs w:val="14"/>
          <w:color w:val="auto"/>
        </w:rPr>
        <w:t>P.O. Box 4567</w:t>
      </w:r>
    </w:p>
    <w:p>
      <w:pPr>
        <w:spacing w:after="0" w:line="7" w:lineRule="exact"/>
        <w:rPr>
          <w:rFonts w:ascii="Times New Roman" w:cs="Times New Roman" w:eastAsia="Times New Roman" w:hAnsi="Times New Roman"/>
          <w:sz w:val="14"/>
          <w:szCs w:val="14"/>
          <w:color w:val="0000EE"/>
        </w:rPr>
      </w:pPr>
    </w:p>
    <w:p>
      <w:pPr>
        <w:jc w:val="center"/>
        <w:ind w:right="59"/>
        <w:spacing w:after="0"/>
        <w:rPr>
          <w:sz w:val="20"/>
          <w:szCs w:val="20"/>
          <w:color w:val="auto"/>
        </w:rPr>
      </w:pPr>
      <w:r>
        <w:rPr>
          <w:rFonts w:ascii="Times New Roman" w:cs="Times New Roman" w:eastAsia="Times New Roman" w:hAnsi="Times New Roman"/>
          <w:sz w:val="14"/>
          <w:szCs w:val="14"/>
          <w:color w:val="auto"/>
        </w:rPr>
        <w:t>Houston, Texas 77210-4567</w:t>
      </w:r>
    </w:p>
    <w:p>
      <w:pPr>
        <w:spacing w:after="0" w:line="7" w:lineRule="exact"/>
        <w:rPr>
          <w:rFonts w:ascii="Times New Roman" w:cs="Times New Roman" w:eastAsia="Times New Roman" w:hAnsi="Times New Roman"/>
          <w:sz w:val="14"/>
          <w:szCs w:val="14"/>
          <w:color w:val="0000EE"/>
        </w:rPr>
      </w:pPr>
    </w:p>
    <w:p>
      <w:pPr>
        <w:jc w:val="center"/>
        <w:ind w:right="19"/>
        <w:spacing w:after="0"/>
        <w:rPr>
          <w:sz w:val="20"/>
          <w:szCs w:val="20"/>
          <w:color w:val="auto"/>
        </w:rPr>
      </w:pPr>
      <w:r>
        <w:rPr>
          <w:rFonts w:ascii="Times New Roman" w:cs="Times New Roman" w:eastAsia="Times New Roman" w:hAnsi="Times New Roman"/>
          <w:sz w:val="14"/>
          <w:szCs w:val="14"/>
          <w:color w:val="auto"/>
        </w:rPr>
        <w:t>(713) 207-6500</w:t>
      </w: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200" w:lineRule="exact"/>
        <w:rPr>
          <w:rFonts w:ascii="Times New Roman" w:cs="Times New Roman" w:eastAsia="Times New Roman" w:hAnsi="Times New Roman"/>
          <w:sz w:val="14"/>
          <w:szCs w:val="14"/>
          <w:color w:val="0000EE"/>
        </w:rPr>
      </w:pPr>
    </w:p>
    <w:p>
      <w:pPr>
        <w:spacing w:after="0" w:line="306" w:lineRule="exact"/>
        <w:rPr>
          <w:rFonts w:ascii="Times New Roman" w:cs="Times New Roman" w:eastAsia="Times New Roman" w:hAnsi="Times New Roman"/>
          <w:sz w:val="14"/>
          <w:szCs w:val="14"/>
          <w:color w:val="0000EE"/>
        </w:rPr>
      </w:pPr>
    </w:p>
    <w:p>
      <w:pPr>
        <w:jc w:val="center"/>
        <w:ind w:right="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0000EE"/>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7" w:name="page8"/>
    <w:bookmarkEnd w:id="7"/>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CENTERPOINT ENERGY, INC.</w:t>
      </w:r>
    </w:p>
    <w:p>
      <w:pPr>
        <w:spacing w:after="0" w:line="125" w:lineRule="exact"/>
        <w:rPr>
          <w:sz w:val="20"/>
          <w:szCs w:val="20"/>
          <w:color w:val="auto"/>
        </w:rPr>
      </w:pPr>
    </w:p>
    <w:p>
      <w:pPr>
        <w:ind w:left="1300" w:right="1559" w:firstLine="281"/>
        <w:spacing w:after="0" w:line="267" w:lineRule="auto"/>
        <w:rPr>
          <w:sz w:val="20"/>
          <w:szCs w:val="20"/>
          <w:color w:val="auto"/>
        </w:rPr>
      </w:pPr>
      <w:r>
        <w:rPr>
          <w:rFonts w:ascii="Times New Roman" w:cs="Times New Roman" w:eastAsia="Times New Roman" w:hAnsi="Times New Roman"/>
          <w:sz w:val="14"/>
          <w:szCs w:val="14"/>
          <w:color w:val="auto"/>
        </w:rPr>
        <w:t>We are a public utility holding company. Our operating subsidiaries own and operate electric transmission, distribution and generation facilities and natural gas distribution systems. As of the date of this prospectus, our indirect, wholly-owned operating subsidiaries include:</w:t>
      </w:r>
    </w:p>
    <w:p>
      <w:pPr>
        <w:spacing w:after="0" w:line="52" w:lineRule="exact"/>
        <w:rPr>
          <w:sz w:val="20"/>
          <w:szCs w:val="20"/>
          <w:color w:val="auto"/>
        </w:rPr>
      </w:pPr>
    </w:p>
    <w:p>
      <w:pPr>
        <w:ind w:left="1720" w:right="1319" w:hanging="134"/>
        <w:spacing w:after="0" w:line="254" w:lineRule="auto"/>
        <w:tabs>
          <w:tab w:leader="none" w:pos="17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 Houston Electric, LLC (“Houston Electric”), which provides electric transmission service to transmission service customers in the Electric Reliability Council of Texas region and distribution service to retail electric providers (“REPs”) serving the Texas Gulf Coast area that includes the city of Houston. Houston Electric has variable interest entities (“VIEs”), including CenterPoint Energy Transition Bond Company IV, LLC (“Transition Bond Company IV”), Restoration Bond Company II, LLC and Restoration Bond Company III, LLC, which are consolidated. The consolidated VIEs are wholly-owned bankruptcy-remote, special purpose entities that were formed solely for the purpose of securitizing transition property or system restoration property through the issuance of transition bonds or system restoration bonds and conducting activities incidental thereto. On October 15, 2024, Transition Bond Company IV repaid in full its last outstanding transition bonds at maturity.</w:t>
      </w:r>
    </w:p>
    <w:p>
      <w:pPr>
        <w:spacing w:after="0" w:line="232" w:lineRule="exact"/>
        <w:rPr>
          <w:rFonts w:ascii="Times New Roman" w:cs="Times New Roman" w:eastAsia="Times New Roman" w:hAnsi="Times New Roman"/>
          <w:sz w:val="14"/>
          <w:szCs w:val="14"/>
          <w:color w:val="auto"/>
        </w:rPr>
      </w:pPr>
    </w:p>
    <w:p>
      <w:pPr>
        <w:ind w:left="1720" w:right="1359" w:hanging="134"/>
        <w:spacing w:after="0" w:line="255" w:lineRule="auto"/>
        <w:tabs>
          <w:tab w:leader="none" w:pos="17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 Resources Corp. (“CERC Corp.”), which (i) directly owns and operates natural gas distribution systems in Minnesota and Texas; (ii) indirectly, through Indiana Gas Company, Inc. and Vectren Energy Delivery of Ohio, LLC (“CEOH”), owns and operates natural gas distribution systems in Indiana and Ohio, respectively, and (iii) owns and operates permanent pipeline connections through interconnects with various interstate and intrastate pipeline companies through CenterPoint Energy Intrastate Pipelines, LLC. On October 20, 2025, CERC Corp. entered into a purchase agreement to sell all of the issued and outstanding equity interests of CEOH. The transaction is expected to close in the fourth quarter of 2026, subject to the satisfaction of customary closing conditions.</w:t>
      </w:r>
    </w:p>
    <w:p>
      <w:pPr>
        <w:spacing w:after="0" w:line="230" w:lineRule="exact"/>
        <w:rPr>
          <w:rFonts w:ascii="Times New Roman" w:cs="Times New Roman" w:eastAsia="Times New Roman" w:hAnsi="Times New Roman"/>
          <w:sz w:val="14"/>
          <w:szCs w:val="14"/>
          <w:color w:val="auto"/>
        </w:rPr>
      </w:pPr>
    </w:p>
    <w:p>
      <w:pPr>
        <w:ind w:left="1720" w:right="1319" w:hanging="134"/>
        <w:spacing w:after="0" w:line="257" w:lineRule="auto"/>
        <w:tabs>
          <w:tab w:leader="none" w:pos="17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Southern Indiana Gas and Electric Company (“SIGECO”), which provides energy delivery services to electric and natural gas customers located in and near Evansville in southwestern Indiana and owns and operates electric generation assets to serve its electric customers and optimizes those assets in the wholesale power market. SIGECO has a VIE, SIGECO Securitization I, LLC, which is consolidated. This consolidated VIE is a wholly-owned bankruptcy-remote, special purpose entity that was formed solely for the purpose of facilitating the securitization financing of qualified costs.</w:t>
      </w:r>
    </w:p>
    <w:p>
      <w:pPr>
        <w:spacing w:after="0" w:line="92" w:lineRule="exact"/>
        <w:rPr>
          <w:sz w:val="20"/>
          <w:szCs w:val="20"/>
          <w:color w:val="auto"/>
        </w:rPr>
      </w:pPr>
    </w:p>
    <w:p>
      <w:pPr>
        <w:ind w:left="1300" w:right="1419" w:firstLine="281"/>
        <w:spacing w:after="0" w:line="283" w:lineRule="auto"/>
        <w:rPr>
          <w:sz w:val="20"/>
          <w:szCs w:val="20"/>
          <w:color w:val="auto"/>
        </w:rPr>
      </w:pPr>
      <w:r>
        <w:rPr>
          <w:rFonts w:ascii="Times New Roman" w:cs="Times New Roman" w:eastAsia="Times New Roman" w:hAnsi="Times New Roman"/>
          <w:sz w:val="14"/>
          <w:szCs w:val="14"/>
          <w:color w:val="auto"/>
        </w:rPr>
        <w:t>Our principal executive offices are located at 1111 Louisiana Street, Houston, Texas 77002 (telephone number: (713) 207-1111).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8" w:name="page9"/>
    <w:bookmarkEnd w:id="8"/>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5" w:lineRule="exact"/>
        <w:rPr>
          <w:sz w:val="20"/>
          <w:szCs w:val="20"/>
          <w:color w:val="auto"/>
        </w:rPr>
      </w:pPr>
    </w:p>
    <w:p>
      <w:pPr>
        <w:ind w:left="1300" w:right="1319" w:firstLine="281"/>
        <w:spacing w:after="0" w:line="245" w:lineRule="auto"/>
        <w:rPr>
          <w:sz w:val="20"/>
          <w:szCs w:val="20"/>
          <w:color w:val="auto"/>
        </w:rPr>
      </w:pPr>
      <w:r>
        <w:rPr>
          <w:rFonts w:ascii="Times New Roman" w:cs="Times New Roman" w:eastAsia="Times New Roman" w:hAnsi="Times New Roman"/>
          <w:sz w:val="14"/>
          <w:szCs w:val="14"/>
          <w:color w:val="auto"/>
        </w:rPr>
        <w:t>Our businesses are influenced by many factors that are difficult to predict and that involve uncertainties that may materially affect actual operating results, cash flows and financial condition. These risk factors include those described as such in the documents that are incorporated by reference in this prospectus (which risk factors are incorporated herein by reference), and could include additional uncertainties not presently known to us or that we currently do not consider material. Before making an investment decision, you should carefully consider these risks as well as any other information we include or incorporate by reference in this prospectus or include in any applicable prospectus supplement.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INFORMATION</w:t>
      </w:r>
    </w:p>
    <w:p>
      <w:pPr>
        <w:spacing w:after="0" w:line="125" w:lineRule="exact"/>
        <w:rPr>
          <w:sz w:val="20"/>
          <w:szCs w:val="20"/>
          <w:color w:val="auto"/>
        </w:rPr>
      </w:pPr>
    </w:p>
    <w:p>
      <w:pPr>
        <w:ind w:left="1300" w:right="1479" w:firstLine="281"/>
        <w:spacing w:after="0" w:line="244" w:lineRule="auto"/>
        <w:rPr>
          <w:sz w:val="20"/>
          <w:szCs w:val="20"/>
          <w:color w:val="auto"/>
        </w:rPr>
      </w:pPr>
      <w:r>
        <w:rPr>
          <w:rFonts w:ascii="Times New Roman" w:cs="Times New Roman" w:eastAsia="Times New Roman" w:hAnsi="Times New Roman"/>
          <w:sz w:val="14"/>
          <w:szCs w:val="14"/>
          <w:color w:val="auto"/>
        </w:rPr>
        <w:t>In this prospectus, including the information we incorporate by reference, we make statements concerning our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our forward-looking statements by the words “anticipate,” “believe,” “continue,” “could,” “estimate,” “expect,” “forecast,” “goal,” “intend,” “may,” “objective,” “plan,” “potential,” “predict,” “projection,” “should,” “target,” “will” or other similar words.</w:t>
      </w:r>
    </w:p>
    <w:p>
      <w:pPr>
        <w:spacing w:after="0" w:line="90" w:lineRule="exact"/>
        <w:rPr>
          <w:sz w:val="20"/>
          <w:szCs w:val="20"/>
          <w:color w:val="auto"/>
        </w:rPr>
      </w:pPr>
    </w:p>
    <w:p>
      <w:pPr>
        <w:ind w:left="1300" w:right="1339" w:firstLine="281"/>
        <w:spacing w:after="0" w:line="251" w:lineRule="auto"/>
        <w:rPr>
          <w:sz w:val="20"/>
          <w:szCs w:val="20"/>
          <w:color w:val="auto"/>
        </w:rPr>
      </w:pPr>
      <w:r>
        <w:rPr>
          <w:rFonts w:ascii="Times New Roman" w:cs="Times New Roman" w:eastAsia="Times New Roman" w:hAnsi="Times New Roman"/>
          <w:sz w:val="14"/>
          <w:szCs w:val="14"/>
          <w:color w:val="auto"/>
        </w:rPr>
        <w:t>We have based our forward-looking statements on our management’s beliefs and assumptions based on information reasonably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spacing w:after="0" w:line="84" w:lineRule="exact"/>
        <w:rPr>
          <w:sz w:val="20"/>
          <w:szCs w:val="20"/>
          <w:color w:val="auto"/>
        </w:rPr>
      </w:pPr>
    </w:p>
    <w:p>
      <w:pPr>
        <w:ind w:left="1300" w:right="1459" w:firstLine="281"/>
        <w:spacing w:after="0" w:line="268" w:lineRule="auto"/>
        <w:rPr>
          <w:sz w:val="20"/>
          <w:szCs w:val="20"/>
          <w:color w:val="auto"/>
        </w:rPr>
      </w:pPr>
      <w:r>
        <w:rPr>
          <w:rFonts w:ascii="Times New Roman" w:cs="Times New Roman" w:eastAsia="Times New Roman" w:hAnsi="Times New Roman"/>
          <w:sz w:val="14"/>
          <w:szCs w:val="14"/>
          <w:color w:val="auto"/>
        </w:rPr>
        <w:t>The following are some of the factors that could cause actual results to differ from those expressed or implied by our forward-looking statements:</w:t>
      </w:r>
    </w:p>
    <w:p>
      <w:pPr>
        <w:spacing w:after="0" w:line="40" w:lineRule="exact"/>
        <w:rPr>
          <w:sz w:val="20"/>
          <w:szCs w:val="20"/>
          <w:color w:val="auto"/>
        </w:rPr>
      </w:pPr>
    </w:p>
    <w:p>
      <w:pPr>
        <w:ind w:left="1720" w:right="1379" w:hanging="134"/>
        <w:spacing w:after="0" w:line="259" w:lineRule="auto"/>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strategies and strategic initiatives, restructurings, joint ventures and acquisitions or dispositions of assets or businesses involving us or our industry, including the ability to successfully complete such strategies, initiatives, transactions or plans on the timelines we expect or at all, such as the announced sale of our Ohio natural gas local distribution company business, which we cannot assure will have the anticipated benefits to us;</w:t>
      </w:r>
    </w:p>
    <w:p>
      <w:pPr>
        <w:spacing w:after="0" w:line="57" w:lineRule="exact"/>
        <w:rPr>
          <w:rFonts w:ascii="Times New Roman" w:cs="Times New Roman" w:eastAsia="Times New Roman" w:hAnsi="Times New Roman"/>
          <w:sz w:val="14"/>
          <w:szCs w:val="14"/>
          <w:color w:val="auto"/>
        </w:rPr>
      </w:pPr>
    </w:p>
    <w:p>
      <w:pPr>
        <w:ind w:left="1720" w:right="1439" w:hanging="134"/>
        <w:spacing w:after="0" w:line="255" w:lineRule="auto"/>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industrial, commercial and residential growth in our service territories and changes in market demand and energy consumption, including in relation to the expansion of data centers (associated with, among other things, increasing demand for artificial intelligence (“AI”)), energy refining and exports, advanced manufacturing and logistics, as well as the effects of energy efficiency measures, technological advances and demographic patterns, and our ability to appropriately estimate/forecast and effectively manage such demand and the business opportunities and projects relating to such matters as well as obtain the anticipated benefits, including relating to customer affordability, associated with such growth;</w:t>
      </w:r>
    </w:p>
    <w:p>
      <w:pPr>
        <w:spacing w:after="0" w:line="62" w:lineRule="exact"/>
        <w:rPr>
          <w:rFonts w:ascii="Times New Roman" w:cs="Times New Roman" w:eastAsia="Times New Roman" w:hAnsi="Times New Roman"/>
          <w:sz w:val="14"/>
          <w:szCs w:val="14"/>
          <w:color w:val="auto"/>
        </w:rPr>
      </w:pPr>
    </w:p>
    <w:p>
      <w:pPr>
        <w:ind w:left="1720" w:right="1459" w:hanging="134"/>
        <w:spacing w:after="0" w:line="283" w:lineRule="auto"/>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fund and invest planned capital and the timely recovery of our investments, including the timing of and amounts sought for those related to our 10-year capital plan;</w:t>
      </w:r>
    </w:p>
    <w:p>
      <w:pPr>
        <w:spacing w:after="0" w:line="41" w:lineRule="exact"/>
        <w:rPr>
          <w:rFonts w:ascii="Times New Roman" w:cs="Times New Roman" w:eastAsia="Times New Roman" w:hAnsi="Times New Roman"/>
          <w:sz w:val="14"/>
          <w:szCs w:val="14"/>
          <w:color w:val="auto"/>
        </w:rPr>
      </w:pPr>
    </w:p>
    <w:p>
      <w:pPr>
        <w:ind w:left="1720" w:right="1319" w:hanging="134"/>
        <w:spacing w:after="0" w:line="264" w:lineRule="auto"/>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execute and complete our planned capital projects and programs, including those within our 10-year capital plan, in a timely and cost-effective manner and within budget, obtain the anticipated benefits of such projects, and manage costs and impacts of such projects on customer affordability;</w:t>
      </w:r>
    </w:p>
    <w:p>
      <w:pPr>
        <w:spacing w:after="0" w:line="226" w:lineRule="exact"/>
        <w:rPr>
          <w:rFonts w:ascii="Times New Roman" w:cs="Times New Roman" w:eastAsia="Times New Roman" w:hAnsi="Times New Roman"/>
          <w:sz w:val="14"/>
          <w:szCs w:val="14"/>
          <w:color w:val="auto"/>
        </w:rPr>
      </w:pPr>
    </w:p>
    <w:p>
      <w:pPr>
        <w:ind w:left="1720" w:right="1399" w:hanging="134"/>
        <w:spacing w:after="0" w:line="261" w:lineRule="auto"/>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construct, operate, repair, maintain, replace and restart electric generating facilities, natural gas facilities, temporary emergency electric energy facilities (“TEEEF”) and electric transmission facilities, as applicable, including in the event of an outage and in relation to complying with applicable environmental, reliability and safety standards;</w:t>
      </w:r>
    </w:p>
    <w:p>
      <w:pPr>
        <w:spacing w:after="0" w:line="57" w:lineRule="exact"/>
        <w:rPr>
          <w:rFonts w:ascii="Times New Roman" w:cs="Times New Roman" w:eastAsia="Times New Roman" w:hAnsi="Times New Roman"/>
          <w:sz w:val="14"/>
          <w:szCs w:val="14"/>
          <w:color w:val="auto"/>
        </w:rPr>
      </w:pPr>
    </w:p>
    <w:p>
      <w:pPr>
        <w:ind w:left="1720" w:right="1319" w:hanging="134"/>
        <w:spacing w:after="0" w:line="283" w:lineRule="auto"/>
        <w:tabs>
          <w:tab w:leader="none" w:pos="1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timely and appropriate rate actions that allow and authorize timely recovery of costs and a reasonable return on investment, including the timing of and amounts sought for recovery of Houston Electric’s</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9" w:name="page10"/>
    <w:bookmarkEnd w:id="9"/>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720" w:right="1379"/>
        <w:spacing w:after="0" w:line="267" w:lineRule="auto"/>
        <w:rPr>
          <w:sz w:val="20"/>
          <w:szCs w:val="20"/>
          <w:color w:val="auto"/>
        </w:rPr>
      </w:pPr>
      <w:r>
        <w:rPr>
          <w:rFonts w:ascii="Times New Roman" w:cs="Times New Roman" w:eastAsia="Times New Roman" w:hAnsi="Times New Roman"/>
          <w:sz w:val="14"/>
          <w:szCs w:val="14"/>
          <w:color w:val="auto"/>
        </w:rPr>
        <w:t>applicable TEEEF leases and restoration costs relating to, among other things, Hurricane Beryl, and requested or favorable adjustments to rates and approval of other requested items as part of base rate proceedings or interim rate mechanisms;</w:t>
      </w:r>
    </w:p>
    <w:p>
      <w:pPr>
        <w:spacing w:after="0" w:line="62" w:lineRule="exact"/>
        <w:rPr>
          <w:sz w:val="20"/>
          <w:szCs w:val="20"/>
          <w:color w:val="auto"/>
        </w:rPr>
      </w:pPr>
    </w:p>
    <w:p>
      <w:pPr>
        <w:ind w:left="1720" w:right="1419" w:hanging="134"/>
        <w:spacing w:after="0" w:line="257" w:lineRule="auto"/>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success of, and our ability to obtain approval for matters relating to, Houston Electric’s release of its large TEEEF units to the San Antonio area, proposed removal of its medium TEEEF units, reduction of its TEEEF fleet capacity and reduction of rates to reflect the removal of the large and medium TEEEF units from Houston Electric’s TEEEF fleet, as well as Houston Electric’s ability to complete one or more other future transactions involving the large and medium TEEEF units on acceptable terms and conditions within the anticipated timeframe;</w:t>
      </w:r>
    </w:p>
    <w:p>
      <w:pPr>
        <w:spacing w:after="0" w:line="59" w:lineRule="exact"/>
        <w:rPr>
          <w:rFonts w:ascii="Times New Roman" w:cs="Times New Roman" w:eastAsia="Times New Roman" w:hAnsi="Times New Roman"/>
          <w:sz w:val="14"/>
          <w:szCs w:val="14"/>
          <w:color w:val="auto"/>
        </w:rPr>
      </w:pPr>
    </w:p>
    <w:p>
      <w:pPr>
        <w:ind w:left="1720" w:right="1359" w:hanging="134"/>
        <w:spacing w:after="0" w:line="267" w:lineRule="auto"/>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conditions in regional and national markets, including economic uncertainty and volatility, potential for recession, changes to and increases in inflation and interest rates, and their effect on sales, prices and costs;</w:t>
      </w:r>
    </w:p>
    <w:p>
      <w:pPr>
        <w:spacing w:after="0" w:line="51" w:lineRule="exact"/>
        <w:rPr>
          <w:rFonts w:ascii="Times New Roman" w:cs="Times New Roman" w:eastAsia="Times New Roman" w:hAnsi="Times New Roman"/>
          <w:sz w:val="14"/>
          <w:szCs w:val="14"/>
          <w:color w:val="auto"/>
        </w:rPr>
      </w:pPr>
    </w:p>
    <w:p>
      <w:pPr>
        <w:ind w:left="1720" w:right="1399" w:hanging="134"/>
        <w:spacing w:after="0" w:line="255" w:lineRule="auto"/>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severe weather events, natural disasters and other climate-related impacts, including the impact of severe weather events on operations, capital, legislation and/or regulations, such as seen in connection with the extreme and unprecedented winter weather event in February 2021 that resulted in electricity generation supply shortages, including in Texas, and natural gas supply shortages and increased wholesale prices of natural gas in the United States, primarily due to prolonged freezing temperatures (“February 2021 Winter Storm Event”), the sudden and destructive severe weather events in May 2024 that included hurricane-like winds and tornadoes and resulted in widespread damage to Houston Electric’s electric delivery system and Hurricane Beryl;</w:t>
      </w:r>
    </w:p>
    <w:p>
      <w:pPr>
        <w:spacing w:after="0" w:line="73" w:lineRule="exact"/>
        <w:rPr>
          <w:rFonts w:ascii="Times New Roman" w:cs="Times New Roman" w:eastAsia="Times New Roman" w:hAnsi="Times New Roman"/>
          <w:sz w:val="14"/>
          <w:szCs w:val="14"/>
          <w:color w:val="auto"/>
        </w:rPr>
      </w:pPr>
    </w:p>
    <w:p>
      <w:pPr>
        <w:ind w:left="1720" w:right="1359" w:hanging="134"/>
        <w:spacing w:after="0" w:line="261" w:lineRule="auto"/>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in the markets for natural gas as a result of, among other factors, inflation, adverse weather conditions, supply and demand changes, availability of competitively priced alternative energy sources, political and geopolitical instability, commodity production levels and storage capacity, energy and environmental legislation and regulation and economic and financial market conditions;</w:t>
      </w:r>
    </w:p>
    <w:p>
      <w:pPr>
        <w:spacing w:after="0" w:line="57" w:lineRule="exact"/>
        <w:rPr>
          <w:rFonts w:ascii="Times New Roman" w:cs="Times New Roman" w:eastAsia="Times New Roman" w:hAnsi="Times New Roman"/>
          <w:sz w:val="14"/>
          <w:szCs w:val="14"/>
          <w:color w:val="auto"/>
        </w:rPr>
      </w:pPr>
    </w:p>
    <w:p>
      <w:pPr>
        <w:ind w:left="1720" w:right="1399" w:hanging="134"/>
        <w:spacing w:after="0" w:line="264" w:lineRule="auto"/>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non-payment for our services due to financial distress of our customers and the ability of our customers, including REPs, to satisfy their obligations to us, Houston Electric and CERC Corp., and the negative impact on such ability related to adverse economic conditions and severe weather events;</w:t>
      </w:r>
    </w:p>
    <w:p>
      <w:pPr>
        <w:spacing w:after="0" w:line="226" w:lineRule="exact"/>
        <w:rPr>
          <w:rFonts w:ascii="Times New Roman" w:cs="Times New Roman" w:eastAsia="Times New Roman" w:hAnsi="Times New Roman"/>
          <w:sz w:val="14"/>
          <w:szCs w:val="14"/>
          <w:color w:val="auto"/>
        </w:rPr>
      </w:pPr>
    </w:p>
    <w:p>
      <w:pPr>
        <w:ind w:left="1720" w:right="1699" w:hanging="134"/>
        <w:spacing w:after="0" w:line="267" w:lineRule="auto"/>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health threats, and their effect on our operations, business and financial condition, our industries and the communities we serve, U.S. and world financial markets and supply chains, potential regulatory actions and changes in customer and stakeholder behavior relating thereto;</w:t>
      </w:r>
    </w:p>
    <w:p>
      <w:pPr>
        <w:spacing w:after="0" w:line="62" w:lineRule="exact"/>
        <w:rPr>
          <w:rFonts w:ascii="Times New Roman" w:cs="Times New Roman" w:eastAsia="Times New Roman" w:hAnsi="Times New Roman"/>
          <w:sz w:val="14"/>
          <w:szCs w:val="14"/>
          <w:color w:val="auto"/>
        </w:rPr>
      </w:pPr>
    </w:p>
    <w:p>
      <w:pPr>
        <w:ind w:left="1720" w:right="1359" w:hanging="134"/>
        <w:spacing w:after="0" w:line="255" w:lineRule="auto"/>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state and local legislative, executive and regulatory actions or developments affecting various aspects of our businesses, including, among others, any actions resulting from Hurricane Beryl, energy deregulation or re-regulation, pipeline integrity and safety, actions relating to our facilities and changes in regulation, legislation and governmental action pertaining to the utility model, trade (including tariffs, bans, retaliatory trade measures taken against the United States or related governmental action), the implementation of budget and spending cuts to federal government agencies and programs, effects of government shutdowns, policies incentivizing or disincentivizing the development or utilization of alternative sources of generation (including distributed generation), health care, finance and actions regarding the rates charged by our regulated businesses;</w:t>
      </w:r>
    </w:p>
    <w:p>
      <w:pPr>
        <w:spacing w:after="0" w:line="59" w:lineRule="exact"/>
        <w:rPr>
          <w:rFonts w:ascii="Times New Roman" w:cs="Times New Roman" w:eastAsia="Times New Roman" w:hAnsi="Times New Roman"/>
          <w:sz w:val="14"/>
          <w:szCs w:val="14"/>
          <w:color w:val="auto"/>
        </w:rPr>
      </w:pPr>
    </w:p>
    <w:p>
      <w:pPr>
        <w:ind w:left="1720" w:right="1359" w:hanging="134"/>
        <w:spacing w:after="0" w:line="255" w:lineRule="auto"/>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to the global supply chain, inflation, labor shortages and scarcity of certain materials, including as a result of changes in U.S. and foreign trade policy, economic uncertainty, regulatory and policy instability, political and geopolitical uncertainty and instability, including the conflict involving Iran, severe weather and other catastrophic events, changes in laws, executive orders, legislation and other governmental action, increased competition for skilled labor and increases in demand for electricity, that could prevent us from securing the resources and labor needed to, among other things, fully execute on its strategy and 10-year capital plan, and otherwise impact the affordability of our rates for our customers;</w:t>
      </w:r>
    </w:p>
    <w:p>
      <w:pPr>
        <w:spacing w:after="0" w:line="62" w:lineRule="exact"/>
        <w:rPr>
          <w:rFonts w:ascii="Times New Roman" w:cs="Times New Roman" w:eastAsia="Times New Roman" w:hAnsi="Times New Roman"/>
          <w:sz w:val="14"/>
          <w:szCs w:val="14"/>
          <w:color w:val="auto"/>
        </w:rPr>
      </w:pPr>
    </w:p>
    <w:p>
      <w:pPr>
        <w:ind w:left="1720" w:right="1519" w:hanging="134"/>
        <w:spacing w:after="0" w:line="283" w:lineRule="auto"/>
        <w:tabs>
          <w:tab w:leader="none" w:pos="1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operations and maintenance costs, our ability to control such costs and cost-related impacts on the affordability of our rates for our customers;</w:t>
      </w: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201930</wp:posOffset>
            </wp:positionV>
            <wp:extent cx="533082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0" w:name="page11"/>
    <w:bookmarkEnd w:id="10"/>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20" w:right="1519" w:hanging="134"/>
        <w:spacing w:after="0" w:line="267" w:lineRule="auto"/>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timely obtain and maintain necessary land rights, licenses, permits, easements and approvals from landowners and local, federal and other regulatory authorities on acceptable terms and resolve disputes or third-party challenges to such licenses, permits or approvals as applicable;</w:t>
      </w:r>
    </w:p>
    <w:p>
      <w:pPr>
        <w:spacing w:after="0" w:line="51" w:lineRule="exact"/>
        <w:rPr>
          <w:rFonts w:ascii="Times New Roman" w:cs="Times New Roman" w:eastAsia="Times New Roman" w:hAnsi="Times New Roman"/>
          <w:sz w:val="14"/>
          <w:szCs w:val="14"/>
          <w:color w:val="auto"/>
        </w:rPr>
      </w:pPr>
    </w:p>
    <w:p>
      <w:pPr>
        <w:ind w:left="1720" w:right="1459" w:hanging="134"/>
        <w:spacing w:after="0" w:line="256" w:lineRule="auto"/>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or indirect effects on our facilities, resources, operations, reputation and financial condition resulting from terrorism, vandalism, cyberattacks or intrusions, data security breaches or other security incidents, threats or attempts to disrupt our businesses or the businesses of supply chain stakeholders (including by foreign actors), or other catastrophic events such as fires, earthquakes, explosions, leaks, floods, droughts, hurricanes, tornadoes, derecho events, ice storms and other severe weather events, wildfires, pandemic health events, geopolitical conflict, civil unrest or other occurrences;</w:t>
      </w:r>
    </w:p>
    <w:p>
      <w:pPr>
        <w:spacing w:after="0" w:line="232" w:lineRule="exact"/>
        <w:rPr>
          <w:rFonts w:ascii="Times New Roman" w:cs="Times New Roman" w:eastAsia="Times New Roman" w:hAnsi="Times New Roman"/>
          <w:sz w:val="14"/>
          <w:szCs w:val="14"/>
          <w:color w:val="auto"/>
        </w:rPr>
      </w:pPr>
    </w:p>
    <w:p>
      <w:pPr>
        <w:ind w:left="1720" w:right="1359" w:hanging="134"/>
        <w:spacing w:after="0" w:line="259" w:lineRule="auto"/>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negative opinions of us or our utility services that our customers, investors, legislators, regulators, creditors, rating agencies or other stakeholders may have or develop, which could result from a variety of factors, including actual or perceived failures in system reliability and safety, the speed of our response to service interruptions, rates and customer affordability, our ability to successfully execute our capital plan, media coverage and actions by third parties;</w:t>
      </w:r>
    </w:p>
    <w:p>
      <w:pPr>
        <w:spacing w:after="0" w:line="57" w:lineRule="exact"/>
        <w:rPr>
          <w:rFonts w:ascii="Times New Roman" w:cs="Times New Roman" w:eastAsia="Times New Roman" w:hAnsi="Times New Roman"/>
          <w:sz w:val="14"/>
          <w:szCs w:val="14"/>
          <w:color w:val="auto"/>
        </w:rPr>
      </w:pPr>
    </w:p>
    <w:p>
      <w:pPr>
        <w:ind w:left="1720" w:right="1399" w:hanging="134"/>
        <w:spacing w:after="0" w:line="267" w:lineRule="auto"/>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damages to our network, facilities and systems, including as a result of wildfires, as well as to third-party property resulting in outages or shortages in our service territories, and losses in excess of insurance liability coverage;</w:t>
      </w:r>
    </w:p>
    <w:p>
      <w:pPr>
        <w:spacing w:after="0" w:line="51" w:lineRule="exact"/>
        <w:rPr>
          <w:rFonts w:ascii="Times New Roman" w:cs="Times New Roman" w:eastAsia="Times New Roman" w:hAnsi="Times New Roman"/>
          <w:sz w:val="14"/>
          <w:szCs w:val="14"/>
          <w:color w:val="auto"/>
        </w:rPr>
      </w:pPr>
    </w:p>
    <w:p>
      <w:pPr>
        <w:ind w:left="1720" w:right="1379" w:hanging="134"/>
        <w:spacing w:after="0" w:line="257" w:lineRule="auto"/>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legislation and guidance and any changes in tax laws under the current or future administrations, including any further changes to or clarification of the Inflation Reduction Act of 2022 or the One Big Beautiful Bill Act, and any potential changes to tax rates, Corporate Alternative Minimum Tax imposed, tax credits and/or interest deductibility, as well as uncertainties involving state commissions’ and local municipalities’ regulatory requirements and determinations regarding the treatment of excess deferred income taxes and our rates;</w:t>
      </w:r>
    </w:p>
    <w:p>
      <w:pPr>
        <w:spacing w:after="0" w:line="59" w:lineRule="exact"/>
        <w:rPr>
          <w:rFonts w:ascii="Times New Roman" w:cs="Times New Roman" w:eastAsia="Times New Roman" w:hAnsi="Times New Roman"/>
          <w:sz w:val="14"/>
          <w:szCs w:val="14"/>
          <w:color w:val="auto"/>
        </w:rPr>
      </w:pPr>
    </w:p>
    <w:p>
      <w:pPr>
        <w:ind w:left="1720" w:right="1979" w:hanging="134"/>
        <w:spacing w:after="0" w:line="283" w:lineRule="auto"/>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mitigate weather impacts through normalization or rate mechanisms, and the effectiveness of such mechanisms;</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by credit rating agencies, including any potential downgrades to credit ratings;</w:t>
      </w:r>
    </w:p>
    <w:p>
      <w:pPr>
        <w:spacing w:after="0" w:line="91" w:lineRule="exact"/>
        <w:rPr>
          <w:rFonts w:ascii="Times New Roman" w:cs="Times New Roman" w:eastAsia="Times New Roman" w:hAnsi="Times New Roman"/>
          <w:sz w:val="14"/>
          <w:szCs w:val="14"/>
          <w:color w:val="auto"/>
        </w:rPr>
      </w:pPr>
    </w:p>
    <w:p>
      <w:pPr>
        <w:ind w:left="1720" w:right="1359" w:hanging="134"/>
        <w:spacing w:after="0" w:line="259" w:lineRule="auto"/>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local, state and federal legislative, executive and regulatory actions or developments relating to the environment, including, among others, those related to global climate risk, air emissions, greenhouse gas emissions, carbon emissions, wastewater discharges and the handling and disposal of coal combustion residuals that could impact operations, cost recovery of generation plant costs and related assets, and our energy transition goals;</w:t>
      </w:r>
    </w:p>
    <w:p>
      <w:pPr>
        <w:spacing w:after="0" w:line="57"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unplanned facility outages or other closures;</w:t>
      </w:r>
    </w:p>
    <w:p>
      <w:pPr>
        <w:spacing w:after="0" w:line="91" w:lineRule="exact"/>
        <w:rPr>
          <w:rFonts w:ascii="Times New Roman" w:cs="Times New Roman" w:eastAsia="Times New Roman" w:hAnsi="Times New Roman"/>
          <w:sz w:val="14"/>
          <w:szCs w:val="14"/>
          <w:color w:val="auto"/>
        </w:rPr>
      </w:pPr>
    </w:p>
    <w:p>
      <w:pPr>
        <w:ind w:left="1720" w:right="1339" w:hanging="134"/>
        <w:spacing w:after="0" w:line="283" w:lineRule="auto"/>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sufficiency of our insurance coverage, including availability, cost, coverage and terms and ability to recover claims;</w:t>
      </w:r>
    </w:p>
    <w:p>
      <w:pPr>
        <w:spacing w:after="0" w:line="41" w:lineRule="exact"/>
        <w:rPr>
          <w:rFonts w:ascii="Times New Roman" w:cs="Times New Roman" w:eastAsia="Times New Roman" w:hAnsi="Times New Roman"/>
          <w:sz w:val="14"/>
          <w:szCs w:val="14"/>
          <w:color w:val="auto"/>
        </w:rPr>
      </w:pPr>
    </w:p>
    <w:p>
      <w:pPr>
        <w:jc w:val="both"/>
        <w:ind w:left="1720" w:right="1439" w:hanging="134"/>
        <w:spacing w:after="0" w:line="267" w:lineRule="auto"/>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impacts from our pension and postretirement benefit plans, such as the investment performance and increases to net periodic costs as a result of plan settlements and changes in assumptions, including discount rates;</w:t>
      </w:r>
    </w:p>
    <w:p>
      <w:pPr>
        <w:spacing w:after="0" w:line="51" w:lineRule="exact"/>
        <w:rPr>
          <w:rFonts w:ascii="Times New Roman" w:cs="Times New Roman" w:eastAsia="Times New Roman" w:hAnsi="Times New Roman"/>
          <w:sz w:val="14"/>
          <w:szCs w:val="14"/>
          <w:color w:val="auto"/>
        </w:rPr>
      </w:pPr>
    </w:p>
    <w:p>
      <w:pPr>
        <w:ind w:left="1720" w:right="1619" w:hanging="134"/>
        <w:spacing w:after="0" w:line="283" w:lineRule="auto"/>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interest rates and their impact on costs of borrowing and the valuation of our pension benefit obligation;</w:t>
      </w:r>
    </w:p>
    <w:p>
      <w:pPr>
        <w:spacing w:after="0" w:line="41" w:lineRule="exact"/>
        <w:rPr>
          <w:rFonts w:ascii="Times New Roman" w:cs="Times New Roman" w:eastAsia="Times New Roman" w:hAnsi="Times New Roman"/>
          <w:sz w:val="14"/>
          <w:szCs w:val="14"/>
          <w:color w:val="auto"/>
        </w:rPr>
      </w:pPr>
    </w:p>
    <w:p>
      <w:pPr>
        <w:ind w:left="1720" w:right="1399" w:hanging="134"/>
        <w:spacing w:after="0" w:line="264" w:lineRule="auto"/>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 bank and financial market conditions, including disruptions in the banking industry, our access to capital, the cost of such capital, the results of our financing and refinancing efforts, including availability of funds in the capital markets, and impacts on our vendors, customers and suppliers;</w:t>
      </w:r>
    </w:p>
    <w:p>
      <w:pPr>
        <w:spacing w:after="0" w:line="226"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of various counterparties to meet their obligations to us;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and effectiveness of our risk management activities;</w:t>
      </w:r>
    </w:p>
    <w:p>
      <w:pPr>
        <w:spacing w:after="0" w:line="91" w:lineRule="exact"/>
        <w:rPr>
          <w:rFonts w:ascii="Times New Roman" w:cs="Times New Roman" w:eastAsia="Times New Roman" w:hAnsi="Times New Roman"/>
          <w:sz w:val="14"/>
          <w:szCs w:val="14"/>
          <w:color w:val="auto"/>
        </w:rPr>
      </w:pPr>
    </w:p>
    <w:p>
      <w:pPr>
        <w:jc w:val="both"/>
        <w:ind w:left="1720" w:right="1519" w:hanging="134"/>
        <w:spacing w:after="0" w:line="267" w:lineRule="auto"/>
        <w:tabs>
          <w:tab w:leader="none" w:pos="1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timely and appropriate regulatory actions, which include actions allowing requested securitization for any hurricanes or other severe weather events, such as Hurricane Beryl, or natural disasters or other amounts sought for recovery of costs, including stranded coal-fired generation asset costs;</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201930</wp:posOffset>
            </wp:positionV>
            <wp:extent cx="533082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1" w:name="page12"/>
    <w:bookmarkEnd w:id="11"/>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20" w:right="1379" w:hanging="134"/>
        <w:spacing w:after="0" w:line="283" w:lineRule="auto"/>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effectively transition, motivate and retain an appropriately qualified workforce, identify and develop top talent to succeed management and maintain good labor relations;</w:t>
      </w:r>
    </w:p>
    <w:p>
      <w:pPr>
        <w:spacing w:after="0" w:line="41" w:lineRule="exact"/>
        <w:rPr>
          <w:rFonts w:ascii="Times New Roman" w:cs="Times New Roman" w:eastAsia="Times New Roman" w:hAnsi="Times New Roman"/>
          <w:sz w:val="14"/>
          <w:szCs w:val="14"/>
          <w:color w:val="auto"/>
        </w:rPr>
      </w:pPr>
    </w:p>
    <w:p>
      <w:pPr>
        <w:ind w:left="1720" w:right="1359" w:hanging="134"/>
        <w:spacing w:after="0" w:line="267" w:lineRule="auto"/>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technology, including with respect to efficient battery storage or the emergence or growth of new, developing or alternative sources of generation, and their adoption by consumers, and our ability to anticipate, adapt to and implement technological changes;</w:t>
      </w:r>
    </w:p>
    <w:p>
      <w:pPr>
        <w:spacing w:after="0" w:line="5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advances in AI and our success in timely adopting, developing and deploying AI;</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outcome of any audits, disputes and other proceedings related to taxes;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recording of impairment charges;</w:t>
      </w:r>
    </w:p>
    <w:p>
      <w:pPr>
        <w:spacing w:after="0" w:line="91" w:lineRule="exact"/>
        <w:rPr>
          <w:rFonts w:ascii="Times New Roman" w:cs="Times New Roman" w:eastAsia="Times New Roman" w:hAnsi="Times New Roman"/>
          <w:sz w:val="14"/>
          <w:szCs w:val="14"/>
          <w:color w:val="auto"/>
        </w:rPr>
      </w:pPr>
    </w:p>
    <w:p>
      <w:pPr>
        <w:ind w:left="1720" w:right="1339" w:hanging="134"/>
        <w:spacing w:after="0" w:line="283" w:lineRule="auto"/>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and economic developments and actions, including energy and environmental policies under the current administration;</w:t>
      </w:r>
    </w:p>
    <w:p>
      <w:pPr>
        <w:spacing w:after="0" w:line="41" w:lineRule="exact"/>
        <w:rPr>
          <w:rFonts w:ascii="Times New Roman" w:cs="Times New Roman" w:eastAsia="Times New Roman" w:hAnsi="Times New Roman"/>
          <w:sz w:val="14"/>
          <w:szCs w:val="14"/>
          <w:color w:val="auto"/>
        </w:rPr>
      </w:pPr>
    </w:p>
    <w:p>
      <w:pPr>
        <w:ind w:left="1720" w:right="1399" w:hanging="134"/>
        <w:spacing w:after="0" w:line="283" w:lineRule="auto"/>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execute on our strategy, initiatives, targets and goals, including energy transition goals and operations and maintenance expenditure goals;</w:t>
      </w:r>
    </w:p>
    <w:p>
      <w:pPr>
        <w:spacing w:after="0" w:line="41" w:lineRule="exact"/>
        <w:rPr>
          <w:rFonts w:ascii="Times New Roman" w:cs="Times New Roman" w:eastAsia="Times New Roman" w:hAnsi="Times New Roman"/>
          <w:sz w:val="14"/>
          <w:szCs w:val="14"/>
          <w:color w:val="auto"/>
        </w:rPr>
      </w:pPr>
    </w:p>
    <w:p>
      <w:pPr>
        <w:ind w:left="1720" w:right="1479" w:hanging="134"/>
        <w:spacing w:after="0" w:line="283" w:lineRule="auto"/>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litigation, including litigation related to the February 2021 Winter Storm Event and Hurricane Beryl;</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changes in and application of accounting standards and pronouncements; and</w:t>
      </w:r>
    </w:p>
    <w:p>
      <w:pPr>
        <w:spacing w:after="0" w:line="91" w:lineRule="exact"/>
        <w:rPr>
          <w:rFonts w:ascii="Times New Roman" w:cs="Times New Roman" w:eastAsia="Times New Roman" w:hAnsi="Times New Roman"/>
          <w:sz w:val="14"/>
          <w:szCs w:val="14"/>
          <w:color w:val="auto"/>
        </w:rPr>
      </w:pPr>
    </w:p>
    <w:p>
      <w:pPr>
        <w:ind w:left="1720" w:right="1519" w:hanging="134"/>
        <w:spacing w:after="0" w:line="267" w:lineRule="auto"/>
        <w:tabs>
          <w:tab w:leader="none" w:pos="1720" w:val="left"/>
        </w:tabs>
        <w:numPr>
          <w:ilvl w:val="0"/>
          <w:numId w:val="11"/>
        </w:numPr>
        <w:rPr>
          <w:rFonts w:ascii="Times New Roman" w:cs="Times New Roman" w:eastAsia="Times New Roman" w:hAnsi="Times New Roman"/>
          <w:sz w:val="14"/>
          <w:szCs w:val="14"/>
          <w:color w:val="0000EE"/>
        </w:rPr>
      </w:pPr>
      <w:hyperlink r:id="rId36">
        <w:r>
          <w:rPr>
            <w:rFonts w:ascii="Times New Roman" w:cs="Times New Roman" w:eastAsia="Times New Roman" w:hAnsi="Times New Roman"/>
            <w:sz w:val="14"/>
            <w:szCs w:val="14"/>
            <w:color w:val="auto"/>
          </w:rPr>
          <w:t xml:space="preserve">other factors discussed in “Risk Factors” in Item 1A of Part I of our </w:t>
        </w:r>
        <w:r>
          <w:rPr>
            <w:rFonts w:ascii="Times New Roman" w:cs="Times New Roman" w:eastAsia="Times New Roman" w:hAnsi="Times New Roman"/>
            <w:sz w:val="14"/>
            <w:szCs w:val="14"/>
            <w:u w:val="single" w:color="auto"/>
            <w:color w:val="0000EE"/>
          </w:rPr>
          <w:t>Annual Report on Form 10-K</w:t>
        </w:r>
      </w:hyperlink>
      <w:r>
        <w:rPr>
          <w:rFonts w:ascii="Times New Roman" w:cs="Times New Roman" w:eastAsia="Times New Roman" w:hAnsi="Times New Roman"/>
          <w:sz w:val="14"/>
          <w:szCs w:val="14"/>
          <w:color w:val="auto"/>
        </w:rPr>
        <w:t xml:space="preserve"> </w:t>
      </w:r>
      <w:hyperlink r:id="rId36">
        <w:r>
          <w:rPr>
            <w:rFonts w:ascii="Times New Roman" w:cs="Times New Roman" w:eastAsia="Times New Roman" w:hAnsi="Times New Roman"/>
            <w:sz w:val="14"/>
            <w:szCs w:val="14"/>
            <w:u w:val="single" w:color="auto"/>
            <w:color w:val="0000EE"/>
          </w:rPr>
          <w:t>for the fiscal year ended December 31, 2025</w:t>
        </w:r>
        <w:r>
          <w:rPr>
            <w:rFonts w:ascii="Times New Roman" w:cs="Times New Roman" w:eastAsia="Times New Roman" w:hAnsi="Times New Roman"/>
            <w:sz w:val="14"/>
            <w:szCs w:val="14"/>
            <w:color w:val="000000"/>
          </w:rPr>
          <w:t>, which are incorporated herein by reference, and in</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other reports we file from time to time with the SEC that are incorporated by reference.</w:t>
      </w:r>
    </w:p>
    <w:p>
      <w:pPr>
        <w:spacing w:after="0" w:line="84" w:lineRule="exact"/>
        <w:rPr>
          <w:rFonts w:ascii="Times New Roman" w:cs="Times New Roman" w:eastAsia="Times New Roman" w:hAnsi="Times New Roman"/>
          <w:sz w:val="14"/>
          <w:szCs w:val="14"/>
          <w:color w:val="auto"/>
        </w:rPr>
      </w:pPr>
    </w:p>
    <w:p>
      <w:pPr>
        <w:ind w:left="1300" w:right="1499" w:firstLine="281"/>
        <w:spacing w:after="0" w:line="267" w:lineRule="auto"/>
        <w:rPr>
          <w:sz w:val="20"/>
          <w:szCs w:val="20"/>
          <w:color w:val="auto"/>
        </w:rPr>
      </w:pPr>
      <w:r>
        <w:rPr>
          <w:rFonts w:ascii="Times New Roman" w:cs="Times New Roman" w:eastAsia="Times New Roman" w:hAnsi="Times New Roman"/>
          <w:sz w:val="14"/>
          <w:szCs w:val="14"/>
          <w:color w:val="auto"/>
        </w:rPr>
        <w:t>You should not place undue reliance on forward-looking statements. Each forward-looking statement speaks only as of the date of the particular statement, and we undertake no obligation to update or revise any forward-looking statements.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8"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2" w:name="page13"/>
    <w:bookmarkEnd w:id="12"/>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5" w:lineRule="exact"/>
        <w:rPr>
          <w:sz w:val="20"/>
          <w:szCs w:val="20"/>
          <w:color w:val="auto"/>
        </w:rPr>
      </w:pPr>
    </w:p>
    <w:p>
      <w:pPr>
        <w:jc w:val="both"/>
        <w:ind w:left="1300" w:right="1539" w:firstLine="281"/>
        <w:spacing w:after="0" w:line="267" w:lineRule="auto"/>
        <w:rPr>
          <w:sz w:val="20"/>
          <w:szCs w:val="20"/>
          <w:color w:val="auto"/>
        </w:rPr>
      </w:pPr>
      <w:r>
        <w:rPr>
          <w:rFonts w:ascii="Times New Roman" w:cs="Times New Roman" w:eastAsia="Times New Roman" w:hAnsi="Times New Roman"/>
          <w:sz w:val="14"/>
          <w:szCs w:val="14"/>
          <w:color w:val="auto"/>
        </w:rPr>
        <w:t>Unless we inform you otherwise in the prospectus supplement, we anticipate using any net proceeds from the sale of our securities offered by this prospectus for general corporate purposes. These purposes may include, but are not limited to:</w:t>
      </w:r>
    </w:p>
    <w:p>
      <w:pPr>
        <w:spacing w:after="0" w:line="52" w:lineRule="exact"/>
        <w:rPr>
          <w:sz w:val="20"/>
          <w:szCs w:val="20"/>
          <w:color w:val="auto"/>
        </w:rPr>
      </w:pPr>
    </w:p>
    <w:p>
      <w:pPr>
        <w:ind w:left="1720" w:hanging="134"/>
        <w:spacing w:after="0"/>
        <w:tabs>
          <w:tab w:leader="none" w:pos="17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working capital,</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expenditures,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repayment or refinancing of debt, and</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loans or advances to subsidiaries.</w:t>
      </w:r>
    </w:p>
    <w:p>
      <w:pPr>
        <w:spacing w:after="0" w:line="123" w:lineRule="exact"/>
        <w:rPr>
          <w:sz w:val="20"/>
          <w:szCs w:val="20"/>
          <w:color w:val="auto"/>
        </w:rPr>
      </w:pPr>
    </w:p>
    <w:p>
      <w:pPr>
        <w:ind w:left="1300" w:right="1339" w:firstLine="281"/>
        <w:spacing w:after="0" w:line="283" w:lineRule="auto"/>
        <w:rPr>
          <w:sz w:val="20"/>
          <w:szCs w:val="20"/>
          <w:color w:val="auto"/>
        </w:rPr>
      </w:pPr>
      <w:r>
        <w:rPr>
          <w:rFonts w:ascii="Times New Roman" w:cs="Times New Roman" w:eastAsia="Times New Roman" w:hAnsi="Times New Roman"/>
          <w:sz w:val="14"/>
          <w:szCs w:val="14"/>
          <w:color w:val="auto"/>
        </w:rPr>
        <w:t>Pending any specific application, we may initially invest funds, loan funds to affiliates or apply them to the reduction of short-term indebtedness, commercial paper or debt under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3" w:name="page14"/>
    <w:bookmarkEnd w:id="13"/>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OUR DEBT SECURITIES</w:t>
      </w:r>
    </w:p>
    <w:p>
      <w:pPr>
        <w:spacing w:after="0" w:line="125" w:lineRule="exact"/>
        <w:rPr>
          <w:sz w:val="20"/>
          <w:szCs w:val="20"/>
          <w:color w:val="auto"/>
        </w:rPr>
      </w:pPr>
    </w:p>
    <w:p>
      <w:pPr>
        <w:ind w:left="1300" w:right="1339" w:firstLine="281"/>
        <w:spacing w:after="0" w:line="242" w:lineRule="auto"/>
        <w:rPr>
          <w:sz w:val="20"/>
          <w:szCs w:val="20"/>
          <w:color w:val="auto"/>
        </w:rPr>
      </w:pPr>
      <w:r>
        <w:rPr>
          <w:rFonts w:ascii="Times New Roman" w:cs="Times New Roman" w:eastAsia="Times New Roman" w:hAnsi="Times New Roman"/>
          <w:sz w:val="14"/>
          <w:szCs w:val="14"/>
          <w:color w:val="auto"/>
        </w:rPr>
        <w:t>The debt securities offered by this prospectus will be CenterPoint Energy’s general unsecured obligations. CenterPoint Energy will issue senior debt securities (“senior debt securities”) under an indenture, dated as of May 19, 2003, between CenterPoint Energy and The Bank of New York Mellon Trust Company, National Association (successor in trust to JPMorgan Chase Bank), as trustee (as supplemented from time to time, the “senior indenture”) and junior subordinated debt securities (“junior subordinated debt securities”) under a separate indenture, dated as of August 14, 2024, between CenterPoint Energy and The Bank of New York Mellon Trust Company, National Association, as trustee (as supplemented from time to time, the “junior subordinated indenture”). We will refer to the senior indenture and the junior subordinated indenture together as the “indentures,” and each as an “indenture.” The indentures are substantially identical, except for provisions relating to subordination and covenants. We have filed, through incorporation by reference, the senior indenture and the junior subordinated indenture as exhibits to the registration statement of which this prospectus is a part. We have summarized selected provisions of the indentures and the debt securities below. This summary is not complete and is qualified in its entirety by reference to the indentures. References to section numbers in this description of our debt securities, unless otherwise indicated, are references to section numbers of the senior indenture and the junior subordinated indenture, respectively.</w:t>
      </w:r>
    </w:p>
    <w:p>
      <w:pPr>
        <w:spacing w:after="0" w:line="259" w:lineRule="exact"/>
        <w:rPr>
          <w:sz w:val="20"/>
          <w:szCs w:val="20"/>
          <w:color w:val="auto"/>
        </w:rPr>
      </w:pPr>
    </w:p>
    <w:p>
      <w:pPr>
        <w:ind w:left="1300" w:right="1339" w:firstLine="281"/>
        <w:spacing w:after="0" w:line="259" w:lineRule="auto"/>
        <w:rPr>
          <w:sz w:val="20"/>
          <w:szCs w:val="20"/>
          <w:color w:val="auto"/>
        </w:rPr>
      </w:pPr>
      <w:r>
        <w:rPr>
          <w:rFonts w:ascii="Times New Roman" w:cs="Times New Roman" w:eastAsia="Times New Roman" w:hAnsi="Times New Roman"/>
          <w:sz w:val="14"/>
          <w:szCs w:val="14"/>
          <w:color w:val="auto"/>
        </w:rPr>
        <w:t>You should carefully read the summary below, the applicable prospectus supplement and the provisions of the applicable indenture that may be important to you before investing in our senior debt securities or junior subordinated debt securities.</w:t>
      </w:r>
    </w:p>
    <w:p>
      <w:pPr>
        <w:spacing w:after="0" w:line="1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Provisions Applicable to Each Indenture</w:t>
      </w:r>
    </w:p>
    <w:p>
      <w:pPr>
        <w:spacing w:after="0" w:line="123" w:lineRule="exact"/>
        <w:rPr>
          <w:sz w:val="20"/>
          <w:szCs w:val="20"/>
          <w:color w:val="auto"/>
        </w:rPr>
      </w:pPr>
    </w:p>
    <w:p>
      <w:pPr>
        <w:ind w:left="1300" w:right="1339" w:firstLine="281"/>
        <w:spacing w:after="0" w:line="248" w:lineRule="auto"/>
        <w:rPr>
          <w:sz w:val="20"/>
          <w:szCs w:val="20"/>
          <w:color w:val="auto"/>
        </w:rPr>
      </w:pPr>
      <w:r>
        <w:rPr>
          <w:rFonts w:ascii="Times New Roman" w:cs="Times New Roman" w:eastAsia="Times New Roman" w:hAnsi="Times New Roman"/>
          <w:sz w:val="14"/>
          <w:szCs w:val="14"/>
          <w:i w:val="1"/>
          <w:iCs w:val="1"/>
          <w:color w:val="auto"/>
        </w:rPr>
        <w:t xml:space="preserve">General. </w:t>
      </w:r>
      <w:r>
        <w:rPr>
          <w:rFonts w:ascii="Times New Roman" w:cs="Times New Roman" w:eastAsia="Times New Roman" w:hAnsi="Times New Roman"/>
          <w:sz w:val="14"/>
          <w:szCs w:val="14"/>
          <w:color w:val="auto"/>
        </w:rPr>
        <w:t>We may issue debt securities from time to time in one or more series under the applicable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indenture. There is no limitation on the amount of debt securities we may issue under either indenture. We will describe the particular terms of each series of debt securities we offer in a supplement to this prospectus. The terms of our debt securities will include those set forth in the applicable indenture and those made a part of such indenture by the Trust Indenture Act of 1939, as amended (the “Trust Indenture Act”).</w:t>
      </w:r>
    </w:p>
    <w:p>
      <w:pPr>
        <w:spacing w:after="0" w:line="86" w:lineRule="exact"/>
        <w:rPr>
          <w:sz w:val="20"/>
          <w:szCs w:val="20"/>
          <w:color w:val="auto"/>
        </w:rPr>
      </w:pPr>
    </w:p>
    <w:p>
      <w:pPr>
        <w:ind w:left="1300" w:right="1499" w:firstLine="281"/>
        <w:spacing w:after="0" w:line="251" w:lineRule="auto"/>
        <w:rPr>
          <w:sz w:val="20"/>
          <w:szCs w:val="20"/>
          <w:color w:val="auto"/>
        </w:rPr>
      </w:pPr>
      <w:r>
        <w:rPr>
          <w:rFonts w:ascii="Times New Roman" w:cs="Times New Roman" w:eastAsia="Times New Roman" w:hAnsi="Times New Roman"/>
          <w:sz w:val="14"/>
          <w:szCs w:val="14"/>
          <w:color w:val="auto"/>
        </w:rPr>
        <w:t>Subject to the exceptions, and subject to compliance with the applicable requirements set forth in the applicable indenture, we may discharge our obligations under the indentures with respect to our debt securities as described below under “— Defeasance.”</w:t>
      </w:r>
    </w:p>
    <w:p>
      <w:pPr>
        <w:spacing w:after="0" w:line="82" w:lineRule="exact"/>
        <w:rPr>
          <w:sz w:val="20"/>
          <w:szCs w:val="20"/>
          <w:color w:val="auto"/>
        </w:rPr>
      </w:pPr>
    </w:p>
    <w:p>
      <w:pPr>
        <w:ind w:left="1300" w:right="1999" w:firstLine="281"/>
        <w:spacing w:after="0" w:line="286" w:lineRule="auto"/>
        <w:rPr>
          <w:sz w:val="20"/>
          <w:szCs w:val="20"/>
          <w:color w:val="auto"/>
        </w:rPr>
      </w:pPr>
      <w:r>
        <w:rPr>
          <w:rFonts w:ascii="Times New Roman" w:cs="Times New Roman" w:eastAsia="Times New Roman" w:hAnsi="Times New Roman"/>
          <w:sz w:val="14"/>
          <w:szCs w:val="14"/>
          <w:i w:val="1"/>
          <w:iCs w:val="1"/>
          <w:color w:val="auto"/>
        </w:rPr>
        <w:t xml:space="preserve">Terms. </w:t>
      </w:r>
      <w:r>
        <w:rPr>
          <w:rFonts w:ascii="Times New Roman" w:cs="Times New Roman" w:eastAsia="Times New Roman" w:hAnsi="Times New Roman"/>
          <w:sz w:val="14"/>
          <w:szCs w:val="14"/>
          <w:color w:val="auto"/>
        </w:rPr>
        <w:t>We will describe the specific terms of the series of debt securities being offered in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supplement to this prospectus. These terms will include some or all of the following:</w:t>
      </w:r>
    </w:p>
    <w:p>
      <w:pPr>
        <w:spacing w:after="0" w:line="29" w:lineRule="exact"/>
        <w:rPr>
          <w:sz w:val="20"/>
          <w:szCs w:val="20"/>
          <w:color w:val="auto"/>
        </w:rPr>
      </w:pPr>
    </w:p>
    <w:p>
      <w:pPr>
        <w:ind w:left="1720" w:hanging="134"/>
        <w:spacing w:after="0"/>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debt securities,</w:t>
      </w:r>
    </w:p>
    <w:p>
      <w:pPr>
        <w:spacing w:after="0" w:line="8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are senior debt securities or junior subordinated debt securities,</w:t>
      </w:r>
    </w:p>
    <w:p>
      <w:pPr>
        <w:spacing w:after="0" w:line="70"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on the total principal amount of the debt securities,</w:t>
      </w:r>
    </w:p>
    <w:p>
      <w:pPr>
        <w:spacing w:after="0" w:line="81" w:lineRule="exact"/>
        <w:rPr>
          <w:rFonts w:ascii="Times New Roman" w:cs="Times New Roman" w:eastAsia="Times New Roman" w:hAnsi="Times New Roman"/>
          <w:sz w:val="14"/>
          <w:szCs w:val="14"/>
          <w:color w:val="auto"/>
        </w:rPr>
      </w:pPr>
    </w:p>
    <w:p>
      <w:pPr>
        <w:ind w:left="1720" w:right="1459" w:hanging="134"/>
        <w:spacing w:after="0" w:line="283" w:lineRule="auto"/>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the debt securities will be payable or the method used to determine or extend those dates,</w:t>
      </w:r>
    </w:p>
    <w:p>
      <w:pPr>
        <w:spacing w:after="0" w:line="30" w:lineRule="exact"/>
        <w:rPr>
          <w:rFonts w:ascii="Times New Roman" w:cs="Times New Roman" w:eastAsia="Times New Roman" w:hAnsi="Times New Roman"/>
          <w:sz w:val="14"/>
          <w:szCs w:val="14"/>
          <w:color w:val="auto"/>
        </w:rPr>
      </w:pPr>
    </w:p>
    <w:p>
      <w:pPr>
        <w:ind w:left="1720" w:right="1339" w:hanging="134"/>
        <w:spacing w:after="0" w:line="261" w:lineRule="auto"/>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interest rate on the debt securities, any date from which interest will accrue, any interest payment dates and regular record dates for interest payments, or the method used to determine any of the foregoing, the basis for calculating interest if other than a 360-day year of twelve 30-day months and any right to extend or defer interest payments and the duration of such extension or deferral,</w:t>
      </w:r>
    </w:p>
    <w:p>
      <w:pPr>
        <w:spacing w:after="0" w:line="36" w:lineRule="exact"/>
        <w:rPr>
          <w:rFonts w:ascii="Times New Roman" w:cs="Times New Roman" w:eastAsia="Times New Roman" w:hAnsi="Times New Roman"/>
          <w:sz w:val="14"/>
          <w:szCs w:val="14"/>
          <w:color w:val="auto"/>
        </w:rPr>
      </w:pPr>
    </w:p>
    <w:p>
      <w:pPr>
        <w:jc w:val="both"/>
        <w:ind w:left="1720" w:right="1379" w:hanging="134"/>
        <w:spacing w:after="0" w:line="267" w:lineRule="auto"/>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payments on the debt securities will be payable, the debt securities may be presented for registration of transfer or exchange, and notices and demands to or upon us relating to the debt securities may be made,</w:t>
      </w:r>
    </w:p>
    <w:p>
      <w:pPr>
        <w:spacing w:after="0" w:line="41" w:lineRule="exact"/>
        <w:rPr>
          <w:rFonts w:ascii="Times New Roman" w:cs="Times New Roman" w:eastAsia="Times New Roman" w:hAnsi="Times New Roman"/>
          <w:sz w:val="14"/>
          <w:szCs w:val="14"/>
          <w:color w:val="auto"/>
        </w:rPr>
      </w:pPr>
    </w:p>
    <w:p>
      <w:pPr>
        <w:ind w:left="1720" w:right="1339" w:hanging="134"/>
        <w:spacing w:after="0" w:line="283" w:lineRule="auto"/>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that would allow or obligate us to redeem or purchase the debt securities prior to their maturity,</w:t>
      </w:r>
    </w:p>
    <w:p>
      <w:pPr>
        <w:spacing w:after="0" w:line="20" w:lineRule="exact"/>
        <w:rPr>
          <w:rFonts w:ascii="Times New Roman" w:cs="Times New Roman" w:eastAsia="Times New Roman" w:hAnsi="Times New Roman"/>
          <w:sz w:val="14"/>
          <w:szCs w:val="14"/>
          <w:color w:val="auto"/>
        </w:rPr>
      </w:pPr>
    </w:p>
    <w:p>
      <w:pPr>
        <w:ind w:left="1720" w:right="1719" w:hanging="134"/>
        <w:spacing w:after="0" w:line="283" w:lineRule="auto"/>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we will issue the debt securities, if other than denominations of an integral multiple of $1,000,</w:t>
      </w:r>
    </w:p>
    <w:p>
      <w:pPr>
        <w:spacing w:after="0" w:line="30" w:lineRule="exact"/>
        <w:rPr>
          <w:rFonts w:ascii="Times New Roman" w:cs="Times New Roman" w:eastAsia="Times New Roman" w:hAnsi="Times New Roman"/>
          <w:sz w:val="14"/>
          <w:szCs w:val="14"/>
          <w:color w:val="auto"/>
        </w:rPr>
      </w:pPr>
    </w:p>
    <w:p>
      <w:pPr>
        <w:ind w:left="1720" w:right="1539" w:hanging="134"/>
        <w:spacing w:after="0" w:line="283" w:lineRule="auto"/>
        <w:tabs>
          <w:tab w:leader="none" w:pos="17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that would determine payments on the debt securities by reference to an index or a formula,</w:t>
      </w: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201930</wp:posOffset>
            </wp:positionV>
            <wp:extent cx="533082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4" w:name="page15"/>
    <w:bookmarkEnd w:id="14"/>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20" w:right="1499" w:hanging="134"/>
        <w:spacing w:after="0" w:line="283" w:lineRule="auto"/>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foreign currency, currencies or currency units in which payments on the debt securities will be payable and the manner for determining the equivalent amount in U.S. dollars ($),</w:t>
      </w:r>
    </w:p>
    <w:p>
      <w:pPr>
        <w:spacing w:after="0" w:line="51" w:lineRule="exact"/>
        <w:rPr>
          <w:rFonts w:ascii="Times New Roman" w:cs="Times New Roman" w:eastAsia="Times New Roman" w:hAnsi="Times New Roman"/>
          <w:sz w:val="14"/>
          <w:szCs w:val="14"/>
          <w:color w:val="auto"/>
        </w:rPr>
      </w:pPr>
    </w:p>
    <w:p>
      <w:pPr>
        <w:ind w:left="1720" w:right="1419" w:hanging="134"/>
        <w:spacing w:after="0" w:line="283" w:lineRule="auto"/>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payments on the debt securities in one or more currencies or currency units other than those in which the debt securities are stated to be payable,</w:t>
      </w:r>
    </w:p>
    <w:p>
      <w:pPr>
        <w:spacing w:after="0" w:line="41" w:lineRule="exact"/>
        <w:rPr>
          <w:rFonts w:ascii="Times New Roman" w:cs="Times New Roman" w:eastAsia="Times New Roman" w:hAnsi="Times New Roman"/>
          <w:sz w:val="14"/>
          <w:szCs w:val="14"/>
          <w:color w:val="auto"/>
        </w:rPr>
      </w:pPr>
    </w:p>
    <w:p>
      <w:pPr>
        <w:ind w:left="1720" w:right="1339" w:hanging="134"/>
        <w:spacing w:after="0" w:line="267" w:lineRule="auto"/>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 of the principal amount at which the debt securities will be issued and the portion of the principal amount of the debt securities that will be payable if the maturity of the debt securities is accelerated, if other than the entire principal amount,</w:t>
      </w:r>
    </w:p>
    <w:p>
      <w:pPr>
        <w:spacing w:after="0" w:line="51" w:lineRule="exact"/>
        <w:rPr>
          <w:rFonts w:ascii="Times New Roman" w:cs="Times New Roman" w:eastAsia="Times New Roman" w:hAnsi="Times New Roman"/>
          <w:sz w:val="14"/>
          <w:szCs w:val="14"/>
          <w:color w:val="auto"/>
        </w:rPr>
      </w:pPr>
    </w:p>
    <w:p>
      <w:pPr>
        <w:jc w:val="both"/>
        <w:ind w:left="1720" w:right="1459" w:hanging="134"/>
        <w:spacing w:after="0" w:line="267" w:lineRule="auto"/>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principal amount to be paid at the stated maturity of the debt securities is not determinable as of one or more dates prior to the stated maturity, the amount that will be deemed to be the principal amount as of any such date for any purpose,</w:t>
      </w:r>
    </w:p>
    <w:p>
      <w:pPr>
        <w:spacing w:after="0" w:line="51" w:lineRule="exact"/>
        <w:rPr>
          <w:rFonts w:ascii="Times New Roman" w:cs="Times New Roman" w:eastAsia="Times New Roman" w:hAnsi="Times New Roman"/>
          <w:sz w:val="14"/>
          <w:szCs w:val="14"/>
          <w:color w:val="auto"/>
        </w:rPr>
      </w:pPr>
    </w:p>
    <w:p>
      <w:pPr>
        <w:ind w:left="1720" w:right="1379" w:hanging="134"/>
        <w:spacing w:after="0" w:line="267" w:lineRule="auto"/>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variation of the defeasance and covenant defeasance sections of the applicable indenture and the manner in which our election to defease the debt securities will be evidenced, if other than by a board resolution,</w:t>
      </w:r>
    </w:p>
    <w:p>
      <w:pPr>
        <w:spacing w:after="0" w:line="51" w:lineRule="exact"/>
        <w:rPr>
          <w:rFonts w:ascii="Times New Roman" w:cs="Times New Roman" w:eastAsia="Times New Roman" w:hAnsi="Times New Roman"/>
          <w:sz w:val="14"/>
          <w:szCs w:val="14"/>
          <w:color w:val="auto"/>
        </w:rPr>
      </w:pPr>
    </w:p>
    <w:p>
      <w:pPr>
        <w:ind w:left="1720" w:right="1359" w:hanging="134"/>
        <w:spacing w:after="0" w:line="276" w:lineRule="auto"/>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we will issue the debt securities in the form of temporary or permanent global securities, the depositories for the global securities, and provisions for exchanging or transferring the global securities,</w:t>
      </w:r>
    </w:p>
    <w:p>
      <w:pPr>
        <w:spacing w:after="0" w:line="218"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interest rate of the debt securities may be reset,</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stated maturity of the debt securities may be extended,</w:t>
      </w:r>
    </w:p>
    <w:p>
      <w:pPr>
        <w:spacing w:after="0" w:line="102" w:lineRule="exact"/>
        <w:rPr>
          <w:rFonts w:ascii="Times New Roman" w:cs="Times New Roman" w:eastAsia="Times New Roman" w:hAnsi="Times New Roman"/>
          <w:sz w:val="14"/>
          <w:szCs w:val="14"/>
          <w:color w:val="auto"/>
        </w:rPr>
      </w:pPr>
    </w:p>
    <w:p>
      <w:pPr>
        <w:ind w:left="1720" w:right="1459" w:hanging="134"/>
        <w:spacing w:after="0" w:line="267" w:lineRule="auto"/>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or change in the events of default for the debt securities and any change in the right of the trustee or the holders of the debt securities to declare the principal amount of the debt securities due and payable,</w:t>
      </w:r>
    </w:p>
    <w:p>
      <w:pPr>
        <w:spacing w:after="0" w:line="5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or change in the covenants in the applicable indenture,</w:t>
      </w:r>
    </w:p>
    <w:p>
      <w:pPr>
        <w:spacing w:after="0" w:line="91" w:lineRule="exact"/>
        <w:rPr>
          <w:rFonts w:ascii="Times New Roman" w:cs="Times New Roman" w:eastAsia="Times New Roman" w:hAnsi="Times New Roman"/>
          <w:sz w:val="14"/>
          <w:szCs w:val="14"/>
          <w:color w:val="auto"/>
        </w:rPr>
      </w:pPr>
    </w:p>
    <w:p>
      <w:pPr>
        <w:ind w:left="1720" w:right="1479" w:hanging="134"/>
        <w:spacing w:after="0" w:line="283" w:lineRule="auto"/>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additions or changes to the applicable indenture necessary to issue the debt securities in bearer form, registrable or not registrable as to principal, and with or without interest coupons,</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appointment of any paying agents for the debt securities, if other than the trustee,</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right to convert or exchange the debt securities into any other securities or property,</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if any, pursuant to which the debt securities are secured,</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 or condition on the transferability of the debt securities,</w:t>
      </w:r>
    </w:p>
    <w:p>
      <w:pPr>
        <w:spacing w:after="0" w:line="91" w:lineRule="exact"/>
        <w:rPr>
          <w:rFonts w:ascii="Times New Roman" w:cs="Times New Roman" w:eastAsia="Times New Roman" w:hAnsi="Times New Roman"/>
          <w:sz w:val="14"/>
          <w:szCs w:val="14"/>
          <w:color w:val="auto"/>
        </w:rPr>
      </w:pPr>
    </w:p>
    <w:p>
      <w:pPr>
        <w:ind w:left="1720" w:right="1339" w:hanging="134"/>
        <w:spacing w:after="0" w:line="283" w:lineRule="auto"/>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junior subordinated indenture, any changes to the subordination provisions for the junior subordinated debt securities, and</w:t>
      </w:r>
    </w:p>
    <w:p>
      <w:pPr>
        <w:spacing w:after="0" w:line="51" w:lineRule="exact"/>
        <w:rPr>
          <w:rFonts w:ascii="Times New Roman" w:cs="Times New Roman" w:eastAsia="Times New Roman" w:hAnsi="Times New Roman"/>
          <w:sz w:val="14"/>
          <w:szCs w:val="14"/>
          <w:color w:val="auto"/>
        </w:rPr>
      </w:pPr>
    </w:p>
    <w:p>
      <w:pPr>
        <w:ind w:left="1720" w:right="1879" w:hanging="134"/>
        <w:spacing w:after="0" w:line="283" w:lineRule="auto"/>
        <w:tabs>
          <w:tab w:leader="none" w:pos="17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consistent with the applicable indenture. (Section 301; Section 3.01)</w:t>
      </w:r>
    </w:p>
    <w:p>
      <w:pPr>
        <w:spacing w:after="0" w:line="62" w:lineRule="exact"/>
        <w:rPr>
          <w:sz w:val="20"/>
          <w:szCs w:val="20"/>
          <w:color w:val="auto"/>
        </w:rPr>
      </w:pPr>
    </w:p>
    <w:p>
      <w:pPr>
        <w:ind w:left="1300" w:right="1339" w:firstLine="281"/>
        <w:spacing w:after="0" w:line="256" w:lineRule="auto"/>
        <w:rPr>
          <w:sz w:val="20"/>
          <w:szCs w:val="20"/>
          <w:color w:val="auto"/>
        </w:rPr>
      </w:pPr>
      <w:r>
        <w:rPr>
          <w:rFonts w:ascii="Times New Roman" w:cs="Times New Roman" w:eastAsia="Times New Roman" w:hAnsi="Times New Roman"/>
          <w:sz w:val="14"/>
          <w:szCs w:val="14"/>
          <w:color w:val="auto"/>
        </w:rPr>
        <w:t>Any limit on the maximum total principal amount for any series of the debt securities may be increased by resolution of our board of directors. We may sell the debt securities, including original issue discount securities, at a substantial discount below their stated principal amount. If there are any special United States federal income tax considerations applicable to debt securities we sell at an original issue discount, we will describe them in the prospectus supplement. In addition, we will describe in the prospectus supplement any special United States federal income tax considerations and any other special considerations for any debt securities we sell which are denominated in a currency or currency unit other than U.S. dollars.</w:t>
      </w:r>
    </w:p>
    <w:p>
      <w:pPr>
        <w:spacing w:after="0" w:line="90" w:lineRule="exact"/>
        <w:rPr>
          <w:sz w:val="20"/>
          <w:szCs w:val="20"/>
          <w:color w:val="auto"/>
        </w:rPr>
      </w:pPr>
    </w:p>
    <w:p>
      <w:pPr>
        <w:ind w:left="1300" w:right="1459" w:firstLine="281"/>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Form, Exchange and Transfer. </w:t>
      </w:r>
      <w:r>
        <w:rPr>
          <w:rFonts w:ascii="Times New Roman" w:cs="Times New Roman" w:eastAsia="Times New Roman" w:hAnsi="Times New Roman"/>
          <w:sz w:val="14"/>
          <w:szCs w:val="14"/>
          <w:color w:val="auto"/>
        </w:rPr>
        <w:t>We will issue the debt securities in registered form, without coupons.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Unless we inform you otherwise in the prospectus supplement, we will only issue debt securities in denominations of integral multiples of $1,000. (Section 302; Section 3.02)</w:t>
      </w:r>
    </w:p>
    <w:p>
      <w:pPr>
        <w:spacing w:after="0" w:line="83" w:lineRule="exact"/>
        <w:rPr>
          <w:sz w:val="20"/>
          <w:szCs w:val="20"/>
          <w:color w:val="auto"/>
        </w:rPr>
      </w:pPr>
    </w:p>
    <w:p>
      <w:pPr>
        <w:ind w:left="1300" w:right="1499" w:firstLine="281"/>
        <w:spacing w:after="0" w:line="267" w:lineRule="auto"/>
        <w:rPr>
          <w:sz w:val="20"/>
          <w:szCs w:val="20"/>
          <w:color w:val="auto"/>
        </w:rPr>
      </w:pPr>
      <w:r>
        <w:rPr>
          <w:rFonts w:ascii="Times New Roman" w:cs="Times New Roman" w:eastAsia="Times New Roman" w:hAnsi="Times New Roman"/>
          <w:sz w:val="14"/>
          <w:szCs w:val="14"/>
          <w:color w:val="auto"/>
        </w:rPr>
        <w:t>Holders generally will be able to exchange debt securities for other debt securities of the same series with the same total principal amount and the same terms but in different authorized denominations. (Section 305; Section 3.05)</w:t>
      </w: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5" w:name="page16"/>
    <w:bookmarkEnd w:id="15"/>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79" w:firstLine="281"/>
        <w:spacing w:after="0" w:line="255" w:lineRule="auto"/>
        <w:rPr>
          <w:sz w:val="20"/>
          <w:szCs w:val="20"/>
          <w:color w:val="auto"/>
        </w:rPr>
      </w:pPr>
      <w:r>
        <w:rPr>
          <w:rFonts w:ascii="Times New Roman" w:cs="Times New Roman" w:eastAsia="Times New Roman" w:hAnsi="Times New Roman"/>
          <w:sz w:val="14"/>
          <w:szCs w:val="14"/>
          <w:color w:val="auto"/>
        </w:rPr>
        <w:t>Holders may present debt securities for exchange or for registration of transfer at the office of the security registrar or at the office of any transfer agent we designate for that purpose. The security registrar or designated transfer agent will exchange or transfer the debt securities if it is satisfied with the documents of title and identity of the person making the request. We will not charge a service charge for any exchange or registration of transfer of debt securities. However, we may require payment of a sum sufficient to cover any tax or other governmental charge payable for the registration of transfer or exchange. Unless we inform you otherwise in the prospectus supplement, we will appoint the trustee as security registrar. We will identify any transfer agent in addition to the security registrar in the prospectus supplement. (Section 305; Section 3.05) At any time we may:</w:t>
      </w:r>
    </w:p>
    <w:p>
      <w:pPr>
        <w:spacing w:after="0" w:line="241" w:lineRule="exact"/>
        <w:rPr>
          <w:sz w:val="20"/>
          <w:szCs w:val="20"/>
          <w:color w:val="auto"/>
        </w:rPr>
      </w:pPr>
    </w:p>
    <w:p>
      <w:pPr>
        <w:ind w:left="1720" w:hanging="134"/>
        <w:spacing w:after="0"/>
        <w:tabs>
          <w:tab w:leader="none" w:pos="17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designate additional transfer agents,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rescind the designation of any transfer agent, or</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 a change in the office of any transfer agent.</w:t>
      </w:r>
    </w:p>
    <w:p>
      <w:pPr>
        <w:spacing w:after="0" w:line="123" w:lineRule="exact"/>
        <w:rPr>
          <w:sz w:val="20"/>
          <w:szCs w:val="20"/>
          <w:color w:val="auto"/>
        </w:rPr>
      </w:pPr>
    </w:p>
    <w:p>
      <w:pPr>
        <w:ind w:left="1300" w:right="1439" w:firstLine="281"/>
        <w:spacing w:after="0" w:line="283" w:lineRule="auto"/>
        <w:rPr>
          <w:sz w:val="20"/>
          <w:szCs w:val="20"/>
          <w:color w:val="auto"/>
        </w:rPr>
      </w:pPr>
      <w:r>
        <w:rPr>
          <w:rFonts w:ascii="Times New Roman" w:cs="Times New Roman" w:eastAsia="Times New Roman" w:hAnsi="Times New Roman"/>
          <w:sz w:val="14"/>
          <w:szCs w:val="14"/>
          <w:color w:val="auto"/>
        </w:rPr>
        <w:t>However, we are required to maintain a transfer agent in each place of payment for the debt securities at all times. (Sections 305 and 1002; Sections 3.05 and 10.02)</w:t>
      </w:r>
    </w:p>
    <w:p>
      <w:pPr>
        <w:spacing w:after="0" w:line="7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If we elect to redeem a series of debt securities, neither we nor the trustee will be required:</w:t>
      </w:r>
    </w:p>
    <w:p>
      <w:pPr>
        <w:spacing w:after="0" w:line="92" w:lineRule="exact"/>
        <w:rPr>
          <w:sz w:val="20"/>
          <w:szCs w:val="20"/>
          <w:color w:val="auto"/>
        </w:rPr>
      </w:pPr>
    </w:p>
    <w:p>
      <w:pPr>
        <w:ind w:left="1720" w:right="1359" w:hanging="134"/>
        <w:spacing w:after="0" w:line="267" w:lineRule="auto"/>
        <w:tabs>
          <w:tab w:leader="none" w:pos="17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issue, register the transfer of or exchange any debt securities of that series during the period beginning at the opening of business 15 days before the day we mail the notice of redemption for the series and ending at the close of business on the day the notice is mailed, or</w:t>
      </w:r>
    </w:p>
    <w:p>
      <w:pPr>
        <w:spacing w:after="0" w:line="62" w:lineRule="exact"/>
        <w:rPr>
          <w:rFonts w:ascii="Times New Roman" w:cs="Times New Roman" w:eastAsia="Times New Roman" w:hAnsi="Times New Roman"/>
          <w:sz w:val="14"/>
          <w:szCs w:val="14"/>
          <w:color w:val="auto"/>
        </w:rPr>
      </w:pPr>
    </w:p>
    <w:p>
      <w:pPr>
        <w:jc w:val="both"/>
        <w:ind w:left="1720" w:right="1499" w:hanging="134"/>
        <w:spacing w:after="0" w:line="267" w:lineRule="auto"/>
        <w:tabs>
          <w:tab w:leader="none" w:pos="17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register the transfer or exchange of any debt security of that series if we have selected the series for redemption, in whole or in part, except for the unredeemed portion of the series. (Section 305; Section 3.05)</w:t>
      </w:r>
    </w:p>
    <w:p>
      <w:pPr>
        <w:spacing w:after="0" w:line="71" w:lineRule="exact"/>
        <w:rPr>
          <w:sz w:val="20"/>
          <w:szCs w:val="20"/>
          <w:color w:val="auto"/>
        </w:rPr>
      </w:pPr>
    </w:p>
    <w:p>
      <w:pPr>
        <w:ind w:left="1300" w:right="1399" w:firstLine="281"/>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Book-entry. </w:t>
      </w:r>
      <w:r>
        <w:rPr>
          <w:rFonts w:ascii="Times New Roman" w:cs="Times New Roman" w:eastAsia="Times New Roman" w:hAnsi="Times New Roman"/>
          <w:sz w:val="14"/>
          <w:szCs w:val="14"/>
          <w:color w:val="auto"/>
        </w:rPr>
        <w:t>We may issue the debt securities of a series in the form of one or more global debt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securities that would be deposited with a depositary or its nominee identified in the prospectus supplement. We may issue global debt securities in either temporary or permanent form. We will describe in the prospectus supplement the terms of any depositary arrangement and the rights and limitations of owners of beneficial interests in any global debt security.</w:t>
      </w:r>
    </w:p>
    <w:p>
      <w:pPr>
        <w:spacing w:after="0" w:line="89" w:lineRule="exact"/>
        <w:rPr>
          <w:sz w:val="20"/>
          <w:szCs w:val="20"/>
          <w:color w:val="auto"/>
        </w:rPr>
      </w:pPr>
    </w:p>
    <w:p>
      <w:pPr>
        <w:ind w:left="1300" w:right="1339" w:firstLine="281"/>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Payment and Paying Agents. </w:t>
      </w:r>
      <w:r>
        <w:rPr>
          <w:rFonts w:ascii="Times New Roman" w:cs="Times New Roman" w:eastAsia="Times New Roman" w:hAnsi="Times New Roman"/>
          <w:sz w:val="14"/>
          <w:szCs w:val="14"/>
          <w:color w:val="auto"/>
        </w:rPr>
        <w:t>Under both indentures, we will pay interest on the debt securities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persons in whose names the debt securities are registered at the close of business on the regular record date for each interest payment. However, unless we inform you otherwise in the prospectus supplement, we will pay the interest payable on the debt securities at their stated maturity to the persons to whom we pay the principal amount of the debt securities. The initial payment of interest on any series of debt securities issued between a regular record date and the related interest payment date will be payable in the manner provided by the terms of the series, which we will describe in the prospectus supplement. (Section 307; Section 3.07)</w:t>
      </w:r>
    </w:p>
    <w:p>
      <w:pPr>
        <w:spacing w:after="0" w:line="94" w:lineRule="exact"/>
        <w:rPr>
          <w:sz w:val="20"/>
          <w:szCs w:val="20"/>
          <w:color w:val="auto"/>
        </w:rPr>
      </w:pPr>
    </w:p>
    <w:p>
      <w:pPr>
        <w:ind w:left="1300" w:right="1419" w:firstLine="281"/>
        <w:spacing w:after="0" w:line="267" w:lineRule="auto"/>
        <w:rPr>
          <w:sz w:val="20"/>
          <w:szCs w:val="20"/>
          <w:color w:val="auto"/>
        </w:rPr>
      </w:pPr>
      <w:r>
        <w:rPr>
          <w:rFonts w:ascii="Times New Roman" w:cs="Times New Roman" w:eastAsia="Times New Roman" w:hAnsi="Times New Roman"/>
          <w:sz w:val="14"/>
          <w:szCs w:val="14"/>
          <w:color w:val="auto"/>
        </w:rPr>
        <w:t>Unless we inform you otherwise in the prospectus supplement, we will pay principal, premium, if any, and interest on the debt securities at the offices of the paying agents we designate. However, except in the case of a global security, we may pay interest by:</w:t>
      </w:r>
    </w:p>
    <w:p>
      <w:pPr>
        <w:spacing w:after="0" w:line="52" w:lineRule="exact"/>
        <w:rPr>
          <w:sz w:val="20"/>
          <w:szCs w:val="20"/>
          <w:color w:val="auto"/>
        </w:rPr>
      </w:pPr>
    </w:p>
    <w:p>
      <w:pPr>
        <w:ind w:left="1720" w:right="1839" w:hanging="134"/>
        <w:spacing w:after="0" w:line="283" w:lineRule="auto"/>
        <w:tabs>
          <w:tab w:leader="none" w:pos="17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check mailed to the address of the person entitled to the payment as it appears in the security register, or</w:t>
      </w:r>
    </w:p>
    <w:p>
      <w:pPr>
        <w:spacing w:after="0" w:line="41" w:lineRule="exact"/>
        <w:rPr>
          <w:rFonts w:ascii="Times New Roman" w:cs="Times New Roman" w:eastAsia="Times New Roman" w:hAnsi="Times New Roman"/>
          <w:sz w:val="14"/>
          <w:szCs w:val="14"/>
          <w:color w:val="auto"/>
        </w:rPr>
      </w:pPr>
    </w:p>
    <w:p>
      <w:pPr>
        <w:ind w:left="1720" w:right="1359" w:hanging="134"/>
        <w:spacing w:after="0" w:line="283" w:lineRule="auto"/>
        <w:tabs>
          <w:tab w:leader="none" w:pos="17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wire transfer in immediately available funds to the place and account designated in writing by the person entitled to the payment as specified in the security register.</w:t>
      </w:r>
    </w:p>
    <w:p>
      <w:pPr>
        <w:spacing w:after="0" w:line="73" w:lineRule="exact"/>
        <w:rPr>
          <w:sz w:val="20"/>
          <w:szCs w:val="20"/>
          <w:color w:val="auto"/>
        </w:rPr>
      </w:pPr>
    </w:p>
    <w:p>
      <w:pPr>
        <w:ind w:left="1300" w:right="1339" w:firstLine="281"/>
        <w:spacing w:after="0" w:line="258" w:lineRule="auto"/>
        <w:rPr>
          <w:sz w:val="20"/>
          <w:szCs w:val="20"/>
          <w:color w:val="auto"/>
        </w:rPr>
      </w:pPr>
      <w:r>
        <w:rPr>
          <w:rFonts w:ascii="Times New Roman" w:cs="Times New Roman" w:eastAsia="Times New Roman" w:hAnsi="Times New Roman"/>
          <w:sz w:val="14"/>
          <w:szCs w:val="14"/>
          <w:color w:val="auto"/>
        </w:rPr>
        <w:t>We will designate the trustee as the sole paying agent for the debt securities unless we inform you otherwise in the prospectus supplement. If we initially designate any other paying agents for a series of debt securities, we will identify them in the prospectus supplement. At any time, we may designate additional paying agents or rescind the designation of any paying agents. However, we are required to maintain a paying agent in each place of payment for the debt securities at all times. (Sections 307 and 1002; Sections 3.07 and 10.02)</w:t>
      </w: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6" w:name="page17"/>
    <w:bookmarkEnd w:id="16"/>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479" w:firstLine="281"/>
        <w:spacing w:after="0" w:line="251" w:lineRule="auto"/>
        <w:rPr>
          <w:sz w:val="20"/>
          <w:szCs w:val="20"/>
          <w:color w:val="auto"/>
        </w:rPr>
      </w:pPr>
      <w:r>
        <w:rPr>
          <w:rFonts w:ascii="Times New Roman" w:cs="Times New Roman" w:eastAsia="Times New Roman" w:hAnsi="Times New Roman"/>
          <w:sz w:val="14"/>
          <w:szCs w:val="14"/>
          <w:color w:val="auto"/>
        </w:rPr>
        <w:t>Any money deposited with the trustee or any paying agent for the payment of principal, premium, if any, and interest on the debt securities that remains unclaimed for two years after the date the payments became due, may be repaid to us upon our request. After we have been repaid, holders entitled to those payments may only look to us for payment as our unsecured general creditors. The trustee and any paying agents will not be liable for those payments after we have been repaid. (Section 1003; Section 10.03)</w:t>
      </w:r>
    </w:p>
    <w:p>
      <w:pPr>
        <w:spacing w:after="0" w:line="82" w:lineRule="exact"/>
        <w:rPr>
          <w:sz w:val="20"/>
          <w:szCs w:val="20"/>
          <w:color w:val="auto"/>
        </w:rPr>
      </w:pPr>
    </w:p>
    <w:p>
      <w:pPr>
        <w:ind w:left="1300" w:right="1479" w:firstLine="281"/>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Restrictive Covenants. </w:t>
      </w:r>
      <w:r>
        <w:rPr>
          <w:rFonts w:ascii="Times New Roman" w:cs="Times New Roman" w:eastAsia="Times New Roman" w:hAnsi="Times New Roman"/>
          <w:sz w:val="14"/>
          <w:szCs w:val="14"/>
          <w:color w:val="auto"/>
        </w:rPr>
        <w:t>We will describe any restrictive covenants for any series of debt securities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prospectus supplement.</w:t>
      </w:r>
    </w:p>
    <w:p>
      <w:pPr>
        <w:spacing w:after="0" w:line="68" w:lineRule="exact"/>
        <w:rPr>
          <w:sz w:val="20"/>
          <w:szCs w:val="20"/>
          <w:color w:val="auto"/>
        </w:rPr>
      </w:pPr>
    </w:p>
    <w:p>
      <w:pPr>
        <w:ind w:left="1300" w:right="1419" w:firstLine="281"/>
        <w:spacing w:after="0" w:line="261" w:lineRule="auto"/>
        <w:rPr>
          <w:sz w:val="20"/>
          <w:szCs w:val="20"/>
          <w:color w:val="auto"/>
        </w:rPr>
      </w:pPr>
      <w:r>
        <w:rPr>
          <w:rFonts w:ascii="Times New Roman" w:cs="Times New Roman" w:eastAsia="Times New Roman" w:hAnsi="Times New Roman"/>
          <w:sz w:val="14"/>
          <w:szCs w:val="14"/>
          <w:i w:val="1"/>
          <w:iCs w:val="1"/>
          <w:color w:val="auto"/>
        </w:rPr>
        <w:t xml:space="preserve">Consolidation, Merger and Sale of Assets. </w:t>
      </w:r>
      <w:r>
        <w:rPr>
          <w:rFonts w:ascii="Times New Roman" w:cs="Times New Roman" w:eastAsia="Times New Roman" w:hAnsi="Times New Roman"/>
          <w:sz w:val="14"/>
          <w:szCs w:val="14"/>
          <w:color w:val="auto"/>
        </w:rPr>
        <w:t>Under both indentures, we may not consolidate with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merge into, or convey, transfer or lease our properties and assets substantially as an entirety to, any person, referred to as a “successor person” unless:</w:t>
      </w:r>
    </w:p>
    <w:p>
      <w:pPr>
        <w:spacing w:after="0" w:line="45" w:lineRule="exact"/>
        <w:rPr>
          <w:sz w:val="20"/>
          <w:szCs w:val="20"/>
          <w:color w:val="auto"/>
        </w:rPr>
      </w:pPr>
    </w:p>
    <w:p>
      <w:pPr>
        <w:ind w:left="1720" w:right="1359" w:hanging="134"/>
        <w:spacing w:after="0" w:line="283" w:lineRule="auto"/>
        <w:tabs>
          <w:tab w:leader="none" w:pos="17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successor person is a corporation, partnership, trust or other entity organized and validly existing under the laws of the United States of America or any state thereof or the District of Columbia,</w:t>
      </w:r>
    </w:p>
    <w:p>
      <w:pPr>
        <w:spacing w:after="0" w:line="30" w:lineRule="exact"/>
        <w:rPr>
          <w:rFonts w:ascii="Times New Roman" w:cs="Times New Roman" w:eastAsia="Times New Roman" w:hAnsi="Times New Roman"/>
          <w:sz w:val="14"/>
          <w:szCs w:val="14"/>
          <w:color w:val="auto"/>
        </w:rPr>
      </w:pPr>
    </w:p>
    <w:p>
      <w:pPr>
        <w:ind w:left="1720" w:right="1559" w:hanging="134"/>
        <w:spacing w:after="0" w:line="283" w:lineRule="auto"/>
        <w:tabs>
          <w:tab w:leader="none" w:pos="17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successor person expressly assumes our obligations with respect to the debt securities and the applicable indenture,</w:t>
      </w:r>
    </w:p>
    <w:p>
      <w:pPr>
        <w:spacing w:after="0" w:line="30" w:lineRule="exact"/>
        <w:rPr>
          <w:rFonts w:ascii="Times New Roman" w:cs="Times New Roman" w:eastAsia="Times New Roman" w:hAnsi="Times New Roman"/>
          <w:sz w:val="14"/>
          <w:szCs w:val="14"/>
          <w:color w:val="auto"/>
        </w:rPr>
      </w:pPr>
    </w:p>
    <w:p>
      <w:pPr>
        <w:ind w:left="1720" w:right="1519" w:hanging="134"/>
        <w:spacing w:after="0" w:line="276" w:lineRule="auto"/>
        <w:tabs>
          <w:tab w:leader="none" w:pos="17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the transaction, no event of default, and no event which, after notice or lapse of time or both, would become an event of default, would occur and be continuing, and</w:t>
      </w:r>
    </w:p>
    <w:p>
      <w:pPr>
        <w:spacing w:after="0" w:line="208" w:lineRule="exact"/>
        <w:rPr>
          <w:rFonts w:ascii="Times New Roman" w:cs="Times New Roman" w:eastAsia="Times New Roman" w:hAnsi="Times New Roman"/>
          <w:sz w:val="14"/>
          <w:szCs w:val="14"/>
          <w:color w:val="auto"/>
        </w:rPr>
      </w:pPr>
    </w:p>
    <w:p>
      <w:pPr>
        <w:ind w:left="1720" w:right="1339" w:hanging="134"/>
        <w:spacing w:after="0" w:line="283" w:lineRule="auto"/>
        <w:tabs>
          <w:tab w:leader="none" w:pos="17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delivered to the trustee the certificates and opinions required under the applicable indenture. (Section 801; Section 8.01)</w:t>
      </w:r>
    </w:p>
    <w:p>
      <w:pPr>
        <w:spacing w:after="0" w:line="62" w:lineRule="exact"/>
        <w:rPr>
          <w:sz w:val="20"/>
          <w:szCs w:val="20"/>
          <w:color w:val="auto"/>
        </w:rPr>
      </w:pPr>
    </w:p>
    <w:p>
      <w:pPr>
        <w:ind w:left="1300" w:right="1539" w:firstLine="281"/>
        <w:spacing w:after="0" w:line="283" w:lineRule="auto"/>
        <w:rPr>
          <w:sz w:val="20"/>
          <w:szCs w:val="20"/>
          <w:color w:val="auto"/>
        </w:rPr>
      </w:pPr>
      <w:r>
        <w:rPr>
          <w:rFonts w:ascii="Times New Roman" w:cs="Times New Roman" w:eastAsia="Times New Roman" w:hAnsi="Times New Roman"/>
          <w:sz w:val="14"/>
          <w:szCs w:val="14"/>
          <w:color w:val="auto"/>
        </w:rPr>
        <w:t>As used in the indenture, the term “corporation” means a corporation, association, company, limited liability company, joint-stock company or business trust.</w:t>
      </w:r>
    </w:p>
    <w:p>
      <w:pPr>
        <w:spacing w:after="0" w:line="60" w:lineRule="exact"/>
        <w:rPr>
          <w:sz w:val="20"/>
          <w:szCs w:val="20"/>
          <w:color w:val="auto"/>
        </w:rPr>
      </w:pPr>
    </w:p>
    <w:p>
      <w:pPr>
        <w:ind w:left="1300" w:right="1879" w:firstLine="281"/>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Events of Default. </w:t>
      </w:r>
      <w:r>
        <w:rPr>
          <w:rFonts w:ascii="Times New Roman" w:cs="Times New Roman" w:eastAsia="Times New Roman" w:hAnsi="Times New Roman"/>
          <w:sz w:val="14"/>
          <w:szCs w:val="14"/>
          <w:color w:val="auto"/>
        </w:rPr>
        <w:t>Unless we inform you otherwise in the prospectus supplement, each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following will be an event of default under each indenture for a series of debt securities:</w:t>
      </w:r>
    </w:p>
    <w:p>
      <w:pPr>
        <w:spacing w:after="0" w:line="38" w:lineRule="exact"/>
        <w:rPr>
          <w:sz w:val="20"/>
          <w:szCs w:val="20"/>
          <w:color w:val="auto"/>
        </w:rPr>
      </w:pPr>
    </w:p>
    <w:p>
      <w:pPr>
        <w:ind w:left="1720" w:right="1319" w:hanging="134"/>
        <w:spacing w:after="0" w:line="283" w:lineRule="auto"/>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pay principal or premium, if any, on that series when due, including at maturity or upon redemption or acceleration,</w:t>
      </w:r>
    </w:p>
    <w:p>
      <w:pPr>
        <w:spacing w:after="0" w:line="30"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pay any interest on that series for 30 days after the interest becomes due,</w:t>
      </w:r>
    </w:p>
    <w:p>
      <w:pPr>
        <w:spacing w:after="0" w:line="8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deposit any sinking fund payment, when due, relating to that series,</w:t>
      </w:r>
    </w:p>
    <w:p>
      <w:pPr>
        <w:spacing w:after="0" w:line="81" w:lineRule="exact"/>
        <w:rPr>
          <w:rFonts w:ascii="Times New Roman" w:cs="Times New Roman" w:eastAsia="Times New Roman" w:hAnsi="Times New Roman"/>
          <w:sz w:val="14"/>
          <w:szCs w:val="14"/>
          <w:color w:val="auto"/>
        </w:rPr>
      </w:pPr>
    </w:p>
    <w:p>
      <w:pPr>
        <w:ind w:left="1720" w:right="1339" w:hanging="134"/>
        <w:spacing w:after="0" w:line="259" w:lineRule="auto"/>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perform, or our breach in any material respect of, any other covenant or warranty in the applicable indenture, other than a covenant or warranty included in such indenture solely for the benefit of another series of debt securities, for 90 days after either the trustee or holders of at least 25% in principal amount of the outstanding debt securities of that series have given us written notice of the breach in the manner required by the applicable indenture,</w:t>
      </w:r>
    </w:p>
    <w:p>
      <w:pPr>
        <w:spacing w:after="0" w:line="46"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specified events involving our bankruptcy, insolvency or reorganization, and</w:t>
      </w:r>
    </w:p>
    <w:p>
      <w:pPr>
        <w:spacing w:after="0" w:line="8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we may provide for that series,</w:t>
      </w:r>
    </w:p>
    <w:p>
      <w:pPr>
        <w:spacing w:after="0" w:line="123" w:lineRule="exact"/>
        <w:rPr>
          <w:sz w:val="20"/>
          <w:szCs w:val="20"/>
          <w:color w:val="auto"/>
        </w:rPr>
      </w:pPr>
    </w:p>
    <w:p>
      <w:pPr>
        <w:ind w:left="1300" w:right="1419"/>
        <w:spacing w:after="0" w:line="251" w:lineRule="auto"/>
        <w:rPr>
          <w:sz w:val="20"/>
          <w:szCs w:val="20"/>
          <w:color w:val="auto"/>
        </w:rPr>
      </w:pPr>
      <w:r>
        <w:rPr>
          <w:rFonts w:ascii="Times New Roman" w:cs="Times New Roman" w:eastAsia="Times New Roman" w:hAnsi="Times New Roman"/>
          <w:sz w:val="14"/>
          <w:szCs w:val="14"/>
          <w:color w:val="auto"/>
        </w:rPr>
        <w:t>provided, however, that no event described in the fourth bullet point above will be an event of default until an officer of the trustee, assigned to and working in the trustee’s corporate trust department, has actual knowledge of the event (in the case of the senior debt securities only) or until the trustee receives written notice of the event at its corporate trust office. (Section 501; Section 5.01)</w:t>
      </w:r>
    </w:p>
    <w:p>
      <w:pPr>
        <w:spacing w:after="0" w:line="84" w:lineRule="exact"/>
        <w:rPr>
          <w:sz w:val="20"/>
          <w:szCs w:val="20"/>
          <w:color w:val="auto"/>
        </w:rPr>
      </w:pPr>
    </w:p>
    <w:p>
      <w:pPr>
        <w:ind w:left="1300" w:right="1419" w:firstLine="281"/>
        <w:spacing w:after="0" w:line="244" w:lineRule="auto"/>
        <w:rPr>
          <w:sz w:val="20"/>
          <w:szCs w:val="20"/>
          <w:color w:val="auto"/>
        </w:rPr>
      </w:pPr>
      <w:r>
        <w:rPr>
          <w:rFonts w:ascii="Times New Roman" w:cs="Times New Roman" w:eastAsia="Times New Roman" w:hAnsi="Times New Roman"/>
          <w:sz w:val="14"/>
          <w:szCs w:val="14"/>
          <w:color w:val="auto"/>
        </w:rPr>
        <w:t>If an event of default for a series of debt securities occurs and is continuing, either the trustee or the holders of at least 25% in principal amount of the outstanding debt securities of that series may declare the principal amount of all the debt securities of that series due and immediately payable. To declare the principal amount of that series of debt securities due and immediately payable, the trustee or the holders must deliver a notice that satisfies the requirements of the applicable indenture. Upon a declaration by the trustee or the holders, we will be obligated to pay the principal amount of the series of debt securities.</w:t>
      </w:r>
    </w:p>
    <w:p>
      <w:pPr>
        <w:spacing w:after="0" w:line="91" w:lineRule="exact"/>
        <w:rPr>
          <w:sz w:val="20"/>
          <w:szCs w:val="20"/>
          <w:color w:val="auto"/>
        </w:rPr>
      </w:pPr>
    </w:p>
    <w:p>
      <w:pPr>
        <w:ind w:left="1300" w:right="1339" w:firstLine="281"/>
        <w:spacing w:after="0" w:line="266" w:lineRule="auto"/>
        <w:rPr>
          <w:sz w:val="20"/>
          <w:szCs w:val="20"/>
          <w:color w:val="auto"/>
        </w:rPr>
      </w:pPr>
      <w:r>
        <w:rPr>
          <w:rFonts w:ascii="Times New Roman" w:cs="Times New Roman" w:eastAsia="Times New Roman" w:hAnsi="Times New Roman"/>
          <w:sz w:val="14"/>
          <w:szCs w:val="14"/>
          <w:color w:val="auto"/>
        </w:rPr>
        <w:t>The right described in the preceding paragraph does not apply if an event of default described in the fifth bullet point above occurs, or an event of default described in the sixth bullet point above that applies to all</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7" w:name="page18"/>
    <w:bookmarkEnd w:id="17"/>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19"/>
        <w:spacing w:after="0" w:line="254" w:lineRule="auto"/>
        <w:rPr>
          <w:sz w:val="20"/>
          <w:szCs w:val="20"/>
          <w:color w:val="auto"/>
        </w:rPr>
      </w:pPr>
      <w:r>
        <w:rPr>
          <w:rFonts w:ascii="Times New Roman" w:cs="Times New Roman" w:eastAsia="Times New Roman" w:hAnsi="Times New Roman"/>
          <w:sz w:val="14"/>
          <w:szCs w:val="14"/>
          <w:color w:val="auto"/>
        </w:rPr>
        <w:t>outstanding debt securities under the applicable indenture occurs. If one of the events of default described in the fifth bullet point above occurs with respect to the debt securities of any series, the debt securities of that series then outstanding under the applicable indenture will be due and payable immediately. If any of the events of default described in the sixth bullet point above that apply to all outstanding debt securities under an indenture occurs and is continuing, either the trustee or holders of at least 25% in principal amount of all of the debt securities then outstanding under the applicable indenture, treated as one class, may declare the principal amount of all of the debt securities then outstanding under such indenture to be due and payable immediately. To declare the principal amount of the debt securities due and immediately payable, the trustee or the holders must deliver a notice that satisfies the requirements of the applicable indenture. Upon a declaration by the trustee or the holders, we will be obligated to pay the principal amount of the debt securities.</w:t>
      </w:r>
    </w:p>
    <w:p>
      <w:pPr>
        <w:spacing w:after="0" w:line="264" w:lineRule="exact"/>
        <w:rPr>
          <w:sz w:val="20"/>
          <w:szCs w:val="20"/>
          <w:color w:val="auto"/>
        </w:rPr>
      </w:pPr>
    </w:p>
    <w:p>
      <w:pPr>
        <w:ind w:left="1300" w:right="1339" w:firstLine="281"/>
        <w:spacing w:after="0" w:line="261" w:lineRule="auto"/>
        <w:rPr>
          <w:sz w:val="20"/>
          <w:szCs w:val="20"/>
          <w:color w:val="auto"/>
        </w:rPr>
      </w:pPr>
      <w:r>
        <w:rPr>
          <w:rFonts w:ascii="Times New Roman" w:cs="Times New Roman" w:eastAsia="Times New Roman" w:hAnsi="Times New Roman"/>
          <w:sz w:val="14"/>
          <w:szCs w:val="14"/>
          <w:color w:val="auto"/>
        </w:rPr>
        <w:t>However, after any declaration of acceleration of a series of debt securities, but before a judgment or decree for payment has been obtained, the event of default giving rise to the declaration of acceleration will, without further act, be deemed to have been waived, and such declaration and its consequences will, without further act, be deemed to have been rescinded and annulled if:</w:t>
      </w:r>
    </w:p>
    <w:p>
      <w:pPr>
        <w:spacing w:after="0" w:line="57" w:lineRule="exact"/>
        <w:rPr>
          <w:sz w:val="20"/>
          <w:szCs w:val="20"/>
          <w:color w:val="auto"/>
        </w:rPr>
      </w:pPr>
    </w:p>
    <w:p>
      <w:pPr>
        <w:ind w:left="1720" w:hanging="134"/>
        <w:spacing w:after="0"/>
        <w:tabs>
          <w:tab w:leader="none" w:pos="17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paid or deposited with the trustee a sum sufficient to pay:</w:t>
      </w:r>
    </w:p>
    <w:p>
      <w:pPr>
        <w:spacing w:after="0" w:line="102" w:lineRule="exact"/>
        <w:rPr>
          <w:rFonts w:ascii="Times New Roman" w:cs="Times New Roman" w:eastAsia="Times New Roman" w:hAnsi="Times New Roman"/>
          <w:sz w:val="14"/>
          <w:szCs w:val="14"/>
          <w:color w:val="auto"/>
        </w:rPr>
      </w:pPr>
    </w:p>
    <w:p>
      <w:pPr>
        <w:ind w:left="2000" w:hanging="133"/>
        <w:spacing w:after="0"/>
        <w:tabs>
          <w:tab w:leader="none" w:pos="200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overdue interest,</w:t>
      </w:r>
    </w:p>
    <w:p>
      <w:pPr>
        <w:spacing w:after="0" w:line="102" w:lineRule="exact"/>
        <w:rPr>
          <w:rFonts w:ascii="Times New Roman" w:cs="Times New Roman" w:eastAsia="Times New Roman" w:hAnsi="Times New Roman"/>
          <w:sz w:val="14"/>
          <w:szCs w:val="14"/>
          <w:color w:val="auto"/>
        </w:rPr>
      </w:pPr>
    </w:p>
    <w:p>
      <w:pPr>
        <w:ind w:left="2000" w:right="1379" w:hanging="133"/>
        <w:spacing w:after="0" w:line="283" w:lineRule="auto"/>
        <w:tabs>
          <w:tab w:leader="none" w:pos="200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and premium, if any, due otherwise than by the declaration of acceleration and any interest on such amounts,</w:t>
      </w:r>
    </w:p>
    <w:p>
      <w:pPr>
        <w:spacing w:after="0" w:line="51" w:lineRule="exact"/>
        <w:rPr>
          <w:rFonts w:ascii="Times New Roman" w:cs="Times New Roman" w:eastAsia="Times New Roman" w:hAnsi="Times New Roman"/>
          <w:sz w:val="14"/>
          <w:szCs w:val="14"/>
          <w:color w:val="auto"/>
        </w:rPr>
      </w:pPr>
    </w:p>
    <w:p>
      <w:pPr>
        <w:ind w:left="2000" w:hanging="133"/>
        <w:spacing w:after="0"/>
        <w:tabs>
          <w:tab w:leader="none" w:pos="200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interest on overdue interest, to the extent legally permitted, and</w:t>
      </w:r>
    </w:p>
    <w:p>
      <w:pPr>
        <w:spacing w:after="0" w:line="102" w:lineRule="exact"/>
        <w:rPr>
          <w:rFonts w:ascii="Times New Roman" w:cs="Times New Roman" w:eastAsia="Times New Roman" w:hAnsi="Times New Roman"/>
          <w:sz w:val="14"/>
          <w:szCs w:val="14"/>
          <w:color w:val="auto"/>
        </w:rPr>
      </w:pPr>
    </w:p>
    <w:p>
      <w:pPr>
        <w:ind w:left="2000" w:hanging="133"/>
        <w:spacing w:after="0"/>
        <w:tabs>
          <w:tab w:leader="none" w:pos="200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amounts due to the trustee under the applicable indenture, and</w:t>
      </w:r>
    </w:p>
    <w:p>
      <w:pPr>
        <w:spacing w:after="0" w:line="112" w:lineRule="exact"/>
        <w:rPr>
          <w:rFonts w:ascii="Times New Roman" w:cs="Times New Roman" w:eastAsia="Times New Roman" w:hAnsi="Times New Roman"/>
          <w:sz w:val="14"/>
          <w:szCs w:val="14"/>
          <w:color w:val="auto"/>
        </w:rPr>
      </w:pPr>
    </w:p>
    <w:p>
      <w:pPr>
        <w:jc w:val="both"/>
        <w:ind w:left="1720" w:right="1519" w:hanging="134"/>
        <w:spacing w:after="0" w:line="267" w:lineRule="auto"/>
        <w:tabs>
          <w:tab w:leader="none" w:pos="17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events of default with respect to that series of debt securities, other than the nonpayment of the principal which became due solely by virtue of the declaration of acceleration, have been cured or waived. (Section 502; Section 5.02)</w:t>
      </w:r>
    </w:p>
    <w:p>
      <w:pPr>
        <w:spacing w:after="0" w:line="73" w:lineRule="exact"/>
        <w:rPr>
          <w:sz w:val="20"/>
          <w:szCs w:val="20"/>
          <w:color w:val="auto"/>
        </w:rPr>
      </w:pPr>
    </w:p>
    <w:p>
      <w:pPr>
        <w:ind w:left="1300" w:right="1379" w:firstLine="281"/>
        <w:spacing w:after="0" w:line="257" w:lineRule="auto"/>
        <w:rPr>
          <w:sz w:val="20"/>
          <w:szCs w:val="20"/>
          <w:color w:val="auto"/>
        </w:rPr>
      </w:pPr>
      <w:r>
        <w:rPr>
          <w:rFonts w:ascii="Times New Roman" w:cs="Times New Roman" w:eastAsia="Times New Roman" w:hAnsi="Times New Roman"/>
          <w:sz w:val="14"/>
          <w:szCs w:val="14"/>
          <w:color w:val="auto"/>
        </w:rPr>
        <w:t>If an event of default occurs and is continuing, the trustee will generally have no obligation to exercise any of its rights or powers under the applicable indenture at the request or direction of any of the holders, unless the holders offer reasonable indemnity to the trustee. (Section 603; Section 6.03) The holders of a majority in principal amount of the outstanding debt securities of any series will generally have the right to direct the time, method and place of conducting any proceeding for any remedy available to the trustee or exercising any trust or power conferred on the trustee for the debt securities of that series, provided that:</w:t>
      </w:r>
    </w:p>
    <w:p>
      <w:pPr>
        <w:spacing w:after="0" w:line="60" w:lineRule="exact"/>
        <w:rPr>
          <w:sz w:val="20"/>
          <w:szCs w:val="20"/>
          <w:color w:val="auto"/>
        </w:rPr>
      </w:pPr>
    </w:p>
    <w:p>
      <w:pPr>
        <w:ind w:left="1720" w:hanging="134"/>
        <w:spacing w:after="0"/>
        <w:tabs>
          <w:tab w:leader="none" w:pos="17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direction is not in conflict with any law or the applicable indenture,</w:t>
      </w:r>
    </w:p>
    <w:p>
      <w:pPr>
        <w:spacing w:after="0" w:line="102" w:lineRule="exact"/>
        <w:rPr>
          <w:rFonts w:ascii="Times New Roman" w:cs="Times New Roman" w:eastAsia="Times New Roman" w:hAnsi="Times New Roman"/>
          <w:sz w:val="14"/>
          <w:szCs w:val="14"/>
          <w:color w:val="auto"/>
        </w:rPr>
      </w:pPr>
    </w:p>
    <w:p>
      <w:pPr>
        <w:ind w:left="1720" w:right="1559" w:hanging="134"/>
        <w:spacing w:after="0" w:line="261" w:lineRule="auto"/>
        <w:tabs>
          <w:tab w:leader="none" w:pos="17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take any other action it deems proper which is not inconsistent with the direction, and</w:t>
      </w:r>
    </w:p>
    <w:p>
      <w:pPr>
        <w:spacing w:after="0" w:line="266" w:lineRule="exact"/>
        <w:rPr>
          <w:rFonts w:ascii="Times New Roman" w:cs="Times New Roman" w:eastAsia="Times New Roman" w:hAnsi="Times New Roman"/>
          <w:sz w:val="14"/>
          <w:szCs w:val="14"/>
          <w:color w:val="auto"/>
        </w:rPr>
      </w:pPr>
    </w:p>
    <w:p>
      <w:pPr>
        <w:ind w:left="1720" w:right="1339" w:hanging="134"/>
        <w:spacing w:after="0" w:line="267" w:lineRule="auto"/>
        <w:tabs>
          <w:tab w:leader="none" w:pos="17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will have the right to decline to follow the direction if an officer of the trustee determines, in good faith, that the proceeding would involve the trustee in personal liability or would otherwise be contrary to applicable law. (Section 512; Section 5.12)</w:t>
      </w:r>
    </w:p>
    <w:p>
      <w:pPr>
        <w:spacing w:after="0" w:line="7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A holder of a debt security of any series may only pursue a remedy under the applicable indenture if:</w:t>
      </w:r>
    </w:p>
    <w:p>
      <w:pPr>
        <w:spacing w:after="0" w:line="92" w:lineRule="exact"/>
        <w:rPr>
          <w:sz w:val="20"/>
          <w:szCs w:val="20"/>
          <w:color w:val="auto"/>
        </w:rPr>
      </w:pPr>
    </w:p>
    <w:p>
      <w:pPr>
        <w:ind w:left="1720" w:hanging="134"/>
        <w:spacing w:after="0"/>
        <w:tabs>
          <w:tab w:leader="none" w:pos="17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gives the trustee written notice of a continuing event of default for that series,</w:t>
      </w:r>
    </w:p>
    <w:p>
      <w:pPr>
        <w:spacing w:after="0" w:line="112" w:lineRule="exact"/>
        <w:rPr>
          <w:rFonts w:ascii="Times New Roman" w:cs="Times New Roman" w:eastAsia="Times New Roman" w:hAnsi="Times New Roman"/>
          <w:sz w:val="14"/>
          <w:szCs w:val="14"/>
          <w:color w:val="auto"/>
        </w:rPr>
      </w:pPr>
    </w:p>
    <w:p>
      <w:pPr>
        <w:ind w:left="1720" w:right="1519" w:hanging="134"/>
        <w:spacing w:after="0" w:line="283" w:lineRule="auto"/>
        <w:tabs>
          <w:tab w:leader="none" w:pos="17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of at least 25% in principal amount of the outstanding debt securities of that series make a written request to the trustee to institute proceedings with respect to the event of default,</w:t>
      </w:r>
    </w:p>
    <w:p>
      <w:pPr>
        <w:spacing w:after="0" w:line="5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offer reasonable indemnity to the trustee,</w:t>
      </w:r>
    </w:p>
    <w:p>
      <w:pPr>
        <w:spacing w:after="0" w:line="102" w:lineRule="exact"/>
        <w:rPr>
          <w:rFonts w:ascii="Times New Roman" w:cs="Times New Roman" w:eastAsia="Times New Roman" w:hAnsi="Times New Roman"/>
          <w:sz w:val="14"/>
          <w:szCs w:val="14"/>
          <w:color w:val="auto"/>
        </w:rPr>
      </w:pPr>
    </w:p>
    <w:p>
      <w:pPr>
        <w:ind w:left="1720" w:right="1419" w:hanging="134"/>
        <w:spacing w:after="0" w:line="283" w:lineRule="auto"/>
        <w:tabs>
          <w:tab w:leader="none" w:pos="17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fails to pursue that remedy within 60 days after receipt of the notice, request and offer of indemnity, and</w:t>
      </w:r>
    </w:p>
    <w:p>
      <w:pPr>
        <w:spacing w:after="0" w:line="51" w:lineRule="exact"/>
        <w:rPr>
          <w:rFonts w:ascii="Times New Roman" w:cs="Times New Roman" w:eastAsia="Times New Roman" w:hAnsi="Times New Roman"/>
          <w:sz w:val="14"/>
          <w:szCs w:val="14"/>
          <w:color w:val="auto"/>
        </w:rPr>
      </w:pPr>
    </w:p>
    <w:p>
      <w:pPr>
        <w:ind w:left="1720" w:right="1399" w:hanging="134"/>
        <w:spacing w:after="0" w:line="283" w:lineRule="auto"/>
        <w:tabs>
          <w:tab w:leader="none" w:pos="17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that 60-day period, the holders of a majority in principal amount of the debt securities of that series do not give the trustee a direction inconsistent with the request. (Section 507; Section 5.07)</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201930</wp:posOffset>
            </wp:positionV>
            <wp:extent cx="533082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8" w:name="page19"/>
    <w:bookmarkEnd w:id="18"/>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439" w:firstLine="281"/>
        <w:spacing w:after="0" w:line="259" w:lineRule="auto"/>
        <w:rPr>
          <w:sz w:val="20"/>
          <w:szCs w:val="20"/>
          <w:color w:val="auto"/>
        </w:rPr>
      </w:pPr>
      <w:r>
        <w:rPr>
          <w:rFonts w:ascii="Times New Roman" w:cs="Times New Roman" w:eastAsia="Times New Roman" w:hAnsi="Times New Roman"/>
          <w:sz w:val="14"/>
          <w:szCs w:val="14"/>
          <w:color w:val="auto"/>
        </w:rPr>
        <w:t>However, these limitations do not apply to a suit by a holder of a debt security demanding payment of the principal, premium, if any, or interest on a debt security on or after the date the payment is due. (Section 508; Section 5.08)</w:t>
      </w:r>
    </w:p>
    <w:p>
      <w:pPr>
        <w:spacing w:after="0" w:line="79" w:lineRule="exact"/>
        <w:rPr>
          <w:sz w:val="20"/>
          <w:szCs w:val="20"/>
          <w:color w:val="auto"/>
        </w:rPr>
      </w:pPr>
    </w:p>
    <w:p>
      <w:pPr>
        <w:jc w:val="both"/>
        <w:ind w:left="1300" w:right="1379" w:firstLine="281"/>
        <w:spacing w:after="0" w:line="259" w:lineRule="auto"/>
        <w:rPr>
          <w:sz w:val="20"/>
          <w:szCs w:val="20"/>
          <w:color w:val="auto"/>
        </w:rPr>
      </w:pPr>
      <w:r>
        <w:rPr>
          <w:rFonts w:ascii="Times New Roman" w:cs="Times New Roman" w:eastAsia="Times New Roman" w:hAnsi="Times New Roman"/>
          <w:sz w:val="14"/>
          <w:szCs w:val="14"/>
          <w:color w:val="auto"/>
        </w:rPr>
        <w:t>We will be required to furnish to the trustee annually a statement by some of our officers regarding our performance or observance of any of the terms of the applicable indenture and specifying all of our known defaults, if any. (Section 1004; Section 10.04)</w:t>
      </w:r>
    </w:p>
    <w:p>
      <w:pPr>
        <w:spacing w:after="0" w:line="77" w:lineRule="exact"/>
        <w:rPr>
          <w:sz w:val="20"/>
          <w:szCs w:val="20"/>
          <w:color w:val="auto"/>
        </w:rPr>
      </w:pPr>
    </w:p>
    <w:p>
      <w:pPr>
        <w:ind w:left="1300" w:right="1439" w:firstLine="281"/>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Modification and Waiver. </w:t>
      </w:r>
      <w:r>
        <w:rPr>
          <w:rFonts w:ascii="Times New Roman" w:cs="Times New Roman" w:eastAsia="Times New Roman" w:hAnsi="Times New Roman"/>
          <w:sz w:val="14"/>
          <w:szCs w:val="14"/>
          <w:color w:val="auto"/>
        </w:rPr>
        <w:t>We may enter into one or more supplemental indentures to either indenture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the trustee without the consent of the holders of the debt securities to:</w:t>
      </w:r>
    </w:p>
    <w:p>
      <w:pPr>
        <w:spacing w:after="0" w:line="38" w:lineRule="exact"/>
        <w:rPr>
          <w:sz w:val="20"/>
          <w:szCs w:val="20"/>
          <w:color w:val="auto"/>
        </w:rPr>
      </w:pPr>
    </w:p>
    <w:p>
      <w:pPr>
        <w:ind w:left="1720" w:right="1459" w:hanging="134"/>
        <w:spacing w:after="0" w:line="283" w:lineRule="auto"/>
        <w:tabs>
          <w:tab w:leader="none" w:pos="17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evidence the succession of another corporation to us, or successive successions and the assumption of our covenants, agreements and obligations by a successor,</w:t>
      </w:r>
    </w:p>
    <w:p>
      <w:pPr>
        <w:spacing w:after="0" w:line="41" w:lineRule="exact"/>
        <w:rPr>
          <w:rFonts w:ascii="Times New Roman" w:cs="Times New Roman" w:eastAsia="Times New Roman" w:hAnsi="Times New Roman"/>
          <w:sz w:val="14"/>
          <w:szCs w:val="14"/>
          <w:color w:val="auto"/>
        </w:rPr>
      </w:pPr>
    </w:p>
    <w:p>
      <w:pPr>
        <w:ind w:left="1720" w:right="1359" w:hanging="134"/>
        <w:spacing w:after="0" w:line="283" w:lineRule="auto"/>
        <w:tabs>
          <w:tab w:leader="none" w:pos="17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to our covenants for the benefit of the holders of any series of debt securities or to surrender any of our rights or powers,</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events of default for any series of debt securities,</w:t>
      </w:r>
    </w:p>
    <w:p>
      <w:pPr>
        <w:spacing w:after="0" w:line="91" w:lineRule="exact"/>
        <w:rPr>
          <w:rFonts w:ascii="Times New Roman" w:cs="Times New Roman" w:eastAsia="Times New Roman" w:hAnsi="Times New Roman"/>
          <w:sz w:val="14"/>
          <w:szCs w:val="14"/>
          <w:color w:val="auto"/>
        </w:rPr>
      </w:pPr>
    </w:p>
    <w:p>
      <w:pPr>
        <w:ind w:left="1720" w:right="1719" w:hanging="134"/>
        <w:spacing w:after="0" w:line="283" w:lineRule="auto"/>
        <w:tabs>
          <w:tab w:leader="none" w:pos="17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to or change any provision of the applicable indenture to the extent necessary to issue debt securities in bearer form,</w:t>
      </w:r>
    </w:p>
    <w:p>
      <w:pPr>
        <w:spacing w:after="0" w:line="41" w:lineRule="exact"/>
        <w:rPr>
          <w:rFonts w:ascii="Times New Roman" w:cs="Times New Roman" w:eastAsia="Times New Roman" w:hAnsi="Times New Roman"/>
          <w:sz w:val="14"/>
          <w:szCs w:val="14"/>
          <w:color w:val="auto"/>
        </w:rPr>
      </w:pPr>
    </w:p>
    <w:p>
      <w:pPr>
        <w:ind w:left="1720" w:right="1319" w:hanging="134"/>
        <w:spacing w:after="0" w:line="259" w:lineRule="auto"/>
        <w:tabs>
          <w:tab w:leader="none" w:pos="17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to, change or eliminate any provision of the applicable indenture applying to one or more series of debt securities, including, for the junior subordinated indenture, the subordination provisions, provided that if such action adversely affects the interests of any holder of any series of debt securities issued thereunder, the addition, change or elimination will become effective with respect to that series only when no security of that series remains outstanding,</w:t>
      </w:r>
    </w:p>
    <w:p>
      <w:pPr>
        <w:spacing w:after="0" w:line="57" w:lineRule="exact"/>
        <w:rPr>
          <w:rFonts w:ascii="Times New Roman" w:cs="Times New Roman" w:eastAsia="Times New Roman" w:hAnsi="Times New Roman"/>
          <w:sz w:val="14"/>
          <w:szCs w:val="14"/>
          <w:color w:val="auto"/>
        </w:rPr>
      </w:pPr>
    </w:p>
    <w:p>
      <w:pPr>
        <w:ind w:left="1720" w:right="1499" w:hanging="134"/>
        <w:spacing w:after="0" w:line="283" w:lineRule="auto"/>
        <w:tabs>
          <w:tab w:leader="none" w:pos="17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convey, transfer, assign, mortgage or pledge any property to or with the trustee or to surrender any right or power conferred upon us by the applicable indenture,</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the form or terms of any series of debt securities,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uncertificated securities in addition to certificated securities,</w:t>
      </w:r>
    </w:p>
    <w:p>
      <w:pPr>
        <w:spacing w:after="0" w:line="91" w:lineRule="exact"/>
        <w:rPr>
          <w:rFonts w:ascii="Times New Roman" w:cs="Times New Roman" w:eastAsia="Times New Roman" w:hAnsi="Times New Roman"/>
          <w:sz w:val="14"/>
          <w:szCs w:val="14"/>
          <w:color w:val="auto"/>
        </w:rPr>
      </w:pPr>
    </w:p>
    <w:p>
      <w:pPr>
        <w:ind w:left="1720" w:right="1739" w:hanging="134"/>
        <w:spacing w:after="0" w:line="283" w:lineRule="auto"/>
        <w:tabs>
          <w:tab w:leader="none" w:pos="17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evidence and provide for successor trustees or to add to or change any provisions to the extent necessary to appoint a separate trustee or trustees for a specific series of debt securities,</w:t>
      </w:r>
    </w:p>
    <w:p>
      <w:pPr>
        <w:spacing w:after="0" w:line="41" w:lineRule="exact"/>
        <w:rPr>
          <w:rFonts w:ascii="Times New Roman" w:cs="Times New Roman" w:eastAsia="Times New Roman" w:hAnsi="Times New Roman"/>
          <w:sz w:val="14"/>
          <w:szCs w:val="14"/>
          <w:color w:val="auto"/>
        </w:rPr>
      </w:pPr>
    </w:p>
    <w:p>
      <w:pPr>
        <w:jc w:val="both"/>
        <w:ind w:left="1720" w:right="1599" w:hanging="134"/>
        <w:spacing w:after="0" w:line="267" w:lineRule="auto"/>
        <w:tabs>
          <w:tab w:leader="none" w:pos="17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correct any ambiguity, defect or inconsistency under the applicable indenture, provided that such action does not adversely affect the interests of the holders of any series of debt securities issued thereunder,</w:t>
      </w:r>
    </w:p>
    <w:p>
      <w:pPr>
        <w:spacing w:after="0" w:line="51" w:lineRule="exact"/>
        <w:rPr>
          <w:rFonts w:ascii="Times New Roman" w:cs="Times New Roman" w:eastAsia="Times New Roman" w:hAnsi="Times New Roman"/>
          <w:sz w:val="14"/>
          <w:szCs w:val="14"/>
          <w:color w:val="auto"/>
        </w:rPr>
      </w:pPr>
    </w:p>
    <w:p>
      <w:pPr>
        <w:ind w:left="1720" w:right="1399" w:hanging="134"/>
        <w:spacing w:after="0" w:line="267" w:lineRule="auto"/>
        <w:tabs>
          <w:tab w:leader="none" w:pos="17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supplement any provisions of the applicable indenture necessary to defease and discharge any series of debt securities, provided that such action does not adversely affect the interests of the holders of any series of debt securities issued thereunder,</w:t>
      </w:r>
    </w:p>
    <w:p>
      <w:pPr>
        <w:spacing w:after="0" w:line="51" w:lineRule="exact"/>
        <w:rPr>
          <w:rFonts w:ascii="Times New Roman" w:cs="Times New Roman" w:eastAsia="Times New Roman" w:hAnsi="Times New Roman"/>
          <w:sz w:val="14"/>
          <w:szCs w:val="14"/>
          <w:color w:val="auto"/>
        </w:rPr>
      </w:pPr>
    </w:p>
    <w:p>
      <w:pPr>
        <w:ind w:left="1720" w:right="1539" w:hanging="134"/>
        <w:spacing w:after="0" w:line="283" w:lineRule="auto"/>
        <w:tabs>
          <w:tab w:leader="none" w:pos="17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the rules or regulations of any securities exchange or automated quotation system on which any debt securities are listed or traded, or</w:t>
      </w:r>
    </w:p>
    <w:p>
      <w:pPr>
        <w:spacing w:after="0" w:line="41" w:lineRule="exact"/>
        <w:rPr>
          <w:rFonts w:ascii="Times New Roman" w:cs="Times New Roman" w:eastAsia="Times New Roman" w:hAnsi="Times New Roman"/>
          <w:sz w:val="14"/>
          <w:szCs w:val="14"/>
          <w:color w:val="auto"/>
        </w:rPr>
      </w:pPr>
    </w:p>
    <w:p>
      <w:pPr>
        <w:ind w:left="1720" w:right="1439" w:hanging="134"/>
        <w:spacing w:after="0" w:line="267" w:lineRule="auto"/>
        <w:tabs>
          <w:tab w:leader="none" w:pos="17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change or eliminate any provisions of the applicable indenture in accordance with any amendments to the Trust Indenture Act, provided that the action does not adversely affect the rights or interests of any holder of debt securities issued thereunder. (Section 901; Section 9.01)</w:t>
      </w:r>
    </w:p>
    <w:p>
      <w:pPr>
        <w:spacing w:after="0" w:line="84" w:lineRule="exact"/>
        <w:rPr>
          <w:sz w:val="20"/>
          <w:szCs w:val="20"/>
          <w:color w:val="auto"/>
        </w:rPr>
      </w:pPr>
    </w:p>
    <w:p>
      <w:pPr>
        <w:ind w:left="1300" w:right="1319" w:firstLine="281"/>
        <w:spacing w:after="0" w:line="257" w:lineRule="auto"/>
        <w:rPr>
          <w:sz w:val="20"/>
          <w:szCs w:val="20"/>
          <w:color w:val="auto"/>
        </w:rPr>
      </w:pPr>
      <w:r>
        <w:rPr>
          <w:rFonts w:ascii="Times New Roman" w:cs="Times New Roman" w:eastAsia="Times New Roman" w:hAnsi="Times New Roman"/>
          <w:sz w:val="14"/>
          <w:szCs w:val="14"/>
          <w:color w:val="auto"/>
        </w:rPr>
        <w:t>We may enter into one or more supplemental indentures to either indenture with the trustee to add to, change or eliminate provisions of such indenture or to modify the rights of the holders of one or more series of debt securities if we obtain the consent of the holders of a majority in principal amount of the outstanding debt securities of each series affected by the supplemental indenture, treated as one class. However, without the consent of the holders of each outstanding debt security affected by the supplemental indenture, we may not enter into a supplemental indenture that:</w:t>
      </w:r>
    </w:p>
    <w:p>
      <w:pPr>
        <w:spacing w:after="0" w:line="60" w:lineRule="exact"/>
        <w:rPr>
          <w:sz w:val="20"/>
          <w:szCs w:val="20"/>
          <w:color w:val="auto"/>
        </w:rPr>
      </w:pPr>
    </w:p>
    <w:p>
      <w:pPr>
        <w:ind w:left="1720" w:right="1459" w:hanging="134"/>
        <w:spacing w:after="0" w:line="283" w:lineRule="auto"/>
        <w:tabs>
          <w:tab w:leader="none" w:pos="17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the stated maturity of the principal of, or any installment of principal of or interest on, any debt security, except to the extent permitted by the applicable indenture,</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reduces the principal amount of, or any premium or interest on, any debt security,</w:t>
      </w: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9" w:name="page20"/>
    <w:bookmarkEnd w:id="19"/>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20" w:right="1679" w:hanging="134"/>
        <w:spacing w:after="0" w:line="283" w:lineRule="auto"/>
        <w:tabs>
          <w:tab w:leader="none" w:pos="17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reduces the amount of principal of an original issue discount security or any other debt security payable upon acceleration of the maturity thereof,</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the place or currency of payment of principal, premium, if any, or interest,</w:t>
      </w:r>
    </w:p>
    <w:p>
      <w:pPr>
        <w:spacing w:after="0" w:line="102"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impairs the right to institute suit for the enforcement of any payment on any debt security,</w:t>
      </w:r>
    </w:p>
    <w:p>
      <w:pPr>
        <w:spacing w:after="0" w:line="91" w:lineRule="exact"/>
        <w:rPr>
          <w:rFonts w:ascii="Times New Roman" w:cs="Times New Roman" w:eastAsia="Times New Roman" w:hAnsi="Times New Roman"/>
          <w:sz w:val="14"/>
          <w:szCs w:val="14"/>
          <w:color w:val="auto"/>
        </w:rPr>
      </w:pPr>
    </w:p>
    <w:p>
      <w:pPr>
        <w:jc w:val="both"/>
        <w:ind w:left="1720" w:right="1459" w:hanging="134"/>
        <w:spacing w:after="0" w:line="267" w:lineRule="auto"/>
        <w:tabs>
          <w:tab w:leader="none" w:pos="17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reduces the percentage in principal amount of outstanding debt securities of any series, the consent of whose holders is required for modification of the applicable indenture, for waiver of compliance with certain provisions of such indenture or for waiver of certain defaults,</w:t>
      </w:r>
    </w:p>
    <w:p>
      <w:pPr>
        <w:spacing w:after="0" w:line="51" w:lineRule="exact"/>
        <w:rPr>
          <w:rFonts w:ascii="Times New Roman" w:cs="Times New Roman" w:eastAsia="Times New Roman" w:hAnsi="Times New Roman"/>
          <w:sz w:val="14"/>
          <w:szCs w:val="14"/>
          <w:color w:val="auto"/>
        </w:rPr>
      </w:pPr>
    </w:p>
    <w:p>
      <w:pPr>
        <w:ind w:left="1720" w:right="1319" w:hanging="134"/>
        <w:spacing w:after="0" w:line="267" w:lineRule="auto"/>
        <w:tabs>
          <w:tab w:leader="none" w:pos="17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makes certain modifications to the provisions for modification of the applicable indenture and for certain waivers, except to increase the principal amount of debt securities necessary to consent to any such charge,</w:t>
      </w:r>
    </w:p>
    <w:p>
      <w:pPr>
        <w:spacing w:after="0" w:line="51" w:lineRule="exact"/>
        <w:rPr>
          <w:rFonts w:ascii="Times New Roman" w:cs="Times New Roman" w:eastAsia="Times New Roman" w:hAnsi="Times New Roman"/>
          <w:sz w:val="14"/>
          <w:szCs w:val="14"/>
          <w:color w:val="auto"/>
        </w:rPr>
      </w:pPr>
    </w:p>
    <w:p>
      <w:pPr>
        <w:ind w:left="1720" w:right="1479" w:hanging="134"/>
        <w:spacing w:after="0" w:line="283" w:lineRule="auto"/>
        <w:tabs>
          <w:tab w:leader="none" w:pos="17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the junior subordinated indenture, modifies the subordination provisions in a manner adverse to the holders of the junior subordinated debt securities,</w:t>
      </w:r>
    </w:p>
    <w:p>
      <w:pPr>
        <w:spacing w:after="0" w:line="41" w:lineRule="exact"/>
        <w:rPr>
          <w:rFonts w:ascii="Times New Roman" w:cs="Times New Roman" w:eastAsia="Times New Roman" w:hAnsi="Times New Roman"/>
          <w:sz w:val="14"/>
          <w:szCs w:val="14"/>
          <w:color w:val="auto"/>
        </w:rPr>
      </w:pPr>
    </w:p>
    <w:p>
      <w:pPr>
        <w:ind w:left="1720" w:right="1579" w:hanging="134"/>
        <w:spacing w:after="0" w:line="267" w:lineRule="auto"/>
        <w:tabs>
          <w:tab w:leader="none" w:pos="17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makes any change that adversely affects the right to convert or exchange any debt security or decreases the conversion or exchange rate or increases the conversion price of any convertible or exchangeable debt security, or</w:t>
      </w:r>
    </w:p>
    <w:p>
      <w:pPr>
        <w:spacing w:after="0" w:line="51" w:lineRule="exact"/>
        <w:rPr>
          <w:rFonts w:ascii="Times New Roman" w:cs="Times New Roman" w:eastAsia="Times New Roman" w:hAnsi="Times New Roman"/>
          <w:sz w:val="14"/>
          <w:szCs w:val="14"/>
          <w:color w:val="auto"/>
        </w:rPr>
      </w:pPr>
    </w:p>
    <w:p>
      <w:pPr>
        <w:ind w:left="1720" w:right="1699" w:hanging="134"/>
        <w:spacing w:after="0" w:line="283" w:lineRule="auto"/>
        <w:tabs>
          <w:tab w:leader="none" w:pos="17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the terms and conditions pursuant to which any series of debt securities is secured in a manner adverse to the holders of the debt securities. (Section 902; Section 9.02)</w:t>
      </w:r>
    </w:p>
    <w:p>
      <w:pPr>
        <w:spacing w:after="0" w:line="73" w:lineRule="exact"/>
        <w:rPr>
          <w:sz w:val="20"/>
          <w:szCs w:val="20"/>
          <w:color w:val="auto"/>
        </w:rPr>
      </w:pPr>
    </w:p>
    <w:p>
      <w:pPr>
        <w:ind w:left="1300" w:right="1459" w:firstLine="281"/>
        <w:spacing w:after="0" w:line="261" w:lineRule="auto"/>
        <w:rPr>
          <w:sz w:val="20"/>
          <w:szCs w:val="20"/>
          <w:color w:val="auto"/>
        </w:rPr>
      </w:pPr>
      <w:r>
        <w:rPr>
          <w:rFonts w:ascii="Times New Roman" w:cs="Times New Roman" w:eastAsia="Times New Roman" w:hAnsi="Times New Roman"/>
          <w:sz w:val="14"/>
          <w:szCs w:val="14"/>
          <w:color w:val="auto"/>
        </w:rPr>
        <w:t>In addition, we may not modify the subordination provisions of any outstanding junior subordinated debt securities without the consent of each holder of our senior indebtedness that would be adversely affected thereby. The term “senior indebtedness” is defined below under “— Provisions Applicable Solely to Junior Subordinated Debt Securities — Subordination.”</w:t>
      </w:r>
    </w:p>
    <w:p>
      <w:pPr>
        <w:spacing w:after="0" w:line="89" w:lineRule="exact"/>
        <w:rPr>
          <w:sz w:val="20"/>
          <w:szCs w:val="20"/>
          <w:color w:val="auto"/>
        </w:rPr>
      </w:pPr>
    </w:p>
    <w:p>
      <w:pPr>
        <w:jc w:val="both"/>
        <w:ind w:left="1300" w:right="1479" w:firstLine="281"/>
        <w:spacing w:after="0" w:line="267" w:lineRule="auto"/>
        <w:rPr>
          <w:sz w:val="20"/>
          <w:szCs w:val="20"/>
          <w:color w:val="auto"/>
        </w:rPr>
      </w:pPr>
      <w:r>
        <w:rPr>
          <w:rFonts w:ascii="Times New Roman" w:cs="Times New Roman" w:eastAsia="Times New Roman" w:hAnsi="Times New Roman"/>
          <w:sz w:val="14"/>
          <w:szCs w:val="14"/>
          <w:color w:val="auto"/>
        </w:rPr>
        <w:t>Holders of a majority in principal amount of the outstanding debt securities of any series may waive past defaults or noncompliance with restrictive provisions of the applicable indenture with respect to such series. However, the consent of holders of each outstanding debt security of a series is required to:</w:t>
      </w:r>
    </w:p>
    <w:p>
      <w:pPr>
        <w:spacing w:after="0" w:line="52" w:lineRule="exact"/>
        <w:rPr>
          <w:sz w:val="20"/>
          <w:szCs w:val="20"/>
          <w:color w:val="auto"/>
        </w:rPr>
      </w:pPr>
    </w:p>
    <w:p>
      <w:pPr>
        <w:ind w:left="1720" w:hanging="134"/>
        <w:spacing w:after="0"/>
        <w:tabs>
          <w:tab w:leader="none" w:pos="17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any default in the payment of principal, premium, if any, or interest, or</w:t>
      </w:r>
    </w:p>
    <w:p>
      <w:pPr>
        <w:spacing w:after="0" w:line="91" w:lineRule="exact"/>
        <w:rPr>
          <w:rFonts w:ascii="Times New Roman" w:cs="Times New Roman" w:eastAsia="Times New Roman" w:hAnsi="Times New Roman"/>
          <w:sz w:val="14"/>
          <w:szCs w:val="14"/>
          <w:color w:val="auto"/>
        </w:rPr>
      </w:pPr>
    </w:p>
    <w:p>
      <w:pPr>
        <w:ind w:left="1720" w:right="1339" w:hanging="134"/>
        <w:spacing w:after="0" w:line="267" w:lineRule="auto"/>
        <w:tabs>
          <w:tab w:leader="none" w:pos="17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any covenants and provisions of the applicable indenture that may not be amended without the consent of the holder of each outstanding debt security of the series affected. (Sections 513 and 1006; Sections 5.13 and 10.06)</w:t>
      </w:r>
    </w:p>
    <w:p>
      <w:pPr>
        <w:spacing w:after="0" w:line="73" w:lineRule="exact"/>
        <w:rPr>
          <w:sz w:val="20"/>
          <w:szCs w:val="20"/>
          <w:color w:val="auto"/>
        </w:rPr>
      </w:pPr>
    </w:p>
    <w:p>
      <w:pPr>
        <w:ind w:left="1300" w:right="1519" w:firstLine="281"/>
        <w:spacing w:after="0" w:line="283" w:lineRule="auto"/>
        <w:rPr>
          <w:sz w:val="20"/>
          <w:szCs w:val="20"/>
          <w:color w:val="auto"/>
        </w:rPr>
      </w:pPr>
      <w:r>
        <w:rPr>
          <w:rFonts w:ascii="Times New Roman" w:cs="Times New Roman" w:eastAsia="Times New Roman" w:hAnsi="Times New Roman"/>
          <w:sz w:val="14"/>
          <w:szCs w:val="14"/>
          <w:color w:val="auto"/>
        </w:rPr>
        <w:t>To determine whether the holders of the requisite principal amount of the outstanding debt securities have taken an action under the applicable indenture as of a specified date:</w:t>
      </w:r>
    </w:p>
    <w:p>
      <w:pPr>
        <w:spacing w:after="0" w:line="52" w:lineRule="exact"/>
        <w:rPr>
          <w:sz w:val="20"/>
          <w:szCs w:val="20"/>
          <w:color w:val="auto"/>
        </w:rPr>
      </w:pPr>
    </w:p>
    <w:p>
      <w:pPr>
        <w:ind w:left="1720" w:right="1319" w:hanging="134"/>
        <w:spacing w:after="0" w:line="267" w:lineRule="auto"/>
        <w:tabs>
          <w:tab w:leader="none" w:pos="17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of an “original issue discount security” that will be deemed to be outstanding will be the amount of the principal that would be due and payable as of that date upon acceleration of the maturity to that date,</w:t>
      </w:r>
    </w:p>
    <w:p>
      <w:pPr>
        <w:spacing w:after="0" w:line="51" w:lineRule="exact"/>
        <w:rPr>
          <w:rFonts w:ascii="Times New Roman" w:cs="Times New Roman" w:eastAsia="Times New Roman" w:hAnsi="Times New Roman"/>
          <w:sz w:val="14"/>
          <w:szCs w:val="14"/>
          <w:color w:val="auto"/>
        </w:rPr>
      </w:pPr>
    </w:p>
    <w:p>
      <w:pPr>
        <w:ind w:left="1720" w:right="1399" w:hanging="134"/>
        <w:spacing w:after="0" w:line="261" w:lineRule="auto"/>
        <w:tabs>
          <w:tab w:leader="none" w:pos="17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as of that date, the principal amount payable at the stated maturity of a debt security is not determinable, for example, because it is based on an index, the principal amount of the debt security deemed to be outstanding as of that date will be an amount determined in the manner prescribed for the debt security,</w:t>
      </w:r>
    </w:p>
    <w:p>
      <w:pPr>
        <w:spacing w:after="0" w:line="57"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of a debt security denominated in one or more foreign currencies or</w:t>
      </w:r>
    </w:p>
    <w:p>
      <w:pPr>
        <w:spacing w:after="0" w:line="21" w:lineRule="exact"/>
        <w:rPr>
          <w:rFonts w:ascii="Times New Roman" w:cs="Times New Roman" w:eastAsia="Times New Roman" w:hAnsi="Times New Roman"/>
          <w:sz w:val="14"/>
          <w:szCs w:val="14"/>
          <w:color w:val="auto"/>
        </w:rPr>
      </w:pPr>
    </w:p>
    <w:p>
      <w:pPr>
        <w:ind w:left="1720" w:right="1319"/>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currency units that will be deemed to be outstanding will be the U.S. dollar equivalent, determined as of that date in the manner prescribed for the debt security, of the principal amount of the debt security or, in the case of a debt security described in the two preceding bullet points, of the amount described above, and</w:t>
      </w:r>
    </w:p>
    <w:p>
      <w:pPr>
        <w:spacing w:after="0" w:line="61" w:lineRule="exact"/>
        <w:rPr>
          <w:rFonts w:ascii="Times New Roman" w:cs="Times New Roman" w:eastAsia="Times New Roman" w:hAnsi="Times New Roman"/>
          <w:sz w:val="14"/>
          <w:szCs w:val="14"/>
          <w:color w:val="auto"/>
        </w:rPr>
      </w:pPr>
    </w:p>
    <w:p>
      <w:pPr>
        <w:ind w:left="1720" w:right="1759" w:hanging="134"/>
        <w:spacing w:after="0" w:line="283" w:lineRule="auto"/>
        <w:tabs>
          <w:tab w:leader="none" w:pos="17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securities owned by us or any other obligor upon the debt securities or any of our or their affiliates will be disregarded and deemed not to be outstanding.</w:t>
      </w:r>
    </w:p>
    <w:p>
      <w:pPr>
        <w:spacing w:after="0" w:line="62" w:lineRule="exact"/>
        <w:rPr>
          <w:sz w:val="20"/>
          <w:szCs w:val="20"/>
          <w:color w:val="auto"/>
        </w:rPr>
      </w:pPr>
    </w:p>
    <w:p>
      <w:pPr>
        <w:ind w:left="1300" w:right="1479" w:firstLine="281"/>
        <w:spacing w:after="0" w:line="283" w:lineRule="auto"/>
        <w:rPr>
          <w:sz w:val="20"/>
          <w:szCs w:val="20"/>
          <w:color w:val="auto"/>
        </w:rPr>
      </w:pPr>
      <w:r>
        <w:rPr>
          <w:rFonts w:ascii="Times New Roman" w:cs="Times New Roman" w:eastAsia="Times New Roman" w:hAnsi="Times New Roman"/>
          <w:sz w:val="14"/>
          <w:szCs w:val="14"/>
          <w:color w:val="auto"/>
        </w:rPr>
        <w:t>An “original issue discount security” means a debt security issued under either indenture which provides for an amount less than the principal amount thereof to be due and payable upon a declaration of</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0" w:name="page21"/>
    <w:bookmarkEnd w:id="20"/>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39"/>
        <w:spacing w:after="0" w:line="251" w:lineRule="auto"/>
        <w:rPr>
          <w:sz w:val="20"/>
          <w:szCs w:val="20"/>
          <w:color w:val="auto"/>
        </w:rPr>
      </w:pPr>
      <w:r>
        <w:rPr>
          <w:rFonts w:ascii="Times New Roman" w:cs="Times New Roman" w:eastAsia="Times New Roman" w:hAnsi="Times New Roman"/>
          <w:sz w:val="14"/>
          <w:szCs w:val="14"/>
          <w:color w:val="auto"/>
        </w:rPr>
        <w:t>acceleration of maturity. Some debt securities, including those for the payment or redemption of which money has been deposited or set aside in trust for the holders and those that have been fully defeased pursuant to Section 1402 or Section 14.02 of the applicable indenture, will not be deemed to be outstanding. (Section 101; Section 1.01)</w:t>
      </w:r>
    </w:p>
    <w:p>
      <w:pPr>
        <w:spacing w:after="0" w:line="84" w:lineRule="exact"/>
        <w:rPr>
          <w:sz w:val="20"/>
          <w:szCs w:val="20"/>
          <w:color w:val="auto"/>
        </w:rPr>
      </w:pPr>
    </w:p>
    <w:p>
      <w:pPr>
        <w:ind w:left="1300" w:right="1319" w:firstLine="281"/>
        <w:spacing w:after="0" w:line="245" w:lineRule="auto"/>
        <w:rPr>
          <w:sz w:val="20"/>
          <w:szCs w:val="20"/>
          <w:color w:val="auto"/>
        </w:rPr>
      </w:pPr>
      <w:r>
        <w:rPr>
          <w:rFonts w:ascii="Times New Roman" w:cs="Times New Roman" w:eastAsia="Times New Roman" w:hAnsi="Times New Roman"/>
          <w:sz w:val="14"/>
          <w:szCs w:val="14"/>
          <w:color w:val="auto"/>
        </w:rPr>
        <w:t>We will generally be entitled to set any day as a record date for determining the holders of outstanding debt securities of any series entitled to give or take any direction, notice, consent, waiver or other action under the applicable indenture. In limited circumstances, the trustee will be entitled to set a record date for action by holders of outstanding debt securities. If a record date is set for any action to be taken by holders of a particular series, the action may be taken only by persons who are holders of outstanding debt securities of that series on the record date. To be effective, the action must be taken by holders of the requisite principal amount of debt securities within a specified period following the record date. For any particular record date, this period will be 180 days or such shorter period as we may specify, or the trustee may specify, if it set the record date. (Section 104; Section 1.04)</w:t>
      </w:r>
    </w:p>
    <w:p>
      <w:pPr>
        <w:spacing w:after="0" w:line="87" w:lineRule="exact"/>
        <w:rPr>
          <w:sz w:val="20"/>
          <w:szCs w:val="20"/>
          <w:color w:val="auto"/>
        </w:rPr>
      </w:pPr>
    </w:p>
    <w:p>
      <w:pPr>
        <w:ind w:left="1300" w:right="1419" w:firstLine="281"/>
        <w:spacing w:after="0" w:line="244" w:lineRule="auto"/>
        <w:rPr>
          <w:sz w:val="20"/>
          <w:szCs w:val="20"/>
          <w:color w:val="auto"/>
        </w:rPr>
      </w:pPr>
      <w:r>
        <w:rPr>
          <w:rFonts w:ascii="Times New Roman" w:cs="Times New Roman" w:eastAsia="Times New Roman" w:hAnsi="Times New Roman"/>
          <w:sz w:val="14"/>
          <w:szCs w:val="14"/>
          <w:i w:val="1"/>
          <w:iCs w:val="1"/>
          <w:color w:val="auto"/>
        </w:rPr>
        <w:t xml:space="preserve">Satisfaction and Discharge. </w:t>
      </w:r>
      <w:r>
        <w:rPr>
          <w:rFonts w:ascii="Times New Roman" w:cs="Times New Roman" w:eastAsia="Times New Roman" w:hAnsi="Times New Roman"/>
          <w:sz w:val="14"/>
          <w:szCs w:val="14"/>
          <w:color w:val="auto"/>
        </w:rPr>
        <w:t>We may discharge our obligations under either indenture while debt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securities remain outstanding if (1) all outstanding debt securities issued under the applicable indenture have become due and payable, (2) all outstanding debt securities issued under the applicable indenture will become due and payable at their scheduled maturity within one year, or (3) all outstanding debt securities issued under the applicable indenture are scheduled for redemption in one year, and in each case, we have deposited with the trustee an amount sufficient to pay and discharge all outstanding debt securities issued under the applicable indenture on the date of their scheduled maturity or the scheduled date of redemption and we have paid all other sums payable under the applicable indenture.</w:t>
      </w:r>
    </w:p>
    <w:p>
      <w:pPr>
        <w:spacing w:after="0" w:line="90" w:lineRule="exact"/>
        <w:rPr>
          <w:sz w:val="20"/>
          <w:szCs w:val="20"/>
          <w:color w:val="auto"/>
        </w:rPr>
      </w:pPr>
    </w:p>
    <w:p>
      <w:pPr>
        <w:ind w:left="1300" w:right="1319" w:firstLine="281"/>
        <w:spacing w:after="0" w:line="252" w:lineRule="auto"/>
        <w:rPr>
          <w:sz w:val="20"/>
          <w:szCs w:val="20"/>
          <w:color w:val="auto"/>
        </w:rPr>
      </w:pPr>
      <w:r>
        <w:rPr>
          <w:rFonts w:ascii="Times New Roman" w:cs="Times New Roman" w:eastAsia="Times New Roman" w:hAnsi="Times New Roman"/>
          <w:sz w:val="14"/>
          <w:szCs w:val="14"/>
          <w:i w:val="1"/>
          <w:iCs w:val="1"/>
          <w:color w:val="auto"/>
        </w:rPr>
        <w:t xml:space="preserve">Defeasance. </w:t>
      </w:r>
      <w:r>
        <w:rPr>
          <w:rFonts w:ascii="Times New Roman" w:cs="Times New Roman" w:eastAsia="Times New Roman" w:hAnsi="Times New Roman"/>
          <w:sz w:val="14"/>
          <w:szCs w:val="14"/>
          <w:color w:val="auto"/>
        </w:rPr>
        <w:t>When we use the term defeasance, we mean discharge from some or all of our obligations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under either indenture. Unless we inform you otherwise in the prospectus supplement, if we deposit with the trustee funds or government securities sufficient to make payments on the debt securities of a series on the dates those payments are due and payable, then, at our option, either of the following will occur:</w:t>
      </w:r>
    </w:p>
    <w:p>
      <w:pPr>
        <w:spacing w:after="0" w:line="52" w:lineRule="exact"/>
        <w:rPr>
          <w:sz w:val="20"/>
          <w:szCs w:val="20"/>
          <w:color w:val="auto"/>
        </w:rPr>
      </w:pPr>
    </w:p>
    <w:p>
      <w:pPr>
        <w:ind w:left="1720" w:right="1519" w:hanging="134"/>
        <w:spacing w:after="0" w:line="283" w:lineRule="auto"/>
        <w:tabs>
          <w:tab w:leader="none" w:pos="17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be discharged from our obligations with respect to the debt securities of that series (“legal defeasance”), or</w:t>
      </w:r>
    </w:p>
    <w:p>
      <w:pPr>
        <w:spacing w:after="0" w:line="30" w:lineRule="exact"/>
        <w:rPr>
          <w:rFonts w:ascii="Times New Roman" w:cs="Times New Roman" w:eastAsia="Times New Roman" w:hAnsi="Times New Roman"/>
          <w:sz w:val="14"/>
          <w:szCs w:val="14"/>
          <w:color w:val="auto"/>
        </w:rPr>
      </w:pPr>
    </w:p>
    <w:p>
      <w:pPr>
        <w:ind w:left="1720" w:right="1439" w:hanging="134"/>
        <w:spacing w:after="0" w:line="261" w:lineRule="auto"/>
        <w:tabs>
          <w:tab w:leader="none" w:pos="17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no longer have any obligation to comply with the restrictive covenants under the applicable indenture, and the related events of default will no longer apply to us, but some of our other obligations under the indenture and the debt securities of that series, including our obligation to make payments on those debt securities, will survive.</w:t>
      </w:r>
    </w:p>
    <w:p>
      <w:pPr>
        <w:spacing w:after="0" w:line="78" w:lineRule="exact"/>
        <w:rPr>
          <w:sz w:val="20"/>
          <w:szCs w:val="20"/>
          <w:color w:val="auto"/>
        </w:rPr>
      </w:pPr>
    </w:p>
    <w:p>
      <w:pPr>
        <w:ind w:left="1300" w:right="1319" w:firstLine="281"/>
        <w:spacing w:after="0" w:line="283" w:lineRule="auto"/>
        <w:rPr>
          <w:sz w:val="20"/>
          <w:szCs w:val="20"/>
          <w:color w:val="auto"/>
        </w:rPr>
      </w:pPr>
      <w:r>
        <w:rPr>
          <w:rFonts w:ascii="Times New Roman" w:cs="Times New Roman" w:eastAsia="Times New Roman" w:hAnsi="Times New Roman"/>
          <w:sz w:val="14"/>
          <w:szCs w:val="14"/>
          <w:color w:val="auto"/>
        </w:rPr>
        <w:t>If we effect legal defeasance of a series of debt securities, the holders of the debt securities of the series affected will not be entitled to the benefits of the applicable indenture, except for our obligations to:</w:t>
      </w:r>
    </w:p>
    <w:p>
      <w:pPr>
        <w:spacing w:after="0" w:line="20" w:lineRule="exact"/>
        <w:rPr>
          <w:sz w:val="20"/>
          <w:szCs w:val="20"/>
          <w:color w:val="auto"/>
        </w:rPr>
      </w:pPr>
    </w:p>
    <w:p>
      <w:pPr>
        <w:ind w:left="1720" w:hanging="134"/>
        <w:spacing w:after="0"/>
        <w:tabs>
          <w:tab w:leader="none" w:pos="17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register the transfer or exchange of debt securities,</w:t>
      </w:r>
    </w:p>
    <w:p>
      <w:pPr>
        <w:spacing w:after="0" w:line="8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replace mutilated, destroyed, lost or stolen debt securities, and</w:t>
      </w:r>
    </w:p>
    <w:p>
      <w:pPr>
        <w:spacing w:after="0" w:line="8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paying agencies and hold moneys for payment in trust.</w:t>
      </w:r>
    </w:p>
    <w:p>
      <w:pPr>
        <w:spacing w:after="0" w:line="123" w:lineRule="exact"/>
        <w:rPr>
          <w:sz w:val="20"/>
          <w:szCs w:val="20"/>
          <w:color w:val="auto"/>
        </w:rPr>
      </w:pPr>
    </w:p>
    <w:p>
      <w:pPr>
        <w:ind w:left="1300" w:right="1359" w:firstLine="281"/>
        <w:spacing w:after="0" w:line="245" w:lineRule="auto"/>
        <w:rPr>
          <w:sz w:val="20"/>
          <w:szCs w:val="20"/>
          <w:color w:val="auto"/>
        </w:rPr>
      </w:pPr>
      <w:r>
        <w:rPr>
          <w:rFonts w:ascii="Times New Roman" w:cs="Times New Roman" w:eastAsia="Times New Roman" w:hAnsi="Times New Roman"/>
          <w:sz w:val="14"/>
          <w:szCs w:val="14"/>
          <w:color w:val="auto"/>
        </w:rPr>
        <w:t>Unless we inform you otherwise in the prospectus supplement, we will be required to deliver to the trustee an opinion of counsel that the deposit and related defeasance would not cause the holders of the debt securities to recognize gain or loss for federal income tax purposes and that the holders would be subject to federal income tax on the same amounts, in the same manner and at the same times as would have been the case if the deposit and related defeasance had not occurred. If we elect legal defeasance, that opinion of counsel must be based upon a ruling from the United States Internal Revenue Service or a change in law to that effect. (Sections 1401, 1402, 1403 and 1404; Sections 14.01, 14.02, 14.03 and 14.04)</w:t>
      </w:r>
    </w:p>
    <w:p>
      <w:pPr>
        <w:spacing w:after="0" w:line="89" w:lineRule="exact"/>
        <w:rPr>
          <w:sz w:val="20"/>
          <w:szCs w:val="20"/>
          <w:color w:val="auto"/>
        </w:rPr>
      </w:pPr>
    </w:p>
    <w:p>
      <w:pPr>
        <w:ind w:left="1300" w:right="1419" w:firstLine="281"/>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Notices. </w:t>
      </w:r>
      <w:r>
        <w:rPr>
          <w:rFonts w:ascii="Times New Roman" w:cs="Times New Roman" w:eastAsia="Times New Roman" w:hAnsi="Times New Roman"/>
          <w:sz w:val="14"/>
          <w:szCs w:val="14"/>
          <w:color w:val="auto"/>
        </w:rPr>
        <w:t>Holders will receive notices by mail at their addresses as they appear in the security register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as otherwise specified in the applicable indenture. (Section 106; Section 1.06)</w:t>
      </w:r>
    </w:p>
    <w:p>
      <w:pPr>
        <w:spacing w:after="0" w:line="68" w:lineRule="exact"/>
        <w:rPr>
          <w:sz w:val="20"/>
          <w:szCs w:val="20"/>
          <w:color w:val="auto"/>
        </w:rPr>
      </w:pPr>
    </w:p>
    <w:p>
      <w:pPr>
        <w:ind w:left="1300" w:right="1579" w:firstLine="281"/>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Title. </w:t>
      </w:r>
      <w:r>
        <w:rPr>
          <w:rFonts w:ascii="Times New Roman" w:cs="Times New Roman" w:eastAsia="Times New Roman" w:hAnsi="Times New Roman"/>
          <w:sz w:val="14"/>
          <w:szCs w:val="14"/>
          <w:color w:val="auto"/>
        </w:rPr>
        <w:t>We may treat the person in whose name a debt security is registered on the applicable record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date as the owner of the debt security for all purposes, whether or not it is overdue. (Section 309; Section 3.09)</w:t>
      </w:r>
    </w:p>
    <w:p>
      <w:pPr>
        <w:spacing w:after="0" w:line="240" w:lineRule="exact"/>
        <w:rPr>
          <w:sz w:val="20"/>
          <w:szCs w:val="20"/>
          <w:color w:val="auto"/>
        </w:rPr>
      </w:pPr>
    </w:p>
    <w:p>
      <w:pPr>
        <w:ind w:left="1300" w:right="1659" w:firstLine="281"/>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Governing Law. </w:t>
      </w:r>
      <w:r>
        <w:rPr>
          <w:rFonts w:ascii="Times New Roman" w:cs="Times New Roman" w:eastAsia="Times New Roman" w:hAnsi="Times New Roman"/>
          <w:sz w:val="14"/>
          <w:szCs w:val="14"/>
          <w:color w:val="auto"/>
        </w:rPr>
        <w:t>New York law will govern both indentures and the debt securities. (Section 112;</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Section 1.12)</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1" w:name="page22"/>
    <w:bookmarkEnd w:id="21"/>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580"/>
        <w:spacing w:after="0"/>
        <w:tabs>
          <w:tab w:leader="none" w:pos="3000" w:val="left"/>
        </w:tabs>
        <w:rPr>
          <w:sz w:val="20"/>
          <w:szCs w:val="20"/>
          <w:color w:val="auto"/>
        </w:rPr>
      </w:pPr>
      <w:r>
        <w:rPr>
          <w:rFonts w:ascii="Times New Roman" w:cs="Times New Roman" w:eastAsia="Times New Roman" w:hAnsi="Times New Roman"/>
          <w:sz w:val="14"/>
          <w:szCs w:val="14"/>
          <w:i w:val="1"/>
          <w:iCs w:val="1"/>
          <w:color w:val="auto"/>
        </w:rPr>
        <w:t>Regarding the Trustee.</w:t>
      </w:r>
      <w:r>
        <w:rPr>
          <w:sz w:val="20"/>
          <w:szCs w:val="20"/>
          <w:color w:val="auto"/>
        </w:rPr>
        <w:tab/>
      </w:r>
      <w:r>
        <w:rPr>
          <w:rFonts w:ascii="Times New Roman" w:cs="Times New Roman" w:eastAsia="Times New Roman" w:hAnsi="Times New Roman"/>
          <w:sz w:val="14"/>
          <w:szCs w:val="14"/>
          <w:color w:val="auto"/>
        </w:rPr>
        <w:t>As of March 31, 2026, the trustee served as trustee for approximately</w:t>
      </w:r>
    </w:p>
    <w:p>
      <w:pPr>
        <w:spacing w:after="0" w:line="24" w:lineRule="exact"/>
        <w:rPr>
          <w:sz w:val="20"/>
          <w:szCs w:val="20"/>
          <w:color w:val="auto"/>
        </w:rPr>
      </w:pPr>
    </w:p>
    <w:p>
      <w:pPr>
        <w:ind w:left="1300" w:right="1359"/>
        <w:spacing w:after="0" w:line="254" w:lineRule="auto"/>
        <w:rPr>
          <w:sz w:val="20"/>
          <w:szCs w:val="20"/>
          <w:color w:val="auto"/>
        </w:rPr>
      </w:pPr>
      <w:r>
        <w:rPr>
          <w:rFonts w:ascii="Times New Roman" w:cs="Times New Roman" w:eastAsia="Times New Roman" w:hAnsi="Times New Roman"/>
          <w:sz w:val="14"/>
          <w:szCs w:val="14"/>
          <w:color w:val="auto"/>
        </w:rPr>
        <w:t>$7.5 billion aggregate principal amount of our debt securities (on an unconsolidated basis). In addition, the trustee serves as trustee for debt securities issued by or on behalf of our subsidiaries, aggregating approximately $13.9 billion as of March 31, 2026. We maintain brokerage relationships with the trustee and its affiliates, each of whom may maintain other relationships with us or our affiliates in the ordinary course of business.</w:t>
      </w:r>
    </w:p>
    <w:p>
      <w:pPr>
        <w:spacing w:after="0" w:line="261" w:lineRule="exact"/>
        <w:rPr>
          <w:sz w:val="20"/>
          <w:szCs w:val="20"/>
          <w:color w:val="auto"/>
        </w:rPr>
      </w:pPr>
    </w:p>
    <w:p>
      <w:pPr>
        <w:ind w:left="1300" w:right="1339" w:firstLine="281"/>
        <w:spacing w:after="0" w:line="259" w:lineRule="auto"/>
        <w:rPr>
          <w:sz w:val="20"/>
          <w:szCs w:val="20"/>
          <w:color w:val="auto"/>
        </w:rPr>
      </w:pPr>
      <w:r>
        <w:rPr>
          <w:rFonts w:ascii="Times New Roman" w:cs="Times New Roman" w:eastAsia="Times New Roman" w:hAnsi="Times New Roman"/>
          <w:sz w:val="14"/>
          <w:szCs w:val="14"/>
          <w:color w:val="auto"/>
        </w:rPr>
        <w:t>If an event of default occurs under either indenture and is continuing, the trustee will be required to use the degree of care and skill of a prudent person in the conduct of that person’s own affairs. The trustee will become obligated to exercise any of its powers under the applicable indenture at the request of any of the holders of any debt securities issued under such indenture only after those holders have offered the trustee indemnity satisfactory to it.</w:t>
      </w:r>
    </w:p>
    <w:p>
      <w:pPr>
        <w:spacing w:after="0" w:line="89" w:lineRule="exact"/>
        <w:rPr>
          <w:sz w:val="20"/>
          <w:szCs w:val="20"/>
          <w:color w:val="auto"/>
        </w:rPr>
      </w:pPr>
    </w:p>
    <w:p>
      <w:pPr>
        <w:ind w:left="1300" w:right="1319" w:firstLine="281"/>
        <w:spacing w:after="0" w:line="258" w:lineRule="auto"/>
        <w:rPr>
          <w:sz w:val="20"/>
          <w:szCs w:val="20"/>
          <w:color w:val="auto"/>
        </w:rPr>
      </w:pPr>
      <w:r>
        <w:rPr>
          <w:rFonts w:ascii="Times New Roman" w:cs="Times New Roman" w:eastAsia="Times New Roman" w:hAnsi="Times New Roman"/>
          <w:sz w:val="14"/>
          <w:szCs w:val="14"/>
          <w:color w:val="auto"/>
        </w:rPr>
        <w:t>If the trustee becomes one of our creditors, its rights to obtain payment of claims in specified circumstances, or to realize for its own account on certain property received in respect of any such claim as security or otherwise will be limited under the terms of the applicable indenture. (Section 613; Section 6.13) The trustee may engage in certain other transactions; however, if the trustee acquires any conflicting interest (within the meaning specified under the Trust Indenture Act), it will be required to eliminate the conflict or resign. (Section 608; Section 6.08)</w:t>
      </w:r>
    </w:p>
    <w:p>
      <w:pPr>
        <w:spacing w:after="0" w:line="3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Provisions Applicable Solely to Senior Debt Securities</w:t>
      </w:r>
    </w:p>
    <w:p>
      <w:pPr>
        <w:spacing w:after="0" w:line="113" w:lineRule="exact"/>
        <w:rPr>
          <w:sz w:val="20"/>
          <w:szCs w:val="20"/>
          <w:color w:val="auto"/>
        </w:rPr>
      </w:pPr>
    </w:p>
    <w:p>
      <w:pPr>
        <w:jc w:val="both"/>
        <w:ind w:left="1300" w:right="1359" w:firstLine="281"/>
        <w:spacing w:after="0" w:line="286" w:lineRule="auto"/>
        <w:rPr>
          <w:sz w:val="20"/>
          <w:szCs w:val="20"/>
          <w:color w:val="auto"/>
        </w:rPr>
      </w:pPr>
      <w:r>
        <w:rPr>
          <w:rFonts w:ascii="Times New Roman" w:cs="Times New Roman" w:eastAsia="Times New Roman" w:hAnsi="Times New Roman"/>
          <w:sz w:val="14"/>
          <w:szCs w:val="14"/>
          <w:i w:val="1"/>
          <w:iCs w:val="1"/>
          <w:color w:val="auto"/>
        </w:rPr>
        <w:t xml:space="preserve">Ranking. </w:t>
      </w:r>
      <w:r>
        <w:rPr>
          <w:rFonts w:ascii="Times New Roman" w:cs="Times New Roman" w:eastAsia="Times New Roman" w:hAnsi="Times New Roman"/>
          <w:sz w:val="14"/>
          <w:szCs w:val="14"/>
          <w:color w:val="auto"/>
        </w:rPr>
        <w:t>Our senior debt securities will rank equally in right of payment with all of our other existing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future unsecured and unsubordinated indebtedness.</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Provisions Applicable Solely to Junior Subordinated Debt Securities</w:t>
      </w:r>
    </w:p>
    <w:p>
      <w:pPr>
        <w:spacing w:after="0" w:line="123" w:lineRule="exact"/>
        <w:rPr>
          <w:sz w:val="20"/>
          <w:szCs w:val="20"/>
          <w:color w:val="auto"/>
        </w:rPr>
      </w:pPr>
    </w:p>
    <w:p>
      <w:pPr>
        <w:jc w:val="both"/>
        <w:ind w:left="1300" w:right="1359" w:firstLine="281"/>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Subordination. </w:t>
      </w:r>
      <w:r>
        <w:rPr>
          <w:rFonts w:ascii="Times New Roman" w:cs="Times New Roman" w:eastAsia="Times New Roman" w:hAnsi="Times New Roman"/>
          <w:sz w:val="14"/>
          <w:szCs w:val="14"/>
          <w:color w:val="auto"/>
        </w:rPr>
        <w:t>The junior subordinated debt securities are subordinate and junior in right of payment,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the extent and in the manner stated in the junior subordinated indenture, to all of our senior indebtedness, as defined in the junior subordinated indenture.</w:t>
      </w:r>
    </w:p>
    <w:p>
      <w:pPr>
        <w:spacing w:after="0" w:line="8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Unless we inform you otherwise in a prospectus supplement, “senior indebtedness” means:</w:t>
      </w:r>
    </w:p>
    <w:p>
      <w:pPr>
        <w:spacing w:after="0" w:line="92" w:lineRule="exact"/>
        <w:rPr>
          <w:sz w:val="20"/>
          <w:szCs w:val="20"/>
          <w:color w:val="auto"/>
        </w:rPr>
      </w:pPr>
    </w:p>
    <w:p>
      <w:pPr>
        <w:ind w:left="1720" w:right="1459" w:hanging="134"/>
        <w:spacing w:after="0" w:line="267" w:lineRule="auto"/>
        <w:tabs>
          <w:tab w:leader="none" w:pos="17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indebtedness and obligations of, or guaranteed or assumed by, us for borrowed money or evidenced by bonds, debentures, notes or other similar instruments, whether existing on the date of the junior subordinated indenture or subsequently created, incurred or assumed, and</w:t>
      </w:r>
    </w:p>
    <w:p>
      <w:pPr>
        <w:spacing w:after="0" w:line="51" w:lineRule="exact"/>
        <w:rPr>
          <w:rFonts w:ascii="Times New Roman" w:cs="Times New Roman" w:eastAsia="Times New Roman" w:hAnsi="Times New Roman"/>
          <w:sz w:val="14"/>
          <w:szCs w:val="14"/>
          <w:color w:val="auto"/>
        </w:rPr>
      </w:pPr>
    </w:p>
    <w:p>
      <w:pPr>
        <w:ind w:left="1720" w:right="1919" w:hanging="134"/>
        <w:spacing w:after="0" w:line="283" w:lineRule="auto"/>
        <w:tabs>
          <w:tab w:leader="none" w:pos="17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amendments, renewals, extensions, modifications and refundings of any indebtedness or obligations of that kind.</w:t>
      </w:r>
    </w:p>
    <w:p>
      <w:pPr>
        <w:spacing w:after="0" w:line="6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Notwithstanding the foregoing, “senior indebtedness” excludes (i) our indebtedness to our subsidiaries,</w:t>
      </w:r>
    </w:p>
    <w:p>
      <w:pPr>
        <w:spacing w:after="0" w:line="22" w:lineRule="exact"/>
        <w:rPr>
          <w:sz w:val="20"/>
          <w:szCs w:val="20"/>
          <w:color w:val="auto"/>
        </w:rPr>
      </w:pPr>
    </w:p>
    <w:p>
      <w:pPr>
        <w:ind w:left="1300" w:right="1499" w:firstLine="5"/>
        <w:spacing w:after="0" w:line="253" w:lineRule="auto"/>
        <w:tabs>
          <w:tab w:leader="none" w:pos="1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 accounts payable and accrued liabilities arising in the ordinary course of business and (iii) the junior subordinated debt securities and any other indebtedness or obligations that would otherwise constitute indebtedness if it is specifically designated as being subordinate, or not superior, in right of payment to the junior subordinated debt securities. “Senior indebtedness” includes, as of March 31, 2026, $828 million of our 2.0% Zero-Premium Exchangeable Subordinated Notes due 2029.</w:t>
      </w:r>
    </w:p>
    <w:p>
      <w:pPr>
        <w:spacing w:after="0" w:line="94" w:lineRule="exact"/>
        <w:rPr>
          <w:sz w:val="20"/>
          <w:szCs w:val="20"/>
          <w:color w:val="auto"/>
        </w:rPr>
      </w:pPr>
    </w:p>
    <w:p>
      <w:pPr>
        <w:ind w:left="1300" w:right="1779" w:firstLine="281"/>
        <w:spacing w:after="0" w:line="283" w:lineRule="auto"/>
        <w:rPr>
          <w:sz w:val="20"/>
          <w:szCs w:val="20"/>
          <w:color w:val="auto"/>
        </w:rPr>
      </w:pPr>
      <w:r>
        <w:rPr>
          <w:rFonts w:ascii="Times New Roman" w:cs="Times New Roman" w:eastAsia="Times New Roman" w:hAnsi="Times New Roman"/>
          <w:sz w:val="14"/>
          <w:szCs w:val="14"/>
          <w:color w:val="auto"/>
        </w:rPr>
        <w:t>We will describe additional provisions of our junior subordinated debt securities in a prospectus supplement applicable to the particular series of junior subordinated debt securities.</w:t>
      </w:r>
    </w:p>
    <w:p>
      <w:pPr>
        <w:spacing w:after="0" w:line="71" w:lineRule="exact"/>
        <w:rPr>
          <w:sz w:val="20"/>
          <w:szCs w:val="20"/>
          <w:color w:val="auto"/>
        </w:rPr>
      </w:pPr>
    </w:p>
    <w:p>
      <w:pPr>
        <w:jc w:val="both"/>
        <w:ind w:left="1300" w:right="1399" w:firstLine="281"/>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Defeasance. </w:t>
      </w:r>
      <w:r>
        <w:rPr>
          <w:rFonts w:ascii="Times New Roman" w:cs="Times New Roman" w:eastAsia="Times New Roman" w:hAnsi="Times New Roman"/>
          <w:sz w:val="14"/>
          <w:szCs w:val="14"/>
          <w:color w:val="auto"/>
        </w:rPr>
        <w:t>Upon the effectiveness of any defeasance or covenant defeasance permitted with respect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our junior subordinated securities, the junior subordinated debt securities then outstanding shall cease to be subordinated. See “— Provisions Applicable to Each Indenture — Defeasance.”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2" w:name="page23"/>
    <w:bookmarkEnd w:id="22"/>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4"/>
          <w:szCs w:val="14"/>
          <w:b w:val="1"/>
          <w:bCs w:val="1"/>
          <w:color w:val="auto"/>
        </w:rPr>
        <w:t>DESCRIPTION OF OUR CAPITAL STOCK</w:t>
      </w:r>
    </w:p>
    <w:p>
      <w:pPr>
        <w:spacing w:after="0" w:line="1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As of April 15, 2026, our authorized capital stock consisted of:</w:t>
      </w:r>
    </w:p>
    <w:p>
      <w:pPr>
        <w:spacing w:after="0" w:line="102" w:lineRule="exact"/>
        <w:rPr>
          <w:sz w:val="20"/>
          <w:szCs w:val="20"/>
          <w:color w:val="auto"/>
        </w:rPr>
      </w:pPr>
    </w:p>
    <w:p>
      <w:pPr>
        <w:ind w:left="1720" w:right="1339" w:hanging="134"/>
        <w:spacing w:after="0" w:line="283" w:lineRule="auto"/>
        <w:tabs>
          <w:tab w:leader="none" w:pos="17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1,000,000,000 shares of common stock, par value $0.01 per share, of which 654,169,480 shares were outstanding, excluding 166 shares held as treasury stock, and</w:t>
      </w:r>
    </w:p>
    <w:p>
      <w:pPr>
        <w:spacing w:after="0" w:line="62"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20,000,000 shares of preferred stock, par value $0.01 per share.</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15" w:lineRule="exact"/>
        <w:rPr>
          <w:sz w:val="20"/>
          <w:szCs w:val="20"/>
          <w:color w:val="auto"/>
        </w:rPr>
      </w:pPr>
    </w:p>
    <w:p>
      <w:pPr>
        <w:ind w:left="1300" w:right="1339" w:firstLine="281"/>
        <w:spacing w:after="0" w:line="257" w:lineRule="auto"/>
        <w:rPr>
          <w:sz w:val="20"/>
          <w:szCs w:val="20"/>
          <w:color w:val="auto"/>
        </w:rPr>
      </w:pPr>
      <w:r>
        <w:rPr>
          <w:rFonts w:ascii="Times New Roman" w:cs="Times New Roman" w:eastAsia="Times New Roman" w:hAnsi="Times New Roman"/>
          <w:sz w:val="14"/>
          <w:szCs w:val="14"/>
          <w:color w:val="auto"/>
        </w:rPr>
        <w:t>The following description of our common stock is a summary and does not purport to be complete. It is subject to and qualified in its entirety by reference to our Amended and Restated Certificate of Formation (“Certificate of Formation”) and Fifth Amended and Restated Bylaws (“Bylaws”), each of which is incorporated by reference as an exhibit to the registration statement of which this prospectus is a part. We encourage you to read our Certificate of Formation, our Bylaws and the applicable provisions of the Texas Business Organizations Code (“TBOC”) for additional information.</w:t>
      </w:r>
    </w:p>
    <w:p>
      <w:pPr>
        <w:spacing w:after="0" w:line="90" w:lineRule="exact"/>
        <w:rPr>
          <w:sz w:val="20"/>
          <w:szCs w:val="20"/>
          <w:color w:val="auto"/>
        </w:rPr>
      </w:pPr>
    </w:p>
    <w:p>
      <w:pPr>
        <w:ind w:left="1300" w:right="1379" w:firstLine="281"/>
        <w:spacing w:after="0" w:line="253" w:lineRule="auto"/>
        <w:rPr>
          <w:sz w:val="20"/>
          <w:szCs w:val="20"/>
          <w:color w:val="auto"/>
        </w:rPr>
      </w:pPr>
      <w:r>
        <w:rPr>
          <w:rFonts w:ascii="Times New Roman" w:cs="Times New Roman" w:eastAsia="Times New Roman" w:hAnsi="Times New Roman"/>
          <w:sz w:val="14"/>
          <w:szCs w:val="14"/>
          <w:i w:val="1"/>
          <w:iCs w:val="1"/>
          <w:color w:val="auto"/>
        </w:rPr>
        <w:t>Voting Rights</w:t>
      </w:r>
      <w:r>
        <w:rPr>
          <w:rFonts w:ascii="Times New Roman" w:cs="Times New Roman" w:eastAsia="Times New Roman" w:hAnsi="Times New Roman"/>
          <w:sz w:val="14"/>
          <w:szCs w:val="14"/>
          <w:color w:val="auto"/>
        </w:rPr>
        <w:t>. Holders of our common stock are entitled to one vote for each share on all matters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submitted to a vote of shareholders, including the election of directors. There are no cumulative voting rights. Subject to the voting rights expressly conferred to the holders of our preferred stock, the holders of our common stock possess exclusive full voting power for the election of directors and for all other purposes. Our Bylaws provide that, in an uncontested election, director nominees are elected by the vote of a majority of the votes cast with respect to the director by shareholders entitled to vote in the election of directors at a meeting of shareholders at which a quorum is present. An election is contested if, (x) the secretary receives notice that one or more shareholders has proposed to nominate one or more persons for election or re-election to the board of directors, which notice purports to be in compliance with the advance notice requirements for shareholder nominations set forth in our Bylaws, irrespective of whether the board of directors at any time determines that any such notice is not in compliance with such requirements, and</w:t>
      </w:r>
    </w:p>
    <w:p>
      <w:pPr>
        <w:spacing w:after="0" w:line="2" w:lineRule="exact"/>
        <w:rPr>
          <w:sz w:val="20"/>
          <w:szCs w:val="20"/>
          <w:color w:val="auto"/>
        </w:rPr>
      </w:pPr>
    </w:p>
    <w:p>
      <w:pPr>
        <w:ind w:left="1300" w:right="1339" w:firstLine="5"/>
        <w:spacing w:after="0" w:line="254" w:lineRule="auto"/>
        <w:tabs>
          <w:tab w:leader="none" w:pos="151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nomination or nominations have not been formally and irrevocably withdrawn by such shareholder(s) on or prior to the date that is 14 days in advance of the date we file our definitive proxy statement with the SEC, in which case directors will be elected by the vote of a plurality of the votes cast by shareholders entitled to vote in the election of directors at a meeting of shareholders at which a quorum is present.</w:t>
      </w:r>
    </w:p>
    <w:p>
      <w:pPr>
        <w:spacing w:after="0" w:line="259" w:lineRule="exact"/>
        <w:rPr>
          <w:sz w:val="20"/>
          <w:szCs w:val="20"/>
          <w:color w:val="auto"/>
        </w:rPr>
      </w:pPr>
    </w:p>
    <w:p>
      <w:pPr>
        <w:jc w:val="both"/>
        <w:ind w:left="1300" w:right="1319" w:firstLine="281"/>
        <w:spacing w:after="0" w:line="268" w:lineRule="auto"/>
        <w:rPr>
          <w:sz w:val="20"/>
          <w:szCs w:val="20"/>
          <w:color w:val="auto"/>
        </w:rPr>
      </w:pPr>
      <w:r>
        <w:rPr>
          <w:rFonts w:ascii="Times New Roman" w:cs="Times New Roman" w:eastAsia="Times New Roman" w:hAnsi="Times New Roman"/>
          <w:sz w:val="14"/>
          <w:szCs w:val="14"/>
          <w:i w:val="1"/>
          <w:iCs w:val="1"/>
          <w:color w:val="auto"/>
        </w:rPr>
        <w:t>Dividends</w:t>
      </w:r>
      <w:r>
        <w:rPr>
          <w:rFonts w:ascii="Times New Roman" w:cs="Times New Roman" w:eastAsia="Times New Roman" w:hAnsi="Times New Roman"/>
          <w:sz w:val="14"/>
          <w:szCs w:val="14"/>
          <w:color w:val="auto"/>
        </w:rPr>
        <w:t>. Subject to preferences that may be applicable to any of our outstanding preferred stock,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holders of our common stock are entitled to dividends when, as and if declared by the board of directors out of funds legally available for that purpose.</w:t>
      </w:r>
    </w:p>
    <w:p>
      <w:pPr>
        <w:spacing w:after="0" w:line="71" w:lineRule="exact"/>
        <w:rPr>
          <w:sz w:val="20"/>
          <w:szCs w:val="20"/>
          <w:color w:val="auto"/>
        </w:rPr>
      </w:pPr>
    </w:p>
    <w:p>
      <w:pPr>
        <w:ind w:left="1300" w:right="1339" w:firstLine="281"/>
        <w:spacing w:after="0" w:line="261" w:lineRule="auto"/>
        <w:rPr>
          <w:sz w:val="20"/>
          <w:szCs w:val="20"/>
          <w:color w:val="auto"/>
        </w:rPr>
      </w:pPr>
      <w:r>
        <w:rPr>
          <w:rFonts w:ascii="Times New Roman" w:cs="Times New Roman" w:eastAsia="Times New Roman" w:hAnsi="Times New Roman"/>
          <w:sz w:val="14"/>
          <w:szCs w:val="14"/>
          <w:i w:val="1"/>
          <w:iCs w:val="1"/>
          <w:color w:val="auto"/>
        </w:rPr>
        <w:t>Liquidation Rights</w:t>
      </w:r>
      <w:r>
        <w:rPr>
          <w:rFonts w:ascii="Times New Roman" w:cs="Times New Roman" w:eastAsia="Times New Roman" w:hAnsi="Times New Roman"/>
          <w:sz w:val="14"/>
          <w:szCs w:val="14"/>
          <w:color w:val="auto"/>
        </w:rPr>
        <w:t>. If we are liquidated, terminated or wound up, the holders of our common stock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will be entitled to a pro rata share in any distribution to shareholders, but only after satisfaction of all of our liabilities and of the prior rights of any outstanding class of our preferred stock, which may include the right to participate further with the holders of our common stock in the distribution of any of our remaining assets.</w:t>
      </w:r>
    </w:p>
    <w:p>
      <w:pPr>
        <w:spacing w:after="0" w:line="257" w:lineRule="exact"/>
        <w:rPr>
          <w:sz w:val="20"/>
          <w:szCs w:val="20"/>
          <w:color w:val="auto"/>
        </w:rPr>
      </w:pPr>
    </w:p>
    <w:p>
      <w:pPr>
        <w:ind w:left="1300" w:right="1599" w:firstLine="281"/>
        <w:spacing w:after="0" w:line="286" w:lineRule="auto"/>
        <w:rPr>
          <w:sz w:val="20"/>
          <w:szCs w:val="20"/>
          <w:color w:val="auto"/>
        </w:rPr>
      </w:pPr>
      <w:r>
        <w:rPr>
          <w:rFonts w:ascii="Times New Roman" w:cs="Times New Roman" w:eastAsia="Times New Roman" w:hAnsi="Times New Roman"/>
          <w:sz w:val="14"/>
          <w:szCs w:val="14"/>
          <w:i w:val="1"/>
          <w:iCs w:val="1"/>
          <w:color w:val="auto"/>
        </w:rPr>
        <w:t>Preemptive Rights</w:t>
      </w:r>
      <w:r>
        <w:rPr>
          <w:rFonts w:ascii="Times New Roman" w:cs="Times New Roman" w:eastAsia="Times New Roman" w:hAnsi="Times New Roman"/>
          <w:sz w:val="14"/>
          <w:szCs w:val="14"/>
          <w:color w:val="auto"/>
        </w:rPr>
        <w:t>. Holders of our common stock are not entitled to any preemptive or conversion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rights or other subscription rights.</w:t>
      </w:r>
    </w:p>
    <w:p>
      <w:pPr>
        <w:spacing w:after="0" w:line="69" w:lineRule="exact"/>
        <w:rPr>
          <w:sz w:val="20"/>
          <w:szCs w:val="20"/>
          <w:color w:val="auto"/>
        </w:rPr>
      </w:pPr>
    </w:p>
    <w:p>
      <w:pPr>
        <w:ind w:left="1300" w:right="1339" w:firstLine="281"/>
        <w:spacing w:after="0" w:line="286" w:lineRule="auto"/>
        <w:rPr>
          <w:sz w:val="20"/>
          <w:szCs w:val="20"/>
          <w:color w:val="auto"/>
        </w:rPr>
      </w:pPr>
      <w:r>
        <w:rPr>
          <w:rFonts w:ascii="Times New Roman" w:cs="Times New Roman" w:eastAsia="Times New Roman" w:hAnsi="Times New Roman"/>
          <w:sz w:val="14"/>
          <w:szCs w:val="14"/>
          <w:i w:val="1"/>
          <w:iCs w:val="1"/>
          <w:color w:val="auto"/>
        </w:rPr>
        <w:t>Transfer Agent and Registrar</w:t>
      </w:r>
      <w:r>
        <w:rPr>
          <w:rFonts w:ascii="Times New Roman" w:cs="Times New Roman" w:eastAsia="Times New Roman" w:hAnsi="Times New Roman"/>
          <w:sz w:val="14"/>
          <w:szCs w:val="14"/>
          <w:color w:val="auto"/>
        </w:rPr>
        <w:t>. Broadridge Corporate Issuer Solutions, Inc. serves as transfer agent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registrar for our common stock.</w:t>
      </w:r>
    </w:p>
    <w:p>
      <w:pPr>
        <w:spacing w:after="0" w:line="58" w:lineRule="exact"/>
        <w:rPr>
          <w:sz w:val="20"/>
          <w:szCs w:val="20"/>
          <w:color w:val="auto"/>
        </w:rPr>
      </w:pPr>
    </w:p>
    <w:p>
      <w:pPr>
        <w:ind w:left="1300" w:right="1359" w:firstLine="281"/>
        <w:spacing w:after="0" w:line="259" w:lineRule="auto"/>
        <w:rPr>
          <w:sz w:val="20"/>
          <w:szCs w:val="20"/>
          <w:color w:val="auto"/>
        </w:rPr>
      </w:pPr>
      <w:r>
        <w:rPr>
          <w:rFonts w:ascii="Times New Roman" w:cs="Times New Roman" w:eastAsia="Times New Roman" w:hAnsi="Times New Roman"/>
          <w:sz w:val="14"/>
          <w:szCs w:val="14"/>
          <w:i w:val="1"/>
          <w:iCs w:val="1"/>
          <w:color w:val="auto"/>
        </w:rPr>
        <w:t>Other Provisions</w:t>
      </w:r>
      <w:r>
        <w:rPr>
          <w:rFonts w:ascii="Times New Roman" w:cs="Times New Roman" w:eastAsia="Times New Roman" w:hAnsi="Times New Roman"/>
          <w:sz w:val="14"/>
          <w:szCs w:val="14"/>
          <w:color w:val="auto"/>
        </w:rPr>
        <w:t>. There are no redemption or sinking fund provisions applicable to our common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stock. No personal liability will attach to holders of such shares under the laws of the State of Texas. Subject to the provisions of our Certificate of Formation and Bylaws imposing certain supermajority voting provisions, the rights of the holders of shares of our common stock may not be modified except by a vote of at least a majority of the shares outstanding entitled to vote thereon, voting together as a single class.</w:t>
      </w:r>
    </w:p>
    <w:p>
      <w:pPr>
        <w:spacing w:after="0" w:line="89" w:lineRule="exact"/>
        <w:rPr>
          <w:sz w:val="20"/>
          <w:szCs w:val="20"/>
          <w:color w:val="auto"/>
        </w:rPr>
      </w:pPr>
    </w:p>
    <w:p>
      <w:pPr>
        <w:ind w:left="1300" w:right="1439" w:firstLine="281"/>
        <w:spacing w:after="0" w:line="286" w:lineRule="auto"/>
        <w:rPr>
          <w:sz w:val="20"/>
          <w:szCs w:val="20"/>
          <w:color w:val="auto"/>
        </w:rPr>
      </w:pPr>
      <w:r>
        <w:rPr>
          <w:rFonts w:ascii="Times New Roman" w:cs="Times New Roman" w:eastAsia="Times New Roman" w:hAnsi="Times New Roman"/>
          <w:sz w:val="14"/>
          <w:szCs w:val="14"/>
          <w:i w:val="1"/>
          <w:iCs w:val="1"/>
          <w:color w:val="auto"/>
        </w:rPr>
        <w:t>Listing</w:t>
      </w:r>
      <w:r>
        <w:rPr>
          <w:rFonts w:ascii="Times New Roman" w:cs="Times New Roman" w:eastAsia="Times New Roman" w:hAnsi="Times New Roman"/>
          <w:sz w:val="14"/>
          <w:szCs w:val="14"/>
          <w:color w:val="auto"/>
        </w:rPr>
        <w:t>. Our common stock is traded on the New York Stock Exchange and the NYSE Texas, in each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case, under the trading symbol “CNP.”</w:t>
      </w: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3" w:name="page24"/>
    <w:bookmarkEnd w:id="23"/>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25" w:lineRule="exact"/>
        <w:rPr>
          <w:sz w:val="20"/>
          <w:szCs w:val="20"/>
          <w:color w:val="auto"/>
        </w:rPr>
      </w:pPr>
    </w:p>
    <w:p>
      <w:pPr>
        <w:ind w:left="1300" w:right="1339" w:firstLine="281"/>
        <w:spacing w:after="0" w:line="267" w:lineRule="auto"/>
        <w:rPr>
          <w:sz w:val="20"/>
          <w:szCs w:val="20"/>
          <w:color w:val="auto"/>
        </w:rPr>
      </w:pPr>
      <w:r>
        <w:rPr>
          <w:rFonts w:ascii="Times New Roman" w:cs="Times New Roman" w:eastAsia="Times New Roman" w:hAnsi="Times New Roman"/>
          <w:sz w:val="14"/>
          <w:szCs w:val="14"/>
          <w:color w:val="auto"/>
        </w:rPr>
        <w:t>Our board of directors may cause us to issue preferred stock from time to time in one or more series and may fix the number of shares and the terms of each series without the approval of our shareholders. Our board of directors may determine the terms of each series, including:</w:t>
      </w:r>
    </w:p>
    <w:p>
      <w:pPr>
        <w:spacing w:after="0" w:line="52" w:lineRule="exact"/>
        <w:rPr>
          <w:sz w:val="20"/>
          <w:szCs w:val="20"/>
          <w:color w:val="auto"/>
        </w:rPr>
      </w:pPr>
    </w:p>
    <w:p>
      <w:pPr>
        <w:ind w:left="1720" w:hanging="134"/>
        <w:spacing w:after="0"/>
        <w:tabs>
          <w:tab w:leader="none" w:pos="17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the series,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 rates and payment dates,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dividends will be cumulative, non-cumulative or partially cumulative, and related terms,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rights,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liquidation rights,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sinking fund provisions,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conversion rights,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rights, and</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w:t>
      </w:r>
    </w:p>
    <w:p>
      <w:pPr>
        <w:spacing w:after="0" w:line="123" w:lineRule="exact"/>
        <w:rPr>
          <w:sz w:val="20"/>
          <w:szCs w:val="20"/>
          <w:color w:val="auto"/>
        </w:rPr>
      </w:pPr>
    </w:p>
    <w:p>
      <w:pPr>
        <w:ind w:left="1300" w:right="1439" w:firstLine="281"/>
        <w:spacing w:after="0" w:line="261" w:lineRule="auto"/>
        <w:rPr>
          <w:sz w:val="20"/>
          <w:szCs w:val="20"/>
          <w:color w:val="auto"/>
        </w:rPr>
      </w:pPr>
      <w:r>
        <w:rPr>
          <w:rFonts w:ascii="Times New Roman" w:cs="Times New Roman" w:eastAsia="Times New Roman" w:hAnsi="Times New Roman"/>
          <w:sz w:val="14"/>
          <w:szCs w:val="14"/>
          <w:color w:val="auto"/>
        </w:rPr>
        <w:t>The statement of resolutions establishing any series of preferred stock will include specific terms relating to such series of preferred stock. We will file the statement of resolutions with the Texas Secretary of State before we issue any of it. The statement of resolutions establishing a series of preferred stock will include some or all of the following terms:</w:t>
      </w:r>
    </w:p>
    <w:p>
      <w:pPr>
        <w:spacing w:after="0" w:line="57" w:lineRule="exact"/>
        <w:rPr>
          <w:sz w:val="20"/>
          <w:szCs w:val="20"/>
          <w:color w:val="auto"/>
        </w:rPr>
      </w:pPr>
    </w:p>
    <w:p>
      <w:pPr>
        <w:ind w:left="1720" w:hanging="134"/>
        <w:spacing w:after="0"/>
        <w:tabs>
          <w:tab w:leader="none" w:pos="17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preferred stock,</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maximum number of shares of the series,</w:t>
      </w:r>
    </w:p>
    <w:p>
      <w:pPr>
        <w:spacing w:after="0" w:line="91" w:lineRule="exact"/>
        <w:rPr>
          <w:rFonts w:ascii="Times New Roman" w:cs="Times New Roman" w:eastAsia="Times New Roman" w:hAnsi="Times New Roman"/>
          <w:sz w:val="14"/>
          <w:szCs w:val="14"/>
          <w:color w:val="auto"/>
        </w:rPr>
      </w:pPr>
    </w:p>
    <w:p>
      <w:pPr>
        <w:ind w:left="1720" w:right="1699" w:hanging="134"/>
        <w:spacing w:after="0" w:line="283" w:lineRule="auto"/>
        <w:tabs>
          <w:tab w:leader="none" w:pos="17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dividend rate or the method of calculating the dividend, the date from which dividends will accrue and whether dividends will be cumulative,</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liquidation preference,</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optional redemption provisions,</w:t>
      </w:r>
    </w:p>
    <w:p>
      <w:pPr>
        <w:spacing w:after="0" w:line="91" w:lineRule="exact"/>
        <w:rPr>
          <w:rFonts w:ascii="Times New Roman" w:cs="Times New Roman" w:eastAsia="Times New Roman" w:hAnsi="Times New Roman"/>
          <w:sz w:val="14"/>
          <w:szCs w:val="14"/>
          <w:color w:val="auto"/>
        </w:rPr>
      </w:pPr>
    </w:p>
    <w:p>
      <w:pPr>
        <w:ind w:left="1720" w:right="1679" w:hanging="134"/>
        <w:spacing w:after="0" w:line="283" w:lineRule="auto"/>
        <w:tabs>
          <w:tab w:leader="none" w:pos="17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sinking fund or other provisions that would obligate us to redeem or purchase the preferred stock,</w:t>
      </w:r>
    </w:p>
    <w:p>
      <w:pPr>
        <w:spacing w:after="0" w:line="41" w:lineRule="exact"/>
        <w:rPr>
          <w:rFonts w:ascii="Times New Roman" w:cs="Times New Roman" w:eastAsia="Times New Roman" w:hAnsi="Times New Roman"/>
          <w:sz w:val="14"/>
          <w:szCs w:val="14"/>
          <w:color w:val="auto"/>
        </w:rPr>
      </w:pPr>
    </w:p>
    <w:p>
      <w:pPr>
        <w:ind w:left="1720" w:right="1339" w:hanging="134"/>
        <w:spacing w:after="0" w:line="283" w:lineRule="auto"/>
        <w:tabs>
          <w:tab w:leader="none" w:pos="17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terms for the conversion or exchange of the preferred stock for other securities of us or any other entity,</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voting rights, and</w:t>
      </w:r>
    </w:p>
    <w:p>
      <w:pPr>
        <w:spacing w:after="0" w:line="91" w:lineRule="exact"/>
        <w:rPr>
          <w:rFonts w:ascii="Times New Roman" w:cs="Times New Roman" w:eastAsia="Times New Roman" w:hAnsi="Times New Roman"/>
          <w:sz w:val="14"/>
          <w:szCs w:val="14"/>
          <w:color w:val="auto"/>
        </w:rPr>
      </w:pPr>
    </w:p>
    <w:p>
      <w:pPr>
        <w:ind w:left="1720" w:right="2199" w:hanging="134"/>
        <w:spacing w:after="0" w:line="283" w:lineRule="auto"/>
        <w:tabs>
          <w:tab w:leader="none" w:pos="17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preferences and relative, participating, optional or other special rights or any qualifications, limitations or restrictions on the rights of the shares.</w:t>
      </w:r>
    </w:p>
    <w:p>
      <w:pPr>
        <w:spacing w:after="0" w:line="62" w:lineRule="exact"/>
        <w:rPr>
          <w:sz w:val="20"/>
          <w:szCs w:val="20"/>
          <w:color w:val="auto"/>
        </w:rPr>
      </w:pPr>
    </w:p>
    <w:p>
      <w:pPr>
        <w:ind w:left="1300" w:right="1339" w:firstLine="281"/>
        <w:spacing w:after="0" w:line="254" w:lineRule="auto"/>
        <w:rPr>
          <w:sz w:val="20"/>
          <w:szCs w:val="20"/>
          <w:color w:val="auto"/>
        </w:rPr>
      </w:pPr>
      <w:r>
        <w:rPr>
          <w:rFonts w:ascii="Times New Roman" w:cs="Times New Roman" w:eastAsia="Times New Roman" w:hAnsi="Times New Roman"/>
          <w:sz w:val="14"/>
          <w:szCs w:val="14"/>
          <w:color w:val="auto"/>
        </w:rPr>
        <w:t>The issuance of preferred stock, while providing desired flexibility in connection with possible acquisitions and other corporate purposes, could adversely affect the voting power of holders of our common stock. It could also affect the likelihood that holders of our common stock will receive dividend payments and payments upon liquidation. The issuance of shares of preferred stock, or the issuance of rights to purchase shares of preferred stock, could be used to discourage an attempt to obtain control of us. For example, if, in the exercise of its fiduciary obligations, our board were to determine that a takeover proposal was not in our best interest, the board could authorize the issuance of a series of preferred stock containing class voting rights that would enable the holder or holders of the series to prevent or make the change of control transaction more difficult. Alternatively, a change of control transaction deemed by the board to be in our best interest could be facilitated by issuing a series of preferred stock having sufficient voting rights to provide a required percentage vote of the shareholders.</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4" w:name="page25"/>
    <w:bookmarkEnd w:id="24"/>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Anti-Takeover Effects of Texas Laws and Our Charter and Bylaw Provisions</w:t>
      </w:r>
    </w:p>
    <w:p>
      <w:pPr>
        <w:spacing w:after="0" w:line="125" w:lineRule="exact"/>
        <w:rPr>
          <w:sz w:val="20"/>
          <w:szCs w:val="20"/>
          <w:color w:val="auto"/>
        </w:rPr>
      </w:pPr>
    </w:p>
    <w:p>
      <w:pPr>
        <w:ind w:left="1300" w:right="1459" w:firstLine="281"/>
        <w:spacing w:after="0" w:line="283" w:lineRule="auto"/>
        <w:rPr>
          <w:sz w:val="20"/>
          <w:szCs w:val="20"/>
          <w:color w:val="auto"/>
        </w:rPr>
      </w:pPr>
      <w:r>
        <w:rPr>
          <w:rFonts w:ascii="Times New Roman" w:cs="Times New Roman" w:eastAsia="Times New Roman" w:hAnsi="Times New Roman"/>
          <w:sz w:val="14"/>
          <w:szCs w:val="14"/>
          <w:color w:val="auto"/>
        </w:rPr>
        <w:t>Some provisions of Texas law and our Certificate of Formation and Bylaws could make the following actions more difficult:</w:t>
      </w:r>
    </w:p>
    <w:p>
      <w:pPr>
        <w:spacing w:after="0" w:line="41" w:lineRule="exact"/>
        <w:rPr>
          <w:sz w:val="20"/>
          <w:szCs w:val="20"/>
          <w:color w:val="auto"/>
        </w:rPr>
      </w:pPr>
    </w:p>
    <w:p>
      <w:pPr>
        <w:ind w:left="1720" w:hanging="134"/>
        <w:spacing w:after="0"/>
        <w:tabs>
          <w:tab w:leader="none" w:pos="17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of us by means of a tender offer,</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 of control of us by means of a proxy contest or otherwise, or</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removal of our incumbent officers and directors.</w:t>
      </w:r>
    </w:p>
    <w:p>
      <w:pPr>
        <w:spacing w:after="0" w:line="123" w:lineRule="exact"/>
        <w:rPr>
          <w:sz w:val="20"/>
          <w:szCs w:val="20"/>
          <w:color w:val="auto"/>
        </w:rPr>
      </w:pPr>
    </w:p>
    <w:p>
      <w:pPr>
        <w:ind w:left="1300" w:right="1399" w:firstLine="281"/>
        <w:spacing w:after="0" w:line="257" w:lineRule="auto"/>
        <w:rPr>
          <w:sz w:val="20"/>
          <w:szCs w:val="20"/>
          <w:color w:val="auto"/>
        </w:rPr>
      </w:pPr>
      <w:r>
        <w:rPr>
          <w:rFonts w:ascii="Times New Roman" w:cs="Times New Roman" w:eastAsia="Times New Roman" w:hAnsi="Times New Roman"/>
          <w:sz w:val="14"/>
          <w:szCs w:val="14"/>
          <w:color w:val="auto"/>
        </w:rPr>
        <w:t>These provisions are designed to discourage coercive takeover practices and inadequate takeover bids. These provisions are also designed to encourage persons seeking to acquire control of us to first negotiate with our board of directors. We believe that the benefits of this increased protection gives us the potential ability to negotiate with the proponent of an unfriendly or unsolicited proposal to acquire or restructure us, and that the benefits of this increased protection outweigh the disadvantages of discouraging those proposals, because negotiation of those proposals could result in an improvement of their terms.</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Charter and Bylaw Provisions</w:t>
      </w:r>
    </w:p>
    <w:p>
      <w:pPr>
        <w:spacing w:after="0" w:line="123" w:lineRule="exact"/>
        <w:rPr>
          <w:sz w:val="20"/>
          <w:szCs w:val="20"/>
          <w:color w:val="auto"/>
        </w:rPr>
      </w:pPr>
    </w:p>
    <w:p>
      <w:pPr>
        <w:ind w:left="1300" w:right="1339" w:firstLine="281"/>
        <w:spacing w:after="0" w:line="261" w:lineRule="auto"/>
        <w:rPr>
          <w:sz w:val="20"/>
          <w:szCs w:val="20"/>
          <w:color w:val="auto"/>
        </w:rPr>
      </w:pPr>
      <w:r>
        <w:rPr>
          <w:rFonts w:ascii="Times New Roman" w:cs="Times New Roman" w:eastAsia="Times New Roman" w:hAnsi="Times New Roman"/>
          <w:sz w:val="14"/>
          <w:szCs w:val="14"/>
          <w:i w:val="1"/>
          <w:iCs w:val="1"/>
          <w:color w:val="auto"/>
        </w:rPr>
        <w:t>Election and Removal of Directors</w:t>
      </w:r>
      <w:r>
        <w:rPr>
          <w:rFonts w:ascii="Times New Roman" w:cs="Times New Roman" w:eastAsia="Times New Roman" w:hAnsi="Times New Roman"/>
          <w:sz w:val="14"/>
          <w:szCs w:val="14"/>
          <w:color w:val="auto"/>
        </w:rPr>
        <w:t>. The number of members of our board of directors will be fixed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from time to time by resolution of the board of directors. Except for voting rights as may be provided to holders of preferred stock, at each annual meeting of shareholders, all directors are elected to hold office for a term expiring at the next succeeding annual meeting of shareholders and until their successors have been elected and qualified.</w:t>
      </w:r>
    </w:p>
    <w:p>
      <w:pPr>
        <w:spacing w:after="0" w:line="249" w:lineRule="exact"/>
        <w:rPr>
          <w:sz w:val="20"/>
          <w:szCs w:val="20"/>
          <w:color w:val="auto"/>
        </w:rPr>
      </w:pPr>
    </w:p>
    <w:p>
      <w:pPr>
        <w:ind w:left="1300" w:right="1359" w:firstLine="281"/>
        <w:spacing w:after="0" w:line="255" w:lineRule="auto"/>
        <w:rPr>
          <w:sz w:val="20"/>
          <w:szCs w:val="20"/>
          <w:color w:val="auto"/>
        </w:rPr>
      </w:pPr>
      <w:r>
        <w:rPr>
          <w:rFonts w:ascii="Times New Roman" w:cs="Times New Roman" w:eastAsia="Times New Roman" w:hAnsi="Times New Roman"/>
          <w:sz w:val="14"/>
          <w:szCs w:val="14"/>
          <w:color w:val="auto"/>
        </w:rPr>
        <w:t>No director may be removed except for cause, and, subject to the voting rights expressly conferred to the holders of our preferred stock, directors may be removed for cause only by the affirmative vote of the holders of at least a majority of the voting power of all outstanding shares of capital stock entitled to vote at an election of directors, voting together as a single class at a meeting of shareholders expressly called for that purpose. Subject to the voting rights expressly conferred to the holders of our preferred stock, any vacancy occurring on the board of directors and any newly created directorship may be filled by the affirmative vote of a majority of the remaining directors in office or by election by the shareholders at a meeting called for that purpose.</w:t>
      </w:r>
    </w:p>
    <w:p>
      <w:pPr>
        <w:spacing w:after="0" w:line="263" w:lineRule="exact"/>
        <w:rPr>
          <w:sz w:val="20"/>
          <w:szCs w:val="20"/>
          <w:color w:val="auto"/>
        </w:rPr>
      </w:pPr>
    </w:p>
    <w:p>
      <w:pPr>
        <w:ind w:left="1300" w:right="1379" w:firstLine="281"/>
        <w:spacing w:after="0" w:line="262" w:lineRule="auto"/>
        <w:rPr>
          <w:sz w:val="20"/>
          <w:szCs w:val="20"/>
          <w:color w:val="auto"/>
        </w:rPr>
      </w:pPr>
      <w:r>
        <w:rPr>
          <w:rFonts w:ascii="Times New Roman" w:cs="Times New Roman" w:eastAsia="Times New Roman" w:hAnsi="Times New Roman"/>
          <w:sz w:val="14"/>
          <w:szCs w:val="14"/>
          <w:i w:val="1"/>
          <w:iCs w:val="1"/>
          <w:color w:val="auto"/>
        </w:rPr>
        <w:t>Shareholder Meetings</w:t>
      </w:r>
      <w:r>
        <w:rPr>
          <w:rFonts w:ascii="Times New Roman" w:cs="Times New Roman" w:eastAsia="Times New Roman" w:hAnsi="Times New Roman"/>
          <w:sz w:val="14"/>
          <w:szCs w:val="14"/>
          <w:color w:val="auto"/>
        </w:rPr>
        <w:t>. Our Certificate of Formation and Bylaws provide that special meetings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holders of common stock may be called only by the chair of our board of directors, our chief executive officer, the president, the secretary, a majority of our board of directors or the holders of at least 50% of the shares of our capital stock outstanding and entitled to vote at such meeting.</w:t>
      </w:r>
    </w:p>
    <w:p>
      <w:pPr>
        <w:spacing w:after="0" w:line="86" w:lineRule="exact"/>
        <w:rPr>
          <w:sz w:val="20"/>
          <w:szCs w:val="20"/>
          <w:color w:val="auto"/>
        </w:rPr>
      </w:pPr>
    </w:p>
    <w:p>
      <w:pPr>
        <w:ind w:left="1300" w:right="1379" w:firstLine="281"/>
        <w:spacing w:after="0" w:line="245" w:lineRule="auto"/>
        <w:rPr>
          <w:sz w:val="20"/>
          <w:szCs w:val="20"/>
          <w:color w:val="auto"/>
        </w:rPr>
      </w:pPr>
      <w:r>
        <w:rPr>
          <w:rFonts w:ascii="Times New Roman" w:cs="Times New Roman" w:eastAsia="Times New Roman" w:hAnsi="Times New Roman"/>
          <w:sz w:val="14"/>
          <w:szCs w:val="14"/>
          <w:i w:val="1"/>
          <w:iCs w:val="1"/>
          <w:color w:val="auto"/>
        </w:rPr>
        <w:t>Modification of Certificate of Formation</w:t>
      </w:r>
      <w:r>
        <w:rPr>
          <w:rFonts w:ascii="Times New Roman" w:cs="Times New Roman" w:eastAsia="Times New Roman" w:hAnsi="Times New Roman"/>
          <w:sz w:val="14"/>
          <w:szCs w:val="14"/>
          <w:color w:val="auto"/>
        </w:rPr>
        <w:t>. In general, amendments to our Certificate of Formation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are recommended by the board of directors require the affirmative vote of holders of at least a majority of the outstanding shares of capital stock entitled to vote thereon. The provisions described above under “— Election and Removal of Directors” and “— Shareholder Meetings” may be amended only by the affirmative vote of holders of at least 66</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9"/>
          <w:szCs w:val="9"/>
          <w:color w:val="auto"/>
        </w:rPr>
        <w:t>3</w:t>
      </w:r>
      <w:r>
        <w:rPr>
          <w:rFonts w:ascii="Times New Roman" w:cs="Times New Roman" w:eastAsia="Times New Roman" w:hAnsi="Times New Roman"/>
          <w:sz w:val="14"/>
          <w:szCs w:val="14"/>
          <w:color w:val="auto"/>
        </w:rPr>
        <w:t>% of the voting power of all outstanding shares of capital stock generally entitled to vote in the election of directors, voting together as a single class. The provisions described below under “— Modification of Bylaws” may be amended only by the affirmative vote of holders of at least 80% of the voting power of all outstanding shares of capital stock entitled to vote in the election of directors.</w:t>
      </w:r>
    </w:p>
    <w:p>
      <w:pPr>
        <w:spacing w:after="0" w:line="258" w:lineRule="exact"/>
        <w:rPr>
          <w:sz w:val="20"/>
          <w:szCs w:val="20"/>
          <w:color w:val="auto"/>
        </w:rPr>
      </w:pPr>
    </w:p>
    <w:p>
      <w:pPr>
        <w:ind w:left="1300" w:right="1339" w:firstLine="281"/>
        <w:spacing w:after="0" w:line="258" w:lineRule="auto"/>
        <w:rPr>
          <w:sz w:val="20"/>
          <w:szCs w:val="20"/>
          <w:color w:val="auto"/>
        </w:rPr>
      </w:pPr>
      <w:r>
        <w:rPr>
          <w:rFonts w:ascii="Times New Roman" w:cs="Times New Roman" w:eastAsia="Times New Roman" w:hAnsi="Times New Roman"/>
          <w:sz w:val="14"/>
          <w:szCs w:val="14"/>
          <w:i w:val="1"/>
          <w:iCs w:val="1"/>
          <w:color w:val="auto"/>
        </w:rPr>
        <w:t>Modification of Bylaws</w:t>
      </w:r>
      <w:r>
        <w:rPr>
          <w:rFonts w:ascii="Times New Roman" w:cs="Times New Roman" w:eastAsia="Times New Roman" w:hAnsi="Times New Roman"/>
          <w:sz w:val="14"/>
          <w:szCs w:val="14"/>
          <w:color w:val="auto"/>
        </w:rPr>
        <w:t>. Our board of directors has the power to alter, amend or repeal our Bylaws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adopt new Bylaws by the affirmative vote of at least 80% of all directors then in office at any regular or special meeting of the board of directors. The shareholders also have the power to alter, amend or repeal our Bylaws or adopt new Bylaws by the affirmative vote of holders of at least 80% of the voting power of all outstanding shares of capital stock entitled to vote in the election of directors, voting together as a single class.</w:t>
      </w:r>
    </w:p>
    <w:p>
      <w:pPr>
        <w:spacing w:after="0" w:line="261" w:lineRule="exact"/>
        <w:rPr>
          <w:sz w:val="20"/>
          <w:szCs w:val="20"/>
          <w:color w:val="auto"/>
        </w:rPr>
      </w:pPr>
    </w:p>
    <w:p>
      <w:pPr>
        <w:ind w:left="1300" w:right="1379" w:firstLine="281"/>
        <w:spacing w:after="0" w:line="286" w:lineRule="auto"/>
        <w:rPr>
          <w:sz w:val="20"/>
          <w:szCs w:val="20"/>
          <w:color w:val="auto"/>
        </w:rPr>
      </w:pPr>
      <w:r>
        <w:rPr>
          <w:rFonts w:ascii="Times New Roman" w:cs="Times New Roman" w:eastAsia="Times New Roman" w:hAnsi="Times New Roman"/>
          <w:sz w:val="14"/>
          <w:szCs w:val="14"/>
          <w:i w:val="1"/>
          <w:iCs w:val="1"/>
          <w:color w:val="auto"/>
        </w:rPr>
        <w:t>Other Limitations on Shareholder Actions</w:t>
      </w:r>
      <w:r>
        <w:rPr>
          <w:rFonts w:ascii="Times New Roman" w:cs="Times New Roman" w:eastAsia="Times New Roman" w:hAnsi="Times New Roman"/>
          <w:sz w:val="14"/>
          <w:szCs w:val="14"/>
          <w:color w:val="auto"/>
        </w:rPr>
        <w:t>. Our Bylaws also impose some procedural requirements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shareholders who wish to:</w:t>
      </w:r>
    </w:p>
    <w:p>
      <w:pPr>
        <w:spacing w:after="0" w:line="39" w:lineRule="exact"/>
        <w:rPr>
          <w:sz w:val="20"/>
          <w:szCs w:val="20"/>
          <w:color w:val="auto"/>
        </w:rPr>
      </w:pPr>
    </w:p>
    <w:p>
      <w:pPr>
        <w:ind w:left="4420" w:right="4459" w:hanging="2834"/>
        <w:spacing w:after="0" w:line="489" w:lineRule="auto"/>
        <w:tabs>
          <w:tab w:leader="none" w:pos="1733"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nominations in the election of directors,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389890</wp:posOffset>
            </wp:positionV>
            <wp:extent cx="533082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5" w:name="page26"/>
    <w:bookmarkEnd w:id="25"/>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20" w:hanging="134"/>
        <w:spacing w:after="0"/>
        <w:tabs>
          <w:tab w:leader="none" w:pos="17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propose that a director be removed,</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propose any repeal or change in our Bylaws, or</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propose any other business to be brought before an annual or special meeting of shareholders.</w:t>
      </w:r>
    </w:p>
    <w:p>
      <w:pPr>
        <w:spacing w:after="0" w:line="113" w:lineRule="exact"/>
        <w:rPr>
          <w:sz w:val="20"/>
          <w:szCs w:val="20"/>
          <w:color w:val="auto"/>
        </w:rPr>
      </w:pPr>
    </w:p>
    <w:p>
      <w:pPr>
        <w:jc w:val="both"/>
        <w:ind w:left="1300" w:right="1479" w:firstLine="281"/>
        <w:spacing w:after="0" w:line="259" w:lineRule="auto"/>
        <w:rPr>
          <w:sz w:val="20"/>
          <w:szCs w:val="20"/>
          <w:color w:val="auto"/>
        </w:rPr>
      </w:pPr>
      <w:r>
        <w:rPr>
          <w:rFonts w:ascii="Times New Roman" w:cs="Times New Roman" w:eastAsia="Times New Roman" w:hAnsi="Times New Roman"/>
          <w:sz w:val="14"/>
          <w:szCs w:val="14"/>
          <w:color w:val="auto"/>
        </w:rPr>
        <w:t>Under these procedural requirements, a shareholder must deliver timely notice in proper written form (as specified in our Bylaws) to our secretary of the nomination or proposal along with evidence of, among other things:</w:t>
      </w:r>
    </w:p>
    <w:p>
      <w:pPr>
        <w:spacing w:after="0" w:line="47" w:lineRule="exact"/>
        <w:rPr>
          <w:sz w:val="20"/>
          <w:szCs w:val="20"/>
          <w:color w:val="auto"/>
        </w:rPr>
      </w:pPr>
    </w:p>
    <w:p>
      <w:pPr>
        <w:ind w:left="1720" w:hanging="134"/>
        <w:spacing w:after="0"/>
        <w:tabs>
          <w:tab w:leader="none" w:pos="17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shareholder’s status as a shareholder,</w:t>
      </w:r>
    </w:p>
    <w:p>
      <w:pPr>
        <w:spacing w:after="0" w:line="8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beneficially owned by the shareholder,</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list of the persons with whom the shareholder is acting in concert, and</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such persons beneficially own.</w:t>
      </w:r>
    </w:p>
    <w:p>
      <w:pPr>
        <w:spacing w:after="0" w:line="11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To be timely, a shareholder must deliver the notice:</w:t>
      </w:r>
    </w:p>
    <w:p>
      <w:pPr>
        <w:spacing w:after="0" w:line="92" w:lineRule="exact"/>
        <w:rPr>
          <w:sz w:val="20"/>
          <w:szCs w:val="20"/>
          <w:color w:val="auto"/>
        </w:rPr>
      </w:pPr>
    </w:p>
    <w:p>
      <w:pPr>
        <w:ind w:left="1720" w:right="1339" w:hanging="134"/>
        <w:spacing w:after="0" w:line="256" w:lineRule="auto"/>
        <w:tabs>
          <w:tab w:leader="none" w:pos="17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an annual meeting of shareholders, not later than the close of business on the 90th day nor earlier than the close of business on the 180th day prior to the first anniversary of the date on which the immediately preceding year’s annual meeting of shareholders was held; provided that if the date of the annual meeting is advanced by more than 30 days prior to or delayed by more than</w:t>
      </w:r>
    </w:p>
    <w:p>
      <w:pPr>
        <w:spacing w:after="0" w:line="1" w:lineRule="exact"/>
        <w:rPr>
          <w:rFonts w:ascii="Times New Roman" w:cs="Times New Roman" w:eastAsia="Times New Roman" w:hAnsi="Times New Roman"/>
          <w:sz w:val="14"/>
          <w:szCs w:val="14"/>
          <w:color w:val="auto"/>
        </w:rPr>
      </w:pPr>
    </w:p>
    <w:p>
      <w:pPr>
        <w:ind w:left="1720" w:right="1379"/>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60 days after the first anniversary of the preceding year’s annual meeting of shareholders, not earlier than the close of business 180 days prior to the annual meeting and not later than the last to occur of the close of business (i) the 90th day prior to the annual meeting or (ii) the 10th day following the day on which we first make public announcement of the date of such meeting, or</w:t>
      </w:r>
    </w:p>
    <w:p>
      <w:pPr>
        <w:spacing w:after="0" w:line="61" w:lineRule="exact"/>
        <w:rPr>
          <w:rFonts w:ascii="Times New Roman" w:cs="Times New Roman" w:eastAsia="Times New Roman" w:hAnsi="Times New Roman"/>
          <w:sz w:val="14"/>
          <w:szCs w:val="14"/>
          <w:color w:val="auto"/>
        </w:rPr>
      </w:pPr>
    </w:p>
    <w:p>
      <w:pPr>
        <w:ind w:left="1720" w:right="1359" w:hanging="134"/>
        <w:spacing w:after="0" w:line="267" w:lineRule="auto"/>
        <w:tabs>
          <w:tab w:leader="none" w:pos="17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nomination of director candidates at a special meeting of shareholders, generally not later than the close of business on the 40th day nor earlier than the close of business on the 60th day prior to the date of the special meeting.</w:t>
      </w:r>
    </w:p>
    <w:p>
      <w:pPr>
        <w:spacing w:after="0" w:line="7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To submit a nomination for the board of directors, a shareholder must also submit information with</w:t>
      </w:r>
    </w:p>
    <w:p>
      <w:pPr>
        <w:spacing w:after="0" w:line="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respect to the nominee that we would be required to include in a proxy statement, and, with respect to a</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nomination for an annual meeting, reasonable evidence that it has complied with the requirements of</w:t>
      </w:r>
    </w:p>
    <w:p>
      <w:pPr>
        <w:ind w:left="1300"/>
        <w:spacing w:after="0" w:line="235" w:lineRule="auto"/>
        <w:rPr>
          <w:sz w:val="20"/>
          <w:szCs w:val="20"/>
          <w:color w:val="auto"/>
        </w:rPr>
      </w:pPr>
      <w:r>
        <w:rPr>
          <w:rFonts w:ascii="Times New Roman" w:cs="Times New Roman" w:eastAsia="Times New Roman" w:hAnsi="Times New Roman"/>
          <w:sz w:val="14"/>
          <w:szCs w:val="14"/>
          <w:color w:val="auto"/>
        </w:rPr>
        <w:t>Rule 14a-19 of the Securities Exchange Act of 1934, as amended, not later than eight business days prior to</w:t>
      </w:r>
    </w:p>
    <w:p>
      <w:pPr>
        <w:ind w:left="1300"/>
        <w:spacing w:after="0"/>
        <w:rPr>
          <w:sz w:val="20"/>
          <w:szCs w:val="20"/>
          <w:color w:val="auto"/>
        </w:rPr>
      </w:pPr>
      <w:r>
        <w:rPr>
          <w:rFonts w:ascii="Times New Roman" w:cs="Times New Roman" w:eastAsia="Times New Roman" w:hAnsi="Times New Roman"/>
          <w:sz w:val="14"/>
          <w:szCs w:val="14"/>
          <w:color w:val="auto"/>
        </w:rPr>
        <w:t>the date of the meeting, as well as certain other information relating to the candidate’s eligibility, including</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any required updates or supplements to such information as of the record date for the meeting and as of the</w:t>
      </w:r>
    </w:p>
    <w:p>
      <w:pPr>
        <w:ind w:left="1300"/>
        <w:spacing w:after="0" w:line="235" w:lineRule="auto"/>
        <w:rPr>
          <w:sz w:val="20"/>
          <w:szCs w:val="20"/>
          <w:color w:val="auto"/>
        </w:rPr>
      </w:pPr>
      <w:r>
        <w:rPr>
          <w:rFonts w:ascii="Times New Roman" w:cs="Times New Roman" w:eastAsia="Times New Roman" w:hAnsi="Times New Roman"/>
          <w:sz w:val="14"/>
          <w:szCs w:val="14"/>
          <w:color w:val="auto"/>
        </w:rPr>
        <w:t>date that is ten business days prior to the meeting. If a shareholder fails to follow the required procedures,</w:t>
      </w:r>
    </w:p>
    <w:p>
      <w:pPr>
        <w:ind w:left="1300"/>
        <w:spacing w:after="0"/>
        <w:rPr>
          <w:sz w:val="20"/>
          <w:szCs w:val="20"/>
          <w:color w:val="auto"/>
        </w:rPr>
      </w:pPr>
      <w:r>
        <w:rPr>
          <w:rFonts w:ascii="Times New Roman" w:cs="Times New Roman" w:eastAsia="Times New Roman" w:hAnsi="Times New Roman"/>
          <w:sz w:val="14"/>
          <w:szCs w:val="14"/>
          <w:color w:val="auto"/>
        </w:rPr>
        <w:t>the shareholder’s nominee or proposal will be ineligible and will not be voted on by our shareholders.</w:t>
      </w:r>
    </w:p>
    <w:p>
      <w:pPr>
        <w:spacing w:after="0" w:line="97" w:lineRule="exact"/>
        <w:rPr>
          <w:sz w:val="20"/>
          <w:szCs w:val="20"/>
          <w:color w:val="auto"/>
        </w:rPr>
      </w:pPr>
    </w:p>
    <w:p>
      <w:pPr>
        <w:ind w:left="1300" w:right="1319" w:firstLine="281"/>
        <w:spacing w:after="0" w:line="243" w:lineRule="auto"/>
        <w:rPr>
          <w:sz w:val="20"/>
          <w:szCs w:val="20"/>
          <w:color w:val="auto"/>
        </w:rPr>
      </w:pPr>
      <w:r>
        <w:rPr>
          <w:rFonts w:ascii="Times New Roman" w:cs="Times New Roman" w:eastAsia="Times New Roman" w:hAnsi="Times New Roman"/>
          <w:sz w:val="14"/>
          <w:szCs w:val="14"/>
          <w:color w:val="auto"/>
        </w:rPr>
        <w:t>In addition to the director nomination provisions described above, our Bylaws contain a “proxy access” provision that provides that any shareholder or group of up to twenty shareholders who have owned 3% or more of our outstanding capital stock continuously for at least three years to nominate and include in our proxy materials for an annual meeting of shareholders, director candidates constituting up to 20% (or, if such amount is not a whole number, the closest whole number below 20%) of our board of directors or two directors, whichever is greater, provided that the shareholder (or group) and each nominee satisfy the eligibility requirements specified in our Bylaws. An eligible shareholder (or group) proposing to nominate a person for election to our board of directors through the proxy access provision must provide us with a notice requesting the inclusion of the director nominee in our proxy materials and other required information not less than 120 days nor more than 150 days prior to the first anniversary of the date on which the immediately preceding year’s annual meeting of shareholders was held. In addition, an eligible shareholder (or group) may include a written statement of not more than 500 words supporting the candidacy of such shareholder nominee. The complete proxy access provision for director nominations is set forth in our Bylaws.</w:t>
      </w:r>
    </w:p>
    <w:p>
      <w:pPr>
        <w:spacing w:after="0" w:line="259" w:lineRule="exact"/>
        <w:rPr>
          <w:sz w:val="20"/>
          <w:szCs w:val="20"/>
          <w:color w:val="auto"/>
        </w:rPr>
      </w:pPr>
    </w:p>
    <w:p>
      <w:pPr>
        <w:ind w:left="1300" w:right="1319" w:firstLine="281"/>
        <w:spacing w:after="0" w:line="247" w:lineRule="auto"/>
        <w:rPr>
          <w:sz w:val="20"/>
          <w:szCs w:val="20"/>
          <w:color w:val="auto"/>
        </w:rPr>
      </w:pPr>
      <w:r>
        <w:rPr>
          <w:rFonts w:ascii="Times New Roman" w:cs="Times New Roman" w:eastAsia="Times New Roman" w:hAnsi="Times New Roman"/>
          <w:sz w:val="14"/>
          <w:szCs w:val="14"/>
          <w:color w:val="auto"/>
        </w:rPr>
        <w:t>In connection with a special meeting of shareholders, the only business that will be conducted is that stated in the notice of special meeting, or otherwise properly brought and made in proper written form before the meeting by or at the direction of the Chair of the Meeting or the board of directors. Shareholders requesting a special meeting are permitted to make proposals for matters to be brought before the meeting in their request.</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6" w:name="page27"/>
    <w:bookmarkEnd w:id="26"/>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00" w:right="1439" w:firstLine="281"/>
        <w:spacing w:after="0" w:line="261" w:lineRule="auto"/>
        <w:rPr>
          <w:sz w:val="20"/>
          <w:szCs w:val="20"/>
          <w:color w:val="auto"/>
        </w:rPr>
      </w:pPr>
      <w:r>
        <w:rPr>
          <w:rFonts w:ascii="Times New Roman" w:cs="Times New Roman" w:eastAsia="Times New Roman" w:hAnsi="Times New Roman"/>
          <w:sz w:val="14"/>
          <w:szCs w:val="14"/>
          <w:i w:val="1"/>
          <w:iCs w:val="1"/>
          <w:color w:val="auto"/>
        </w:rPr>
        <w:t>Limitation on Liability of Directors and Officers</w:t>
      </w:r>
      <w:r>
        <w:rPr>
          <w:rFonts w:ascii="Times New Roman" w:cs="Times New Roman" w:eastAsia="Times New Roman" w:hAnsi="Times New Roman"/>
          <w:sz w:val="14"/>
          <w:szCs w:val="14"/>
          <w:color w:val="auto"/>
        </w:rPr>
        <w:t>. Our Certificate of Formation provides that no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director or officer will be personally liable to us or our shareholders for monetary damages for any act or omission in the director’s capacity as a director or officer’s capacity as an officer, as applicable, except for the liability of (1) a director or officer to the extent the director or officer is found liable under applicable law for:</w:t>
      </w:r>
    </w:p>
    <w:p>
      <w:pPr>
        <w:spacing w:after="0" w:line="228" w:lineRule="exact"/>
        <w:rPr>
          <w:sz w:val="20"/>
          <w:szCs w:val="20"/>
          <w:color w:val="auto"/>
        </w:rPr>
      </w:pPr>
    </w:p>
    <w:p>
      <w:pPr>
        <w:ind w:left="1720" w:hanging="134"/>
        <w:spacing w:after="0"/>
        <w:tabs>
          <w:tab w:leader="none" w:pos="172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breach of the director’s or officer’s duty of loyalty to us or our shareholders,</w:t>
      </w:r>
    </w:p>
    <w:p>
      <w:pPr>
        <w:spacing w:after="0" w:line="102" w:lineRule="exact"/>
        <w:rPr>
          <w:rFonts w:ascii="Times New Roman" w:cs="Times New Roman" w:eastAsia="Times New Roman" w:hAnsi="Times New Roman"/>
          <w:sz w:val="14"/>
          <w:szCs w:val="14"/>
          <w:color w:val="auto"/>
        </w:rPr>
      </w:pPr>
    </w:p>
    <w:p>
      <w:pPr>
        <w:ind w:left="1720" w:right="1319" w:hanging="134"/>
        <w:spacing w:after="0" w:line="283" w:lineRule="auto"/>
        <w:tabs>
          <w:tab w:leader="none" w:pos="172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act or omission not in good faith that (i) constitutes a breach of duty of the director or officer to us or (ii) involves intentional misconduct or a knowing violation of law,</w:t>
      </w:r>
    </w:p>
    <w:p>
      <w:pPr>
        <w:spacing w:after="0" w:line="41" w:lineRule="exact"/>
        <w:rPr>
          <w:rFonts w:ascii="Times New Roman" w:cs="Times New Roman" w:eastAsia="Times New Roman" w:hAnsi="Times New Roman"/>
          <w:sz w:val="14"/>
          <w:szCs w:val="14"/>
          <w:color w:val="auto"/>
        </w:rPr>
      </w:pPr>
    </w:p>
    <w:p>
      <w:pPr>
        <w:ind w:left="1720" w:right="1459" w:hanging="134"/>
        <w:spacing w:after="0" w:line="283" w:lineRule="auto"/>
        <w:tabs>
          <w:tab w:leader="none" w:pos="172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transaction from which the director or officer received an improper benefit, regardless of whether the benefit resulted from an action taken within the scope of a director’s or officer’s duties,</w:t>
      </w:r>
    </w:p>
    <w:p>
      <w:pPr>
        <w:spacing w:after="0" w:line="41" w:lineRule="exact"/>
        <w:rPr>
          <w:rFonts w:ascii="Times New Roman" w:cs="Times New Roman" w:eastAsia="Times New Roman" w:hAnsi="Times New Roman"/>
          <w:sz w:val="14"/>
          <w:szCs w:val="14"/>
          <w:color w:val="auto"/>
        </w:rPr>
      </w:pPr>
    </w:p>
    <w:p>
      <w:pPr>
        <w:ind w:left="1720" w:right="1899" w:hanging="134"/>
        <w:spacing w:after="0" w:line="283" w:lineRule="auto"/>
        <w:tabs>
          <w:tab w:leader="none" w:pos="172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act or omission for which the liability of a director or officer is expressly provided by an applicable statute; and</w:t>
      </w:r>
    </w:p>
    <w:p>
      <w:pPr>
        <w:spacing w:after="0" w:line="62" w:lineRule="exact"/>
        <w:rPr>
          <w:rFonts w:ascii="Times New Roman" w:cs="Times New Roman" w:eastAsia="Times New Roman" w:hAnsi="Times New Roman"/>
          <w:sz w:val="14"/>
          <w:szCs w:val="14"/>
          <w:color w:val="auto"/>
        </w:rPr>
      </w:pPr>
    </w:p>
    <w:p>
      <w:pPr>
        <w:ind w:left="1520" w:hanging="215"/>
        <w:spacing w:after="0"/>
        <w:tabs>
          <w:tab w:leader="none" w:pos="15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officer in any action by or in our right.</w:t>
      </w:r>
    </w:p>
    <w:p>
      <w:pPr>
        <w:spacing w:after="0" w:line="123" w:lineRule="exact"/>
        <w:rPr>
          <w:sz w:val="20"/>
          <w:szCs w:val="20"/>
          <w:color w:val="auto"/>
        </w:rPr>
      </w:pPr>
    </w:p>
    <w:p>
      <w:pPr>
        <w:jc w:val="both"/>
        <w:ind w:left="1300" w:right="1479" w:firstLine="281"/>
        <w:spacing w:after="0" w:line="261" w:lineRule="auto"/>
        <w:rPr>
          <w:sz w:val="20"/>
          <w:szCs w:val="20"/>
          <w:color w:val="auto"/>
        </w:rPr>
      </w:pPr>
      <w:r>
        <w:rPr>
          <w:rFonts w:ascii="Times New Roman" w:cs="Times New Roman" w:eastAsia="Times New Roman" w:hAnsi="Times New Roman"/>
          <w:sz w:val="14"/>
          <w:szCs w:val="14"/>
          <w:color w:val="auto"/>
        </w:rPr>
        <w:t>Our Bylaws provide that we will indemnify our current or former officers and directors and advance expenses to them in connection with proceedings and claims, to the fullest extent permitted by the TBOC. Our Bylaws authorize our board of directors to indemnify and advance expenses to people other than our current or former officers and directors in certain circumstances.</w:t>
      </w:r>
    </w:p>
    <w:p>
      <w:pPr>
        <w:spacing w:after="0" w:line="87" w:lineRule="exact"/>
        <w:rPr>
          <w:sz w:val="20"/>
          <w:szCs w:val="20"/>
          <w:color w:val="auto"/>
        </w:rPr>
      </w:pPr>
    </w:p>
    <w:p>
      <w:pPr>
        <w:ind w:left="1300" w:right="1319" w:firstLine="281"/>
        <w:spacing w:after="0" w:line="256" w:lineRule="auto"/>
        <w:rPr>
          <w:sz w:val="20"/>
          <w:szCs w:val="20"/>
          <w:color w:val="auto"/>
        </w:rPr>
      </w:pPr>
      <w:r>
        <w:rPr>
          <w:rFonts w:ascii="Times New Roman" w:cs="Times New Roman" w:eastAsia="Times New Roman" w:hAnsi="Times New Roman"/>
          <w:sz w:val="14"/>
          <w:szCs w:val="14"/>
          <w:i w:val="1"/>
          <w:iCs w:val="1"/>
          <w:color w:val="auto"/>
        </w:rPr>
        <w:t>Choice of Forum</w:t>
      </w:r>
      <w:r>
        <w:rPr>
          <w:rFonts w:ascii="Times New Roman" w:cs="Times New Roman" w:eastAsia="Times New Roman" w:hAnsi="Times New Roman"/>
          <w:sz w:val="14"/>
          <w:szCs w:val="14"/>
          <w:color w:val="auto"/>
        </w:rPr>
        <w:t>. Our Bylaws provide that, unless we consent to the selection of an alternative forum,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United States District Court for the Southern District of Texas or, if such court lacks jurisdiction, the Eleventh Business Court Division of the Texas Business Court, located in Harris County, Texas, shall be the sole and exclusive forum for certain actions brought on behalf of the company or asserting claims against the company or its directors, officers or employees. Our Bylaws also provide that the federal district courts of the United States will be the sole and exclusive forum for claims arising under the Securities Act of 1933, as amended (the “Securities Act”).</w:t>
      </w:r>
    </w:p>
    <w:p>
      <w:pPr>
        <w:spacing w:after="0" w:line="82" w:lineRule="exact"/>
        <w:rPr>
          <w:sz w:val="20"/>
          <w:szCs w:val="20"/>
          <w:color w:val="auto"/>
        </w:rPr>
      </w:pPr>
    </w:p>
    <w:p>
      <w:pPr>
        <w:ind w:left="1300" w:right="1339" w:firstLine="281"/>
        <w:spacing w:after="0" w:line="258" w:lineRule="auto"/>
        <w:rPr>
          <w:sz w:val="20"/>
          <w:szCs w:val="20"/>
          <w:color w:val="auto"/>
        </w:rPr>
      </w:pPr>
      <w:r>
        <w:rPr>
          <w:rFonts w:ascii="Times New Roman" w:cs="Times New Roman" w:eastAsia="Times New Roman" w:hAnsi="Times New Roman"/>
          <w:sz w:val="14"/>
          <w:szCs w:val="14"/>
          <w:i w:val="1"/>
          <w:iCs w:val="1"/>
          <w:color w:val="auto"/>
        </w:rPr>
        <w:t>Shareholder Derivative Proceedings</w:t>
      </w:r>
      <w:r>
        <w:rPr>
          <w:rFonts w:ascii="Times New Roman" w:cs="Times New Roman" w:eastAsia="Times New Roman" w:hAnsi="Times New Roman"/>
          <w:sz w:val="14"/>
          <w:szCs w:val="14"/>
          <w:color w:val="auto"/>
        </w:rPr>
        <w:t>. As permitted by the TBOC, our Bylaws provide that no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shareholder (as defined in Section 21.551(2) of the TBOC) or group of such shareholders may institute or maintain a derivative proceeding brought on behalf of the company against any director and/or officer of the company in such person’s official capacity unless the shareholder or group of shareholders, at the time the derivative proceeding is instituted, beneficially owns a number of shares of our common stock sufficient to meet an ownership threshold of at least 3% of the outstanding shares of our common stock.</w:t>
      </w:r>
    </w:p>
    <w:p>
      <w:pPr>
        <w:spacing w:after="0" w:line="88" w:lineRule="exact"/>
        <w:rPr>
          <w:sz w:val="20"/>
          <w:szCs w:val="20"/>
          <w:color w:val="auto"/>
        </w:rPr>
      </w:pPr>
    </w:p>
    <w:p>
      <w:pPr>
        <w:ind w:left="1300" w:right="1339" w:firstLine="281"/>
        <w:spacing w:after="0" w:line="256" w:lineRule="auto"/>
        <w:rPr>
          <w:sz w:val="20"/>
          <w:szCs w:val="20"/>
          <w:color w:val="auto"/>
        </w:rPr>
      </w:pPr>
      <w:r>
        <w:rPr>
          <w:rFonts w:ascii="Times New Roman" w:cs="Times New Roman" w:eastAsia="Times New Roman" w:hAnsi="Times New Roman"/>
          <w:sz w:val="14"/>
          <w:szCs w:val="14"/>
          <w:i w:val="1"/>
          <w:iCs w:val="1"/>
          <w:color w:val="auto"/>
        </w:rPr>
        <w:t>Jury Trial Waiver</w:t>
      </w:r>
      <w:r>
        <w:rPr>
          <w:rFonts w:ascii="Times New Roman" w:cs="Times New Roman" w:eastAsia="Times New Roman" w:hAnsi="Times New Roman"/>
          <w:sz w:val="14"/>
          <w:szCs w:val="14"/>
          <w:color w:val="auto"/>
        </w:rPr>
        <w:t>. As permitted by the TBOC, our Bylaws provide that, unless we consent in writing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a jury trial, the company and each shareholder, director, and officer of the company irrevocably and unconditionally waives any right that such person or entity may have to a trial by jury in any claim that such person or entity may have in any legal action, proceeding, cause of action, counterclaim, cross-claim, or third-party claim arising out of or relating to any “internal entity claim” under the TBOC, and each shareholder agrees that their holdings or acquisition of shares of capital stock of the company or, to the extent permitted by law, options or rights to acquire shares of capital stock of the company, constitutes such shareholder’s intentional and knowing waiver of any right to trial by jury with respect to such claim.</w:t>
      </w:r>
    </w:p>
    <w:p>
      <w:pPr>
        <w:spacing w:after="0" w:line="1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Texas Anti-Takeover Law</w:t>
      </w:r>
    </w:p>
    <w:p>
      <w:pPr>
        <w:spacing w:after="0" w:line="125" w:lineRule="exact"/>
        <w:rPr>
          <w:sz w:val="20"/>
          <w:szCs w:val="20"/>
          <w:color w:val="auto"/>
        </w:rPr>
      </w:pPr>
    </w:p>
    <w:p>
      <w:pPr>
        <w:ind w:left="1300" w:right="1359" w:firstLine="281"/>
        <w:spacing w:after="0" w:line="255" w:lineRule="auto"/>
        <w:rPr>
          <w:sz w:val="20"/>
          <w:szCs w:val="20"/>
          <w:color w:val="auto"/>
        </w:rPr>
      </w:pPr>
      <w:r>
        <w:rPr>
          <w:rFonts w:ascii="Times New Roman" w:cs="Times New Roman" w:eastAsia="Times New Roman" w:hAnsi="Times New Roman"/>
          <w:sz w:val="14"/>
          <w:szCs w:val="14"/>
          <w:color w:val="auto"/>
        </w:rPr>
        <w:t>We are subject to Section 21.606 of the TBOC. That section prohibits Texas public corporations from engaging in a wide range of specified transactions with any affiliated shareholder during the three-year period immediately following the affiliated shareholder’s acquisition of shares in the absence of certain board of director or shareholder approvals. An affiliated shareholder of a corporation is any person, other than the corporation and any of its wholly owned subsidiaries, that is or was within the preceding three-year period the beneficial owner of 20% or more of the outstanding shares of stock entitled to vote generally in the election of directors. Section 21.606 may deter any potential unfriendly offers or other efforts to obtain control of us that are not approved by our board of directors. This may deprive our shareholders of opportunities to sell shares of our common stock at a premium to the prevailing market price.</w:t>
      </w: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7" w:name="page28"/>
    <w:bookmarkEnd w:id="27"/>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STOCK PURCHASE CONTRACTS AND EQUITY UNITS</w:t>
      </w:r>
    </w:p>
    <w:p>
      <w:pPr>
        <w:spacing w:after="0" w:line="125" w:lineRule="exact"/>
        <w:rPr>
          <w:sz w:val="20"/>
          <w:szCs w:val="20"/>
          <w:color w:val="auto"/>
        </w:rPr>
      </w:pPr>
    </w:p>
    <w:p>
      <w:pPr>
        <w:ind w:left="1300" w:right="1339" w:firstLine="281"/>
        <w:spacing w:after="0" w:line="254" w:lineRule="auto"/>
        <w:rPr>
          <w:sz w:val="20"/>
          <w:szCs w:val="20"/>
          <w:color w:val="auto"/>
        </w:rPr>
      </w:pPr>
      <w:r>
        <w:rPr>
          <w:rFonts w:ascii="Times New Roman" w:cs="Times New Roman" w:eastAsia="Times New Roman" w:hAnsi="Times New Roman"/>
          <w:sz w:val="14"/>
          <w:szCs w:val="14"/>
          <w:color w:val="auto"/>
        </w:rPr>
        <w:t>We may issue stock purchase contracts, including contracts obligating holders to purchase from us, and obligating us to sell to the holders, a specified number of shares of common stock, preferred stock or other securities at a future date or dates. We may fix the price and number of securities subject to the stock purchase contracts at the time we issue the stock purchase contracts, or we may provide that the price and number of securities will be determined pursuant to a formula set forth in the stock purchase contracts. The stock purchase contracts may be issued separately or as part of units consisting of a stock purchase contract and our debt securities or debt obligations of third parties, including U.S. treasury securities, securing the obligations of the holders of the units to purchase the securities under the stock purchase contracts. We refer to these units as equity units. The stock purchase contracts may require holders to secure their obligations under the stock purchase contracts in a specified manner. The stock purchase contracts also may require us to make periodic payments to the holders of the equity units or vice versa, and those payments may be unsecured on some basis.</w:t>
      </w:r>
    </w:p>
    <w:p>
      <w:pPr>
        <w:spacing w:after="0" w:line="262" w:lineRule="exact"/>
        <w:rPr>
          <w:sz w:val="20"/>
          <w:szCs w:val="20"/>
          <w:color w:val="auto"/>
        </w:rPr>
      </w:pPr>
    </w:p>
    <w:p>
      <w:pPr>
        <w:ind w:left="1300" w:right="1459" w:firstLine="281"/>
        <w:spacing w:after="0" w:line="255" w:lineRule="auto"/>
        <w:rPr>
          <w:sz w:val="20"/>
          <w:szCs w:val="20"/>
          <w:color w:val="auto"/>
        </w:rPr>
      </w:pPr>
      <w:r>
        <w:rPr>
          <w:rFonts w:ascii="Times New Roman" w:cs="Times New Roman" w:eastAsia="Times New Roman" w:hAnsi="Times New Roman"/>
          <w:sz w:val="14"/>
          <w:szCs w:val="14"/>
          <w:color w:val="auto"/>
        </w:rPr>
        <w:t>The applicable prospectus supplement will describe the terms of the stock purchase contracts or equity units offered by such prospectus supplement. The description in the prospectus supplement will not necessarily be complete, and reference will be made to the stock purchase contracts or equity units, and, if applicable, collateral or depositary arrangements, relating to the stock purchase contracts or equity units, which will be filed with the SEC or otherwise incorporated by reference in our previous filings each time we issue stock purchase contracts or equity units. Certain material United States federal income tax considerations applicable to the equity units and the stock purchase contracts will also be discussed in the prospectus supplement.</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DEPOSITARY SHARES</w:t>
      </w:r>
    </w:p>
    <w:p>
      <w:pPr>
        <w:spacing w:after="0" w:line="115" w:lineRule="exact"/>
        <w:rPr>
          <w:sz w:val="20"/>
          <w:szCs w:val="20"/>
          <w:color w:val="auto"/>
        </w:rPr>
      </w:pPr>
    </w:p>
    <w:p>
      <w:pPr>
        <w:ind w:left="1300" w:right="1359" w:firstLine="281"/>
        <w:spacing w:after="0" w:line="254" w:lineRule="auto"/>
        <w:rPr>
          <w:sz w:val="20"/>
          <w:szCs w:val="20"/>
          <w:color w:val="auto"/>
        </w:rPr>
      </w:pPr>
      <w:r>
        <w:rPr>
          <w:rFonts w:ascii="Times New Roman" w:cs="Times New Roman" w:eastAsia="Times New Roman" w:hAnsi="Times New Roman"/>
          <w:sz w:val="14"/>
          <w:szCs w:val="14"/>
          <w:color w:val="auto"/>
        </w:rPr>
        <w:t>We may issue fractional shares of preferred stock, rather than full shares of preferred stock. If we do so, we may issue receipts for depositary shares that each represent a fraction of a share of a particular series of preferred stock. A related prospectus supplement will indicate that fraction. The shares of preferred stock represented by depositary shares will be deposited under a depositary agreement between us and a bank, trust company or other institution that is selected by us, which we refer to as the “depositary.” Each owner of a depositary share will be entitled to all the designations, powers, preferences, rights, qualifications, limitations and restrictions of the preferred stock represented by the depositary share. The depositary share will be evidenced by depositary receipts issued pursuant to the depositary agreement. Depositary receipts will be distributed to those persons purchasing the fractional shares of preferred stock in accordance with the terms of the offering.</w:t>
      </w:r>
    </w:p>
    <w:p>
      <w:pPr>
        <w:spacing w:after="0" w:line="266" w:lineRule="exact"/>
        <w:rPr>
          <w:sz w:val="20"/>
          <w:szCs w:val="20"/>
          <w:color w:val="auto"/>
        </w:rPr>
      </w:pPr>
    </w:p>
    <w:p>
      <w:pPr>
        <w:ind w:left="1300" w:right="1559" w:firstLine="281"/>
        <w:spacing w:after="0" w:line="267" w:lineRule="auto"/>
        <w:rPr>
          <w:sz w:val="20"/>
          <w:szCs w:val="20"/>
          <w:color w:val="auto"/>
        </w:rPr>
      </w:pPr>
      <w:r>
        <w:rPr>
          <w:rFonts w:ascii="Times New Roman" w:cs="Times New Roman" w:eastAsia="Times New Roman" w:hAnsi="Times New Roman"/>
          <w:sz w:val="14"/>
          <w:szCs w:val="14"/>
          <w:color w:val="auto"/>
        </w:rPr>
        <w:t>The forms of the depositary agreement and the depositary receipts relating to any particular issue of depositary shares will be filed with the SEC each time we issue depositary shares, and any prospectus supplement relating to any particular depositary shares will describe, among other things, the following:</w:t>
      </w:r>
    </w:p>
    <w:p>
      <w:pPr>
        <w:spacing w:after="0" w:line="52" w:lineRule="exact"/>
        <w:rPr>
          <w:sz w:val="20"/>
          <w:szCs w:val="20"/>
          <w:color w:val="auto"/>
        </w:rPr>
      </w:pPr>
    </w:p>
    <w:p>
      <w:pPr>
        <w:ind w:left="1720" w:hanging="134"/>
        <w:spacing w:after="0"/>
        <w:tabs>
          <w:tab w:leader="none" w:pos="17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material terms of the depositary shares and of the underlying preferred stock,</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identity of the depositary and the material terms of the depositary agreement,</w:t>
      </w:r>
    </w:p>
    <w:p>
      <w:pPr>
        <w:spacing w:after="0" w:line="91" w:lineRule="exact"/>
        <w:rPr>
          <w:rFonts w:ascii="Times New Roman" w:cs="Times New Roman" w:eastAsia="Times New Roman" w:hAnsi="Times New Roman"/>
          <w:sz w:val="14"/>
          <w:szCs w:val="14"/>
          <w:color w:val="auto"/>
        </w:rPr>
      </w:pPr>
    </w:p>
    <w:p>
      <w:pPr>
        <w:ind w:left="1720" w:right="1599" w:hanging="134"/>
        <w:spacing w:after="0" w:line="283" w:lineRule="auto"/>
        <w:tabs>
          <w:tab w:leader="none" w:pos="17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material provisions relating to the issuance, payment, settlement, transfer or exchange of the depositary shares, and</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applicable material United States federal income tax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8" w:name="page29"/>
    <w:bookmarkEnd w:id="28"/>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HOLDING COMPANY STRUCTURE</w:t>
      </w:r>
    </w:p>
    <w:p>
      <w:pPr>
        <w:spacing w:after="0" w:line="125" w:lineRule="exact"/>
        <w:rPr>
          <w:sz w:val="20"/>
          <w:szCs w:val="20"/>
          <w:color w:val="auto"/>
        </w:rPr>
      </w:pPr>
    </w:p>
    <w:p>
      <w:pPr>
        <w:ind w:left="1300" w:right="1379" w:firstLine="281"/>
        <w:spacing w:after="0" w:line="243" w:lineRule="auto"/>
        <w:rPr>
          <w:sz w:val="20"/>
          <w:szCs w:val="20"/>
          <w:color w:val="auto"/>
        </w:rPr>
      </w:pPr>
      <w:r>
        <w:rPr>
          <w:rFonts w:ascii="Times New Roman" w:cs="Times New Roman" w:eastAsia="Times New Roman" w:hAnsi="Times New Roman"/>
          <w:sz w:val="14"/>
          <w:szCs w:val="14"/>
          <w:color w:val="auto"/>
        </w:rPr>
        <w:t>We are a holding company that derives all of our operating income from, and holds substantially all of our assets through, our subsidiaries. As a result, we depend on the performance of and distributions from our subsidiaries to meet our debt service obligations and to pay dividends on our common stock and any future preferred stock we may issue. In general, our subsidiaries are separate and distinct legal entities and have no obligation to provide us with funds for our payment obligations, whether by dividends, distributions, loans or otherwise. In addition, provisions of applicable law, such as those limiting the legal sources of dividends, limit our subsidiaries’ ability to make payments or other distributions to us, and our subsidiaries could agree to contractual restrictions on their ability to make payments or other distributions. Our right to receive assets of any subsidiary, and therefore the right of our creditors to participate in those assets, are structurally subordinated to the claims of our subsidiaries’ creditors, including trade creditors. In addition, even if we were a creditor of any subsidiary, our rights as a creditor would likely be effectively subordinated to any security interest in the assets of that subsidiary and any senior indebtedness of that subsidiary.</w:t>
      </w:r>
    </w:p>
    <w:p>
      <w:pPr>
        <w:spacing w:after="0" w:line="30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We may sell the offered securities in and outside the United States:</w:t>
      </w:r>
    </w:p>
    <w:p>
      <w:pPr>
        <w:spacing w:after="0" w:line="81" w:lineRule="exact"/>
        <w:rPr>
          <w:sz w:val="20"/>
          <w:szCs w:val="20"/>
          <w:color w:val="auto"/>
        </w:rPr>
      </w:pPr>
    </w:p>
    <w:p>
      <w:pPr>
        <w:ind w:left="1720" w:hanging="134"/>
        <w:spacing w:after="0"/>
        <w:tabs>
          <w:tab w:leader="none" w:pos="17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underwriters or dealers,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purchasers, including our affiliates,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 or</w:t>
      </w:r>
    </w:p>
    <w:p>
      <w:pPr>
        <w:spacing w:after="0" w:line="8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w:t>
      </w:r>
    </w:p>
    <w:p>
      <w:pPr>
        <w:spacing w:after="0" w:line="1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The prospectus supplement will include the following information:</w:t>
      </w:r>
    </w:p>
    <w:p>
      <w:pPr>
        <w:spacing w:after="0" w:line="92" w:lineRule="exact"/>
        <w:rPr>
          <w:sz w:val="20"/>
          <w:szCs w:val="20"/>
          <w:color w:val="auto"/>
        </w:rPr>
      </w:pPr>
    </w:p>
    <w:p>
      <w:pPr>
        <w:ind w:left="1720" w:hanging="134"/>
        <w:spacing w:after="0"/>
        <w:tabs>
          <w:tab w:leader="none" w:pos="17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offering,</w:t>
      </w:r>
    </w:p>
    <w:p>
      <w:pPr>
        <w:spacing w:after="0" w:line="8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of any underwriters or agents,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or names of any managing underwriter or underwriters,</w:t>
      </w:r>
    </w:p>
    <w:p>
      <w:pPr>
        <w:spacing w:after="0" w:line="8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the securities,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proceeds to us from the sale of the securities,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delayed delivery arrangements,</w:t>
      </w:r>
    </w:p>
    <w:p>
      <w:pPr>
        <w:spacing w:after="0" w:line="8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underwriting discounts, commissions and other items constituting underwriters’ compensation,</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initial public offering price,</w:t>
      </w:r>
    </w:p>
    <w:p>
      <w:pPr>
        <w:spacing w:after="0" w:line="8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or concessions allowed or reallowed or paid to dealers, and</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commissions paid to agents.</w:t>
      </w:r>
    </w:p>
    <w:p>
      <w:pPr>
        <w:spacing w:after="0" w:line="17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Sale Through Underwriters or Dealers</w:t>
      </w:r>
    </w:p>
    <w:p>
      <w:pPr>
        <w:spacing w:after="0" w:line="125" w:lineRule="exact"/>
        <w:rPr>
          <w:sz w:val="20"/>
          <w:szCs w:val="20"/>
          <w:color w:val="auto"/>
        </w:rPr>
      </w:pPr>
    </w:p>
    <w:p>
      <w:pPr>
        <w:ind w:left="1300" w:right="1319" w:firstLine="281"/>
        <w:spacing w:after="0" w:line="243" w:lineRule="auto"/>
        <w:rPr>
          <w:sz w:val="20"/>
          <w:szCs w:val="20"/>
          <w:color w:val="auto"/>
        </w:rPr>
      </w:pPr>
      <w:r>
        <w:rPr>
          <w:rFonts w:ascii="Times New Roman" w:cs="Times New Roman" w:eastAsia="Times New Roman" w:hAnsi="Times New Roman"/>
          <w:sz w:val="14"/>
          <w:szCs w:val="14"/>
          <w:color w:val="auto"/>
        </w:rPr>
        <w:t>If we use underwriters in the sale, the underwriters will acquire the securities for their own account. The underwriters may resell the securities from time to time in one or more transactions, including negotiated transactions, at a fixed public offering price or at varying prices determined at the time of sale. Underwriters may offer securities to the public either through underwriting syndicates represented by one or more managing underwriters or directly by one or more firms acting as underwriters. Unless we inform you otherwise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90" w:lineRule="exact"/>
        <w:rPr>
          <w:sz w:val="20"/>
          <w:szCs w:val="20"/>
          <w:color w:val="auto"/>
        </w:rPr>
      </w:pPr>
    </w:p>
    <w:p>
      <w:pPr>
        <w:ind w:left="1300" w:right="1459" w:firstLine="281"/>
        <w:spacing w:after="0" w:line="247" w:lineRule="auto"/>
        <w:rPr>
          <w:sz w:val="20"/>
          <w:szCs w:val="20"/>
          <w:color w:val="auto"/>
        </w:rPr>
      </w:pPr>
      <w:r>
        <w:rPr>
          <w:rFonts w:ascii="Times New Roman" w:cs="Times New Roman" w:eastAsia="Times New Roman" w:hAnsi="Times New Roman"/>
          <w:sz w:val="14"/>
          <w:szCs w:val="14"/>
          <w:color w:val="auto"/>
        </w:rPr>
        <w:t>Underwriters may sell shares of our common stock under this prospectus by any method permitted by law deemed to be an “at the market” offering as defined in Rule 415 under the Securities Act, which includes sales made directly on the New York Stock Exchange, the NYSE Texas, on any other existing trading market for our common stock or to or through a market maker, or in privately negotiated transactions,</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29" w:name="page30"/>
    <w:bookmarkEnd w:id="29"/>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79"/>
        <w:spacing w:after="0" w:line="251" w:lineRule="auto"/>
        <w:rPr>
          <w:sz w:val="20"/>
          <w:szCs w:val="20"/>
          <w:color w:val="auto"/>
        </w:rPr>
      </w:pPr>
      <w:r>
        <w:rPr>
          <w:rFonts w:ascii="Times New Roman" w:cs="Times New Roman" w:eastAsia="Times New Roman" w:hAnsi="Times New Roman"/>
          <w:sz w:val="14"/>
          <w:szCs w:val="14"/>
          <w:color w:val="auto"/>
        </w:rPr>
        <w:t>including block trades. Unless we inform you otherwise in the applicable prospectus supplement, the sales agent with respect to any such at- the-market offering will make all sales using commercially reasonable efforts consistent with its normal trading and sales practices, on mutually agreeable terms between the sales agent and us. We will include in the applicable prospectus supplement the amount of any compensation to be received by the sales agent.</w:t>
      </w:r>
    </w:p>
    <w:p>
      <w:pPr>
        <w:spacing w:after="0" w:line="84" w:lineRule="exact"/>
        <w:rPr>
          <w:sz w:val="20"/>
          <w:szCs w:val="20"/>
          <w:color w:val="auto"/>
        </w:rPr>
      </w:pPr>
    </w:p>
    <w:p>
      <w:pPr>
        <w:ind w:left="1300" w:right="1359" w:firstLine="281"/>
        <w:spacing w:after="0" w:line="243" w:lineRule="auto"/>
        <w:rPr>
          <w:sz w:val="20"/>
          <w:szCs w:val="20"/>
          <w:color w:val="auto"/>
        </w:rPr>
      </w:pPr>
      <w:r>
        <w:rPr>
          <w:rFonts w:ascii="Times New Roman" w:cs="Times New Roman" w:eastAsia="Times New Roman" w:hAnsi="Times New Roman"/>
          <w:sz w:val="14"/>
          <w:szCs w:val="14"/>
          <w:color w:val="auto"/>
        </w:rPr>
        <w:t>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also may impose a penalty bid, which means that selling concessions allowed to syndicate members or other broker- 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w:t>
      </w:r>
    </w:p>
    <w:p>
      <w:pPr>
        <w:spacing w:after="0" w:line="90" w:lineRule="exact"/>
        <w:rPr>
          <w:sz w:val="20"/>
          <w:szCs w:val="20"/>
          <w:color w:val="auto"/>
        </w:rPr>
      </w:pPr>
    </w:p>
    <w:p>
      <w:pPr>
        <w:ind w:left="1300" w:right="1379" w:firstLine="281"/>
        <w:spacing w:after="0" w:line="251" w:lineRule="auto"/>
        <w:rPr>
          <w:sz w:val="20"/>
          <w:szCs w:val="20"/>
          <w:color w:val="auto"/>
        </w:rPr>
      </w:pPr>
      <w:r>
        <w:rPr>
          <w:rFonts w:ascii="Times New Roman" w:cs="Times New Roman" w:eastAsia="Times New Roman" w:hAnsi="Times New Roman"/>
          <w:sz w:val="14"/>
          <w:szCs w:val="14"/>
          <w:color w:val="auto"/>
        </w:rPr>
        <w:t>If we use dealers in the sale of securities, we may sell the securities to them as principals. They may then resell those securities to the public at varying prices determined by the dealers at the time of resale. The dealers participating in any sale of the securities may be deemed to be underwriters within the meaning of the Securities Act of 1933, with respect to any sale of these securities. We will include in the prospectus supplement the names of the dealers and the terms of the transaction.</w:t>
      </w:r>
    </w:p>
    <w:p>
      <w:pPr>
        <w:spacing w:after="0" w:line="84" w:lineRule="exact"/>
        <w:rPr>
          <w:sz w:val="20"/>
          <w:szCs w:val="20"/>
          <w:color w:val="auto"/>
        </w:rPr>
      </w:pPr>
    </w:p>
    <w:p>
      <w:pPr>
        <w:ind w:left="1300" w:right="1339" w:firstLine="281"/>
        <w:spacing w:after="0" w:line="242" w:lineRule="auto"/>
        <w:rPr>
          <w:sz w:val="20"/>
          <w:szCs w:val="20"/>
          <w:color w:val="auto"/>
        </w:rPr>
      </w:pPr>
      <w:r>
        <w:rPr>
          <w:rFonts w:ascii="Times New Roman" w:cs="Times New Roman" w:eastAsia="Times New Roman" w:hAnsi="Times New Roman"/>
          <w:sz w:val="14"/>
          <w:szCs w:val="14"/>
          <w:color w:val="auto"/>
        </w:rPr>
        <w:t>To the extent that we make sales through one or more underwriters or agents in at-the-market offerings, we will do so pursuant to the terms of a sales agency agreement or other at-the -market offering arrangement between us and the underwriters or agents. If we engage in at-the-market sales pursuant to any such agreement, we will issue and sell common stock through one or more underwriters or agents, which may act on an agency basis or on a principal basis. During the term of any such agreement, we may sell common stock on a daily basis in exchange transactions or otherwise as we agree with the underwriters or agents. The agreement will provide that any common stock sold will be sold at prices related to the then prevailing market prices for such securities. Therefore, exact figures regarding proceeds that will be raised or commissions to be paid cannot be determined at this time. Pursuant to the terms of the agreement, we also may agree to sell, and the relevant underwriters or agents may agree to solicit offers to purchase, blocks of common stock. The terms of each such agreement will be set forth in more detail in the applicable prospectus supplement and any related free writing prospectus. In the event that any underwriter or agent acts as principal, or any broker-dealer acts as underwriter, it may engage in certain transactions that stabilize, maintain, or otherwise affect the price of common stock. We will describe any such activities in the prospectus supplement or any related free writing prospectus relating to the transaction.</w:t>
      </w:r>
    </w:p>
    <w:p>
      <w:pPr>
        <w:spacing w:after="0" w:line="30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Direct Sales and Sales Through Agents</w:t>
      </w:r>
    </w:p>
    <w:p>
      <w:pPr>
        <w:spacing w:after="0" w:line="125" w:lineRule="exact"/>
        <w:rPr>
          <w:sz w:val="20"/>
          <w:szCs w:val="20"/>
          <w:color w:val="auto"/>
        </w:rPr>
      </w:pPr>
    </w:p>
    <w:p>
      <w:pPr>
        <w:ind w:left="1300" w:right="1339" w:firstLine="281"/>
        <w:spacing w:after="0" w:line="247" w:lineRule="auto"/>
        <w:rPr>
          <w:sz w:val="20"/>
          <w:szCs w:val="20"/>
          <w:color w:val="auto"/>
        </w:rPr>
      </w:pPr>
      <w:r>
        <w:rPr>
          <w:rFonts w:ascii="Times New Roman" w:cs="Times New Roman" w:eastAsia="Times New Roman" w:hAnsi="Times New Roman"/>
          <w:sz w:val="14"/>
          <w:szCs w:val="14"/>
          <w:color w:val="auto"/>
        </w:rPr>
        <w:t>We may sell the securities directly. In that event, no underwriters or agents would be involved. We may also sell the securities through agents we designate from time to time. In the prospectus supplement, we will name any agent involved in the offer or sale of the offered securities, and we will describe any commissions payable by us to the agent. Unless we inform you otherwise in the prospectus supplement, any agent will agree to use its reasonable best efforts to solicit purchases for the period of its appointment.</w:t>
      </w:r>
    </w:p>
    <w:p>
      <w:pPr>
        <w:spacing w:after="0" w:line="87" w:lineRule="exact"/>
        <w:rPr>
          <w:sz w:val="20"/>
          <w:szCs w:val="20"/>
          <w:color w:val="auto"/>
        </w:rPr>
      </w:pPr>
    </w:p>
    <w:p>
      <w:pPr>
        <w:ind w:left="1300" w:right="1499" w:firstLine="281"/>
        <w:spacing w:after="0" w:line="259" w:lineRule="auto"/>
        <w:rPr>
          <w:sz w:val="20"/>
          <w:szCs w:val="20"/>
          <w:color w:val="auto"/>
        </w:rPr>
      </w:pPr>
      <w:r>
        <w:rPr>
          <w:rFonts w:ascii="Times New Roman" w:cs="Times New Roman" w:eastAsia="Times New Roman" w:hAnsi="Times New Roman"/>
          <w:sz w:val="14"/>
          <w:szCs w:val="14"/>
          <w:color w:val="auto"/>
        </w:rPr>
        <w:t>We may sell the securities directly to institutional investors or others who may be deemed to be underwriters within the meaning of the Securities Act with respect to any sale of those securities. We will describe the terms of any such sales in the prospectus supplement.</w:t>
      </w:r>
    </w:p>
    <w:p>
      <w:pPr>
        <w:spacing w:after="0" w:line="12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Delayed Delivery Contracts</w:t>
      </w:r>
    </w:p>
    <w:p>
      <w:pPr>
        <w:spacing w:after="0" w:line="125" w:lineRule="exact"/>
        <w:rPr>
          <w:sz w:val="20"/>
          <w:szCs w:val="20"/>
          <w:color w:val="auto"/>
        </w:rPr>
      </w:pPr>
    </w:p>
    <w:p>
      <w:pPr>
        <w:ind w:left="1300" w:right="1539" w:firstLine="281"/>
        <w:spacing w:after="0" w:line="248" w:lineRule="auto"/>
        <w:rPr>
          <w:sz w:val="20"/>
          <w:szCs w:val="20"/>
          <w:color w:val="auto"/>
        </w:rPr>
      </w:pPr>
      <w:r>
        <w:rPr>
          <w:rFonts w:ascii="Times New Roman" w:cs="Times New Roman" w:eastAsia="Times New Roman" w:hAnsi="Times New Roman"/>
          <w:sz w:val="14"/>
          <w:szCs w:val="14"/>
          <w:color w:val="auto"/>
        </w:rPr>
        <w:t>If we so indicate in the prospectus supplement, we may authorize agents, underwriters or dealers to solicit offers from certain types of institutions to purchase securities from us at the public offering price under delayed delivery contracts. These contracts would provide for payment and delivery on a specified date in the future. The contracts would be subject only to those conditions described in the prospectus supplement. The prospectus supplement will describe the commission payable for solicitation of those contracts.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0" w:name="page31"/>
    <w:bookmarkEnd w:id="30"/>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Remarketing</w:t>
      </w:r>
    </w:p>
    <w:p>
      <w:pPr>
        <w:spacing w:after="0" w:line="125" w:lineRule="exact"/>
        <w:rPr>
          <w:sz w:val="20"/>
          <w:szCs w:val="20"/>
          <w:color w:val="auto"/>
        </w:rPr>
      </w:pPr>
    </w:p>
    <w:p>
      <w:pPr>
        <w:ind w:left="1300" w:right="1459" w:firstLine="281"/>
        <w:spacing w:after="0" w:line="248" w:lineRule="auto"/>
        <w:rPr>
          <w:sz w:val="20"/>
          <w:szCs w:val="20"/>
          <w:color w:val="auto"/>
        </w:rPr>
      </w:pPr>
      <w:r>
        <w:rPr>
          <w:rFonts w:ascii="Times New Roman" w:cs="Times New Roman" w:eastAsia="Times New Roman" w:hAnsi="Times New Roman"/>
          <w:sz w:val="14"/>
          <w:szCs w:val="14"/>
          <w:color w:val="auto"/>
        </w:rPr>
        <w:t>We may offer and sell any of the offered securities in connection with a remarketing upon their purchase, in accordance with a redemption or repayment by their terms or otherwise by one or more remarketing firms acting as principals for their own accounts or as our agents. We will identify any remarketing firm, the terms of any remarketing agreement and the compensation to be paid to the remarketing firm in the prospectus supplement. Remarketing firms may be deemed underwriters under the Securities Act.</w:t>
      </w:r>
    </w:p>
    <w:p>
      <w:pPr>
        <w:spacing w:after="0" w:line="30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Derivative Transactions</w:t>
      </w:r>
    </w:p>
    <w:p>
      <w:pPr>
        <w:spacing w:after="0" w:line="125" w:lineRule="exact"/>
        <w:rPr>
          <w:sz w:val="20"/>
          <w:szCs w:val="20"/>
          <w:color w:val="auto"/>
        </w:rPr>
      </w:pPr>
    </w:p>
    <w:p>
      <w:pPr>
        <w:ind w:left="1300" w:right="1339" w:firstLine="281"/>
        <w:spacing w:after="0" w:line="244" w:lineRule="auto"/>
        <w:rPr>
          <w:sz w:val="20"/>
          <w:szCs w:val="20"/>
          <w:color w:val="auto"/>
        </w:rPr>
      </w:pPr>
      <w:r>
        <w:rPr>
          <w:rFonts w:ascii="Times New Roman" w:cs="Times New Roman" w:eastAsia="Times New Roman" w:hAnsi="Times New Roman"/>
          <w:sz w:val="14"/>
          <w:szCs w:val="14"/>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parties may use securities pledged by us or borrowed from us or others to settle those sales or to close out any related open borrowings of securities, and may use securities received from us in settlement of those derivatives to close out any related open borrowings of securities. The third parties in these sale transactions will be underwriters and, if not identified in this prospectus, will be identified in the applicable prospectus supplement or in a post-effective amendment to the registration statement of which this prospectus forms a part.</w:t>
      </w:r>
    </w:p>
    <w:p>
      <w:pPr>
        <w:spacing w:after="0" w:line="30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General Information</w:t>
      </w:r>
    </w:p>
    <w:p>
      <w:pPr>
        <w:spacing w:after="0" w:line="125" w:lineRule="exact"/>
        <w:rPr>
          <w:sz w:val="20"/>
          <w:szCs w:val="20"/>
          <w:color w:val="auto"/>
        </w:rPr>
      </w:pPr>
    </w:p>
    <w:p>
      <w:pPr>
        <w:ind w:left="1300" w:right="1399" w:firstLine="281"/>
        <w:spacing w:after="0" w:line="247" w:lineRule="auto"/>
        <w:rPr>
          <w:sz w:val="20"/>
          <w:szCs w:val="20"/>
          <w:color w:val="auto"/>
        </w:rPr>
      </w:pPr>
      <w:r>
        <w:rPr>
          <w:rFonts w:ascii="Times New Roman" w:cs="Times New Roman" w:eastAsia="Times New Roman" w:hAnsi="Times New Roman"/>
          <w:sz w:val="14"/>
          <w:szCs w:val="14"/>
          <w:color w:val="auto"/>
        </w:rPr>
        <w:t>We may have agreements with the remarketing firms, agents, dealers and underwriters to indemnify them against certain civil liabilities, including liabilities under the Securities Act, or to contribute with respect to payments that the agents, dealers or underwriters may be required to make. Such firms, agents, dealers and underwriters may be customers of, engage in transactions with or perform services for us in the ordinary course of their businesses.</w:t>
      </w:r>
    </w:p>
    <w:p>
      <w:pPr>
        <w:spacing w:after="0" w:line="87" w:lineRule="exact"/>
        <w:rPr>
          <w:sz w:val="20"/>
          <w:szCs w:val="20"/>
          <w:color w:val="auto"/>
        </w:rPr>
      </w:pPr>
    </w:p>
    <w:p>
      <w:pPr>
        <w:ind w:left="1300" w:right="1399" w:firstLine="281"/>
        <w:spacing w:after="0" w:line="251" w:lineRule="auto"/>
        <w:rPr>
          <w:sz w:val="20"/>
          <w:szCs w:val="20"/>
          <w:color w:val="auto"/>
        </w:rPr>
      </w:pPr>
      <w:r>
        <w:rPr>
          <w:rFonts w:ascii="Times New Roman" w:cs="Times New Roman" w:eastAsia="Times New Roman" w:hAnsi="Times New Roman"/>
          <w:sz w:val="14"/>
          <w:szCs w:val="14"/>
          <w:color w:val="auto"/>
        </w:rPr>
        <w:t>To the extent required, this prospectus may be amended or supplemented from time to time to describe a particular plan of distribution. The place and time of delivery for the securities in respect of which this prospectus is delivered will be set forth in the accompanying prospectus supplement.</w:t>
      </w:r>
    </w:p>
    <w:p>
      <w:pPr>
        <w:spacing w:after="0" w:line="84" w:lineRule="exact"/>
        <w:rPr>
          <w:sz w:val="20"/>
          <w:szCs w:val="20"/>
          <w:color w:val="auto"/>
        </w:rPr>
      </w:pPr>
    </w:p>
    <w:p>
      <w:pPr>
        <w:ind w:left="1300" w:right="1339" w:firstLine="281"/>
        <w:spacing w:after="0" w:line="248" w:lineRule="auto"/>
        <w:rPr>
          <w:sz w:val="20"/>
          <w:szCs w:val="20"/>
          <w:color w:val="auto"/>
        </w:rPr>
      </w:pPr>
      <w:r>
        <w:rPr>
          <w:rFonts w:ascii="Times New Roman" w:cs="Times New Roman" w:eastAsia="Times New Roman" w:hAnsi="Times New Roman"/>
          <w:sz w:val="14"/>
          <w:szCs w:val="14"/>
          <w:color w:val="auto"/>
        </w:rPr>
        <w:t>Each series of offered securities will be a new issue, and other than the common stock, which is listed on the New York Stock Exchange and the NYSE Texas, will have no established trading market. We may elect to list any series of offered securities on an exchange, but we are not obligated to do so. It is possible that one or more underwriters may make a market in a series of offered securities. However, they will not be obligated to do so and may discontinue market making at any time without notice. We cannot assure you that a liquid trading market for any of our offered securities will develop.</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5" w:lineRule="exact"/>
        <w:rPr>
          <w:sz w:val="20"/>
          <w:szCs w:val="20"/>
          <w:color w:val="auto"/>
        </w:rPr>
      </w:pPr>
    </w:p>
    <w:p>
      <w:pPr>
        <w:ind w:left="1300" w:right="1379" w:firstLine="281"/>
        <w:spacing w:after="0" w:line="257" w:lineRule="auto"/>
        <w:rPr>
          <w:sz w:val="20"/>
          <w:szCs w:val="20"/>
          <w:color w:val="auto"/>
        </w:rPr>
      </w:pPr>
      <w:r>
        <w:rPr>
          <w:rFonts w:ascii="Times New Roman" w:cs="Times New Roman" w:eastAsia="Times New Roman" w:hAnsi="Times New Roman"/>
          <w:sz w:val="14"/>
          <w:szCs w:val="14"/>
          <w:color w:val="auto"/>
        </w:rPr>
        <w:t>The validity of the securities described in this prospectus will be passed upon for us by Baker Botts L.L.P., Houston, Texas. Monica Karuturi, Esq., our Executive Vice President and General Counsel, may pass on other legal matters for us. Ms. Karuturi is the beneficial owner of less than 1% of our common stock. Any underwriters will be advised regarding issues relating to any offering by Hunton Andrews Kurth LLP, New York, New York. From time to time, Hunton Andrews Kurth LLP acts as counsel to us and our affiliates on certain matters.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5" w:lineRule="exact"/>
        <w:rPr>
          <w:sz w:val="20"/>
          <w:szCs w:val="20"/>
          <w:color w:val="auto"/>
        </w:rPr>
      </w:pPr>
    </w:p>
    <w:p>
      <w:pPr>
        <w:jc w:val="both"/>
        <w:ind w:left="1300" w:right="1399" w:firstLine="281"/>
        <w:spacing w:after="0" w:line="25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financial statements of CenterPoint Energy, Inc. as of December 31, 2025 and 2024, and for each of the three years in the period ended December 31, 2025, incorporated by reference in this Prospectus by reference to CenterPoint Energy, Inc.’s </w:t>
      </w:r>
      <w:hyperlink r:id="rId36">
        <w:r>
          <w:rPr>
            <w:rFonts w:ascii="Times New Roman" w:cs="Times New Roman" w:eastAsia="Times New Roman" w:hAnsi="Times New Roman"/>
            <w:sz w:val="14"/>
            <w:szCs w:val="14"/>
            <w:u w:val="single" w:color="auto"/>
            <w:color w:val="0000EE"/>
          </w:rPr>
          <w:t>annual report on Form 10-K for the year ended December 31, 2025</w:t>
        </w:r>
      </w:hyperlink>
      <w:r>
        <w:rPr>
          <w:rFonts w:ascii="Times New Roman" w:cs="Times New Roman" w:eastAsia="Times New Roman" w:hAnsi="Times New Roman"/>
          <w:sz w:val="14"/>
          <w:szCs w:val="14"/>
          <w:color w:val="auto"/>
        </w:rPr>
        <w:t>,</w:t>
      </w:r>
    </w:p>
    <w:p>
      <w:pPr>
        <w:ind w:left="1300" w:right="1559"/>
        <w:spacing w:after="0" w:line="254" w:lineRule="auto"/>
        <w:rPr>
          <w:sz w:val="20"/>
          <w:szCs w:val="20"/>
          <w:color w:val="auto"/>
        </w:rPr>
      </w:pPr>
      <w:r>
        <w:rPr>
          <w:rFonts w:ascii="Times New Roman" w:cs="Times New Roman" w:eastAsia="Times New Roman" w:hAnsi="Times New Roman"/>
          <w:sz w:val="14"/>
          <w:szCs w:val="14"/>
          <w:color w:val="auto"/>
        </w:rPr>
        <w:t>and the effectiveness of CenterPoint Energy,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1" w:name="page32"/>
    <w:bookmarkEnd w:id="31"/>
    <w:p>
      <w:pPr>
        <w:ind w:left="320"/>
        <w:spacing w:after="0"/>
        <w:rPr>
          <w:sz w:val="20"/>
          <w:szCs w:val="20"/>
          <w:color w:val="auto"/>
        </w:rPr>
      </w:pPr>
      <w:r>
        <w:rPr>
          <w:rFonts w:ascii="Calibri" w:cs="Calibri" w:eastAsia="Calibri" w:hAnsi="Calibri"/>
          <w:sz w:val="11"/>
          <w:szCs w:val="11"/>
          <w:color w:val="003366"/>
        </w:rPr>
        <w:t>TABLE OF CONTENTS</w:t>
      </w:r>
    </w:p>
    <w:p>
      <w:pPr>
        <w:spacing w:after="0" w:line="3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CenterPoint Energy Houston Electric, LLC</w:t>
      </w:r>
    </w:p>
    <w:p>
      <w:pPr>
        <w:spacing w:after="0" w:line="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1111 Louisiana Street</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Houston, Texas 77002</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(713) 207-1111</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CENTERPOINT ENERGY HOUSTON ELECTRIC, LLC</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 MORTGAGE BONDS</w:t>
      </w:r>
    </w:p>
    <w:p>
      <w:pPr>
        <w:spacing w:after="0" w:line="98" w:lineRule="exact"/>
        <w:rPr>
          <w:sz w:val="20"/>
          <w:szCs w:val="20"/>
          <w:color w:val="auto"/>
        </w:rPr>
      </w:pPr>
    </w:p>
    <w:p>
      <w:pPr>
        <w:ind w:left="1300" w:right="1319" w:firstLine="281"/>
        <w:spacing w:after="0" w:line="259" w:lineRule="auto"/>
        <w:rPr>
          <w:sz w:val="20"/>
          <w:szCs w:val="20"/>
          <w:color w:val="auto"/>
        </w:rPr>
      </w:pPr>
      <w:r>
        <w:rPr>
          <w:rFonts w:ascii="Times New Roman" w:cs="Times New Roman" w:eastAsia="Times New Roman" w:hAnsi="Times New Roman"/>
          <w:sz w:val="14"/>
          <w:szCs w:val="14"/>
          <w:color w:val="auto"/>
        </w:rPr>
        <w:t>This prospectus relates to general mortgage bonds that we may offer from time to time. We will provide additional terms of the general mortgage bonds in one or more supplements to this prospectus. You should read this prospectus and the related prospectus supplement carefully before you invest in the general mortgage bonds. No person may use this prospectus to offer and sell the general mortgage bonds unless a prospectus supplement accompanies this prospectus.</w:t>
      </w:r>
    </w:p>
    <w:p>
      <w:pPr>
        <w:spacing w:after="0" w:line="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 xml:space="preserve">Investing in the general mortgage bonds involves risks. See “Risk Factors” on page </w:t>
      </w:r>
      <w:r>
        <w:rPr>
          <w:rFonts w:ascii="Times New Roman" w:cs="Times New Roman" w:eastAsia="Times New Roman" w:hAnsi="Times New Roman"/>
          <w:sz w:val="14"/>
          <w:szCs w:val="14"/>
          <w:b w:val="1"/>
          <w:bCs w:val="1"/>
          <w:u w:val="single" w:color="auto"/>
          <w:color w:val="0000EE"/>
        </w:rPr>
        <w:t>4</w:t>
      </w:r>
      <w:r>
        <w:rPr>
          <w:rFonts w:ascii="Times New Roman" w:cs="Times New Roman" w:eastAsia="Times New Roman" w:hAnsi="Times New Roman"/>
          <w:sz w:val="14"/>
          <w:szCs w:val="14"/>
          <w:b w:val="1"/>
          <w:bCs w:val="1"/>
          <w:color w:val="auto"/>
        </w:rPr>
        <w:t xml:space="preserv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2378710</wp:posOffset>
            </wp:positionH>
            <wp:positionV relativeFrom="paragraph">
              <wp:posOffset>149225</wp:posOffset>
            </wp:positionV>
            <wp:extent cx="96202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377" w:lineRule="exact"/>
        <w:rPr>
          <w:sz w:val="20"/>
          <w:szCs w:val="20"/>
          <w:color w:val="auto"/>
        </w:rPr>
      </w:pPr>
    </w:p>
    <w:p>
      <w:pPr>
        <w:ind w:left="1300" w:right="1499" w:firstLine="281"/>
        <w:spacing w:after="0" w:line="268"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2378710</wp:posOffset>
            </wp:positionH>
            <wp:positionV relativeFrom="paragraph">
              <wp:posOffset>128905</wp:posOffset>
            </wp:positionV>
            <wp:extent cx="96202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date of this prospectus is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3556000</wp:posOffset>
            </wp:positionV>
            <wp:extent cx="533082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2" w:name="page33"/>
    <w:bookmarkEnd w:id="32"/>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300" w:type="dxa"/>
        <w:tblCellMar>
          <w:top w:w="0" w:type="dxa"/>
          <w:left w:w="0" w:type="dxa"/>
          <w:bottom w:w="0" w:type="dxa"/>
          <w:right w:w="0" w:type="dxa"/>
        </w:tblCellMar>
      </w:tblPr>
      <w:tr>
        <w:trPr>
          <w:trHeight w:val="185"/>
        </w:trPr>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7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1340" w:type="dxa"/>
            <w:vAlign w:val="bottom"/>
            <w:gridSpan w:val="6"/>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0000EE"/>
              </w:rPr>
              <w:t>About This Prospectus</w:t>
            </w:r>
          </w:p>
        </w:tc>
        <w:tc>
          <w:tcPr>
            <w:tcW w:w="3700" w:type="dxa"/>
            <w:vAlign w:val="bottom"/>
            <w:gridSpan w:val="6"/>
            <w:shd w:val="clear" w:color="auto" w:fill="CCEEFF"/>
          </w:tcPr>
          <w:p>
            <w:pPr>
              <w:spacing w:after="0"/>
              <w:rPr>
                <w:sz w:val="10"/>
                <w:szCs w:val="10"/>
                <w:color w:val="auto"/>
              </w:rPr>
            </w:pPr>
          </w:p>
        </w:tc>
        <w:tc>
          <w:tcPr>
            <w:tcW w:w="1360" w:type="dxa"/>
            <w:vAlign w:val="bottom"/>
            <w:tcBorders>
              <w:right w:val="single" w:sz="8" w:color="CCEEFF"/>
            </w:tcBorders>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0000EE"/>
              </w:rPr>
              <w:t>1</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40" w:type="dxa"/>
            <w:vAlign w:val="bottom"/>
            <w:tcBorders>
              <w:right w:val="single" w:sz="8" w:color="0000EE"/>
            </w:tcBorders>
            <w:shd w:val="clear" w:color="auto" w:fill="CCEEFF"/>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040" w:type="dxa"/>
            <w:vAlign w:val="bottom"/>
            <w:gridSpan w:val="12"/>
          </w:tcPr>
          <w:p>
            <w:pPr>
              <w:spacing w:after="0" w:line="158"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1220" w:type="dxa"/>
            <w:vAlign w:val="bottom"/>
          </w:tcPr>
          <w:p>
            <w:pPr>
              <w:spacing w:after="0"/>
              <w:rPr>
                <w:sz w:val="13"/>
                <w:szCs w:val="13"/>
                <w:color w:val="auto"/>
              </w:rPr>
            </w:pP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0000EE"/>
              </w:rPr>
              <w:t>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340" w:type="dxa"/>
            <w:vAlign w:val="bottom"/>
            <w:gridSpan w:val="8"/>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tcPr>
          <w:p>
            <w:pPr>
              <w:ind w:left="108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right w:val="single" w:sz="8" w:color="0000EE"/>
            </w:tcBorders>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0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4"/>
                <w:szCs w:val="14"/>
                <w:color w:val="0000EE"/>
              </w:rPr>
              <w:t>Incorporation By Reference</w:t>
            </w:r>
          </w:p>
        </w:tc>
        <w:tc>
          <w:tcPr>
            <w:tcW w:w="12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0000EE"/>
              </w:rPr>
              <w:t>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640" w:type="dxa"/>
            <w:vAlign w:val="bottom"/>
            <w:tcBorders>
              <w:bottom w:val="single" w:sz="8" w:color="CCEEFF"/>
            </w:tcBorders>
            <w:gridSpan w:val="7"/>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1000" w:type="dxa"/>
            <w:vAlign w:val="bottom"/>
            <w:tcBorders>
              <w:bottom w:val="single" w:sz="8" w:color="CCEEFF"/>
            </w:tcBorders>
            <w:gridSpan w:val="2"/>
            <w:shd w:val="clear" w:color="auto" w:fill="CCEEFF"/>
          </w:tcPr>
          <w:p>
            <w:pPr>
              <w:spacing w:after="0" w:line="20" w:lineRule="exact"/>
              <w:rPr>
                <w:sz w:val="1"/>
                <w:szCs w:val="1"/>
                <w:color w:val="auto"/>
              </w:rPr>
            </w:pPr>
          </w:p>
        </w:tc>
        <w:tc>
          <w:tcPr>
            <w:tcW w:w="300" w:type="dxa"/>
            <w:vAlign w:val="bottom"/>
            <w:tcBorders>
              <w:bottom w:val="single" w:sz="8" w:color="CCEEFF"/>
            </w:tcBorders>
            <w:shd w:val="clear" w:color="auto" w:fill="CCEEFF"/>
          </w:tcPr>
          <w:p>
            <w:pPr>
              <w:spacing w:after="0" w:line="20" w:lineRule="exact"/>
              <w:rPr>
                <w:sz w:val="1"/>
                <w:szCs w:val="1"/>
                <w:color w:val="auto"/>
              </w:rPr>
            </w:pPr>
          </w:p>
        </w:tc>
        <w:tc>
          <w:tcPr>
            <w:tcW w:w="800" w:type="dxa"/>
            <w:vAlign w:val="bottom"/>
            <w:tcBorders>
              <w:bottom w:val="single" w:sz="8" w:color="CCEEFF"/>
            </w:tcBorders>
            <w:shd w:val="clear" w:color="auto" w:fill="CCEEFF"/>
          </w:tcPr>
          <w:p>
            <w:pPr>
              <w:spacing w:after="0" w:line="20" w:lineRule="exact"/>
              <w:rPr>
                <w:sz w:val="1"/>
                <w:szCs w:val="1"/>
                <w:color w:val="auto"/>
              </w:rPr>
            </w:pPr>
          </w:p>
        </w:tc>
        <w:tc>
          <w:tcPr>
            <w:tcW w:w="1300" w:type="dxa"/>
            <w:vAlign w:val="bottom"/>
            <w:tcBorders>
              <w:bottom w:val="single" w:sz="8" w:color="CCEEFF"/>
            </w:tcBorders>
            <w:shd w:val="clear" w:color="auto" w:fill="CCEEFF"/>
          </w:tcPr>
          <w:p>
            <w:pPr>
              <w:spacing w:after="0" w:line="20" w:lineRule="exact"/>
              <w:rPr>
                <w:sz w:val="1"/>
                <w:szCs w:val="1"/>
                <w:color w:val="auto"/>
              </w:rPr>
            </w:pPr>
          </w:p>
        </w:tc>
        <w:tc>
          <w:tcPr>
            <w:tcW w:w="1220" w:type="dxa"/>
            <w:vAlign w:val="bottom"/>
            <w:tcBorders>
              <w:bottom w:val="single" w:sz="8" w:color="CCEEFF"/>
            </w:tcBorders>
            <w:shd w:val="clear" w:color="auto" w:fill="CCEEFF"/>
          </w:tcPr>
          <w:p>
            <w:pPr>
              <w:ind w:left="108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bottom w:val="single" w:sz="8" w:color="CCEEFF"/>
              <w:right w:val="single" w:sz="8" w:color="0000EE"/>
            </w:tcBorders>
            <w:shd w:val="clear" w:color="auto" w:fill="CCEEFF"/>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8"/>
        </w:trPr>
        <w:tc>
          <w:tcPr>
            <w:tcW w:w="5040" w:type="dxa"/>
            <w:vAlign w:val="bottom"/>
            <w:gridSpan w:val="12"/>
          </w:tcPr>
          <w:p>
            <w:pPr>
              <w:spacing w:after="0"/>
              <w:rPr>
                <w:sz w:val="20"/>
                <w:szCs w:val="20"/>
                <w:color w:val="auto"/>
              </w:rPr>
            </w:pPr>
            <w:r>
              <w:rPr>
                <w:rFonts w:ascii="Times New Roman" w:cs="Times New Roman" w:eastAsia="Times New Roman" w:hAnsi="Times New Roman"/>
                <w:sz w:val="14"/>
                <w:szCs w:val="14"/>
                <w:color w:val="0000EE"/>
              </w:rPr>
              <w:t>About CenterPoint Energy Houston Electric, LLC</w:t>
            </w:r>
          </w:p>
        </w:tc>
        <w:tc>
          <w:tcPr>
            <w:tcW w:w="1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0000EE"/>
              </w:rPr>
              <w:t>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940" w:type="dxa"/>
            <w:vAlign w:val="bottom"/>
            <w:gridSpan w:val="10"/>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tcPr>
          <w:p>
            <w:pPr>
              <w:ind w:left="108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right w:val="single" w:sz="8" w:color="0000EE"/>
            </w:tcBorders>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0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4"/>
                <w:szCs w:val="14"/>
                <w:color w:val="0000EE"/>
              </w:rPr>
              <w:t>Risk Factors</w:t>
            </w:r>
          </w:p>
        </w:tc>
        <w:tc>
          <w:tcPr>
            <w:tcW w:w="12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0000EE"/>
              </w:rPr>
              <w:t>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740" w:type="dxa"/>
            <w:vAlign w:val="bottom"/>
            <w:tcBorders>
              <w:bottom w:val="single" w:sz="8" w:color="CCEEFF"/>
            </w:tcBorders>
            <w:gridSpan w:val="2"/>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Borders>
              <w:bottom w:val="single" w:sz="8" w:color="CCEEFF"/>
            </w:tcBorders>
            <w:shd w:val="clear" w:color="auto" w:fill="CCEEFF"/>
          </w:tcPr>
          <w:p>
            <w:pPr>
              <w:spacing w:after="0" w:line="20" w:lineRule="exact"/>
              <w:rPr>
                <w:sz w:val="1"/>
                <w:szCs w:val="1"/>
                <w:color w:val="auto"/>
              </w:rPr>
            </w:pPr>
          </w:p>
        </w:tc>
        <w:tc>
          <w:tcPr>
            <w:tcW w:w="140" w:type="dxa"/>
            <w:vAlign w:val="bottom"/>
            <w:tcBorders>
              <w:bottom w:val="single" w:sz="8" w:color="CCEEFF"/>
            </w:tcBorders>
            <w:shd w:val="clear" w:color="auto" w:fill="CCEEFF"/>
          </w:tcPr>
          <w:p>
            <w:pPr>
              <w:spacing w:after="0" w:line="20" w:lineRule="exact"/>
              <w:rPr>
                <w:sz w:val="1"/>
                <w:szCs w:val="1"/>
                <w:color w:val="auto"/>
              </w:rPr>
            </w:pP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1460" w:type="dxa"/>
            <w:vAlign w:val="bottom"/>
            <w:tcBorders>
              <w:bottom w:val="single" w:sz="8" w:color="CCEEFF"/>
            </w:tcBorders>
            <w:gridSpan w:val="4"/>
            <w:shd w:val="clear" w:color="auto" w:fill="CCEEFF"/>
          </w:tcPr>
          <w:p>
            <w:pPr>
              <w:spacing w:after="0" w:line="20" w:lineRule="exact"/>
              <w:rPr>
                <w:sz w:val="1"/>
                <w:szCs w:val="1"/>
                <w:color w:val="auto"/>
              </w:rPr>
            </w:pPr>
          </w:p>
        </w:tc>
        <w:tc>
          <w:tcPr>
            <w:tcW w:w="1100" w:type="dxa"/>
            <w:vAlign w:val="bottom"/>
            <w:tcBorders>
              <w:bottom w:val="single" w:sz="8" w:color="CCEEFF"/>
            </w:tcBorders>
            <w:gridSpan w:val="2"/>
            <w:shd w:val="clear" w:color="auto" w:fill="CCEEFF"/>
          </w:tcPr>
          <w:p>
            <w:pPr>
              <w:spacing w:after="0" w:line="20" w:lineRule="exact"/>
              <w:rPr>
                <w:sz w:val="1"/>
                <w:szCs w:val="1"/>
                <w:color w:val="auto"/>
              </w:rPr>
            </w:pPr>
          </w:p>
        </w:tc>
        <w:tc>
          <w:tcPr>
            <w:tcW w:w="1300" w:type="dxa"/>
            <w:vAlign w:val="bottom"/>
            <w:tcBorders>
              <w:bottom w:val="single" w:sz="8" w:color="CCEEFF"/>
            </w:tcBorders>
            <w:shd w:val="clear" w:color="auto" w:fill="CCEEFF"/>
          </w:tcPr>
          <w:p>
            <w:pPr>
              <w:spacing w:after="0" w:line="20" w:lineRule="exact"/>
              <w:rPr>
                <w:sz w:val="1"/>
                <w:szCs w:val="1"/>
                <w:color w:val="auto"/>
              </w:rPr>
            </w:pPr>
          </w:p>
        </w:tc>
        <w:tc>
          <w:tcPr>
            <w:tcW w:w="1220" w:type="dxa"/>
            <w:vAlign w:val="bottom"/>
            <w:tcBorders>
              <w:bottom w:val="single" w:sz="8" w:color="CCEEFF"/>
            </w:tcBorders>
            <w:shd w:val="clear" w:color="auto" w:fill="CCEEFF"/>
          </w:tcPr>
          <w:p>
            <w:pPr>
              <w:ind w:left="108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bottom w:val="single" w:sz="8" w:color="CCEEFF"/>
              <w:right w:val="single" w:sz="8" w:color="0000EE"/>
            </w:tcBorders>
            <w:shd w:val="clear" w:color="auto" w:fill="CCEEFF"/>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8"/>
        </w:trPr>
        <w:tc>
          <w:tcPr>
            <w:tcW w:w="5040" w:type="dxa"/>
            <w:vAlign w:val="bottom"/>
            <w:gridSpan w:val="12"/>
          </w:tcPr>
          <w:p>
            <w:pPr>
              <w:spacing w:after="0"/>
              <w:rPr>
                <w:sz w:val="20"/>
                <w:szCs w:val="20"/>
                <w:color w:val="auto"/>
              </w:rPr>
            </w:pPr>
            <w:r>
              <w:rPr>
                <w:rFonts w:ascii="Times New Roman" w:cs="Times New Roman" w:eastAsia="Times New Roman" w:hAnsi="Times New Roman"/>
                <w:sz w:val="14"/>
                <w:szCs w:val="14"/>
                <w:color w:val="0000EE"/>
              </w:rPr>
              <w:t>Cautionary Statement Regarding Forward-Looking Information</w:t>
            </w:r>
          </w:p>
        </w:tc>
        <w:tc>
          <w:tcPr>
            <w:tcW w:w="1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0000EE"/>
              </w:rPr>
              <w:t>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740" w:type="dxa"/>
            <w:vAlign w:val="bottom"/>
            <w:gridSpan w:val="11"/>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1300" w:type="dxa"/>
            <w:vAlign w:val="bottom"/>
          </w:tcPr>
          <w:p>
            <w:pPr>
              <w:spacing w:after="0" w:line="20" w:lineRule="exact"/>
              <w:rPr>
                <w:sz w:val="1"/>
                <w:szCs w:val="1"/>
                <w:color w:val="auto"/>
              </w:rPr>
            </w:pPr>
          </w:p>
        </w:tc>
        <w:tc>
          <w:tcPr>
            <w:tcW w:w="1220" w:type="dxa"/>
            <w:vAlign w:val="bottom"/>
          </w:tcPr>
          <w:p>
            <w:pPr>
              <w:ind w:left="108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right w:val="single" w:sz="8" w:color="0000EE"/>
            </w:tcBorders>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0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4"/>
                <w:szCs w:val="14"/>
                <w:color w:val="0000EE"/>
              </w:rPr>
              <w:t>Use of Proceeds</w:t>
            </w:r>
          </w:p>
        </w:tc>
        <w:tc>
          <w:tcPr>
            <w:tcW w:w="12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0000EE"/>
              </w:rPr>
              <w:t>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960" w:type="dxa"/>
            <w:vAlign w:val="bottom"/>
            <w:tcBorders>
              <w:bottom w:val="single" w:sz="8" w:color="CCEEFF"/>
            </w:tcBorders>
            <w:gridSpan w:val="4"/>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1460" w:type="dxa"/>
            <w:vAlign w:val="bottom"/>
            <w:tcBorders>
              <w:bottom w:val="single" w:sz="8" w:color="CCEEFF"/>
            </w:tcBorders>
            <w:gridSpan w:val="4"/>
            <w:shd w:val="clear" w:color="auto" w:fill="CCEEFF"/>
          </w:tcPr>
          <w:p>
            <w:pPr>
              <w:spacing w:after="0" w:line="20" w:lineRule="exact"/>
              <w:rPr>
                <w:sz w:val="1"/>
                <w:szCs w:val="1"/>
                <w:color w:val="auto"/>
              </w:rPr>
            </w:pPr>
          </w:p>
        </w:tc>
        <w:tc>
          <w:tcPr>
            <w:tcW w:w="2400" w:type="dxa"/>
            <w:vAlign w:val="bottom"/>
            <w:tcBorders>
              <w:bottom w:val="single" w:sz="8" w:color="CCEEFF"/>
            </w:tcBorders>
            <w:gridSpan w:val="3"/>
            <w:shd w:val="clear" w:color="auto" w:fill="CCEEFF"/>
          </w:tcPr>
          <w:p>
            <w:pPr>
              <w:spacing w:after="0" w:line="20" w:lineRule="exact"/>
              <w:rPr>
                <w:sz w:val="1"/>
                <w:szCs w:val="1"/>
                <w:color w:val="auto"/>
              </w:rPr>
            </w:pPr>
          </w:p>
        </w:tc>
        <w:tc>
          <w:tcPr>
            <w:tcW w:w="1220" w:type="dxa"/>
            <w:vAlign w:val="bottom"/>
            <w:tcBorders>
              <w:bottom w:val="single" w:sz="8" w:color="CCEEFF"/>
            </w:tcBorders>
            <w:shd w:val="clear" w:color="auto" w:fill="CCEEFF"/>
          </w:tcPr>
          <w:p>
            <w:pPr>
              <w:ind w:left="108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bottom w:val="single" w:sz="8" w:color="CCEEFF"/>
              <w:right w:val="single" w:sz="8" w:color="0000EE"/>
            </w:tcBorders>
            <w:shd w:val="clear" w:color="auto" w:fill="CCEEFF"/>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8"/>
        </w:trPr>
        <w:tc>
          <w:tcPr>
            <w:tcW w:w="5040" w:type="dxa"/>
            <w:vAlign w:val="bottom"/>
            <w:gridSpan w:val="12"/>
          </w:tcPr>
          <w:p>
            <w:pPr>
              <w:spacing w:after="0"/>
              <w:rPr>
                <w:sz w:val="20"/>
                <w:szCs w:val="20"/>
                <w:color w:val="auto"/>
              </w:rPr>
            </w:pPr>
            <w:r>
              <w:rPr>
                <w:rFonts w:ascii="Times New Roman" w:cs="Times New Roman" w:eastAsia="Times New Roman" w:hAnsi="Times New Roman"/>
                <w:sz w:val="14"/>
                <w:szCs w:val="14"/>
                <w:color w:val="0000EE"/>
              </w:rPr>
              <w:t>Description of Our General Mortgage Bonds</w:t>
            </w:r>
          </w:p>
        </w:tc>
        <w:tc>
          <w:tcPr>
            <w:tcW w:w="1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0000EE"/>
              </w:rPr>
              <w:t>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640" w:type="dxa"/>
            <w:vAlign w:val="bottom"/>
            <w:gridSpan w:val="9"/>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2400" w:type="dxa"/>
            <w:vAlign w:val="bottom"/>
            <w:gridSpan w:val="3"/>
          </w:tcPr>
          <w:p>
            <w:pPr>
              <w:spacing w:after="0" w:line="20" w:lineRule="exact"/>
              <w:rPr>
                <w:sz w:val="1"/>
                <w:szCs w:val="1"/>
                <w:color w:val="auto"/>
              </w:rPr>
            </w:pPr>
          </w:p>
        </w:tc>
        <w:tc>
          <w:tcPr>
            <w:tcW w:w="1220" w:type="dxa"/>
            <w:vAlign w:val="bottom"/>
          </w:tcPr>
          <w:p>
            <w:pPr>
              <w:ind w:left="108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right w:val="single" w:sz="8" w:color="0000EE"/>
            </w:tcBorders>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0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4"/>
                <w:szCs w:val="14"/>
                <w:color w:val="0000EE"/>
              </w:rPr>
              <w:t>Plan of Distribution</w:t>
            </w:r>
          </w:p>
        </w:tc>
        <w:tc>
          <w:tcPr>
            <w:tcW w:w="12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27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180" w:type="dxa"/>
            <w:vAlign w:val="bottom"/>
            <w:tcBorders>
              <w:bottom w:val="single" w:sz="8" w:color="CCEEFF"/>
            </w:tcBorders>
            <w:gridSpan w:val="5"/>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3860" w:type="dxa"/>
            <w:vAlign w:val="bottom"/>
            <w:tcBorders>
              <w:bottom w:val="single" w:sz="8" w:color="CCEEFF"/>
            </w:tcBorders>
            <w:gridSpan w:val="7"/>
            <w:shd w:val="clear" w:color="auto" w:fill="CCEEFF"/>
          </w:tcPr>
          <w:p>
            <w:pPr>
              <w:spacing w:after="0" w:line="20" w:lineRule="exact"/>
              <w:rPr>
                <w:sz w:val="1"/>
                <w:szCs w:val="1"/>
                <w:color w:val="auto"/>
              </w:rPr>
            </w:pPr>
          </w:p>
        </w:tc>
        <w:tc>
          <w:tcPr>
            <w:tcW w:w="1220" w:type="dxa"/>
            <w:vAlign w:val="bottom"/>
            <w:tcBorders>
              <w:bottom w:val="single" w:sz="8" w:color="CCEEFF"/>
            </w:tcBorders>
            <w:shd w:val="clear" w:color="auto" w:fill="CCEEFF"/>
          </w:tcPr>
          <w:p>
            <w:pPr>
              <w:ind w:left="108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bottom w:val="single" w:sz="8" w:color="CCEEFF"/>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8"/>
        </w:trPr>
        <w:tc>
          <w:tcPr>
            <w:tcW w:w="5040" w:type="dxa"/>
            <w:vAlign w:val="bottom"/>
            <w:gridSpan w:val="12"/>
          </w:tcPr>
          <w:p>
            <w:pPr>
              <w:spacing w:after="0"/>
              <w:rPr>
                <w:sz w:val="20"/>
                <w:szCs w:val="20"/>
                <w:color w:val="auto"/>
              </w:rPr>
            </w:pPr>
            <w:r>
              <w:rPr>
                <w:rFonts w:ascii="Times New Roman" w:cs="Times New Roman" w:eastAsia="Times New Roman" w:hAnsi="Times New Roman"/>
                <w:sz w:val="14"/>
                <w:szCs w:val="14"/>
                <w:color w:val="0000EE"/>
              </w:rPr>
              <w:t>Legal Matters</w:t>
            </w:r>
          </w:p>
        </w:tc>
        <w:tc>
          <w:tcPr>
            <w:tcW w:w="1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29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20" w:type="dxa"/>
            <w:vAlign w:val="bottom"/>
            <w:gridSpan w:val="3"/>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4220" w:type="dxa"/>
            <w:vAlign w:val="bottom"/>
            <w:gridSpan w:val="9"/>
          </w:tcPr>
          <w:p>
            <w:pPr>
              <w:spacing w:after="0" w:line="20" w:lineRule="exact"/>
              <w:rPr>
                <w:sz w:val="1"/>
                <w:szCs w:val="1"/>
                <w:color w:val="auto"/>
              </w:rPr>
            </w:pPr>
          </w:p>
        </w:tc>
        <w:tc>
          <w:tcPr>
            <w:tcW w:w="1220" w:type="dxa"/>
            <w:vAlign w:val="bottom"/>
          </w:tcPr>
          <w:p>
            <w:pPr>
              <w:ind w:left="108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0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4"/>
                <w:szCs w:val="14"/>
                <w:color w:val="0000EE"/>
              </w:rPr>
              <w:t>Experts</w:t>
            </w:r>
          </w:p>
        </w:tc>
        <w:tc>
          <w:tcPr>
            <w:tcW w:w="12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29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460" w:type="dxa"/>
            <w:vAlign w:val="bottom"/>
            <w:tcBorders>
              <w:bottom w:val="single" w:sz="8" w:color="CCEEFF"/>
            </w:tcBorders>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4580" w:type="dxa"/>
            <w:vAlign w:val="bottom"/>
            <w:tcBorders>
              <w:bottom w:val="single" w:sz="8" w:color="CCEEFF"/>
            </w:tcBorders>
            <w:gridSpan w:val="11"/>
            <w:shd w:val="clear" w:color="auto" w:fill="CCEEFF"/>
          </w:tcPr>
          <w:p>
            <w:pPr>
              <w:spacing w:after="0" w:line="20" w:lineRule="exact"/>
              <w:rPr>
                <w:sz w:val="1"/>
                <w:szCs w:val="1"/>
                <w:color w:val="auto"/>
              </w:rPr>
            </w:pPr>
          </w:p>
        </w:tc>
        <w:tc>
          <w:tcPr>
            <w:tcW w:w="1220" w:type="dxa"/>
            <w:vAlign w:val="bottom"/>
            <w:tcBorders>
              <w:bottom w:val="single" w:sz="8" w:color="CCEEFF"/>
            </w:tcBorders>
            <w:shd w:val="clear" w:color="auto" w:fill="CCEEFF"/>
          </w:tcPr>
          <w:p>
            <w:pPr>
              <w:ind w:left="108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bottom w:val="single" w:sz="8" w:color="CCEEFF"/>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4718050</wp:posOffset>
            </wp:positionV>
            <wp:extent cx="533082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3" w:name="page34"/>
    <w:bookmarkEnd w:id="33"/>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25" w:lineRule="exact"/>
        <w:rPr>
          <w:sz w:val="20"/>
          <w:szCs w:val="20"/>
          <w:color w:val="auto"/>
        </w:rPr>
      </w:pPr>
    </w:p>
    <w:p>
      <w:pPr>
        <w:ind w:left="1300" w:right="1319" w:firstLine="281"/>
        <w:spacing w:after="0" w:line="244" w:lineRule="auto"/>
        <w:rPr>
          <w:sz w:val="20"/>
          <w:szCs w:val="20"/>
          <w:color w:val="auto"/>
        </w:rPr>
      </w:pPr>
      <w:r>
        <w:rPr>
          <w:rFonts w:ascii="Times New Roman" w:cs="Times New Roman" w:eastAsia="Times New Roman" w:hAnsi="Times New Roman"/>
          <w:sz w:val="14"/>
          <w:szCs w:val="14"/>
          <w:color w:val="auto"/>
        </w:rPr>
        <w:t>This prospectus is part of a registration statement we have filed with the U.S. Securities and Exchange Commission (the “SEC”) using a “shelf” registration process. Using this process, we may offer the general mortgage bonds (“mortgage bonds”) described in this prospectus in one or more offerings. Each time we use this prospectus to offer mortgage bonds, we will file a supplement to this prospectus with the SEC that will describe the specific terms of the offering and the mortgage bonds. The prospectus supplement may also add to, update or change the information contained in this prospectus. Before you invest, you should carefully read this prospectus, the applicable prospectus supplement and the information contained in the documents we refer to under the heading “Where You Can Find More Information.”</w:t>
      </w:r>
    </w:p>
    <w:p>
      <w:pPr>
        <w:spacing w:after="0" w:line="88" w:lineRule="exact"/>
        <w:rPr>
          <w:sz w:val="20"/>
          <w:szCs w:val="20"/>
          <w:color w:val="auto"/>
        </w:rPr>
      </w:pPr>
    </w:p>
    <w:p>
      <w:pPr>
        <w:ind w:left="1300" w:right="1319" w:firstLine="281"/>
        <w:spacing w:after="0" w:line="245" w:lineRule="auto"/>
        <w:rPr>
          <w:sz w:val="20"/>
          <w:szCs w:val="20"/>
          <w:color w:val="auto"/>
        </w:rPr>
      </w:pPr>
      <w:r>
        <w:rPr>
          <w:rFonts w:ascii="Times New Roman" w:cs="Times New Roman" w:eastAsia="Times New Roman" w:hAnsi="Times New Roman"/>
          <w:sz w:val="14"/>
          <w:szCs w:val="14"/>
          <w:b w:val="1"/>
          <w:bCs w:val="1"/>
          <w:color w:val="auto"/>
        </w:rPr>
        <w:t>We have not authorized anyone to provide any information or make any representations other than those contained in this prospectus, any prospectus supplement and any communication from us or any underwriter specifying the final terms of a particular offering.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this prospectus, any prospectus supplement or any communication from us or any underwriter specifying the final terms of a particular offering is accurate as of any date other than the date on the front of that document. Any information we have incorporated by reference is accurate only as of the date of the document incorporated by reference.</w:t>
      </w:r>
    </w:p>
    <w:p>
      <w:pPr>
        <w:spacing w:after="0" w:line="91" w:lineRule="exact"/>
        <w:rPr>
          <w:sz w:val="20"/>
          <w:szCs w:val="20"/>
          <w:color w:val="auto"/>
        </w:rPr>
      </w:pPr>
    </w:p>
    <w:p>
      <w:pPr>
        <w:ind w:left="1300" w:right="1499" w:firstLine="281"/>
        <w:spacing w:after="0" w:line="259" w:lineRule="auto"/>
        <w:rPr>
          <w:sz w:val="20"/>
          <w:szCs w:val="20"/>
          <w:color w:val="auto"/>
        </w:rPr>
      </w:pPr>
      <w:r>
        <w:rPr>
          <w:rFonts w:ascii="Times New Roman" w:cs="Times New Roman" w:eastAsia="Times New Roman" w:hAnsi="Times New Roman"/>
          <w:sz w:val="14"/>
          <w:szCs w:val="14"/>
          <w:color w:val="auto"/>
        </w:rPr>
        <w:t>References in this prospectus to the terms “we,” “us,” “our” or other similar terms mean CenterPoint Energy Houston Electric, LLC and its subsidiaries, and references to “CenterPoint Energy” mean our indirect parent, CenterPoint Energy, Inc., unless the context clearly indicates otherwise.</w:t>
      </w:r>
    </w:p>
    <w:p>
      <w:pPr>
        <w:spacing w:after="0" w:line="79" w:lineRule="exact"/>
        <w:rPr>
          <w:sz w:val="20"/>
          <w:szCs w:val="20"/>
          <w:color w:val="auto"/>
        </w:rPr>
      </w:pPr>
    </w:p>
    <w:p>
      <w:pPr>
        <w:jc w:val="both"/>
        <w:ind w:left="1300" w:right="1379" w:firstLine="281"/>
        <w:spacing w:after="0" w:line="251" w:lineRule="auto"/>
        <w:rPr>
          <w:sz w:val="20"/>
          <w:szCs w:val="20"/>
          <w:color w:val="auto"/>
        </w:rPr>
      </w:pPr>
      <w:r>
        <w:rPr>
          <w:rFonts w:ascii="Times New Roman" w:cs="Times New Roman" w:eastAsia="Times New Roman" w:hAnsi="Times New Roman"/>
          <w:sz w:val="14"/>
          <w:szCs w:val="14"/>
          <w:color w:val="auto"/>
        </w:rPr>
        <w:t>The Bank of New York Mellon Trust Company, National Association, in its capacity as trustee for the mortgage bonds, has not participated in the preparation of this prospectus and assumes no responsibility for its content.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25" w:lineRule="exact"/>
        <w:rPr>
          <w:sz w:val="20"/>
          <w:szCs w:val="20"/>
          <w:color w:val="auto"/>
        </w:rPr>
      </w:pPr>
    </w:p>
    <w:p>
      <w:pPr>
        <w:jc w:val="both"/>
        <w:ind w:left="1300" w:right="1359" w:firstLine="281"/>
        <w:spacing w:after="0" w:line="254" w:lineRule="auto"/>
        <w:rPr>
          <w:sz w:val="20"/>
          <w:szCs w:val="20"/>
          <w:color w:val="auto"/>
        </w:rPr>
      </w:pPr>
      <w:r>
        <w:rPr>
          <w:rFonts w:ascii="Times New Roman" w:cs="Times New Roman" w:eastAsia="Times New Roman" w:hAnsi="Times New Roman"/>
          <w:sz w:val="14"/>
          <w:szCs w:val="14"/>
          <w:color w:val="auto"/>
        </w:rPr>
        <w:t>We file annual, quarterly and current reports and other information with the SEC. The SEC maintains a website that contains information we filed electronically with the SEC, which you can access at</w:t>
      </w:r>
    </w:p>
    <w:p>
      <w:pPr>
        <w:ind w:left="1300"/>
        <w:spacing w:after="0"/>
        <w:rPr>
          <w:sz w:val="20"/>
          <w:szCs w:val="20"/>
          <w:color w:val="auto"/>
        </w:rPr>
      </w:pPr>
      <w:r>
        <w:rPr>
          <w:rFonts w:ascii="Times New Roman" w:cs="Times New Roman" w:eastAsia="Times New Roman" w:hAnsi="Times New Roman"/>
          <w:sz w:val="14"/>
          <w:szCs w:val="14"/>
          <w:i w:val="1"/>
          <w:iCs w:val="1"/>
          <w:color w:val="auto"/>
        </w:rPr>
        <w:t>http://www.sec.gov</w:t>
      </w:r>
      <w:r>
        <w:rPr>
          <w:rFonts w:ascii="Times New Roman" w:cs="Times New Roman" w:eastAsia="Times New Roman" w:hAnsi="Times New Roman"/>
          <w:sz w:val="14"/>
          <w:szCs w:val="14"/>
          <w:color w:val="auto"/>
        </w:rPr>
        <w:t>.</w:t>
      </w:r>
    </w:p>
    <w:p>
      <w:pPr>
        <w:spacing w:after="0" w:line="96" w:lineRule="exact"/>
        <w:rPr>
          <w:sz w:val="20"/>
          <w:szCs w:val="20"/>
          <w:color w:val="auto"/>
        </w:rPr>
      </w:pPr>
    </w:p>
    <w:p>
      <w:pPr>
        <w:ind w:left="1300" w:right="1339" w:firstLine="281"/>
        <w:spacing w:after="0" w:line="248" w:lineRule="auto"/>
        <w:rPr>
          <w:sz w:val="20"/>
          <w:szCs w:val="20"/>
          <w:color w:val="auto"/>
        </w:rPr>
      </w:pPr>
      <w:r>
        <w:rPr>
          <w:rFonts w:ascii="Times New Roman" w:cs="Times New Roman" w:eastAsia="Times New Roman" w:hAnsi="Times New Roman"/>
          <w:sz w:val="14"/>
          <w:szCs w:val="14"/>
          <w:color w:val="auto"/>
        </w:rPr>
        <w:t xml:space="preserve">Our website is located at </w:t>
      </w:r>
      <w:r>
        <w:rPr>
          <w:rFonts w:ascii="Times New Roman" w:cs="Times New Roman" w:eastAsia="Times New Roman" w:hAnsi="Times New Roman"/>
          <w:sz w:val="14"/>
          <w:szCs w:val="14"/>
          <w:i w:val="1"/>
          <w:iCs w:val="1"/>
          <w:color w:val="auto"/>
        </w:rPr>
        <w:t>http://investors.centerpointenergy.com</w:t>
      </w:r>
      <w:r>
        <w:rPr>
          <w:rFonts w:ascii="Times New Roman" w:cs="Times New Roman" w:eastAsia="Times New Roman" w:hAnsi="Times New Roman"/>
          <w:sz w:val="14"/>
          <w:szCs w:val="14"/>
          <w:color w:val="auto"/>
        </w:rPr>
        <w:t>. Our Annual Reports on Form 10-K, Quarterly Reports on Form 10-Q, Current Reports on Form 8-K and other filings with the SEC are available, free of charge, through our website, as soon as reasonably practicable after those reports or filings are electronically filed with or furnished to the SEC. Information on our website or any other website is not incorporated by reference in this prospectus and does not constitute a part of this prospectus.</w:t>
      </w:r>
    </w:p>
    <w:p>
      <w:pPr>
        <w:spacing w:after="0" w:line="86" w:lineRule="exact"/>
        <w:rPr>
          <w:sz w:val="20"/>
          <w:szCs w:val="20"/>
          <w:color w:val="auto"/>
        </w:rPr>
      </w:pPr>
    </w:p>
    <w:p>
      <w:pPr>
        <w:ind w:left="1300" w:right="1379" w:firstLine="281"/>
        <w:spacing w:after="0" w:line="246" w:lineRule="auto"/>
        <w:rPr>
          <w:sz w:val="20"/>
          <w:szCs w:val="20"/>
          <w:color w:val="auto"/>
        </w:rPr>
      </w:pPr>
      <w:r>
        <w:rPr>
          <w:rFonts w:ascii="Times New Roman" w:cs="Times New Roman" w:eastAsia="Times New Roman" w:hAnsi="Times New Roman"/>
          <w:sz w:val="14"/>
          <w:szCs w:val="14"/>
          <w:color w:val="auto"/>
        </w:rPr>
        <w:t>This prospectus, which includes information incorporated by reference (see “Incorporation by Reference” below), is part of a registration statement we have filed with the SEC relating to the mortgage bonds we may offer. As permitted by SEC rules, this prospectus does not contain all of the information we have included in the registration statement and the accompanying exhibits and schedules we file with the SEC. You may refer to the registration statement, the exhibits and the schedules for more information about us and our securities. The registration statement, exhibits and schedules are available through the SEC’s website.</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25" w:lineRule="exact"/>
        <w:rPr>
          <w:sz w:val="20"/>
          <w:szCs w:val="20"/>
          <w:color w:val="auto"/>
        </w:rPr>
      </w:pPr>
    </w:p>
    <w:p>
      <w:pPr>
        <w:ind w:left="1300" w:right="1339" w:firstLine="281"/>
        <w:spacing w:after="0" w:line="248" w:lineRule="auto"/>
        <w:rPr>
          <w:sz w:val="20"/>
          <w:szCs w:val="20"/>
          <w:color w:val="auto"/>
        </w:rPr>
      </w:pPr>
      <w:r>
        <w:rPr>
          <w:rFonts w:ascii="Times New Roman" w:cs="Times New Roman" w:eastAsia="Times New Roman" w:hAnsi="Times New Roman"/>
          <w:sz w:val="14"/>
          <w:szCs w:val="14"/>
          <w:color w:val="auto"/>
        </w:rPr>
        <w:t>We are “incorporating by reference” into this prospectus certain information we file with the SEC. This means we are disclosing important information to you by referring you to the documents containing the information. The information we incorporate by reference is considered to be part of this prospectus. Information that we file later with the SEC that is deemed incorporated by reference into this prospectus (which does not include information deemed pursuant to the SEC’s rules to be furnished to and not filed with the SEC) will automatically update and supersede information previously included.</w:t>
      </w:r>
    </w:p>
    <w:p>
      <w:pPr>
        <w:spacing w:after="0" w:line="86" w:lineRule="exact"/>
        <w:rPr>
          <w:sz w:val="20"/>
          <w:szCs w:val="20"/>
          <w:color w:val="auto"/>
        </w:rPr>
      </w:pPr>
    </w:p>
    <w:p>
      <w:pPr>
        <w:ind w:left="1300" w:right="1419" w:firstLine="281"/>
        <w:spacing w:after="0" w:line="255" w:lineRule="auto"/>
        <w:rPr>
          <w:sz w:val="20"/>
          <w:szCs w:val="20"/>
          <w:color w:val="auto"/>
        </w:rPr>
      </w:pPr>
      <w:r>
        <w:rPr>
          <w:rFonts w:ascii="Times New Roman" w:cs="Times New Roman" w:eastAsia="Times New Roman" w:hAnsi="Times New Roman"/>
          <w:sz w:val="14"/>
          <w:szCs w:val="14"/>
          <w:color w:val="auto"/>
        </w:rPr>
        <w:t>We are incorporating by reference into this prospectus the documents listed below and any subsequent filings we make with the SEC under Sections 13(a), 13(c), 14 or 15(d) of the Securities Exchange Act of 1934,</w:t>
      </w: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4" w:name="page35"/>
    <w:bookmarkEnd w:id="34"/>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459"/>
        <w:spacing w:after="0" w:line="283" w:lineRule="auto"/>
        <w:rPr>
          <w:sz w:val="20"/>
          <w:szCs w:val="20"/>
          <w:color w:val="auto"/>
        </w:rPr>
      </w:pPr>
      <w:r>
        <w:rPr>
          <w:rFonts w:ascii="Times New Roman" w:cs="Times New Roman" w:eastAsia="Times New Roman" w:hAnsi="Times New Roman"/>
          <w:sz w:val="14"/>
          <w:szCs w:val="14"/>
          <w:color w:val="auto"/>
        </w:rPr>
        <w:t>as amended, (excluding information deemed pursuant to the SEC’s rules to be furnished and not filed with the SEC) until all the mortgage bonds are sold:</w:t>
      </w:r>
    </w:p>
    <w:p>
      <w:pPr>
        <w:spacing w:after="0" w:line="41" w:lineRule="exact"/>
        <w:rPr>
          <w:sz w:val="20"/>
          <w:szCs w:val="20"/>
          <w:color w:val="auto"/>
        </w:rPr>
      </w:pPr>
    </w:p>
    <w:p>
      <w:pPr>
        <w:ind w:left="1720" w:hanging="134"/>
        <w:spacing w:after="0"/>
        <w:tabs>
          <w:tab w:leader="none" w:pos="17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36">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2025;</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w:t>
      </w:r>
      <w:hyperlink r:id="rId62">
        <w:r>
          <w:rPr>
            <w:rFonts w:ascii="Times New Roman" w:cs="Times New Roman" w:eastAsia="Times New Roman" w:hAnsi="Times New Roman"/>
            <w:sz w:val="14"/>
            <w:szCs w:val="14"/>
            <w:u w:val="single" w:color="auto"/>
            <w:color w:val="0000EE"/>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quarter ended March 31, 2026; and</w:t>
      </w:r>
    </w:p>
    <w:p>
      <w:pPr>
        <w:spacing w:after="0" w:line="91" w:lineRule="exact"/>
        <w:rPr>
          <w:rFonts w:ascii="Times New Roman" w:cs="Times New Roman" w:eastAsia="Times New Roman" w:hAnsi="Times New Roman"/>
          <w:sz w:val="14"/>
          <w:szCs w:val="14"/>
          <w:color w:val="auto"/>
        </w:rPr>
      </w:pPr>
    </w:p>
    <w:p>
      <w:pPr>
        <w:ind w:left="1720" w:right="1699" w:hanging="134"/>
        <w:spacing w:after="0" w:line="283" w:lineRule="auto"/>
        <w:tabs>
          <w:tab w:leader="none" w:pos="1720" w:val="left"/>
        </w:tabs>
        <w:numPr>
          <w:ilvl w:val="0"/>
          <w:numId w:val="45"/>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Current Reports on Form 8-K filed with the SEC on </w:t>
      </w:r>
      <w:hyperlink r:id="rId63">
        <w:r>
          <w:rPr>
            <w:rFonts w:ascii="Times New Roman" w:cs="Times New Roman" w:eastAsia="Times New Roman" w:hAnsi="Times New Roman"/>
            <w:sz w:val="14"/>
            <w:szCs w:val="14"/>
            <w:u w:val="single" w:color="auto"/>
            <w:color w:val="0000EE"/>
          </w:rPr>
          <w:t>February 19, 2026</w:t>
        </w:r>
      </w:hyperlink>
      <w:r>
        <w:rPr>
          <w:rFonts w:ascii="Times New Roman" w:cs="Times New Roman" w:eastAsia="Times New Roman" w:hAnsi="Times New Roman"/>
          <w:sz w:val="14"/>
          <w:szCs w:val="14"/>
          <w:color w:val="auto"/>
        </w:rPr>
        <w:t xml:space="preserve">, </w:t>
      </w:r>
      <w:hyperlink r:id="rId27">
        <w:r>
          <w:rPr>
            <w:rFonts w:ascii="Times New Roman" w:cs="Times New Roman" w:eastAsia="Times New Roman" w:hAnsi="Times New Roman"/>
            <w:sz w:val="14"/>
            <w:szCs w:val="14"/>
            <w:u w:val="single" w:color="auto"/>
            <w:color w:val="0000EE"/>
          </w:rPr>
          <w:t>February 23, 2026</w:t>
        </w:r>
      </w:hyperlink>
      <w:r>
        <w:rPr>
          <w:rFonts w:ascii="Times New Roman" w:cs="Times New Roman" w:eastAsia="Times New Roman" w:hAnsi="Times New Roman"/>
          <w:sz w:val="14"/>
          <w:szCs w:val="14"/>
          <w:color w:val="auto"/>
        </w:rPr>
        <w:t xml:space="preserve">, </w:t>
      </w:r>
      <w:hyperlink r:id="rId64">
        <w:r>
          <w:rPr>
            <w:rFonts w:ascii="Times New Roman" w:cs="Times New Roman" w:eastAsia="Times New Roman" w:hAnsi="Times New Roman"/>
            <w:sz w:val="14"/>
            <w:szCs w:val="14"/>
            <w:u w:val="single" w:color="auto"/>
            <w:color w:val="0000EE"/>
          </w:rPr>
          <w:t>February 25, 2026</w:t>
        </w:r>
        <w:r>
          <w:rPr>
            <w:rFonts w:ascii="Times New Roman" w:cs="Times New Roman" w:eastAsia="Times New Roman" w:hAnsi="Times New Roman"/>
            <w:sz w:val="14"/>
            <w:szCs w:val="14"/>
            <w:color w:val="0000EE"/>
          </w:rPr>
          <w:t xml:space="preserve"> </w:t>
        </w:r>
      </w:hyperlink>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r:id="rId65">
        <w:r>
          <w:rPr>
            <w:rFonts w:ascii="Times New Roman" w:cs="Times New Roman" w:eastAsia="Times New Roman" w:hAnsi="Times New Roman"/>
            <w:sz w:val="14"/>
            <w:szCs w:val="14"/>
            <w:u w:val="single" w:color="auto"/>
            <w:color w:val="0000EE"/>
          </w:rPr>
          <w:t>February 26, 2026</w:t>
        </w:r>
      </w:hyperlink>
      <w:r>
        <w:rPr>
          <w:rFonts w:ascii="Times New Roman" w:cs="Times New Roman" w:eastAsia="Times New Roman" w:hAnsi="Times New Roman"/>
          <w:sz w:val="14"/>
          <w:szCs w:val="14"/>
          <w:color w:val="000000"/>
        </w:rPr>
        <w:t>.</w:t>
      </w:r>
    </w:p>
    <w:p>
      <w:pPr>
        <w:spacing w:after="0" w:line="73" w:lineRule="exact"/>
        <w:rPr>
          <w:rFonts w:ascii="Times New Roman" w:cs="Times New Roman" w:eastAsia="Times New Roman" w:hAnsi="Times New Roman"/>
          <w:sz w:val="14"/>
          <w:szCs w:val="14"/>
          <w:color w:val="auto"/>
        </w:rPr>
      </w:pPr>
    </w:p>
    <w:p>
      <w:pPr>
        <w:ind w:left="1300" w:right="1319" w:firstLine="281"/>
        <w:spacing w:after="0" w:line="259" w:lineRule="auto"/>
        <w:rPr>
          <w:sz w:val="20"/>
          <w:szCs w:val="20"/>
          <w:color w:val="auto"/>
        </w:rPr>
      </w:pPr>
      <w:r>
        <w:rPr>
          <w:rFonts w:ascii="Times New Roman" w:cs="Times New Roman" w:eastAsia="Times New Roman" w:hAnsi="Times New Roman"/>
          <w:sz w:val="14"/>
          <w:szCs w:val="14"/>
          <w:color w:val="auto"/>
        </w:rPr>
        <w:t>From time to time, we, CenterPoint Energy and CenterPoint Energy Resources Corp. file combined reports with the SEC. We do not intend to incorporate by reference into this prospectus information relating to CenterPoint Energy and its subsidiaries (other than us and our consolidated subsidiaries), and we make no representations as to the information relating to CenterPoint Energy and its subsidiaries (other than us and our consolidated subsidiaries) contained in such combined reports.</w:t>
      </w:r>
    </w:p>
    <w:p>
      <w:pPr>
        <w:spacing w:after="0" w:line="89" w:lineRule="exact"/>
        <w:rPr>
          <w:rFonts w:ascii="Times New Roman" w:cs="Times New Roman" w:eastAsia="Times New Roman" w:hAnsi="Times New Roman"/>
          <w:sz w:val="14"/>
          <w:szCs w:val="14"/>
          <w:color w:val="auto"/>
        </w:rPr>
      </w:pPr>
    </w:p>
    <w:p>
      <w:pPr>
        <w:ind w:left="1300" w:right="1359" w:firstLine="281"/>
        <w:spacing w:after="0" w:line="283" w:lineRule="auto"/>
        <w:rPr>
          <w:sz w:val="20"/>
          <w:szCs w:val="20"/>
          <w:color w:val="auto"/>
        </w:rPr>
      </w:pPr>
      <w:r>
        <w:rPr>
          <w:rFonts w:ascii="Times New Roman" w:cs="Times New Roman" w:eastAsia="Times New Roman" w:hAnsi="Times New Roman"/>
          <w:sz w:val="14"/>
          <w:szCs w:val="14"/>
          <w:color w:val="auto"/>
        </w:rPr>
        <w:t>You may also obtain a copy of our filings with the SEC at no cost by writing to or telephoning us at the following address:</w:t>
      </w:r>
    </w:p>
    <w:p>
      <w:pPr>
        <w:spacing w:after="0" w:line="62"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CenterPoint Energy Houston Electric, LLC</w:t>
      </w:r>
    </w:p>
    <w:p>
      <w:pPr>
        <w:spacing w:after="0" w:line="22"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c/o CenterPoint Energy, Inc.</w:t>
      </w:r>
    </w:p>
    <w:p>
      <w:pPr>
        <w:spacing w:after="0" w:line="7"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Attn: Investor Relations</w:t>
      </w:r>
    </w:p>
    <w:p>
      <w:pPr>
        <w:spacing w:after="0" w:line="7"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P.O. Box 4567</w:t>
      </w:r>
    </w:p>
    <w:p>
      <w:pPr>
        <w:spacing w:after="0" w:line="7"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Houston, Texas 77210-4567</w:t>
      </w:r>
    </w:p>
    <w:p>
      <w:pPr>
        <w:spacing w:after="0" w:line="7"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(713) 207-6500</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54" w:lineRule="exact"/>
        <w:rPr>
          <w:rFonts w:ascii="Times New Roman" w:cs="Times New Roman" w:eastAsia="Times New Roman" w:hAnsi="Times New Roman"/>
          <w:sz w:val="14"/>
          <w:szCs w:val="1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5" w:name="page36"/>
    <w:bookmarkEnd w:id="35"/>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ABOUT CENTERPOINT ENERGY HOUSTON ELECTRIC, LLC</w:t>
      </w:r>
    </w:p>
    <w:p>
      <w:pPr>
        <w:spacing w:after="0" w:line="125" w:lineRule="exact"/>
        <w:rPr>
          <w:sz w:val="20"/>
          <w:szCs w:val="20"/>
          <w:color w:val="auto"/>
        </w:rPr>
      </w:pPr>
    </w:p>
    <w:p>
      <w:pPr>
        <w:ind w:left="1300" w:right="1379" w:firstLine="281"/>
        <w:spacing w:after="0" w:line="260" w:lineRule="auto"/>
        <w:rPr>
          <w:sz w:val="20"/>
          <w:szCs w:val="20"/>
          <w:color w:val="auto"/>
        </w:rPr>
      </w:pPr>
      <w:r>
        <w:rPr>
          <w:rFonts w:ascii="Times New Roman" w:cs="Times New Roman" w:eastAsia="Times New Roman" w:hAnsi="Times New Roman"/>
          <w:sz w:val="14"/>
          <w:szCs w:val="14"/>
          <w:color w:val="auto"/>
        </w:rPr>
        <w:t>We provide electric transmission service to transmission service customers in the Electric Reliability Council of Texas region and distribution service to retail electric providers (“REPs”) serving approximately 2.9 million metered customers in the Texas Gulf Coast area that includes the city of Houston. We are an indirect, wholly-owned subsidiary of CenterPoint Energy, Inc. (“CenterPoint Energy”), a public utility holding company.</w:t>
      </w:r>
    </w:p>
    <w:p>
      <w:pPr>
        <w:spacing w:after="0" w:line="260" w:lineRule="exact"/>
        <w:rPr>
          <w:sz w:val="20"/>
          <w:szCs w:val="20"/>
          <w:color w:val="auto"/>
        </w:rPr>
      </w:pPr>
    </w:p>
    <w:p>
      <w:pPr>
        <w:ind w:left="1300" w:right="1419" w:firstLine="281"/>
        <w:spacing w:after="0" w:line="283" w:lineRule="auto"/>
        <w:rPr>
          <w:sz w:val="20"/>
          <w:szCs w:val="20"/>
          <w:color w:val="auto"/>
        </w:rPr>
      </w:pPr>
      <w:r>
        <w:rPr>
          <w:rFonts w:ascii="Times New Roman" w:cs="Times New Roman" w:eastAsia="Times New Roman" w:hAnsi="Times New Roman"/>
          <w:sz w:val="14"/>
          <w:szCs w:val="14"/>
          <w:color w:val="auto"/>
        </w:rPr>
        <w:t>Our principal executive offices are located at 1111 Louisiana Street, Houston, Texas 77002 (telephone number: (713) 207-1111).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6" w:name="page37"/>
    <w:bookmarkEnd w:id="36"/>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5" w:lineRule="exact"/>
        <w:rPr>
          <w:sz w:val="20"/>
          <w:szCs w:val="20"/>
          <w:color w:val="auto"/>
        </w:rPr>
      </w:pPr>
    </w:p>
    <w:p>
      <w:pPr>
        <w:ind w:left="1300" w:right="1399" w:firstLine="281"/>
        <w:spacing w:after="0" w:line="245" w:lineRule="auto"/>
        <w:rPr>
          <w:sz w:val="20"/>
          <w:szCs w:val="20"/>
          <w:color w:val="auto"/>
        </w:rPr>
      </w:pPr>
      <w:r>
        <w:rPr>
          <w:rFonts w:ascii="Times New Roman" w:cs="Times New Roman" w:eastAsia="Times New Roman" w:hAnsi="Times New Roman"/>
          <w:sz w:val="14"/>
          <w:szCs w:val="14"/>
          <w:color w:val="auto"/>
        </w:rPr>
        <w:t>Our business is influenced by many factors that are difficult to predict and that involve uncertainties that may materially affect actual operating results, cash flows and financial condition. These risk factors include those described as such in the documents that are incorporated by reference in this prospectus (which risk factors are incorporated herein by reference), and could include additional uncertainties not presently known to us or that we currently do not consider material. Before making an investment decision, you should carefully consider these risks as well as any other information we include or incorporate by reference in this prospectus or include in any applicable prospectus supplement.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INFORMATION</w:t>
      </w:r>
    </w:p>
    <w:p>
      <w:pPr>
        <w:spacing w:after="0" w:line="125" w:lineRule="exact"/>
        <w:rPr>
          <w:sz w:val="20"/>
          <w:szCs w:val="20"/>
          <w:color w:val="auto"/>
        </w:rPr>
      </w:pPr>
    </w:p>
    <w:p>
      <w:pPr>
        <w:ind w:left="1300" w:right="1479" w:firstLine="281"/>
        <w:spacing w:after="0" w:line="244" w:lineRule="auto"/>
        <w:rPr>
          <w:sz w:val="20"/>
          <w:szCs w:val="20"/>
          <w:color w:val="auto"/>
        </w:rPr>
      </w:pPr>
      <w:r>
        <w:rPr>
          <w:rFonts w:ascii="Times New Roman" w:cs="Times New Roman" w:eastAsia="Times New Roman" w:hAnsi="Times New Roman"/>
          <w:sz w:val="14"/>
          <w:szCs w:val="14"/>
          <w:color w:val="auto"/>
        </w:rPr>
        <w:t>In this prospectus, including the information we incorporate by reference, we make statements concerning our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our forward-looking statements by the words “anticipate,” “believe,” “continue,” “could,” “estimate,” “expect,” “forecast,” “goal,” “intend,” “may,” “objective,” “plan,” “potential,” “predict,” “projection,” “should,” “target,” “will” or other similar words.</w:t>
      </w:r>
    </w:p>
    <w:p>
      <w:pPr>
        <w:spacing w:after="0" w:line="90" w:lineRule="exact"/>
        <w:rPr>
          <w:sz w:val="20"/>
          <w:szCs w:val="20"/>
          <w:color w:val="auto"/>
        </w:rPr>
      </w:pPr>
    </w:p>
    <w:p>
      <w:pPr>
        <w:ind w:left="1300" w:right="1339" w:firstLine="281"/>
        <w:spacing w:after="0" w:line="251" w:lineRule="auto"/>
        <w:rPr>
          <w:sz w:val="20"/>
          <w:szCs w:val="20"/>
          <w:color w:val="auto"/>
        </w:rPr>
      </w:pPr>
      <w:r>
        <w:rPr>
          <w:rFonts w:ascii="Times New Roman" w:cs="Times New Roman" w:eastAsia="Times New Roman" w:hAnsi="Times New Roman"/>
          <w:sz w:val="14"/>
          <w:szCs w:val="14"/>
          <w:color w:val="auto"/>
        </w:rPr>
        <w:t>We have based our forward-looking statements on our management’s beliefs and assumptions based on information reasonably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spacing w:after="0" w:line="84" w:lineRule="exact"/>
        <w:rPr>
          <w:sz w:val="20"/>
          <w:szCs w:val="20"/>
          <w:color w:val="auto"/>
        </w:rPr>
      </w:pPr>
    </w:p>
    <w:p>
      <w:pPr>
        <w:ind w:left="1300" w:right="1459" w:firstLine="281"/>
        <w:spacing w:after="0" w:line="268" w:lineRule="auto"/>
        <w:rPr>
          <w:sz w:val="20"/>
          <w:szCs w:val="20"/>
          <w:color w:val="auto"/>
        </w:rPr>
      </w:pPr>
      <w:r>
        <w:rPr>
          <w:rFonts w:ascii="Times New Roman" w:cs="Times New Roman" w:eastAsia="Times New Roman" w:hAnsi="Times New Roman"/>
          <w:sz w:val="14"/>
          <w:szCs w:val="14"/>
          <w:color w:val="auto"/>
        </w:rPr>
        <w:t>The following are some of the factors that could cause actual results to differ from those expressed or implied by our forward-looking statements:</w:t>
      </w:r>
    </w:p>
    <w:p>
      <w:pPr>
        <w:spacing w:after="0" w:line="40" w:lineRule="exact"/>
        <w:rPr>
          <w:sz w:val="20"/>
          <w:szCs w:val="20"/>
          <w:color w:val="auto"/>
        </w:rPr>
      </w:pPr>
    </w:p>
    <w:p>
      <w:pPr>
        <w:ind w:left="1720" w:right="1379" w:hanging="134"/>
        <w:spacing w:after="0" w:line="261" w:lineRule="auto"/>
        <w:tabs>
          <w:tab w:leader="none" w:pos="17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strategies and strategic initiatives, restructurings, joint ventures and acquisitions or dispositions of assets or businesses involving us or our industry, including the ability to successfully complete such strategies, initiatives, transactions or plans on the timelines we expect or at all, which we cannot assure will have the anticipated benefits to us;</w:t>
      </w:r>
    </w:p>
    <w:p>
      <w:pPr>
        <w:spacing w:after="0" w:line="57" w:lineRule="exact"/>
        <w:rPr>
          <w:rFonts w:ascii="Times New Roman" w:cs="Times New Roman" w:eastAsia="Times New Roman" w:hAnsi="Times New Roman"/>
          <w:sz w:val="14"/>
          <w:szCs w:val="14"/>
          <w:color w:val="auto"/>
        </w:rPr>
      </w:pPr>
    </w:p>
    <w:p>
      <w:pPr>
        <w:ind w:left="1720" w:right="1439" w:hanging="134"/>
        <w:spacing w:after="0" w:line="255" w:lineRule="auto"/>
        <w:tabs>
          <w:tab w:leader="none" w:pos="17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industrial, commercial and residential growth in our service territories and changes in market demand and energy consumption, including in relation to the expansion of data centers (associated with, among other things, increasing demand for artificial intelligence (“AI”)), energy refining and exports, advanced manufacturing and logistics, as well as the effects of energy efficiency measures, technological advances and demographic patterns, and our ability to appropriately estimate/forecast and effectively manage such demand and the business opportunities and projects relating to such matters as well as obtain the anticipated benefits, including relating to customer affordability, associated with such growth;</w:t>
      </w:r>
    </w:p>
    <w:p>
      <w:pPr>
        <w:spacing w:after="0" w:line="62" w:lineRule="exact"/>
        <w:rPr>
          <w:rFonts w:ascii="Times New Roman" w:cs="Times New Roman" w:eastAsia="Times New Roman" w:hAnsi="Times New Roman"/>
          <w:sz w:val="14"/>
          <w:szCs w:val="14"/>
          <w:color w:val="auto"/>
        </w:rPr>
      </w:pPr>
    </w:p>
    <w:p>
      <w:pPr>
        <w:ind w:left="1720" w:right="1459" w:hanging="134"/>
        <w:spacing w:after="0" w:line="283" w:lineRule="auto"/>
        <w:tabs>
          <w:tab w:leader="none" w:pos="17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fund and invest planned capital and the timely recovery of our investments, including the timing of and amounts sought for those related to CenterPoint Energy’s 10-year capital plan;</w:t>
      </w:r>
    </w:p>
    <w:p>
      <w:pPr>
        <w:spacing w:after="0" w:line="41" w:lineRule="exact"/>
        <w:rPr>
          <w:rFonts w:ascii="Times New Roman" w:cs="Times New Roman" w:eastAsia="Times New Roman" w:hAnsi="Times New Roman"/>
          <w:sz w:val="14"/>
          <w:szCs w:val="14"/>
          <w:color w:val="auto"/>
        </w:rPr>
      </w:pPr>
    </w:p>
    <w:p>
      <w:pPr>
        <w:ind w:left="1720" w:right="1319" w:hanging="134"/>
        <w:spacing w:after="0" w:line="261" w:lineRule="auto"/>
        <w:tabs>
          <w:tab w:leader="none" w:pos="17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execute and complete our planned capital projects and programs, including those within CenterPoint Energy’s 10-year capital plan, in a timely and cost-effective manner and within budget, obtain the anticipated benefits of such projects, and manage costs and impacts of such projects on customer affordability;</w:t>
      </w:r>
    </w:p>
    <w:p>
      <w:pPr>
        <w:spacing w:after="0" w:line="57" w:lineRule="exact"/>
        <w:rPr>
          <w:rFonts w:ascii="Times New Roman" w:cs="Times New Roman" w:eastAsia="Times New Roman" w:hAnsi="Times New Roman"/>
          <w:sz w:val="14"/>
          <w:szCs w:val="14"/>
          <w:color w:val="auto"/>
        </w:rPr>
      </w:pPr>
    </w:p>
    <w:p>
      <w:pPr>
        <w:ind w:left="1720" w:right="1399" w:hanging="134"/>
        <w:spacing w:after="0" w:line="261" w:lineRule="auto"/>
        <w:tabs>
          <w:tab w:leader="none" w:pos="17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construct, operate, repair, maintain, replace and restart electric generating facilities, temporary emergency electric energy facilities (“TEEEF”) and electric transmission facilities, as applicable, including in the event of an outage and in relation to complying with applicable environmental, reliability and safety standards;</w:t>
      </w:r>
    </w:p>
    <w:p>
      <w:pPr>
        <w:spacing w:after="0" w:line="57" w:lineRule="exact"/>
        <w:rPr>
          <w:rFonts w:ascii="Times New Roman" w:cs="Times New Roman" w:eastAsia="Times New Roman" w:hAnsi="Times New Roman"/>
          <w:sz w:val="14"/>
          <w:szCs w:val="14"/>
          <w:color w:val="auto"/>
        </w:rPr>
      </w:pPr>
    </w:p>
    <w:p>
      <w:pPr>
        <w:ind w:left="1720" w:right="1319" w:hanging="134"/>
        <w:spacing w:after="0" w:line="267" w:lineRule="auto"/>
        <w:tabs>
          <w:tab w:leader="none" w:pos="17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timely and appropriate rate actions that allow and authorize timely recovery of costs and a reasonable return on investment, including the timing of and amounts sought for recovery of our applicable TEEEF leases and restoration costs relating to, among other things, Hurricane Beryl, and requested</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7" w:name="page38"/>
    <w:bookmarkEnd w:id="37"/>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20" w:right="1979"/>
        <w:spacing w:after="0" w:line="283" w:lineRule="auto"/>
        <w:rPr>
          <w:sz w:val="20"/>
          <w:szCs w:val="20"/>
          <w:color w:val="auto"/>
        </w:rPr>
      </w:pPr>
      <w:r>
        <w:rPr>
          <w:rFonts w:ascii="Times New Roman" w:cs="Times New Roman" w:eastAsia="Times New Roman" w:hAnsi="Times New Roman"/>
          <w:sz w:val="14"/>
          <w:szCs w:val="14"/>
          <w:color w:val="auto"/>
        </w:rPr>
        <w:t>or favorable adjustments to rates and approval of other requested items as part of base rate proceedings or interim rate mechanisms;</w:t>
      </w:r>
    </w:p>
    <w:p>
      <w:pPr>
        <w:spacing w:after="0" w:line="31" w:lineRule="exact"/>
        <w:rPr>
          <w:sz w:val="20"/>
          <w:szCs w:val="20"/>
          <w:color w:val="auto"/>
        </w:rPr>
      </w:pPr>
    </w:p>
    <w:p>
      <w:pPr>
        <w:ind w:left="1720" w:right="1339" w:hanging="134"/>
        <w:spacing w:after="0" w:line="257" w:lineRule="auto"/>
        <w:tabs>
          <w:tab w:leader="none" w:pos="17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success of, and our ability to obtain approval for matters relating to, our release of our large TEEEF units to the San Antonio area, proposed removal of our medium TEEEF units, reduction of our TEEEF fleet capacity and reduction of rates to reflect the removal of the large and medium TEEEF units from our TEEEF fleet, as well as our ability to complete one or more other future transactions involving the large and medium TEEEF units on acceptable terms and conditions within the anticipated timeframe;</w:t>
      </w:r>
    </w:p>
    <w:p>
      <w:pPr>
        <w:spacing w:after="0" w:line="49" w:lineRule="exact"/>
        <w:rPr>
          <w:rFonts w:ascii="Times New Roman" w:cs="Times New Roman" w:eastAsia="Times New Roman" w:hAnsi="Times New Roman"/>
          <w:sz w:val="14"/>
          <w:szCs w:val="14"/>
          <w:color w:val="auto"/>
        </w:rPr>
      </w:pPr>
    </w:p>
    <w:p>
      <w:pPr>
        <w:ind w:left="1720" w:right="1359" w:hanging="134"/>
        <w:spacing w:after="0" w:line="267" w:lineRule="auto"/>
        <w:tabs>
          <w:tab w:leader="none" w:pos="17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conditions in regional and national markets, including economic uncertainty and volatility, potential for recession, changes to and increases in inflation and interest rates, and their effect on sales, prices and costs;</w:t>
      </w:r>
    </w:p>
    <w:p>
      <w:pPr>
        <w:spacing w:after="0" w:line="51" w:lineRule="exact"/>
        <w:rPr>
          <w:rFonts w:ascii="Times New Roman" w:cs="Times New Roman" w:eastAsia="Times New Roman" w:hAnsi="Times New Roman"/>
          <w:sz w:val="14"/>
          <w:szCs w:val="14"/>
          <w:color w:val="auto"/>
        </w:rPr>
      </w:pPr>
    </w:p>
    <w:p>
      <w:pPr>
        <w:ind w:left="1720" w:right="1399" w:hanging="134"/>
        <w:spacing w:after="0" w:line="255" w:lineRule="auto"/>
        <w:tabs>
          <w:tab w:leader="none" w:pos="17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severe weather events, natural disasters and other climate-related impacts, including the impact of severe weather events on operations, capital, legislation and/or regulations, such as seen in connection with the extreme and unprecedented winter weather event in February 2021 that resulted in electricity generation supply shortages, including in Texas, and natural gas supply shortages and increased wholesale prices of natural gas in the United States, primarily due to prolonged freezing temperatures (“February 2021 Winter Storm Event”), the sudden and destructive severe weather events in May 2024 that included hurricane-like winds and tornadoes and resulted in widespread damage to our electric delivery system and Hurricane Beryl;</w:t>
      </w:r>
    </w:p>
    <w:p>
      <w:pPr>
        <w:spacing w:after="0" w:line="62" w:lineRule="exact"/>
        <w:rPr>
          <w:rFonts w:ascii="Times New Roman" w:cs="Times New Roman" w:eastAsia="Times New Roman" w:hAnsi="Times New Roman"/>
          <w:sz w:val="14"/>
          <w:szCs w:val="14"/>
          <w:color w:val="auto"/>
        </w:rPr>
      </w:pPr>
    </w:p>
    <w:p>
      <w:pPr>
        <w:ind w:left="1720" w:right="1499" w:hanging="134"/>
        <w:spacing w:after="0" w:line="267" w:lineRule="auto"/>
        <w:tabs>
          <w:tab w:leader="none" w:pos="17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non-payment for our services due to financial distress of our customers and the ability of our customers, including REPs, to satisfy their obligations to us and CenterPoint Energy, and the negative impact on such ability related to adverse economic conditions and severe weather events;</w:t>
      </w:r>
    </w:p>
    <w:p>
      <w:pPr>
        <w:spacing w:after="0" w:line="51" w:lineRule="exact"/>
        <w:rPr>
          <w:rFonts w:ascii="Times New Roman" w:cs="Times New Roman" w:eastAsia="Times New Roman" w:hAnsi="Times New Roman"/>
          <w:sz w:val="14"/>
          <w:szCs w:val="14"/>
          <w:color w:val="auto"/>
        </w:rPr>
      </w:pPr>
    </w:p>
    <w:p>
      <w:pPr>
        <w:ind w:left="1720" w:right="1699" w:hanging="134"/>
        <w:spacing w:after="0" w:line="267" w:lineRule="auto"/>
        <w:tabs>
          <w:tab w:leader="none" w:pos="17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health threats, and their effect on our operations, business and financial condition, our industries and the communities we serve, U.S. and world financial markets and supply chains, potential regulatory actions and changes in customer and stakeholder behavior relating thereto;</w:t>
      </w:r>
    </w:p>
    <w:p>
      <w:pPr>
        <w:spacing w:after="0" w:line="51" w:lineRule="exact"/>
        <w:rPr>
          <w:rFonts w:ascii="Times New Roman" w:cs="Times New Roman" w:eastAsia="Times New Roman" w:hAnsi="Times New Roman"/>
          <w:sz w:val="14"/>
          <w:szCs w:val="14"/>
          <w:color w:val="auto"/>
        </w:rPr>
      </w:pPr>
    </w:p>
    <w:p>
      <w:pPr>
        <w:ind w:left="1720" w:right="1359" w:hanging="134"/>
        <w:spacing w:after="0" w:line="255" w:lineRule="auto"/>
        <w:tabs>
          <w:tab w:leader="none" w:pos="17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state and local legislative, executive and regulatory actions or developments affecting various aspects of our businesses, including, among others, any actions resulting from Hurricane Beryl, energy deregulation or re-regulation, pipeline integrity and safety, actions relating to our facilities and changes in regulation, legislation and governmental action pertaining to the utility model, trade (including tariffs, bans, retaliatory trade measures taken against the United States or related governmental action), the implementation of budget and spending cuts to federal government agencies and programs, effects of government shutdowns, policies incentivizing or disincentivizing the development or utilization of alternative sources of generation (including distributed generation), health care, finance and actions regarding the rates charged by our regulated businesses;</w:t>
      </w:r>
    </w:p>
    <w:p>
      <w:pPr>
        <w:spacing w:after="0" w:line="49" w:lineRule="exact"/>
        <w:rPr>
          <w:rFonts w:ascii="Times New Roman" w:cs="Times New Roman" w:eastAsia="Times New Roman" w:hAnsi="Times New Roman"/>
          <w:sz w:val="14"/>
          <w:szCs w:val="14"/>
          <w:color w:val="auto"/>
        </w:rPr>
      </w:pPr>
    </w:p>
    <w:p>
      <w:pPr>
        <w:ind w:left="1720" w:right="1359" w:hanging="134"/>
        <w:spacing w:after="0" w:line="255" w:lineRule="auto"/>
        <w:tabs>
          <w:tab w:leader="none" w:pos="17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to the global supply chain, inflation, labor shortages and scarcity of certain materials, including as a result of changes in U.S. and foreign trade policy, economic uncertainty, regulatory and policy instability, political and geopolitical uncertainty and instability, including the conflict involving Iran, severe weather and other catastrophic events, changes in laws, executive orders, legislation and other governmental action, increased competition for skilled labor and increases in demand for electricity, that could prevent us from securing the resources and labor needed to, among other things, fully execute on CenterPoint Energy’s strategy and 10-year capital plan, and otherwise impact the affordability of our rates for our customers;</w:t>
      </w:r>
    </w:p>
    <w:p>
      <w:pPr>
        <w:spacing w:after="0" w:line="62" w:lineRule="exact"/>
        <w:rPr>
          <w:rFonts w:ascii="Times New Roman" w:cs="Times New Roman" w:eastAsia="Times New Roman" w:hAnsi="Times New Roman"/>
          <w:sz w:val="14"/>
          <w:szCs w:val="14"/>
          <w:color w:val="auto"/>
        </w:rPr>
      </w:pPr>
    </w:p>
    <w:p>
      <w:pPr>
        <w:ind w:left="1720" w:right="1519" w:hanging="134"/>
        <w:spacing w:after="0" w:line="283" w:lineRule="auto"/>
        <w:tabs>
          <w:tab w:leader="none" w:pos="17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operations and maintenance costs, our ability to control such costs and cost-related impacts on the affordability of our rates for our customers;</w:t>
      </w:r>
    </w:p>
    <w:p>
      <w:pPr>
        <w:spacing w:after="0" w:line="41" w:lineRule="exact"/>
        <w:rPr>
          <w:rFonts w:ascii="Times New Roman" w:cs="Times New Roman" w:eastAsia="Times New Roman" w:hAnsi="Times New Roman"/>
          <w:sz w:val="14"/>
          <w:szCs w:val="14"/>
          <w:color w:val="auto"/>
        </w:rPr>
      </w:pPr>
    </w:p>
    <w:p>
      <w:pPr>
        <w:ind w:left="1720" w:right="1519" w:hanging="134"/>
        <w:spacing w:after="0" w:line="267" w:lineRule="auto"/>
        <w:tabs>
          <w:tab w:leader="none" w:pos="17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timely obtain and maintain necessary land rights, licenses, permits, easements and approvals from landowners and local, federal and other regulatory authorities on acceptable terms and resolve disputes or third-party challenges to such licenses, permits or approvals as applicable;</w:t>
      </w:r>
    </w:p>
    <w:p>
      <w:pPr>
        <w:spacing w:after="0" w:line="51" w:lineRule="exact"/>
        <w:rPr>
          <w:rFonts w:ascii="Times New Roman" w:cs="Times New Roman" w:eastAsia="Times New Roman" w:hAnsi="Times New Roman"/>
          <w:sz w:val="14"/>
          <w:szCs w:val="14"/>
          <w:color w:val="auto"/>
        </w:rPr>
      </w:pPr>
    </w:p>
    <w:p>
      <w:pPr>
        <w:ind w:left="1720" w:right="1539" w:hanging="134"/>
        <w:spacing w:after="0" w:line="260" w:lineRule="auto"/>
        <w:tabs>
          <w:tab w:leader="none" w:pos="17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or indirect effects on our facilities, resources, operations, reputation and financial condition resulting from terrorism, vandalism, cyberattacks or intrusions, data security breaches or other security incidents, threats or attempts to disrupt our businesses or the businesses of supply chain stakeholders (including by foreign actors), or other catastrophic events such as fires, earthquakes, explosions,</w:t>
      </w: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8" w:name="page39"/>
    <w:bookmarkEnd w:id="38"/>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20" w:right="1499"/>
        <w:spacing w:after="0" w:line="283" w:lineRule="auto"/>
        <w:rPr>
          <w:sz w:val="20"/>
          <w:szCs w:val="20"/>
          <w:color w:val="auto"/>
        </w:rPr>
      </w:pPr>
      <w:r>
        <w:rPr>
          <w:rFonts w:ascii="Times New Roman" w:cs="Times New Roman" w:eastAsia="Times New Roman" w:hAnsi="Times New Roman"/>
          <w:sz w:val="14"/>
          <w:szCs w:val="14"/>
          <w:color w:val="auto"/>
        </w:rPr>
        <w:t>leaks, floods, droughts, hurricanes, tornadoes, derecho events, ice storms and other severe weather events, wildfires, pandemic health events, geopolitical conflict, civil unrest or other occurrences;</w:t>
      </w:r>
    </w:p>
    <w:p>
      <w:pPr>
        <w:spacing w:after="0" w:line="31" w:lineRule="exact"/>
        <w:rPr>
          <w:sz w:val="20"/>
          <w:szCs w:val="20"/>
          <w:color w:val="auto"/>
        </w:rPr>
      </w:pPr>
    </w:p>
    <w:p>
      <w:pPr>
        <w:ind w:left="1720" w:right="1419" w:hanging="134"/>
        <w:spacing w:after="0" w:line="259" w:lineRule="auto"/>
        <w:tabs>
          <w:tab w:leader="none" w:pos="17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negative opinions of us or our utility service that our customers, investors, legislators, regulators, creditors, rating agencies or other stakeholders may have or develop, which could result from a variety of factors, including actual or perceived failures in system reliability and safety, the speed of our response to service interruptions, rates and customer affordability, our ability to successfully execute our capital plan, media coverage and actions by third parties;</w:t>
      </w:r>
    </w:p>
    <w:p>
      <w:pPr>
        <w:spacing w:after="0" w:line="46" w:lineRule="exact"/>
        <w:rPr>
          <w:rFonts w:ascii="Times New Roman" w:cs="Times New Roman" w:eastAsia="Times New Roman" w:hAnsi="Times New Roman"/>
          <w:sz w:val="14"/>
          <w:szCs w:val="14"/>
          <w:color w:val="auto"/>
        </w:rPr>
      </w:pPr>
    </w:p>
    <w:p>
      <w:pPr>
        <w:ind w:left="1720" w:right="1399" w:hanging="134"/>
        <w:spacing w:after="0" w:line="267" w:lineRule="auto"/>
        <w:tabs>
          <w:tab w:leader="none" w:pos="17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damages to our network, facilities and systems, including as a result of wildfires, as well as to third-party property resulting in outages or shortages in our service territories, and losses in excess of insurance liability coverage;</w:t>
      </w:r>
    </w:p>
    <w:p>
      <w:pPr>
        <w:spacing w:after="0" w:line="51" w:lineRule="exact"/>
        <w:rPr>
          <w:rFonts w:ascii="Times New Roman" w:cs="Times New Roman" w:eastAsia="Times New Roman" w:hAnsi="Times New Roman"/>
          <w:sz w:val="14"/>
          <w:szCs w:val="14"/>
          <w:color w:val="auto"/>
        </w:rPr>
      </w:pPr>
    </w:p>
    <w:p>
      <w:pPr>
        <w:ind w:left="1720" w:right="1379" w:hanging="134"/>
        <w:spacing w:after="0" w:line="257" w:lineRule="auto"/>
        <w:tabs>
          <w:tab w:leader="none" w:pos="17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legislation and guidance and any changes in tax laws under the current or future administrations, including any further changes to or clarification of the Inflation Reduction Act of 2022 or the One Big Beautiful Bill Act, and any potential changes to tax rates, Corporate Alternative Minimum Tax imposed, tax credits and/or interest deductibility, as well as uncertainties involving state commissions’ and local municipalities’ regulatory requirements and determinations regarding the treatment of excess deferred income taxes and our rates;</w:t>
      </w:r>
    </w:p>
    <w:p>
      <w:pPr>
        <w:spacing w:after="0" w:line="59" w:lineRule="exact"/>
        <w:rPr>
          <w:rFonts w:ascii="Times New Roman" w:cs="Times New Roman" w:eastAsia="Times New Roman" w:hAnsi="Times New Roman"/>
          <w:sz w:val="14"/>
          <w:szCs w:val="14"/>
          <w:color w:val="auto"/>
        </w:rPr>
      </w:pPr>
    </w:p>
    <w:p>
      <w:pPr>
        <w:ind w:left="1720" w:right="1979" w:hanging="134"/>
        <w:spacing w:after="0" w:line="283" w:lineRule="auto"/>
        <w:tabs>
          <w:tab w:leader="none" w:pos="17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mitigate weather impacts through normalization or rate mechanisms, and the effectiveness of such mechanisms;</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by credit rating agencies, including any potential downgrades to credit ratings;</w:t>
      </w:r>
    </w:p>
    <w:p>
      <w:pPr>
        <w:spacing w:after="0" w:line="81" w:lineRule="exact"/>
        <w:rPr>
          <w:rFonts w:ascii="Times New Roman" w:cs="Times New Roman" w:eastAsia="Times New Roman" w:hAnsi="Times New Roman"/>
          <w:sz w:val="14"/>
          <w:szCs w:val="14"/>
          <w:color w:val="auto"/>
        </w:rPr>
      </w:pPr>
    </w:p>
    <w:p>
      <w:pPr>
        <w:ind w:left="1720" w:right="1359" w:hanging="134"/>
        <w:spacing w:after="0" w:line="261" w:lineRule="auto"/>
        <w:tabs>
          <w:tab w:leader="none" w:pos="17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local, state and federal legislative, executive and regulatory actions or developments relating to the environment, including, among others, those related to global climate risk, air emissions, greenhouse gas emissions, carbon emissions, wastewater discharges that could impact operations and CenterPoint Energy’s energy transition goals;</w:t>
      </w:r>
    </w:p>
    <w:p>
      <w:pPr>
        <w:spacing w:after="0" w:line="57"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unplanned facility outages or other closures;</w:t>
      </w:r>
    </w:p>
    <w:p>
      <w:pPr>
        <w:spacing w:after="0" w:line="91" w:lineRule="exact"/>
        <w:rPr>
          <w:rFonts w:ascii="Times New Roman" w:cs="Times New Roman" w:eastAsia="Times New Roman" w:hAnsi="Times New Roman"/>
          <w:sz w:val="14"/>
          <w:szCs w:val="14"/>
          <w:color w:val="auto"/>
        </w:rPr>
      </w:pPr>
    </w:p>
    <w:p>
      <w:pPr>
        <w:ind w:left="1720" w:right="1339" w:hanging="134"/>
        <w:spacing w:after="0" w:line="283" w:lineRule="auto"/>
        <w:tabs>
          <w:tab w:leader="none" w:pos="17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sufficiency of our insurance coverage, including availability, cost, coverage and terms and ability to recover claims;</w:t>
      </w:r>
    </w:p>
    <w:p>
      <w:pPr>
        <w:spacing w:after="0" w:line="41" w:lineRule="exact"/>
        <w:rPr>
          <w:rFonts w:ascii="Times New Roman" w:cs="Times New Roman" w:eastAsia="Times New Roman" w:hAnsi="Times New Roman"/>
          <w:sz w:val="14"/>
          <w:szCs w:val="14"/>
          <w:color w:val="auto"/>
        </w:rPr>
      </w:pPr>
    </w:p>
    <w:p>
      <w:pPr>
        <w:ind w:left="1720" w:right="1399" w:hanging="134"/>
        <w:spacing w:after="0" w:line="267" w:lineRule="auto"/>
        <w:tabs>
          <w:tab w:leader="none" w:pos="17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impacts from CenterPoint Energy’s pension and postretirement benefit plans, such as the investment performance and increases to net periodic costs as a result of plan settlements and changes in assumptions, including discount rates;</w:t>
      </w:r>
    </w:p>
    <w:p>
      <w:pPr>
        <w:spacing w:after="0" w:line="41" w:lineRule="exact"/>
        <w:rPr>
          <w:rFonts w:ascii="Times New Roman" w:cs="Times New Roman" w:eastAsia="Times New Roman" w:hAnsi="Times New Roman"/>
          <w:sz w:val="14"/>
          <w:szCs w:val="14"/>
          <w:color w:val="auto"/>
        </w:rPr>
      </w:pPr>
    </w:p>
    <w:p>
      <w:pPr>
        <w:ind w:left="1720" w:right="1619" w:hanging="134"/>
        <w:spacing w:after="0" w:line="283" w:lineRule="auto"/>
        <w:tabs>
          <w:tab w:leader="none" w:pos="17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interest rates and their impact on costs of borrowing and the valuation of CenterPoint Energy’s pension benefit obligation;</w:t>
      </w:r>
    </w:p>
    <w:p>
      <w:pPr>
        <w:spacing w:after="0" w:line="41" w:lineRule="exact"/>
        <w:rPr>
          <w:rFonts w:ascii="Times New Roman" w:cs="Times New Roman" w:eastAsia="Times New Roman" w:hAnsi="Times New Roman"/>
          <w:sz w:val="14"/>
          <w:szCs w:val="14"/>
          <w:color w:val="auto"/>
        </w:rPr>
      </w:pPr>
    </w:p>
    <w:p>
      <w:pPr>
        <w:ind w:left="1720" w:right="1399" w:hanging="134"/>
        <w:spacing w:after="0" w:line="264" w:lineRule="auto"/>
        <w:tabs>
          <w:tab w:leader="none" w:pos="17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 bank and financial market conditions, including disruptions in the banking industry, our access to capital, the cost of such capital, the results of our financing and refinancing efforts, including availability of funds in the capital markets, and impacts on our vendors, customers and suppliers;</w:t>
      </w:r>
    </w:p>
    <w:p>
      <w:pPr>
        <w:spacing w:after="0" w:line="226"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of various counterparties to meet their obligations to us;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and effectiveness of our risk management activities;</w:t>
      </w:r>
    </w:p>
    <w:p>
      <w:pPr>
        <w:spacing w:after="0" w:line="91" w:lineRule="exact"/>
        <w:rPr>
          <w:rFonts w:ascii="Times New Roman" w:cs="Times New Roman" w:eastAsia="Times New Roman" w:hAnsi="Times New Roman"/>
          <w:sz w:val="14"/>
          <w:szCs w:val="14"/>
          <w:color w:val="auto"/>
        </w:rPr>
      </w:pPr>
    </w:p>
    <w:p>
      <w:pPr>
        <w:jc w:val="both"/>
        <w:ind w:left="1720" w:right="1519" w:hanging="134"/>
        <w:spacing w:after="0" w:line="267" w:lineRule="auto"/>
        <w:tabs>
          <w:tab w:leader="none" w:pos="17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timely and appropriate regulatory actions, which include actions allowing requested securitization for any hurricanes or other severe weather events, such as Hurricane Beryl, or natural disasters or other amounts sought for recovery of costs;</w:t>
      </w:r>
    </w:p>
    <w:p>
      <w:pPr>
        <w:spacing w:after="0" w:line="51" w:lineRule="exact"/>
        <w:rPr>
          <w:rFonts w:ascii="Times New Roman" w:cs="Times New Roman" w:eastAsia="Times New Roman" w:hAnsi="Times New Roman"/>
          <w:sz w:val="14"/>
          <w:szCs w:val="14"/>
          <w:color w:val="auto"/>
        </w:rPr>
      </w:pPr>
    </w:p>
    <w:p>
      <w:pPr>
        <w:ind w:left="1720" w:right="1379" w:hanging="134"/>
        <w:spacing w:after="0" w:line="283" w:lineRule="auto"/>
        <w:tabs>
          <w:tab w:leader="none" w:pos="17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effectively transition, motivate and retain an appropriately qualified workforce, identify and develop top talent to succeed management and maintain good labor relations;</w:t>
      </w:r>
    </w:p>
    <w:p>
      <w:pPr>
        <w:spacing w:after="0" w:line="41" w:lineRule="exact"/>
        <w:rPr>
          <w:rFonts w:ascii="Times New Roman" w:cs="Times New Roman" w:eastAsia="Times New Roman" w:hAnsi="Times New Roman"/>
          <w:sz w:val="14"/>
          <w:szCs w:val="14"/>
          <w:color w:val="auto"/>
        </w:rPr>
      </w:pPr>
    </w:p>
    <w:p>
      <w:pPr>
        <w:ind w:left="1720" w:right="1359" w:hanging="134"/>
        <w:spacing w:after="0" w:line="267" w:lineRule="auto"/>
        <w:tabs>
          <w:tab w:leader="none" w:pos="17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technology, including with respect to efficient battery storage or the emergence or growth of new, developing or alternative sources of generation, and their adoption by consumers, and our ability to anticipate, adapt to and implement technological changes;</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advances in AI and our success in timely adopting, developing and deploying AI;</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outcome of any audits, disputes and other proceedings related to taxes;</w:t>
      </w: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39" w:name="page40"/>
    <w:bookmarkEnd w:id="39"/>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20" w:hanging="134"/>
        <w:spacing w:after="0"/>
        <w:tabs>
          <w:tab w:leader="none" w:pos="17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recording of impairment charges;</w:t>
      </w:r>
    </w:p>
    <w:p>
      <w:pPr>
        <w:spacing w:after="0" w:line="91" w:lineRule="exact"/>
        <w:rPr>
          <w:rFonts w:ascii="Times New Roman" w:cs="Times New Roman" w:eastAsia="Times New Roman" w:hAnsi="Times New Roman"/>
          <w:sz w:val="14"/>
          <w:szCs w:val="14"/>
          <w:color w:val="auto"/>
        </w:rPr>
      </w:pPr>
    </w:p>
    <w:p>
      <w:pPr>
        <w:ind w:left="1720" w:right="1339" w:hanging="134"/>
        <w:spacing w:after="0" w:line="283" w:lineRule="auto"/>
        <w:tabs>
          <w:tab w:leader="none" w:pos="17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and economic developments and actions, including energy and environmental policies under the current administration;</w:t>
      </w:r>
    </w:p>
    <w:p>
      <w:pPr>
        <w:spacing w:after="0" w:line="41" w:lineRule="exact"/>
        <w:rPr>
          <w:rFonts w:ascii="Times New Roman" w:cs="Times New Roman" w:eastAsia="Times New Roman" w:hAnsi="Times New Roman"/>
          <w:sz w:val="14"/>
          <w:szCs w:val="14"/>
          <w:color w:val="auto"/>
        </w:rPr>
      </w:pPr>
    </w:p>
    <w:p>
      <w:pPr>
        <w:ind w:left="1720" w:right="1339" w:hanging="134"/>
        <w:spacing w:after="0" w:line="283" w:lineRule="auto"/>
        <w:tabs>
          <w:tab w:leader="none" w:pos="17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CenterPoint Energy’s ability to execute on its strategy, initiatives, targets and goals, including energy transition goals and operations and maintenance expenditure goals;</w:t>
      </w:r>
    </w:p>
    <w:p>
      <w:pPr>
        <w:spacing w:after="0" w:line="41" w:lineRule="exact"/>
        <w:rPr>
          <w:rFonts w:ascii="Times New Roman" w:cs="Times New Roman" w:eastAsia="Times New Roman" w:hAnsi="Times New Roman"/>
          <w:sz w:val="14"/>
          <w:szCs w:val="14"/>
          <w:color w:val="auto"/>
        </w:rPr>
      </w:pPr>
    </w:p>
    <w:p>
      <w:pPr>
        <w:ind w:left="1720" w:right="1479" w:hanging="134"/>
        <w:spacing w:after="0" w:line="283" w:lineRule="auto"/>
        <w:tabs>
          <w:tab w:leader="none" w:pos="17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litigation, including litigation related to the February 2021 Winter Storm Event and Hurricane Beryl;</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changes in and application of accounting standards and pronouncements; and</w:t>
      </w:r>
    </w:p>
    <w:p>
      <w:pPr>
        <w:spacing w:after="0" w:line="91" w:lineRule="exact"/>
        <w:rPr>
          <w:rFonts w:ascii="Times New Roman" w:cs="Times New Roman" w:eastAsia="Times New Roman" w:hAnsi="Times New Roman"/>
          <w:sz w:val="14"/>
          <w:szCs w:val="14"/>
          <w:color w:val="auto"/>
        </w:rPr>
      </w:pPr>
    </w:p>
    <w:p>
      <w:pPr>
        <w:ind w:left="1720" w:right="1519" w:hanging="134"/>
        <w:spacing w:after="0" w:line="267" w:lineRule="auto"/>
        <w:tabs>
          <w:tab w:leader="none" w:pos="1720" w:val="left"/>
        </w:tabs>
        <w:numPr>
          <w:ilvl w:val="0"/>
          <w:numId w:val="49"/>
        </w:numPr>
        <w:rPr>
          <w:rFonts w:ascii="Times New Roman" w:cs="Times New Roman" w:eastAsia="Times New Roman" w:hAnsi="Times New Roman"/>
          <w:sz w:val="14"/>
          <w:szCs w:val="14"/>
          <w:color w:val="0000EE"/>
        </w:rPr>
      </w:pPr>
      <w:hyperlink r:id="rId36">
        <w:r>
          <w:rPr>
            <w:rFonts w:ascii="Times New Roman" w:cs="Times New Roman" w:eastAsia="Times New Roman" w:hAnsi="Times New Roman"/>
            <w:sz w:val="14"/>
            <w:szCs w:val="14"/>
            <w:color w:val="auto"/>
          </w:rPr>
          <w:t xml:space="preserve">other factors discussed in “Risk Factors” in Item 1A of Part I of our </w:t>
        </w:r>
        <w:r>
          <w:rPr>
            <w:rFonts w:ascii="Times New Roman" w:cs="Times New Roman" w:eastAsia="Times New Roman" w:hAnsi="Times New Roman"/>
            <w:sz w:val="14"/>
            <w:szCs w:val="14"/>
            <w:u w:val="single" w:color="auto"/>
            <w:color w:val="0000EE"/>
          </w:rPr>
          <w:t>Annual Report on Form 10-K</w:t>
        </w:r>
      </w:hyperlink>
      <w:r>
        <w:rPr>
          <w:rFonts w:ascii="Times New Roman" w:cs="Times New Roman" w:eastAsia="Times New Roman" w:hAnsi="Times New Roman"/>
          <w:sz w:val="14"/>
          <w:szCs w:val="14"/>
          <w:color w:val="auto"/>
        </w:rPr>
        <w:t xml:space="preserve"> </w:t>
      </w:r>
      <w:hyperlink r:id="rId36">
        <w:r>
          <w:rPr>
            <w:rFonts w:ascii="Times New Roman" w:cs="Times New Roman" w:eastAsia="Times New Roman" w:hAnsi="Times New Roman"/>
            <w:sz w:val="14"/>
            <w:szCs w:val="14"/>
            <w:u w:val="single" w:color="auto"/>
            <w:color w:val="0000EE"/>
          </w:rPr>
          <w:t>for the fiscal year ended December 31, 2025</w:t>
        </w:r>
        <w:r>
          <w:rPr>
            <w:rFonts w:ascii="Times New Roman" w:cs="Times New Roman" w:eastAsia="Times New Roman" w:hAnsi="Times New Roman"/>
            <w:sz w:val="14"/>
            <w:szCs w:val="14"/>
            <w:color w:val="000000"/>
          </w:rPr>
          <w:t>, which are incorporated herein by reference, and in</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other reports we file from time to time with the SEC that are incorporated by reference.</w:t>
      </w:r>
    </w:p>
    <w:p>
      <w:pPr>
        <w:spacing w:after="0" w:line="84" w:lineRule="exact"/>
        <w:rPr>
          <w:rFonts w:ascii="Times New Roman" w:cs="Times New Roman" w:eastAsia="Times New Roman" w:hAnsi="Times New Roman"/>
          <w:sz w:val="14"/>
          <w:szCs w:val="14"/>
          <w:color w:val="auto"/>
        </w:rPr>
      </w:pPr>
    </w:p>
    <w:p>
      <w:pPr>
        <w:ind w:left="1300" w:right="1499" w:firstLine="281"/>
        <w:spacing w:after="0" w:line="267" w:lineRule="auto"/>
        <w:rPr>
          <w:sz w:val="20"/>
          <w:szCs w:val="20"/>
          <w:color w:val="auto"/>
        </w:rPr>
      </w:pPr>
      <w:r>
        <w:rPr>
          <w:rFonts w:ascii="Times New Roman" w:cs="Times New Roman" w:eastAsia="Times New Roman" w:hAnsi="Times New Roman"/>
          <w:sz w:val="14"/>
          <w:szCs w:val="14"/>
          <w:color w:val="auto"/>
        </w:rPr>
        <w:t>You should not place undue reliance on forward-looking statements. Each forward-looking statement speaks only as of the date of the particular statement, and we undertake no obligation to update or revise any forward-looking statements.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23"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0" w:name="page41"/>
    <w:bookmarkEnd w:id="40"/>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5" w:lineRule="exact"/>
        <w:rPr>
          <w:sz w:val="20"/>
          <w:szCs w:val="20"/>
          <w:color w:val="auto"/>
        </w:rPr>
      </w:pPr>
    </w:p>
    <w:p>
      <w:pPr>
        <w:ind w:left="1300" w:right="1539" w:firstLine="281"/>
        <w:spacing w:after="0" w:line="267" w:lineRule="auto"/>
        <w:rPr>
          <w:sz w:val="20"/>
          <w:szCs w:val="20"/>
          <w:color w:val="auto"/>
        </w:rPr>
      </w:pPr>
      <w:r>
        <w:rPr>
          <w:rFonts w:ascii="Times New Roman" w:cs="Times New Roman" w:eastAsia="Times New Roman" w:hAnsi="Times New Roman"/>
          <w:sz w:val="14"/>
          <w:szCs w:val="14"/>
          <w:color w:val="auto"/>
        </w:rPr>
        <w:t>Unless we inform you otherwise in the prospectus supplement, we anticipate using any net proceeds from the sale of the mortgage bonds offered by this prospectus for general limited liability company purposes. These purposes may include, but are not limited to:</w:t>
      </w:r>
    </w:p>
    <w:p>
      <w:pPr>
        <w:spacing w:after="0" w:line="52" w:lineRule="exact"/>
        <w:rPr>
          <w:sz w:val="20"/>
          <w:szCs w:val="20"/>
          <w:color w:val="auto"/>
        </w:rPr>
      </w:pPr>
    </w:p>
    <w:p>
      <w:pPr>
        <w:ind w:left="1720" w:hanging="134"/>
        <w:spacing w:after="0"/>
        <w:tabs>
          <w:tab w:leader="none" w:pos="17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working capital,</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expenditures,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acquisitions, and</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repayment or refinancing of debt.</w:t>
      </w:r>
    </w:p>
    <w:p>
      <w:pPr>
        <w:spacing w:after="0" w:line="123" w:lineRule="exact"/>
        <w:rPr>
          <w:sz w:val="20"/>
          <w:szCs w:val="20"/>
          <w:color w:val="auto"/>
        </w:rPr>
      </w:pPr>
    </w:p>
    <w:p>
      <w:pPr>
        <w:ind w:left="1300" w:right="1339" w:firstLine="281"/>
        <w:spacing w:after="0" w:line="283" w:lineRule="auto"/>
        <w:rPr>
          <w:sz w:val="20"/>
          <w:szCs w:val="20"/>
          <w:color w:val="auto"/>
        </w:rPr>
      </w:pPr>
      <w:r>
        <w:rPr>
          <w:rFonts w:ascii="Times New Roman" w:cs="Times New Roman" w:eastAsia="Times New Roman" w:hAnsi="Times New Roman"/>
          <w:sz w:val="14"/>
          <w:szCs w:val="14"/>
          <w:color w:val="auto"/>
        </w:rPr>
        <w:t>Pending any specific application, we may initially invest funds, loan funds to affiliates or apply them to the reduction of short-term indebtedness or debt under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1" w:name="page42"/>
    <w:bookmarkEnd w:id="41"/>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OUR GENERAL MORTGAGE BONDS</w:t>
      </w:r>
    </w:p>
    <w:p>
      <w:pPr>
        <w:spacing w:after="0" w:line="125" w:lineRule="exact"/>
        <w:rPr>
          <w:sz w:val="20"/>
          <w:szCs w:val="20"/>
          <w:color w:val="auto"/>
        </w:rPr>
      </w:pPr>
    </w:p>
    <w:p>
      <w:pPr>
        <w:ind w:left="1300" w:right="1399" w:firstLine="281"/>
        <w:spacing w:after="0" w:line="264" w:lineRule="auto"/>
        <w:rPr>
          <w:sz w:val="20"/>
          <w:szCs w:val="20"/>
          <w:color w:val="auto"/>
        </w:rPr>
      </w:pPr>
      <w:r>
        <w:rPr>
          <w:rFonts w:ascii="Times New Roman" w:cs="Times New Roman" w:eastAsia="Times New Roman" w:hAnsi="Times New Roman"/>
          <w:sz w:val="14"/>
          <w:szCs w:val="14"/>
          <w:color w:val="auto"/>
        </w:rPr>
        <w:t>The mortgage bonds that we may offer from time to time by this prospectus will be issued under our General Mortgage Indenture, dated as of October 10, 2002, as amended and supplemented (the “mortgage indenture”), with The Bank of New York Mellon Trust Company, National Association (successor to JPMorgan Chase Bank), as trustee. The lien of the mortgage indenture will be junior, subject and subordinate to the prior lien of our first mortgage indenture. The term “first mortgage indenture” means the Mortgage and Deed of Trust, dated as of November 1, 1944, from our predecessor in interest, Houston Lighting &amp; Power Company, to The Bank of New York Mellon Trust Company, National Association (successor to South Texas Commercial National Bank of Houston), as trustee, as heretofore and hereafter amended and supplemented, and “first mortgage bonds” means the first mortgage bonds issued thereunder. We currently have no first mortgage bonds outstanding and have contractually agreed that we will not issue additional first mortgage bonds. We are undertaking actions to release the lien of, and terminate, our first mortgage bond indenture.</w:t>
      </w:r>
    </w:p>
    <w:p>
      <w:pPr>
        <w:spacing w:after="0" w:line="272" w:lineRule="exact"/>
        <w:rPr>
          <w:sz w:val="20"/>
          <w:szCs w:val="20"/>
          <w:color w:val="auto"/>
        </w:rPr>
      </w:pPr>
    </w:p>
    <w:p>
      <w:pPr>
        <w:ind w:left="1300" w:right="1399" w:firstLine="281"/>
        <w:spacing w:after="0" w:line="265" w:lineRule="auto"/>
        <w:rPr>
          <w:sz w:val="20"/>
          <w:szCs w:val="20"/>
          <w:color w:val="auto"/>
        </w:rPr>
      </w:pPr>
      <w:r>
        <w:rPr>
          <w:rFonts w:ascii="Times New Roman" w:cs="Times New Roman" w:eastAsia="Times New Roman" w:hAnsi="Times New Roman"/>
          <w:sz w:val="14"/>
          <w:szCs w:val="14"/>
          <w:color w:val="auto"/>
        </w:rPr>
        <w:t>We have incorporated by reference the mortgage indenture and the first mortgage indenture as exhibits to the registration statement of which this prospectus is a part. We have summarized selected provisions of the mortgage indenture, the mortgage bonds and the first mortgage indenture below. This summary is not complete and is qualified in its entirety by reference to the mortgage indenture and the first mortgage indenture. References to article and section numbers in this prospectus, unless otherwise indicated, are references to article and section numbers of the mortgage indenture. For purposes of this summary, the terms “we,” “our,” “ours,” and “us” refer only to CenterPoint Energy Houston Electric, LLC and not to any of our subsidiaries.</w:t>
      </w:r>
    </w:p>
    <w:p>
      <w:pPr>
        <w:spacing w:after="0" w:line="260" w:lineRule="exact"/>
        <w:rPr>
          <w:sz w:val="20"/>
          <w:szCs w:val="20"/>
          <w:color w:val="auto"/>
        </w:rPr>
      </w:pPr>
    </w:p>
    <w:p>
      <w:pPr>
        <w:ind w:left="1300" w:right="1459" w:firstLine="281"/>
        <w:spacing w:after="0" w:line="267" w:lineRule="auto"/>
        <w:rPr>
          <w:sz w:val="20"/>
          <w:szCs w:val="20"/>
          <w:color w:val="auto"/>
        </w:rPr>
      </w:pPr>
      <w:r>
        <w:rPr>
          <w:rFonts w:ascii="Times New Roman" w:cs="Times New Roman" w:eastAsia="Times New Roman" w:hAnsi="Times New Roman"/>
          <w:sz w:val="14"/>
          <w:szCs w:val="14"/>
          <w:color w:val="auto"/>
        </w:rPr>
        <w:t>We may issue mortgage bonds from time to time in one or more series under the mortgage indenture. We will describe the particular terms of each series of the mortgage bonds we offer in a supplement to this prospectus. The terms of the mortgage bonds will include those set forth in the mortgage indenture and those made a part of the mortgage indenture by the Trust Indenture Act of 1939, as amended (the “Trust Indenture Act”). You should carefully read the summary below, the applicable prospectus supplement and the provisions of the mortgage indenture that may be important to you before investing in our mortgage bonds.</w:t>
      </w:r>
    </w:p>
    <w:p>
      <w:pPr>
        <w:spacing w:after="0" w:line="272" w:lineRule="exact"/>
        <w:rPr>
          <w:sz w:val="20"/>
          <w:szCs w:val="20"/>
          <w:color w:val="auto"/>
        </w:rPr>
      </w:pPr>
    </w:p>
    <w:p>
      <w:pPr>
        <w:ind w:left="1300" w:right="1399" w:firstLine="281"/>
        <w:spacing w:after="0" w:line="272" w:lineRule="auto"/>
        <w:rPr>
          <w:sz w:val="20"/>
          <w:szCs w:val="20"/>
          <w:color w:val="auto"/>
        </w:rPr>
      </w:pPr>
      <w:r>
        <w:rPr>
          <w:rFonts w:ascii="Times New Roman" w:cs="Times New Roman" w:eastAsia="Times New Roman" w:hAnsi="Times New Roman"/>
          <w:sz w:val="14"/>
          <w:szCs w:val="14"/>
          <w:color w:val="auto"/>
        </w:rPr>
        <w:t>As of March 31, 2026, mortgage bonds have been issued and are outstanding in an aggregate principal amount equal to approximately $10.1 billion and additional mortgage bonds may be issued under the mortgage indenture, without limitation as to aggregate principal amount, on the basis of property additions, retired bonds or cash deposited with the trustee. Please read “— Issuance of Mortgage Bonds.”</w:t>
      </w:r>
    </w:p>
    <w:p>
      <w:pPr>
        <w:spacing w:after="0" w:line="1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Interest</w:t>
      </w:r>
    </w:p>
    <w:p>
      <w:pPr>
        <w:spacing w:after="0" w:line="125" w:lineRule="exact"/>
        <w:rPr>
          <w:sz w:val="20"/>
          <w:szCs w:val="20"/>
          <w:color w:val="auto"/>
        </w:rPr>
      </w:pPr>
    </w:p>
    <w:p>
      <w:pPr>
        <w:ind w:left="1300" w:right="1479" w:firstLine="281"/>
        <w:spacing w:after="0" w:line="261" w:lineRule="auto"/>
        <w:rPr>
          <w:sz w:val="20"/>
          <w:szCs w:val="20"/>
          <w:color w:val="auto"/>
        </w:rPr>
      </w:pPr>
      <w:r>
        <w:rPr>
          <w:rFonts w:ascii="Times New Roman" w:cs="Times New Roman" w:eastAsia="Times New Roman" w:hAnsi="Times New Roman"/>
          <w:sz w:val="14"/>
          <w:szCs w:val="14"/>
          <w:color w:val="auto"/>
        </w:rPr>
        <w:t>Interest on the mortgage bonds will be payable on each interest payment date for each such mortgage bond for the period commencing on the next preceding interest payment date on which interest has been paid (or if no interest has been paid thereon, commencing on the date of issuance thereof) to, but not including, such interest payment date.</w:t>
      </w:r>
    </w:p>
    <w:p>
      <w:pPr>
        <w:spacing w:after="0" w:line="89" w:lineRule="exact"/>
        <w:rPr>
          <w:sz w:val="20"/>
          <w:szCs w:val="20"/>
          <w:color w:val="auto"/>
        </w:rPr>
      </w:pPr>
    </w:p>
    <w:p>
      <w:pPr>
        <w:ind w:left="1300" w:right="1399" w:firstLine="281"/>
        <w:spacing w:after="0" w:line="261" w:lineRule="auto"/>
        <w:rPr>
          <w:sz w:val="20"/>
          <w:szCs w:val="20"/>
          <w:color w:val="auto"/>
        </w:rPr>
      </w:pPr>
      <w:r>
        <w:rPr>
          <w:rFonts w:ascii="Times New Roman" w:cs="Times New Roman" w:eastAsia="Times New Roman" w:hAnsi="Times New Roman"/>
          <w:sz w:val="14"/>
          <w:szCs w:val="14"/>
          <w:color w:val="auto"/>
        </w:rPr>
        <w:t>If any interest payment date or the date of maturity falls on a day that is not a business day, all payments to be made on such day shall be made on the next succeeding business day with the same force and effect as if made on the due date, and no additional interest shall be payable as a result of such delay in payment. Interest will be computed on the basis of a 360-day year of twelve 30-day months.</w:t>
      </w:r>
    </w:p>
    <w:p>
      <w:pPr>
        <w:spacing w:after="0" w:line="78" w:lineRule="exact"/>
        <w:rPr>
          <w:sz w:val="20"/>
          <w:szCs w:val="20"/>
          <w:color w:val="auto"/>
        </w:rPr>
      </w:pPr>
    </w:p>
    <w:p>
      <w:pPr>
        <w:ind w:left="1300" w:right="1399" w:firstLine="281"/>
        <w:spacing w:after="0" w:line="256" w:lineRule="auto"/>
        <w:rPr>
          <w:sz w:val="20"/>
          <w:szCs w:val="20"/>
          <w:color w:val="auto"/>
        </w:rPr>
      </w:pPr>
      <w:r>
        <w:rPr>
          <w:rFonts w:ascii="Times New Roman" w:cs="Times New Roman" w:eastAsia="Times New Roman" w:hAnsi="Times New Roman"/>
          <w:sz w:val="14"/>
          <w:szCs w:val="14"/>
          <w:color w:val="auto"/>
        </w:rPr>
        <w:t>Any interest payable on any interest payment date other than maturity and not so punctually paid or duly provided for will cease to be payable to the person in whose name the mortgage bond is registered at the close of business on the applicable regular record date and will instead be payable to the person in whose name the mortgage bond (or one or more predecessor mortgage bonds) is registered at the close of business on a special record date for the payment of such interest to be fixed by the trustee, notice of which will be given to the registered holder of the mortgage bond (or one or more predecessor mortgage bonds) not less than 10 days prior to such special record date. (Section 307)</w:t>
      </w:r>
    </w:p>
    <w:p>
      <w:pPr>
        <w:spacing w:after="0" w:line="2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2" w:name="page43"/>
    <w:bookmarkEnd w:id="42"/>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Payment of Mortgage Bonds; Transfers; Exchanges</w:t>
      </w:r>
    </w:p>
    <w:p>
      <w:pPr>
        <w:spacing w:after="0" w:line="125" w:lineRule="exact"/>
        <w:rPr>
          <w:sz w:val="20"/>
          <w:szCs w:val="20"/>
          <w:color w:val="auto"/>
        </w:rPr>
      </w:pPr>
    </w:p>
    <w:p>
      <w:pPr>
        <w:ind w:left="1300" w:right="1319" w:firstLine="281"/>
        <w:spacing w:after="0" w:line="254" w:lineRule="auto"/>
        <w:rPr>
          <w:sz w:val="20"/>
          <w:szCs w:val="20"/>
          <w:color w:val="auto"/>
        </w:rPr>
      </w:pPr>
      <w:r>
        <w:rPr>
          <w:rFonts w:ascii="Times New Roman" w:cs="Times New Roman" w:eastAsia="Times New Roman" w:hAnsi="Times New Roman"/>
          <w:sz w:val="14"/>
          <w:szCs w:val="14"/>
          <w:color w:val="auto"/>
        </w:rPr>
        <w:t xml:space="preserve">Interest, if any, on each mortgage bond payable on each interest payment date will be paid to the person in whose name such mortgage bond is registered (the registered holder of any mortgage bond being hereinafter called a holder) as of the close of business on the regular record date relating to such interest payment date;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interest payable at maturity will be paid to the person to whom principal is paid. However, if there has been a default in the payment of interest on any mortgage bond, such defaulted interest may be payable to the holder of such mortgage bond as of the close of business on a date selected by the trustee which is not more than 15 days or less than 10 days prior to the date proposed by us for payment of such defaulted interest and not less than 10 days after the receipt by the trustee of the notice of the proposed payment or in any other lawful manner not inconsistent with the requirements of any securities exchange on which such mortgage bond may be listed, if the trustee deems such manner of payment practicable. (Section 307)</w:t>
      </w:r>
    </w:p>
    <w:p>
      <w:pPr>
        <w:spacing w:after="0" w:line="264" w:lineRule="exact"/>
        <w:rPr>
          <w:sz w:val="20"/>
          <w:szCs w:val="20"/>
          <w:color w:val="auto"/>
        </w:rPr>
      </w:pPr>
    </w:p>
    <w:p>
      <w:pPr>
        <w:ind w:left="1300" w:right="1439" w:firstLine="281"/>
        <w:spacing w:after="0" w:line="259" w:lineRule="auto"/>
        <w:rPr>
          <w:sz w:val="20"/>
          <w:szCs w:val="20"/>
          <w:color w:val="auto"/>
        </w:rPr>
      </w:pPr>
      <w:r>
        <w:rPr>
          <w:rFonts w:ascii="Times New Roman" w:cs="Times New Roman" w:eastAsia="Times New Roman" w:hAnsi="Times New Roman"/>
          <w:sz w:val="14"/>
          <w:szCs w:val="14"/>
          <w:color w:val="auto"/>
        </w:rPr>
        <w:t>The principal of and premium, if any, and interest on the mortgage bonds at maturity will be payable upon presentation of the mortgage bonds at the corporate trust office of The Bank of New York Mellon Trust Company, National Association in New York, New York as paying agent for us. We may change the place of payment on the mortgage bonds, may appoint one or more additional paying agents (including us) and may remove any paying agent, all at our discretion. (Section 602)</w:t>
      </w:r>
    </w:p>
    <w:p>
      <w:pPr>
        <w:spacing w:after="0" w:line="78" w:lineRule="exact"/>
        <w:rPr>
          <w:sz w:val="20"/>
          <w:szCs w:val="20"/>
          <w:color w:val="auto"/>
        </w:rPr>
      </w:pPr>
    </w:p>
    <w:p>
      <w:pPr>
        <w:ind w:left="1300" w:right="1339" w:firstLine="281"/>
        <w:spacing w:after="0" w:line="254" w:lineRule="auto"/>
        <w:rPr>
          <w:sz w:val="20"/>
          <w:szCs w:val="20"/>
          <w:color w:val="auto"/>
        </w:rPr>
      </w:pPr>
      <w:r>
        <w:rPr>
          <w:rFonts w:ascii="Times New Roman" w:cs="Times New Roman" w:eastAsia="Times New Roman" w:hAnsi="Times New Roman"/>
          <w:sz w:val="14"/>
          <w:szCs w:val="14"/>
          <w:color w:val="auto"/>
        </w:rPr>
        <w:t>The transfer of mortgage bonds may be registered, and mortgage bonds may be exchanged for other mortgage bonds of the same series, of authorized denominations and of like tenor and aggregate principal amount, at the corporate trust office of The Bank of New York Mellon Trust Company, National Association in New York, New York, as bond registrar for the mortgage bonds. We may change the place for registration of transfer and exchange of the mortgage bonds, and may designate one or more additional places for such registration and exchange, all at our discretion. (Sections 602 and 305) No service charge will be made for any registration of transfer or exchange of the mortgage bonds; however, we may require payment of a sum sufficient to cover any tax or other governmental charge that may be imposed in connection with any registration of transfer or exchange of mortgage bonds. We will not be required to execute or to provide for the registration of transfer of or the exchange of:</w:t>
      </w:r>
    </w:p>
    <w:p>
      <w:pPr>
        <w:spacing w:after="0" w:line="64" w:lineRule="exact"/>
        <w:rPr>
          <w:sz w:val="20"/>
          <w:szCs w:val="20"/>
          <w:color w:val="auto"/>
        </w:rPr>
      </w:pPr>
    </w:p>
    <w:p>
      <w:pPr>
        <w:ind w:left="1720" w:hanging="134"/>
        <w:spacing w:after="0"/>
        <w:tabs>
          <w:tab w:leader="none" w:pos="17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mortgage bond during a period of 15 days prior to giving any notice of redemption; or</w:t>
      </w:r>
    </w:p>
    <w:p>
      <w:pPr>
        <w:spacing w:after="0" w:line="102" w:lineRule="exact"/>
        <w:rPr>
          <w:rFonts w:ascii="Times New Roman" w:cs="Times New Roman" w:eastAsia="Times New Roman" w:hAnsi="Times New Roman"/>
          <w:sz w:val="14"/>
          <w:szCs w:val="14"/>
          <w:color w:val="auto"/>
        </w:rPr>
      </w:pPr>
    </w:p>
    <w:p>
      <w:pPr>
        <w:ind w:left="1720" w:right="1519" w:hanging="134"/>
        <w:spacing w:after="0" w:line="283" w:lineRule="auto"/>
        <w:tabs>
          <w:tab w:leader="none" w:pos="17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mortgage bond selected for redemption, in whole or in part, except the unredeemed portion of any mortgage bond being redeemed in part. (Section 305)</w:t>
      </w:r>
    </w:p>
    <w:p>
      <w:pPr>
        <w:spacing w:after="0" w:line="62" w:lineRule="exact"/>
        <w:rPr>
          <w:sz w:val="20"/>
          <w:szCs w:val="20"/>
          <w:color w:val="auto"/>
        </w:rPr>
      </w:pPr>
    </w:p>
    <w:p>
      <w:pPr>
        <w:ind w:left="1300" w:right="1339" w:firstLine="281"/>
        <w:spacing w:after="0" w:line="257" w:lineRule="auto"/>
        <w:rPr>
          <w:sz w:val="20"/>
          <w:szCs w:val="20"/>
          <w:color w:val="auto"/>
        </w:rPr>
      </w:pPr>
      <w:r>
        <w:rPr>
          <w:rFonts w:ascii="Times New Roman" w:cs="Times New Roman" w:eastAsia="Times New Roman" w:hAnsi="Times New Roman"/>
          <w:sz w:val="14"/>
          <w:szCs w:val="14"/>
          <w:color w:val="auto"/>
        </w:rPr>
        <w:t>All moneys paid by us to a paying agent or the trustee (or held by us in trust) for the payment of the principal of or any premium or interest on a mortgage bond which remain unclaimed at the end of two years after such principal, premium or interest has become due and payable will be repaid to us at our request, and the holder of such mortgage bond thereafter may, as an unsecured general creditor, look only to us for payment thereof, and all liability of the paying agent, the trustee and us (as trustee) with respect thereto shall thereupon cease. (Section 603)</w:t>
      </w:r>
    </w:p>
    <w:p>
      <w:pPr>
        <w:spacing w:after="0" w:line="14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Book-Entry Delivery and Settlement</w:t>
      </w:r>
    </w:p>
    <w:p>
      <w:pPr>
        <w:spacing w:after="0" w:line="125" w:lineRule="exact"/>
        <w:rPr>
          <w:sz w:val="20"/>
          <w:szCs w:val="20"/>
          <w:color w:val="auto"/>
        </w:rPr>
      </w:pPr>
    </w:p>
    <w:p>
      <w:pPr>
        <w:ind w:left="1300" w:right="1399" w:firstLine="281"/>
        <w:spacing w:after="0" w:line="260" w:lineRule="auto"/>
        <w:rPr>
          <w:sz w:val="20"/>
          <w:szCs w:val="20"/>
          <w:color w:val="auto"/>
        </w:rPr>
      </w:pPr>
      <w:r>
        <w:rPr>
          <w:rFonts w:ascii="Times New Roman" w:cs="Times New Roman" w:eastAsia="Times New Roman" w:hAnsi="Times New Roman"/>
          <w:sz w:val="14"/>
          <w:szCs w:val="14"/>
          <w:color w:val="auto"/>
        </w:rPr>
        <w:t>We may issue the mortgage bonds in the form of one or more global debt securities that would be deposited with a depositary or its nominee identified in the prospectus supplement. We may issue mortgage bonds in either temporary or permanent form. We will describe in the prospectus supplement the terms of any depositary arrangement and the rights and limitations of owners of beneficial interests in any global debt security.</w:t>
      </w:r>
    </w:p>
    <w:p>
      <w:pPr>
        <w:spacing w:after="0" w:line="31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Security</w:t>
      </w:r>
    </w:p>
    <w:p>
      <w:pPr>
        <w:spacing w:after="0" w:line="125" w:lineRule="exact"/>
        <w:rPr>
          <w:sz w:val="20"/>
          <w:szCs w:val="20"/>
          <w:color w:val="auto"/>
        </w:rPr>
      </w:pPr>
    </w:p>
    <w:p>
      <w:pPr>
        <w:ind w:left="1300" w:right="1399" w:firstLine="281"/>
        <w:spacing w:after="0" w:line="259" w:lineRule="auto"/>
        <w:rPr>
          <w:sz w:val="20"/>
          <w:szCs w:val="20"/>
          <w:color w:val="auto"/>
        </w:rPr>
      </w:pPr>
      <w:r>
        <w:rPr>
          <w:rFonts w:ascii="Times New Roman" w:cs="Times New Roman" w:eastAsia="Times New Roman" w:hAnsi="Times New Roman"/>
          <w:sz w:val="14"/>
          <w:szCs w:val="14"/>
          <w:color w:val="auto"/>
        </w:rPr>
        <w:t>Except as otherwise contemplated below under this heading and subject to the exceptions specifically discussed under “— Release of Property” and “— Defeasance,” all outstanding mortgage bonds will be secured, equally and ratably, by the lien of the mortgage indenture on substantially all properties owned by us (and not excepted or released from the lien thereof), and improvements, extensions and additions to, and renewals and replacements of, such properties (the “mortgaged property”).</w:t>
      </w: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3" w:name="page44"/>
    <w:bookmarkEnd w:id="43"/>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79" w:firstLine="281"/>
        <w:spacing w:after="0" w:line="251" w:lineRule="auto"/>
        <w:rPr>
          <w:sz w:val="20"/>
          <w:szCs w:val="20"/>
          <w:color w:val="auto"/>
        </w:rPr>
      </w:pPr>
      <w:r>
        <w:rPr>
          <w:rFonts w:ascii="Times New Roman" w:cs="Times New Roman" w:eastAsia="Times New Roman" w:hAnsi="Times New Roman"/>
          <w:sz w:val="14"/>
          <w:szCs w:val="14"/>
          <w:color w:val="auto"/>
        </w:rPr>
        <w:t>The lien of the mortgage indenture will be junior, subject and subordinate to the prior lien of our first mortgage indenture. We currently have no first mortgage bonds outstanding and have contractually agreed that we will not issue additional first mortgage bonds. We are undertaking actions to release the lien of, and terminate, our first mortgage bond indenture.</w:t>
      </w:r>
    </w:p>
    <w:p>
      <w:pPr>
        <w:spacing w:after="0" w:line="84" w:lineRule="exact"/>
        <w:rPr>
          <w:sz w:val="20"/>
          <w:szCs w:val="20"/>
          <w:color w:val="auto"/>
        </w:rPr>
      </w:pPr>
    </w:p>
    <w:p>
      <w:pPr>
        <w:ind w:left="1300" w:right="1379" w:firstLine="281"/>
        <w:spacing w:after="0" w:line="283" w:lineRule="auto"/>
        <w:rPr>
          <w:sz w:val="20"/>
          <w:szCs w:val="20"/>
          <w:color w:val="auto"/>
        </w:rPr>
      </w:pPr>
      <w:r>
        <w:rPr>
          <w:rFonts w:ascii="Times New Roman" w:cs="Times New Roman" w:eastAsia="Times New Roman" w:hAnsi="Times New Roman"/>
          <w:sz w:val="14"/>
          <w:szCs w:val="14"/>
          <w:color w:val="auto"/>
        </w:rPr>
        <w:t>The mortgage indenture provides that until the first mortgage collateralization date (as defined below), we will not issue any additional first mortgage bonds under the first mortgage indenture, except:</w:t>
      </w:r>
    </w:p>
    <w:p>
      <w:pPr>
        <w:spacing w:after="0" w:line="31" w:lineRule="exact"/>
        <w:rPr>
          <w:sz w:val="20"/>
          <w:szCs w:val="20"/>
          <w:color w:val="auto"/>
        </w:rPr>
      </w:pPr>
    </w:p>
    <w:p>
      <w:pPr>
        <w:ind w:left="1720" w:hanging="134"/>
        <w:spacing w:after="0"/>
        <w:tabs>
          <w:tab w:leader="none" w:pos="17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first mortgage bonds in place of, and in substitution for, or to refund, other first mortgage bonds, if</w:t>
      </w:r>
    </w:p>
    <w:p>
      <w:pPr>
        <w:spacing w:after="0" w:line="21" w:lineRule="exact"/>
        <w:rPr>
          <w:rFonts w:ascii="Times New Roman" w:cs="Times New Roman" w:eastAsia="Times New Roman" w:hAnsi="Times New Roman"/>
          <w:sz w:val="14"/>
          <w:szCs w:val="14"/>
          <w:color w:val="auto"/>
        </w:rPr>
      </w:pPr>
    </w:p>
    <w:p>
      <w:pPr>
        <w:ind w:left="1720" w:right="1459"/>
        <w:spacing w:after="0" w:line="25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the aggregate principal amount of such new first mortgage bonds shall not exceed the aggregate principal amount of such other first mortgage bonds, and (b) the final stated maturity date of such new first mortgage bonds shall be a date not later than the final stated maturity date of such other first mortgage bonds;</w:t>
      </w:r>
    </w:p>
    <w:p>
      <w:pPr>
        <w:spacing w:after="0" w:line="61" w:lineRule="exact"/>
        <w:rPr>
          <w:rFonts w:ascii="Times New Roman" w:cs="Times New Roman" w:eastAsia="Times New Roman" w:hAnsi="Times New Roman"/>
          <w:sz w:val="14"/>
          <w:szCs w:val="14"/>
          <w:color w:val="auto"/>
        </w:rPr>
      </w:pPr>
    </w:p>
    <w:p>
      <w:pPr>
        <w:ind w:left="1720" w:right="1459" w:hanging="134"/>
        <w:spacing w:after="0" w:line="283" w:lineRule="auto"/>
        <w:tabs>
          <w:tab w:leader="none" w:pos="17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necessary to replace any mutilated, lost or destroyed first mortgage bonds or to effect exchanges and transfers of first mortgage bonds; and</w:t>
      </w:r>
    </w:p>
    <w:p>
      <w:pPr>
        <w:spacing w:after="0" w:line="41" w:lineRule="exact"/>
        <w:rPr>
          <w:rFonts w:ascii="Times New Roman" w:cs="Times New Roman" w:eastAsia="Times New Roman" w:hAnsi="Times New Roman"/>
          <w:sz w:val="14"/>
          <w:szCs w:val="14"/>
          <w:color w:val="auto"/>
        </w:rPr>
      </w:pPr>
    </w:p>
    <w:p>
      <w:pPr>
        <w:ind w:left="1720" w:right="1379" w:hanging="134"/>
        <w:spacing w:after="0" w:line="257" w:lineRule="auto"/>
        <w:tabs>
          <w:tab w:leader="none" w:pos="17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first mortgage bonds are issued pursuant to the first bullet point above, additional first mortgage bonds in an aggregate principal amount of up to $118 million for the purpose of satisfying the requirement under the indentures pursuant to which certain pollution control bonds were issued by various governmental authorities (which indentures provide that, if we issue first mortgage bonds in certain circumstances, we also are required to issue first mortgage bonds to secure such pollution control bonds on an equal and ratable basis). (Section 611)</w:t>
      </w:r>
    </w:p>
    <w:p>
      <w:pPr>
        <w:spacing w:after="0" w:line="81" w:lineRule="exact"/>
        <w:rPr>
          <w:sz w:val="20"/>
          <w:szCs w:val="20"/>
          <w:color w:val="auto"/>
        </w:rPr>
      </w:pPr>
    </w:p>
    <w:p>
      <w:pPr>
        <w:ind w:left="1300" w:right="1359" w:firstLine="281"/>
        <w:spacing w:after="0" w:line="251" w:lineRule="auto"/>
        <w:rPr>
          <w:sz w:val="20"/>
          <w:szCs w:val="20"/>
          <w:color w:val="auto"/>
        </w:rPr>
      </w:pPr>
      <w:r>
        <w:rPr>
          <w:rFonts w:ascii="Times New Roman" w:cs="Times New Roman" w:eastAsia="Times New Roman" w:hAnsi="Times New Roman"/>
          <w:sz w:val="14"/>
          <w:szCs w:val="14"/>
          <w:color w:val="auto"/>
        </w:rPr>
        <w:t xml:space="preserve">At any time, in our discretion, we may issue and deliver to the trustee as security under the mortgage indenture, first mortgage bonds in an aggregate principal amount equal to the aggregate principal amount of mortgage bonds then outstanding;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first mortgage bonds (the “first mortgage collateral bonds”) shall:</w:t>
      </w:r>
    </w:p>
    <w:p>
      <w:pPr>
        <w:spacing w:after="0" w:line="53" w:lineRule="exact"/>
        <w:rPr>
          <w:sz w:val="20"/>
          <w:szCs w:val="20"/>
          <w:color w:val="auto"/>
        </w:rPr>
      </w:pPr>
    </w:p>
    <w:p>
      <w:pPr>
        <w:ind w:left="1720" w:hanging="134"/>
        <w:spacing w:after="0"/>
        <w:tabs>
          <w:tab w:leader="none" w:pos="17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terms of payment equivalent to those of such mortgage bonds;</w:t>
      </w:r>
    </w:p>
    <w:p>
      <w:pPr>
        <w:spacing w:after="0" w:line="91" w:lineRule="exact"/>
        <w:rPr>
          <w:rFonts w:ascii="Times New Roman" w:cs="Times New Roman" w:eastAsia="Times New Roman" w:hAnsi="Times New Roman"/>
          <w:sz w:val="14"/>
          <w:szCs w:val="14"/>
          <w:color w:val="auto"/>
        </w:rPr>
      </w:pPr>
    </w:p>
    <w:p>
      <w:pPr>
        <w:ind w:left="1720" w:right="1559" w:hanging="134"/>
        <w:spacing w:after="0" w:line="267" w:lineRule="auto"/>
        <w:tabs>
          <w:tab w:leader="none" w:pos="17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payments by us in respect of principal, premium, if any, or interest due under the mortgage bonds will offset our equivalent payment obligations under the first mortgage collateral bonds; and</w:t>
      </w:r>
    </w:p>
    <w:p>
      <w:pPr>
        <w:spacing w:after="0" w:line="51" w:lineRule="exact"/>
        <w:rPr>
          <w:rFonts w:ascii="Times New Roman" w:cs="Times New Roman" w:eastAsia="Times New Roman" w:hAnsi="Times New Roman"/>
          <w:sz w:val="14"/>
          <w:szCs w:val="14"/>
          <w:color w:val="auto"/>
        </w:rPr>
      </w:pPr>
    </w:p>
    <w:p>
      <w:pPr>
        <w:ind w:left="1720" w:right="1379" w:hanging="134"/>
        <w:spacing w:after="0" w:line="261" w:lineRule="auto"/>
        <w:tabs>
          <w:tab w:leader="none" w:pos="17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the mandatory redemption of the first mortgage collateral bonds upon acceleration of the maturity of such mortgage bonds unless acceleration is deemed to have been waived and the declaration and consequences of the acceleration are deemed to have been rescinded and annulled in accordance with the mortgage indenture. (Section 701)</w:t>
      </w:r>
    </w:p>
    <w:p>
      <w:pPr>
        <w:spacing w:after="0" w:line="89" w:lineRule="exact"/>
        <w:rPr>
          <w:sz w:val="20"/>
          <w:szCs w:val="20"/>
          <w:color w:val="auto"/>
        </w:rPr>
      </w:pPr>
    </w:p>
    <w:p>
      <w:pPr>
        <w:ind w:left="1300" w:right="1399" w:firstLine="281"/>
        <w:spacing w:after="0" w:line="283" w:lineRule="auto"/>
        <w:rPr>
          <w:sz w:val="20"/>
          <w:szCs w:val="20"/>
          <w:color w:val="auto"/>
        </w:rPr>
      </w:pPr>
      <w:r>
        <w:rPr>
          <w:rFonts w:ascii="Times New Roman" w:cs="Times New Roman" w:eastAsia="Times New Roman" w:hAnsi="Times New Roman"/>
          <w:sz w:val="14"/>
          <w:szCs w:val="14"/>
          <w:color w:val="auto"/>
        </w:rPr>
        <w:t>The date on which such first mortgage collateral bonds are delivered to the trustee is referred to herein as the “first mortgage collateralization date.”</w:t>
      </w:r>
    </w:p>
    <w:p>
      <w:pPr>
        <w:spacing w:after="0" w:line="62" w:lineRule="exact"/>
        <w:rPr>
          <w:sz w:val="20"/>
          <w:szCs w:val="20"/>
          <w:color w:val="auto"/>
        </w:rPr>
      </w:pPr>
    </w:p>
    <w:p>
      <w:pPr>
        <w:ind w:left="1300" w:right="1359" w:firstLine="281"/>
        <w:spacing w:after="0" w:line="259" w:lineRule="auto"/>
        <w:rPr>
          <w:sz w:val="20"/>
          <w:szCs w:val="20"/>
          <w:color w:val="auto"/>
        </w:rPr>
      </w:pPr>
      <w:r>
        <w:rPr>
          <w:rFonts w:ascii="Times New Roman" w:cs="Times New Roman" w:eastAsia="Times New Roman" w:hAnsi="Times New Roman"/>
          <w:sz w:val="14"/>
          <w:szCs w:val="14"/>
          <w:color w:val="auto"/>
        </w:rPr>
        <w:t>The first mortgage indenture constitutes a first mortgage lien on all of our present properties (except as stated below), subject to excepted encumbrances. There are excepted from the lien of the first mortgage indenture all of the following: cash and securities; equipment, materials or supplies acquired for consumption in the operation of our properties or for resale in the ordinary course of our business; timber, minerals, mineral rights and royalties; and accounts receivable, contracts, leases and operating agreements.</w:t>
      </w:r>
    </w:p>
    <w:p>
      <w:pPr>
        <w:spacing w:after="0" w:line="89" w:lineRule="exact"/>
        <w:rPr>
          <w:sz w:val="20"/>
          <w:szCs w:val="20"/>
          <w:color w:val="auto"/>
        </w:rPr>
      </w:pPr>
    </w:p>
    <w:p>
      <w:pPr>
        <w:jc w:val="both"/>
        <w:ind w:left="1300" w:right="1519" w:firstLine="281"/>
        <w:spacing w:after="0" w:line="267" w:lineRule="auto"/>
        <w:rPr>
          <w:sz w:val="20"/>
          <w:szCs w:val="20"/>
          <w:color w:val="auto"/>
        </w:rPr>
      </w:pPr>
      <w:r>
        <w:rPr>
          <w:rFonts w:ascii="Times New Roman" w:cs="Times New Roman" w:eastAsia="Times New Roman" w:hAnsi="Times New Roman"/>
          <w:sz w:val="14"/>
          <w:szCs w:val="14"/>
          <w:color w:val="auto"/>
        </w:rPr>
        <w:t>The first mortgage indenture contains provisions for subjecting certain after-acquired property to the lien thereof, subject to any preexisting liens and to certain limitations in the case of our consolidation or merger or the sale of substantially all of our assets.</w:t>
      </w:r>
    </w:p>
    <w:p>
      <w:pPr>
        <w:spacing w:after="0" w:line="84" w:lineRule="exact"/>
        <w:rPr>
          <w:sz w:val="20"/>
          <w:szCs w:val="20"/>
          <w:color w:val="auto"/>
        </w:rPr>
      </w:pPr>
    </w:p>
    <w:p>
      <w:pPr>
        <w:ind w:left="1300" w:right="1359" w:firstLine="281"/>
        <w:spacing w:after="0" w:line="267" w:lineRule="auto"/>
        <w:rPr>
          <w:sz w:val="20"/>
          <w:szCs w:val="20"/>
          <w:color w:val="auto"/>
        </w:rPr>
      </w:pPr>
      <w:r>
        <w:rPr>
          <w:rFonts w:ascii="Times New Roman" w:cs="Times New Roman" w:eastAsia="Times New Roman" w:hAnsi="Times New Roman"/>
          <w:sz w:val="14"/>
          <w:szCs w:val="14"/>
          <w:color w:val="auto"/>
        </w:rPr>
        <w:t>The first mortgage indenture provides that the trustee thereunder will have a lien upon the mortgaged property, prior to the first mortgage bonds, for the payment of its reasonable compensation and expenses for indemnity against certain liabilities.</w:t>
      </w:r>
    </w:p>
    <w:p>
      <w:pPr>
        <w:spacing w:after="0" w:line="13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Lien of the Mortgage Indenture</w:t>
      </w:r>
    </w:p>
    <w:p>
      <w:pPr>
        <w:spacing w:after="0" w:line="113" w:lineRule="exact"/>
        <w:rPr>
          <w:sz w:val="20"/>
          <w:szCs w:val="20"/>
          <w:color w:val="auto"/>
        </w:rPr>
      </w:pPr>
    </w:p>
    <w:p>
      <w:pPr>
        <w:ind w:left="1300" w:right="1419" w:firstLine="281"/>
        <w:spacing w:after="0" w:line="286" w:lineRule="auto"/>
        <w:rPr>
          <w:sz w:val="20"/>
          <w:szCs w:val="20"/>
          <w:color w:val="auto"/>
        </w:rPr>
      </w:pPr>
      <w:r>
        <w:rPr>
          <w:rFonts w:ascii="Times New Roman" w:cs="Times New Roman" w:eastAsia="Times New Roman" w:hAnsi="Times New Roman"/>
          <w:sz w:val="14"/>
          <w:szCs w:val="14"/>
          <w:i w:val="1"/>
          <w:iCs w:val="1"/>
          <w:color w:val="auto"/>
        </w:rPr>
        <w:t xml:space="preserve">General. </w:t>
      </w:r>
      <w:r>
        <w:rPr>
          <w:rFonts w:ascii="Times New Roman" w:cs="Times New Roman" w:eastAsia="Times New Roman" w:hAnsi="Times New Roman"/>
          <w:sz w:val="14"/>
          <w:szCs w:val="14"/>
          <w:color w:val="auto"/>
        </w:rPr>
        <w:t>The mortgage indenture constitutes a lien on substantially all our real property and tangible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personal property, other than property excepted from such lien and such property as may be released from</w:t>
      </w: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4" w:name="page45"/>
    <w:bookmarkEnd w:id="44"/>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419"/>
        <w:spacing w:after="0" w:line="259" w:lineRule="auto"/>
        <w:rPr>
          <w:sz w:val="20"/>
          <w:szCs w:val="20"/>
          <w:color w:val="auto"/>
        </w:rPr>
      </w:pPr>
      <w:r>
        <w:rPr>
          <w:rFonts w:ascii="Times New Roman" w:cs="Times New Roman" w:eastAsia="Times New Roman" w:hAnsi="Times New Roman"/>
          <w:sz w:val="14"/>
          <w:szCs w:val="14"/>
          <w:color w:val="auto"/>
        </w:rPr>
        <w:t>such lien in accordance with the terms of the mortgage indenture, subject to no liens prior to the lien of the mortgage indenture other than the lien of the first mortgage indenture (so long as the first mortgage indenture remains in effect) and other liens permitted to exist.</w:t>
      </w:r>
    </w:p>
    <w:p>
      <w:pPr>
        <w:spacing w:after="0" w:line="77" w:lineRule="exact"/>
        <w:rPr>
          <w:sz w:val="20"/>
          <w:szCs w:val="20"/>
          <w:color w:val="auto"/>
        </w:rPr>
      </w:pPr>
    </w:p>
    <w:p>
      <w:pPr>
        <w:ind w:left="1300" w:right="1339" w:firstLine="281"/>
        <w:spacing w:after="0" w:line="253" w:lineRule="auto"/>
        <w:rPr>
          <w:sz w:val="20"/>
          <w:szCs w:val="20"/>
          <w:color w:val="auto"/>
        </w:rPr>
      </w:pPr>
      <w:r>
        <w:rPr>
          <w:rFonts w:ascii="Times New Roman" w:cs="Times New Roman" w:eastAsia="Times New Roman" w:hAnsi="Times New Roman"/>
          <w:sz w:val="14"/>
          <w:szCs w:val="14"/>
          <w:i w:val="1"/>
          <w:iCs w:val="1"/>
          <w:color w:val="auto"/>
        </w:rPr>
        <w:t xml:space="preserve">Permitted Liens and Certain Other Liens Permitted to Exist. </w:t>
      </w:r>
      <w:r>
        <w:rPr>
          <w:rFonts w:ascii="Times New Roman" w:cs="Times New Roman" w:eastAsia="Times New Roman" w:hAnsi="Times New Roman"/>
          <w:sz w:val="14"/>
          <w:szCs w:val="14"/>
          <w:color w:val="auto"/>
        </w:rPr>
        <w:t>The mortgage indenture provides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after-acquired property (other than excepted property) will be subject to the lien of the mortgage indenture;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in the case of our consolidation or merger into another entity or transfer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mortgaged property as or substantially as an entirety, the mortgage indenture will not be required to be a lien upon any of the properties then owned or thereafter acquired by the successor entity except properties acquired from us in or as a result of such transaction, and improvements, extensions and additions to such properties and renewals, replacements and substitutions of or for any part or parts thereof and that in the case of a consolidation or merger with respect to which we are the surviving entity, the mortgage indenture will not be required to be a lien on any properties acquired by us in or as a result of such transaction or any improvements, extensions or additions to such properties or any renewals, replacements or substitutions of or for any part or parts thereof. (Article Thirteen) Please read “— Consolidation, Merger, Etc.” below. In addition, after-acquired property may be subject to liens existing or placed thereon at the time of acquisition thereof, including, but not limited to, purchase money liens.</w:t>
      </w:r>
    </w:p>
    <w:p>
      <w:pPr>
        <w:spacing w:after="0" w:line="100" w:lineRule="exact"/>
        <w:rPr>
          <w:sz w:val="20"/>
          <w:szCs w:val="20"/>
          <w:color w:val="auto"/>
        </w:rPr>
      </w:pPr>
    </w:p>
    <w:p>
      <w:pPr>
        <w:ind w:left="1300" w:right="1419" w:firstLine="281"/>
        <w:spacing w:after="0" w:line="259" w:lineRule="auto"/>
        <w:rPr>
          <w:sz w:val="20"/>
          <w:szCs w:val="20"/>
          <w:color w:val="auto"/>
        </w:rPr>
      </w:pPr>
      <w:r>
        <w:rPr>
          <w:rFonts w:ascii="Times New Roman" w:cs="Times New Roman" w:eastAsia="Times New Roman" w:hAnsi="Times New Roman"/>
          <w:sz w:val="14"/>
          <w:szCs w:val="14"/>
          <w:color w:val="auto"/>
        </w:rPr>
        <w:t>Without the consent of the holders, we and the trustee may enter into supplemental indentures in order to subject to the lien of the mortgage indenture additional property (including property which would otherwise be excepted from such lien). (Section 1401) Such property would thereupon constitute property additions (so long as it would otherwise qualify as property additions as described below) and be available as a basis for the issuance of additional mortgage bonds. Please read “— Issuance of Mortgage Bonds.”</w:t>
      </w:r>
    </w:p>
    <w:p>
      <w:pPr>
        <w:spacing w:after="0" w:line="76" w:lineRule="exact"/>
        <w:rPr>
          <w:sz w:val="20"/>
          <w:szCs w:val="20"/>
          <w:color w:val="auto"/>
        </w:rPr>
      </w:pPr>
    </w:p>
    <w:p>
      <w:pPr>
        <w:jc w:val="center"/>
        <w:ind w:right="-100"/>
        <w:spacing w:after="0"/>
        <w:tabs>
          <w:tab w:leader="none" w:pos="100" w:val="left"/>
        </w:tabs>
        <w:rPr>
          <w:sz w:val="20"/>
          <w:szCs w:val="20"/>
          <w:color w:val="auto"/>
        </w:rPr>
      </w:pPr>
      <w:r>
        <w:rPr>
          <w:rFonts w:ascii="Times New Roman" w:cs="Times New Roman" w:eastAsia="Times New Roman" w:hAnsi="Times New Roman"/>
          <w:sz w:val="14"/>
          <w:szCs w:val="14"/>
          <w:i w:val="1"/>
          <w:iCs w:val="1"/>
          <w:color w:val="auto"/>
        </w:rPr>
        <w:t>Excepted Property.</w:t>
      </w:r>
      <w:r>
        <w:rPr>
          <w:sz w:val="20"/>
          <w:szCs w:val="20"/>
          <w:color w:val="auto"/>
        </w:rPr>
        <w:tab/>
      </w:r>
      <w:r>
        <w:rPr>
          <w:rFonts w:ascii="Times New Roman" w:cs="Times New Roman" w:eastAsia="Times New Roman" w:hAnsi="Times New Roman"/>
          <w:sz w:val="14"/>
          <w:szCs w:val="14"/>
          <w:color w:val="auto"/>
        </w:rPr>
        <w:t>There are excepted from the lien of the mortgage indenture, among other things:</w:t>
      </w:r>
    </w:p>
    <w:p>
      <w:pPr>
        <w:spacing w:after="0" w:line="94" w:lineRule="exact"/>
        <w:rPr>
          <w:sz w:val="20"/>
          <w:szCs w:val="20"/>
          <w:color w:val="auto"/>
        </w:rPr>
      </w:pPr>
    </w:p>
    <w:p>
      <w:pPr>
        <w:ind w:left="1720" w:right="1619" w:hanging="134"/>
        <w:spacing w:after="0" w:line="283" w:lineRule="auto"/>
        <w:tabs>
          <w:tab w:leader="none" w:pos="17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deposit accounts, shares of stock, interests in general or limited partnerships, securities not deposited with or held by the trustee;</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contracts, leases and other agreements of all kinds;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 rights, bills, notes and other instruments and chattel paper;</w:t>
      </w:r>
    </w:p>
    <w:p>
      <w:pPr>
        <w:spacing w:after="0" w:line="91" w:lineRule="exact"/>
        <w:rPr>
          <w:rFonts w:ascii="Times New Roman" w:cs="Times New Roman" w:eastAsia="Times New Roman" w:hAnsi="Times New Roman"/>
          <w:sz w:val="14"/>
          <w:szCs w:val="14"/>
          <w:color w:val="auto"/>
        </w:rPr>
      </w:pPr>
    </w:p>
    <w:p>
      <w:pPr>
        <w:ind w:left="1720" w:right="1499" w:hanging="134"/>
        <w:spacing w:after="0" w:line="283" w:lineRule="auto"/>
        <w:tabs>
          <w:tab w:leader="none" w:pos="17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revenues, income and earnings, all accounts, accounts receivable and unbilled revenues, and all rents, tolls, issues, product and profits, claims, credits, demands and judgments;</w:t>
      </w:r>
    </w:p>
    <w:p>
      <w:pPr>
        <w:spacing w:after="0" w:line="41" w:lineRule="exact"/>
        <w:rPr>
          <w:rFonts w:ascii="Times New Roman" w:cs="Times New Roman" w:eastAsia="Times New Roman" w:hAnsi="Times New Roman"/>
          <w:sz w:val="14"/>
          <w:szCs w:val="14"/>
          <w:color w:val="auto"/>
        </w:rPr>
      </w:pPr>
    </w:p>
    <w:p>
      <w:pPr>
        <w:jc w:val="both"/>
        <w:ind w:left="1720" w:right="1459" w:hanging="134"/>
        <w:spacing w:after="0" w:line="283" w:lineRule="auto"/>
        <w:tabs>
          <w:tab w:leader="none" w:pos="17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governmental and other licenses, permits, franchises, consents and allowances (except to the extent that any of the same constitute rights or interests relating to the occupancy or use of real property);</w:t>
      </w:r>
    </w:p>
    <w:p>
      <w:pPr>
        <w:spacing w:after="0" w:line="41" w:lineRule="exact"/>
        <w:rPr>
          <w:rFonts w:ascii="Times New Roman" w:cs="Times New Roman" w:eastAsia="Times New Roman" w:hAnsi="Times New Roman"/>
          <w:sz w:val="14"/>
          <w:szCs w:val="14"/>
          <w:color w:val="auto"/>
        </w:rPr>
      </w:pPr>
    </w:p>
    <w:p>
      <w:pPr>
        <w:ind w:left="1720" w:right="1539" w:hanging="134"/>
        <w:spacing w:after="0" w:line="283" w:lineRule="auto"/>
        <w:tabs>
          <w:tab w:leader="none" w:pos="17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intellectual property rights, domain names and other general intangibles including, but not limited to, computer software;</w:t>
      </w:r>
    </w:p>
    <w:p>
      <w:pPr>
        <w:spacing w:after="0" w:line="41" w:lineRule="exact"/>
        <w:rPr>
          <w:rFonts w:ascii="Times New Roman" w:cs="Times New Roman" w:eastAsia="Times New Roman" w:hAnsi="Times New Roman"/>
          <w:sz w:val="14"/>
          <w:szCs w:val="14"/>
          <w:color w:val="auto"/>
        </w:rPr>
      </w:pPr>
    </w:p>
    <w:p>
      <w:pPr>
        <w:ind w:left="1720" w:right="1339" w:hanging="134"/>
        <w:spacing w:after="0" w:line="261" w:lineRule="auto"/>
        <w:tabs>
          <w:tab w:leader="none" w:pos="17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vehicles, movable equipment, vessels and aircraft and supplies used in connection with the foregoing; and all personal property of such character that the perfection of a security interest therein or other lien thereon is not governed by the Uniform Commercial Code as in effect in the jurisdiction in which such property is located;</w:t>
      </w:r>
    </w:p>
    <w:p>
      <w:pPr>
        <w:spacing w:after="0" w:line="57" w:lineRule="exact"/>
        <w:rPr>
          <w:rFonts w:ascii="Times New Roman" w:cs="Times New Roman" w:eastAsia="Times New Roman" w:hAnsi="Times New Roman"/>
          <w:sz w:val="14"/>
          <w:szCs w:val="14"/>
          <w:color w:val="auto"/>
        </w:rPr>
      </w:pPr>
    </w:p>
    <w:p>
      <w:pPr>
        <w:ind w:left="1720" w:right="1639" w:hanging="134"/>
        <w:spacing w:after="0" w:line="283" w:lineRule="auto"/>
        <w:tabs>
          <w:tab w:leader="none" w:pos="17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goods, stock in trade, wares, merchandise and inventory held for sale or lease in the ordinary course of business;</w:t>
      </w:r>
    </w:p>
    <w:p>
      <w:pPr>
        <w:spacing w:after="0" w:line="41" w:lineRule="exact"/>
        <w:rPr>
          <w:rFonts w:ascii="Times New Roman" w:cs="Times New Roman" w:eastAsia="Times New Roman" w:hAnsi="Times New Roman"/>
          <w:sz w:val="14"/>
          <w:szCs w:val="14"/>
          <w:color w:val="auto"/>
        </w:rPr>
      </w:pPr>
    </w:p>
    <w:p>
      <w:pPr>
        <w:ind w:left="1720" w:right="1639" w:hanging="134"/>
        <w:spacing w:after="0" w:line="283" w:lineRule="auto"/>
        <w:tabs>
          <w:tab w:leader="none" w:pos="17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materials, supplies, inventory and other personal property consumable in the operation of the mortgaged property;</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fuel;</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portable tools and equipment;</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furniture and furnishings;</w:t>
      </w:r>
    </w:p>
    <w:p>
      <w:pPr>
        <w:spacing w:after="0" w:line="91" w:lineRule="exact"/>
        <w:rPr>
          <w:rFonts w:ascii="Times New Roman" w:cs="Times New Roman" w:eastAsia="Times New Roman" w:hAnsi="Times New Roman"/>
          <w:sz w:val="14"/>
          <w:szCs w:val="14"/>
          <w:color w:val="auto"/>
        </w:rPr>
      </w:pPr>
    </w:p>
    <w:p>
      <w:pPr>
        <w:ind w:left="1720" w:right="1319" w:hanging="134"/>
        <w:spacing w:after="0" w:line="261" w:lineRule="auto"/>
        <w:tabs>
          <w:tab w:leader="none" w:pos="17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computers and data processing, data storage, data transmission, telecommunications and certain other facilities and equipment used primarily for administrative or clerical purposes or not otherwise necessary for the operation or maintenance of facilities and equipment for the generation, transmission and distribution of electric energy and our other buildings and improvements;</w:t>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5" w:name="page46"/>
    <w:bookmarkEnd w:id="45"/>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20" w:hanging="134"/>
        <w:spacing w:after="0"/>
        <w:tabs>
          <w:tab w:leader="none" w:pos="17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coal, ore, gas, oil and other minerals and timber, and all rights and interests in any of the foregoing;</w:t>
      </w:r>
    </w:p>
    <w:p>
      <w:pPr>
        <w:spacing w:after="0" w:line="91" w:lineRule="exact"/>
        <w:rPr>
          <w:rFonts w:ascii="Times New Roman" w:cs="Times New Roman" w:eastAsia="Times New Roman" w:hAnsi="Times New Roman"/>
          <w:sz w:val="14"/>
          <w:szCs w:val="14"/>
          <w:color w:val="auto"/>
        </w:rPr>
      </w:pPr>
    </w:p>
    <w:p>
      <w:pPr>
        <w:ind w:left="1720" w:right="1699" w:hanging="134"/>
        <w:spacing w:after="0" w:line="283" w:lineRule="auto"/>
        <w:tabs>
          <w:tab w:leader="none" w:pos="17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electric energy, gas (natural or artificial), steam, water and other products generated, produced, manufactured, purchased or otherwise acquired by us;</w:t>
      </w:r>
    </w:p>
    <w:p>
      <w:pPr>
        <w:spacing w:after="0" w:line="41" w:lineRule="exact"/>
        <w:rPr>
          <w:rFonts w:ascii="Times New Roman" w:cs="Times New Roman" w:eastAsia="Times New Roman" w:hAnsi="Times New Roman"/>
          <w:sz w:val="14"/>
          <w:szCs w:val="14"/>
          <w:color w:val="auto"/>
        </w:rPr>
      </w:pPr>
    </w:p>
    <w:p>
      <w:pPr>
        <w:jc w:val="both"/>
        <w:ind w:left="1720" w:right="1899" w:hanging="134"/>
        <w:spacing w:after="0" w:line="267" w:lineRule="auto"/>
        <w:tabs>
          <w:tab w:leader="none" w:pos="17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property, gas wells, pipelines, and other facilities or property used or to be used for the production, gathering, transmission, storage or distribution of natural gas, crude oil or other hydrocarbons or minerals;</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leasehold interests held by us as lessee;</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facilities and equipment for the storage, transmission and distribution of water; and</w:t>
      </w:r>
    </w:p>
    <w:p>
      <w:pPr>
        <w:spacing w:after="0" w:line="91" w:lineRule="exact"/>
        <w:rPr>
          <w:rFonts w:ascii="Times New Roman" w:cs="Times New Roman" w:eastAsia="Times New Roman" w:hAnsi="Times New Roman"/>
          <w:sz w:val="14"/>
          <w:szCs w:val="14"/>
          <w:color w:val="auto"/>
        </w:rPr>
      </w:pPr>
    </w:p>
    <w:p>
      <w:pPr>
        <w:ind w:left="1720" w:right="1379" w:hanging="134"/>
        <w:spacing w:after="0" w:line="267" w:lineRule="auto"/>
        <w:tabs>
          <w:tab w:leader="none" w:pos="17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property excepted from or released from the lien of the first mortgage indenture prior to the date of the mortgage indenture. (See “Excepted Property” under “Granting Clauses” in the mortgage indenture and “Granting Clauses” in the first mortgage indenture.)</w:t>
      </w:r>
    </w:p>
    <w:p>
      <w:pPr>
        <w:spacing w:after="0" w:line="82" w:lineRule="exact"/>
        <w:rPr>
          <w:sz w:val="20"/>
          <w:szCs w:val="20"/>
          <w:color w:val="auto"/>
        </w:rPr>
      </w:pPr>
    </w:p>
    <w:p>
      <w:pPr>
        <w:ind w:left="1300" w:right="1439" w:firstLine="281"/>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Permitted Liens. </w:t>
      </w:r>
      <w:r>
        <w:rPr>
          <w:rFonts w:ascii="Times New Roman" w:cs="Times New Roman" w:eastAsia="Times New Roman" w:hAnsi="Times New Roman"/>
          <w:sz w:val="14"/>
          <w:szCs w:val="14"/>
          <w:color w:val="auto"/>
        </w:rPr>
        <w:t>The lien of the mortgage indenture is subject to permitted liens and certain other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liens permitted to exist. Under the mortgage indenture, permitted liens include the following, among other, liens:</w:t>
      </w:r>
    </w:p>
    <w:p>
      <w:pPr>
        <w:spacing w:after="0" w:line="215" w:lineRule="exact"/>
        <w:rPr>
          <w:sz w:val="20"/>
          <w:szCs w:val="20"/>
          <w:color w:val="auto"/>
        </w:rPr>
      </w:pPr>
    </w:p>
    <w:p>
      <w:pPr>
        <w:ind w:left="1720" w:right="1539" w:hanging="134"/>
        <w:spacing w:after="0" w:line="283" w:lineRule="auto"/>
        <w:tabs>
          <w:tab w:leader="none" w:pos="17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for taxes, assessments and other governmental charges which are not delinquent or are being contested in good faith or which secure charges that do not exceed $5 million;</w:t>
      </w:r>
    </w:p>
    <w:p>
      <w:pPr>
        <w:spacing w:after="0" w:line="41" w:lineRule="exact"/>
        <w:rPr>
          <w:rFonts w:ascii="Times New Roman" w:cs="Times New Roman" w:eastAsia="Times New Roman" w:hAnsi="Times New Roman"/>
          <w:sz w:val="14"/>
          <w:szCs w:val="14"/>
          <w:color w:val="auto"/>
        </w:rPr>
      </w:pPr>
    </w:p>
    <w:p>
      <w:pPr>
        <w:ind w:left="1720" w:right="1439" w:hanging="134"/>
        <w:spacing w:after="0" w:line="267" w:lineRule="auto"/>
        <w:tabs>
          <w:tab w:leader="none" w:pos="17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mechanics’, workmen’s and similar liens and certain other liens arising in the ordinary course of business for charges or requirements which are not delinquent or which are being contested in good faith and by appropriate proceedings;</w:t>
      </w:r>
    </w:p>
    <w:p>
      <w:pPr>
        <w:spacing w:after="0" w:line="5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in respect of judgments:</w:t>
      </w:r>
    </w:p>
    <w:p>
      <w:pPr>
        <w:spacing w:after="0" w:line="81" w:lineRule="exact"/>
        <w:rPr>
          <w:rFonts w:ascii="Times New Roman" w:cs="Times New Roman" w:eastAsia="Times New Roman" w:hAnsi="Times New Roman"/>
          <w:sz w:val="14"/>
          <w:szCs w:val="14"/>
          <w:color w:val="auto"/>
        </w:rPr>
      </w:pPr>
    </w:p>
    <w:p>
      <w:pPr>
        <w:ind w:left="2000" w:right="1319" w:hanging="133"/>
        <w:spacing w:after="0" w:line="267" w:lineRule="auto"/>
        <w:tabs>
          <w:tab w:leader="none" w:pos="2000"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 amount not exceeding the greater of $10 million and 3% of the sum of the then outstanding aggregate principal amount of mortgage bonds and first mortgage bonds other than first mortgage collateral bonds then outstanding; or</w:t>
      </w:r>
    </w:p>
    <w:p>
      <w:pPr>
        <w:spacing w:after="0" w:line="51" w:lineRule="exact"/>
        <w:rPr>
          <w:rFonts w:ascii="Times New Roman" w:cs="Times New Roman" w:eastAsia="Times New Roman" w:hAnsi="Times New Roman"/>
          <w:sz w:val="14"/>
          <w:szCs w:val="14"/>
          <w:color w:val="auto"/>
        </w:rPr>
      </w:pPr>
    </w:p>
    <w:p>
      <w:pPr>
        <w:jc w:val="both"/>
        <w:ind w:left="2000" w:right="1399" w:hanging="133"/>
        <w:spacing w:after="0" w:line="276" w:lineRule="auto"/>
        <w:tabs>
          <w:tab w:leader="none" w:pos="2000"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which we shall in good faith be prosecuting an appeal and with respect to which we have secured a stay of execution pending such appeal or shall have the right to prosecute an appeal;</w:t>
      </w:r>
    </w:p>
    <w:p>
      <w:pPr>
        <w:spacing w:after="0" w:line="218" w:lineRule="exact"/>
        <w:rPr>
          <w:rFonts w:ascii="Times New Roman" w:cs="Times New Roman" w:eastAsia="Times New Roman" w:hAnsi="Times New Roman"/>
          <w:sz w:val="14"/>
          <w:szCs w:val="14"/>
          <w:color w:val="auto"/>
        </w:rPr>
      </w:pPr>
    </w:p>
    <w:p>
      <w:pPr>
        <w:jc w:val="both"/>
        <w:ind w:left="1720" w:right="1319" w:hanging="134"/>
        <w:spacing w:after="0" w:line="283" w:lineRule="auto"/>
        <w:tabs>
          <w:tab w:leader="none" w:pos="17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easements, leases or other rights of others in, and defects in title to, the mortgaged property which do not in the aggregate materially impair the use by us of the mortgaged property considered as a whole;</w:t>
      </w:r>
    </w:p>
    <w:p>
      <w:pPr>
        <w:spacing w:after="0" w:line="41" w:lineRule="exact"/>
        <w:rPr>
          <w:rFonts w:ascii="Times New Roman" w:cs="Times New Roman" w:eastAsia="Times New Roman" w:hAnsi="Times New Roman"/>
          <w:sz w:val="14"/>
          <w:szCs w:val="14"/>
          <w:color w:val="auto"/>
        </w:rPr>
      </w:pPr>
    </w:p>
    <w:p>
      <w:pPr>
        <w:ind w:left="1720" w:right="1419" w:hanging="134"/>
        <w:spacing w:after="0" w:line="255" w:lineRule="auto"/>
        <w:tabs>
          <w:tab w:leader="none" w:pos="17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liens, defects, irregularities and limitations in title to real property subject to rights-of-way in our favor or used primarily for right-of-way purposes or property held by us under lease, easement, license or similar right;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(i) we have obtained from the apparent owner of such property a sufficient right, by the terms of the instrument granting such right-of-way, lease, easement, license or similar right, to the use thereof for the purposes for which we acquired the same, (ii) we have power under eminent domain or similar statutes to remove such defects, irregularities or limitations or (iii) such defects, irregularities and limitations may be otherwise remedied without undue effort or expense; and defects, irregularities and limitations in title to flood lands, flooding rights and/or water rights;</w:t>
      </w:r>
    </w:p>
    <w:p>
      <w:pPr>
        <w:spacing w:after="0" w:line="220" w:lineRule="exact"/>
        <w:rPr>
          <w:rFonts w:ascii="Times New Roman" w:cs="Times New Roman" w:eastAsia="Times New Roman" w:hAnsi="Times New Roman"/>
          <w:sz w:val="14"/>
          <w:szCs w:val="14"/>
          <w:color w:val="auto"/>
        </w:rPr>
      </w:pPr>
    </w:p>
    <w:p>
      <w:pPr>
        <w:ind w:left="1720" w:right="1419" w:hanging="134"/>
        <w:spacing w:after="0" w:line="283" w:lineRule="auto"/>
        <w:tabs>
          <w:tab w:leader="none" w:pos="17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securing indebtedness and other obligations of others upon real property existing at the date of the mortgage indenture or at the time of our acquisition of such property;</w:t>
      </w:r>
    </w:p>
    <w:p>
      <w:pPr>
        <w:spacing w:after="0" w:line="41" w:lineRule="exact"/>
        <w:rPr>
          <w:rFonts w:ascii="Times New Roman" w:cs="Times New Roman" w:eastAsia="Times New Roman" w:hAnsi="Times New Roman"/>
          <w:sz w:val="14"/>
          <w:szCs w:val="14"/>
          <w:color w:val="auto"/>
        </w:rPr>
      </w:pPr>
    </w:p>
    <w:p>
      <w:pPr>
        <w:ind w:left="1720" w:right="1839" w:hanging="134"/>
        <w:spacing w:after="0" w:line="283" w:lineRule="auto"/>
        <w:tabs>
          <w:tab w:leader="none" w:pos="17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leases existing at the date of the mortgage indenture and subsequent leases for not more than 15 years or which do not materially impair our use of the property subject thereto;</w:t>
      </w:r>
    </w:p>
    <w:p>
      <w:pPr>
        <w:spacing w:after="0" w:line="41" w:lineRule="exact"/>
        <w:rPr>
          <w:rFonts w:ascii="Times New Roman" w:cs="Times New Roman" w:eastAsia="Times New Roman" w:hAnsi="Times New Roman"/>
          <w:sz w:val="14"/>
          <w:szCs w:val="14"/>
          <w:color w:val="auto"/>
        </w:rPr>
      </w:pPr>
    </w:p>
    <w:p>
      <w:pPr>
        <w:ind w:left="1720" w:right="1399" w:hanging="134"/>
        <w:spacing w:after="0" w:line="283" w:lineRule="auto"/>
        <w:tabs>
          <w:tab w:leader="none" w:pos="17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of lessors or licensors for amounts due which are not delinquent or are being contested in good faith;</w:t>
      </w:r>
    </w:p>
    <w:p>
      <w:pPr>
        <w:spacing w:after="0" w:line="41" w:lineRule="exact"/>
        <w:rPr>
          <w:rFonts w:ascii="Times New Roman" w:cs="Times New Roman" w:eastAsia="Times New Roman" w:hAnsi="Times New Roman"/>
          <w:sz w:val="14"/>
          <w:szCs w:val="14"/>
          <w:color w:val="auto"/>
        </w:rPr>
      </w:pPr>
    </w:p>
    <w:p>
      <w:pPr>
        <w:ind w:left="1720" w:right="1799" w:hanging="134"/>
        <w:spacing w:after="0" w:line="283" w:lineRule="auto"/>
        <w:tabs>
          <w:tab w:leader="none" w:pos="17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controls, restrictions or obligations imposed by governmental authorities upon the mortgaged property or the operation thereof;</w:t>
      </w:r>
    </w:p>
    <w:p>
      <w:pPr>
        <w:spacing w:after="0" w:line="30"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rights of governmental authorities to purchase or designate a purchaser of the mortgaged property;</w:t>
      </w: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6" w:name="page47"/>
    <w:bookmarkEnd w:id="46"/>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20" w:right="1379" w:hanging="134"/>
        <w:spacing w:after="0" w:line="261" w:lineRule="auto"/>
        <w:tabs>
          <w:tab w:leader="none" w:pos="17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required by law or governmental regulation as a condition to the transaction of any business or the exercise of any privilege or license, or to enable us to maintain self-insurance or to participate in any funds established to cover insurance risks or in connection with workmen’s compensation, unemployment insurance, social security or any pension or welfare benefit plan or program;</w:t>
      </w:r>
    </w:p>
    <w:p>
      <w:pPr>
        <w:spacing w:after="0" w:line="57" w:lineRule="exact"/>
        <w:rPr>
          <w:rFonts w:ascii="Times New Roman" w:cs="Times New Roman" w:eastAsia="Times New Roman" w:hAnsi="Times New Roman"/>
          <w:sz w:val="14"/>
          <w:szCs w:val="14"/>
          <w:color w:val="auto"/>
        </w:rPr>
      </w:pPr>
    </w:p>
    <w:p>
      <w:pPr>
        <w:ind w:left="1720" w:right="1439" w:hanging="134"/>
        <w:spacing w:after="0" w:line="283" w:lineRule="auto"/>
        <w:tabs>
          <w:tab w:leader="none" w:pos="17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to secure the performance of duties or public or statutory, bid or performance obligations or to secure, or serve in lieu of, surety, stay or appeal bonds;</w:t>
      </w:r>
    </w:p>
    <w:p>
      <w:pPr>
        <w:spacing w:after="0" w:line="41" w:lineRule="exact"/>
        <w:rPr>
          <w:rFonts w:ascii="Times New Roman" w:cs="Times New Roman" w:eastAsia="Times New Roman" w:hAnsi="Times New Roman"/>
          <w:sz w:val="14"/>
          <w:szCs w:val="14"/>
          <w:color w:val="auto"/>
        </w:rPr>
      </w:pPr>
    </w:p>
    <w:p>
      <w:pPr>
        <w:ind w:left="1720" w:right="1319" w:hanging="134"/>
        <w:spacing w:after="0" w:line="283" w:lineRule="auto"/>
        <w:tabs>
          <w:tab w:leader="none" w:pos="17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rights of others to take minerals, timber, electric energy, gas, water, steam or other products produced by us or by others on our property;</w:t>
      </w:r>
    </w:p>
    <w:p>
      <w:pPr>
        <w:spacing w:after="0" w:line="30" w:lineRule="exact"/>
        <w:rPr>
          <w:rFonts w:ascii="Times New Roman" w:cs="Times New Roman" w:eastAsia="Times New Roman" w:hAnsi="Times New Roman"/>
          <w:sz w:val="14"/>
          <w:szCs w:val="14"/>
          <w:color w:val="auto"/>
        </w:rPr>
      </w:pPr>
    </w:p>
    <w:p>
      <w:pPr>
        <w:ind w:left="1720" w:right="1339" w:hanging="134"/>
        <w:spacing w:after="0" w:line="261" w:lineRule="auto"/>
        <w:tabs>
          <w:tab w:leader="none" w:pos="17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rights and interests of persons other than us arising out of agreements to which we are a party relating to the common ownership or joint use of property, and liens on the interests of such persons in such property if and to the extent that the enforcement of such liens would not adversely affect our interests in such property;</w:t>
      </w:r>
    </w:p>
    <w:p>
      <w:pPr>
        <w:spacing w:after="0" w:line="57" w:lineRule="exact"/>
        <w:rPr>
          <w:rFonts w:ascii="Times New Roman" w:cs="Times New Roman" w:eastAsia="Times New Roman" w:hAnsi="Times New Roman"/>
          <w:sz w:val="14"/>
          <w:szCs w:val="14"/>
          <w:color w:val="auto"/>
        </w:rPr>
      </w:pPr>
    </w:p>
    <w:p>
      <w:pPr>
        <w:ind w:left="1720" w:right="1599" w:hanging="134"/>
        <w:spacing w:after="0" w:line="283" w:lineRule="auto"/>
        <w:tabs>
          <w:tab w:leader="none" w:pos="17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assignment and/or requirements of any assignee to qualify as a permitted assignee and/or public utility or public service company;</w:t>
      </w:r>
    </w:p>
    <w:p>
      <w:pPr>
        <w:spacing w:after="0" w:line="30" w:lineRule="exact"/>
        <w:rPr>
          <w:rFonts w:ascii="Times New Roman" w:cs="Times New Roman" w:eastAsia="Times New Roman" w:hAnsi="Times New Roman"/>
          <w:sz w:val="14"/>
          <w:szCs w:val="14"/>
          <w:color w:val="auto"/>
        </w:rPr>
      </w:pPr>
    </w:p>
    <w:p>
      <w:pPr>
        <w:ind w:left="1720" w:right="1739" w:hanging="134"/>
        <w:spacing w:after="0" w:line="283" w:lineRule="auto"/>
        <w:tabs>
          <w:tab w:leader="none" w:pos="17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which have been bonded for the full amount in dispute or for the payment of which other security arrangements have been made;</w:t>
      </w:r>
    </w:p>
    <w:p>
      <w:pPr>
        <w:spacing w:after="0" w:line="41" w:lineRule="exact"/>
        <w:rPr>
          <w:rFonts w:ascii="Times New Roman" w:cs="Times New Roman" w:eastAsia="Times New Roman" w:hAnsi="Times New Roman"/>
          <w:sz w:val="14"/>
          <w:szCs w:val="14"/>
          <w:color w:val="auto"/>
        </w:rPr>
      </w:pPr>
    </w:p>
    <w:p>
      <w:pPr>
        <w:ind w:left="1720" w:right="1339" w:hanging="134"/>
        <w:spacing w:after="0" w:line="264" w:lineRule="auto"/>
        <w:tabs>
          <w:tab w:leader="none" w:pos="17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easements, ground leases or rights-of-way on or across our property for the purpose of roads, pipelines, transmission or distribution lines, communication lines, railways and other similar purposes, provided that the same do not materially impair the use by us of such property or rights-of-way;</w:t>
      </w:r>
    </w:p>
    <w:p>
      <w:pPr>
        <w:spacing w:after="0" w:line="215" w:lineRule="exact"/>
        <w:rPr>
          <w:rFonts w:ascii="Times New Roman" w:cs="Times New Roman" w:eastAsia="Times New Roman" w:hAnsi="Times New Roman"/>
          <w:sz w:val="14"/>
          <w:szCs w:val="14"/>
          <w:color w:val="auto"/>
        </w:rPr>
      </w:pPr>
    </w:p>
    <w:p>
      <w:pPr>
        <w:ind w:left="1720" w:right="1319" w:hanging="134"/>
        <w:spacing w:after="0" w:line="267" w:lineRule="auto"/>
        <w:tabs>
          <w:tab w:leader="none" w:pos="17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our air or water pollution control, sewage or solid waste disposal or other similar facilities in connection with the issuance of pollution control revenue bonds, in connection with financing the cost of, or construction, acquisition, improvement, repair or maintenance of, such facilities;</w:t>
      </w:r>
    </w:p>
    <w:p>
      <w:pPr>
        <w:spacing w:after="0" w:line="5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trustee’s lien specified below;</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prepaid liens; and</w:t>
      </w:r>
    </w:p>
    <w:p>
      <w:pPr>
        <w:spacing w:after="0" w:line="8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lien of the first mortgage indenture. (Granting Clauses and Section 101)</w:t>
      </w:r>
    </w:p>
    <w:p>
      <w:pPr>
        <w:spacing w:after="0" w:line="123" w:lineRule="exact"/>
        <w:rPr>
          <w:sz w:val="20"/>
          <w:szCs w:val="20"/>
          <w:color w:val="auto"/>
        </w:rPr>
      </w:pPr>
    </w:p>
    <w:p>
      <w:pPr>
        <w:ind w:left="1300" w:right="1319" w:firstLine="281"/>
        <w:spacing w:after="0" w:line="243" w:lineRule="auto"/>
        <w:rPr>
          <w:sz w:val="20"/>
          <w:szCs w:val="20"/>
          <w:color w:val="auto"/>
        </w:rPr>
      </w:pPr>
      <w:r>
        <w:rPr>
          <w:rFonts w:ascii="Times New Roman" w:cs="Times New Roman" w:eastAsia="Times New Roman" w:hAnsi="Times New Roman"/>
          <w:sz w:val="14"/>
          <w:szCs w:val="14"/>
          <w:color w:val="auto"/>
        </w:rPr>
        <w:t xml:space="preserve">“Prepaid lien” means any lien securing indebtedness for the payment, prepayment or redemption of which there shall have been irrevocably deposited in trust with the trustee or other holder of such lien moneys and/or investment securities which (together with the interest reasonably expected to be earned from the investment and reinvestment in investment securities of the moneys and/or the principal of and interest on the investment securities so deposited) shall be sufficient for such purpose;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if such indebtedness is to be redeemed or otherwise prepaid prior to the stated maturity thereof, any notice requisite to such redemption or prepayment shall have been given in accordance with the instrument creating such lien or irrevocable instructions to give such notice shall have been given to such trustee or other holder; and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that the first mortgage indenture shall not be deemed to be a prepaid lien unless it shall have been satisfied and discharged and all first mortgage bonds issued thereunder shall be deemed to have been paid, all in accordance with the provisions thereof. (Section 101)</w:t>
      </w:r>
    </w:p>
    <w:p>
      <w:pPr>
        <w:spacing w:after="0" w:line="88" w:lineRule="exact"/>
        <w:rPr>
          <w:sz w:val="20"/>
          <w:szCs w:val="20"/>
          <w:color w:val="auto"/>
        </w:rPr>
      </w:pPr>
    </w:p>
    <w:p>
      <w:pPr>
        <w:ind w:left="1300" w:right="1479" w:firstLine="281"/>
        <w:spacing w:after="0" w:line="261" w:lineRule="auto"/>
        <w:rPr>
          <w:sz w:val="20"/>
          <w:szCs w:val="20"/>
          <w:color w:val="auto"/>
        </w:rPr>
      </w:pPr>
      <w:r>
        <w:rPr>
          <w:rFonts w:ascii="Times New Roman" w:cs="Times New Roman" w:eastAsia="Times New Roman" w:hAnsi="Times New Roman"/>
          <w:sz w:val="14"/>
          <w:szCs w:val="14"/>
          <w:i w:val="1"/>
          <w:iCs w:val="1"/>
          <w:color w:val="auto"/>
        </w:rPr>
        <w:t xml:space="preserve">Trustee’s Lien. </w:t>
      </w:r>
      <w:r>
        <w:rPr>
          <w:rFonts w:ascii="Times New Roman" w:cs="Times New Roman" w:eastAsia="Times New Roman" w:hAnsi="Times New Roman"/>
          <w:sz w:val="14"/>
          <w:szCs w:val="14"/>
          <w:color w:val="auto"/>
        </w:rPr>
        <w:t>The mortgage indenture provides that the trustee will have a lien, prior to the lien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behalf of the holders of mortgage bonds, upon the mortgaged property for the payment of its reasonable compensation and expenses and for indemnity against certain liabilities. (Section 1107)</w:t>
      </w:r>
    </w:p>
    <w:p>
      <w:pPr>
        <w:spacing w:after="0" w:line="12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Issuance of Mortgage Bonds</w:t>
      </w:r>
    </w:p>
    <w:p>
      <w:pPr>
        <w:spacing w:after="0" w:line="125" w:lineRule="exact"/>
        <w:rPr>
          <w:sz w:val="20"/>
          <w:szCs w:val="20"/>
          <w:color w:val="auto"/>
        </w:rPr>
      </w:pPr>
    </w:p>
    <w:p>
      <w:pPr>
        <w:ind w:left="1300" w:right="1399" w:firstLine="281"/>
        <w:spacing w:after="0" w:line="247" w:lineRule="auto"/>
        <w:rPr>
          <w:sz w:val="20"/>
          <w:szCs w:val="20"/>
          <w:color w:val="auto"/>
        </w:rPr>
      </w:pPr>
      <w:r>
        <w:rPr>
          <w:rFonts w:ascii="Times New Roman" w:cs="Times New Roman" w:eastAsia="Times New Roman" w:hAnsi="Times New Roman"/>
          <w:sz w:val="14"/>
          <w:szCs w:val="14"/>
          <w:color w:val="auto"/>
        </w:rPr>
        <w:t>The aggregate principal amount of mortgage bonds that may be authenticated and delivered under the mortgage indenture is unlimited. (Section 301). Additional mortgage bonds of any series may be issued from time to time, provided that the first mortgage collateralization date has not occurred, on the basis of property additions, retired bonds (as such terms are defined below) and cash deposited with the trustee, and in an aggregate principal amount not exceeding:</w:t>
      </w:r>
    </w:p>
    <w:p>
      <w:pPr>
        <w:spacing w:after="0" w:line="55" w:lineRule="exact"/>
        <w:rPr>
          <w:sz w:val="20"/>
          <w:szCs w:val="20"/>
          <w:color w:val="auto"/>
        </w:rPr>
      </w:pPr>
    </w:p>
    <w:p>
      <w:pPr>
        <w:ind w:left="1720" w:right="1359" w:hanging="134"/>
        <w:spacing w:after="0" w:line="267" w:lineRule="auto"/>
        <w:tabs>
          <w:tab w:leader="none" w:pos="17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70% of the cost (as defined below) or fair value (as defined below) (whichever is less) of property additions (as described below) that do not constitute funded property (as defined below) after certain deductions and additions, primarily including adjustments to offset property retirements;</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201930</wp:posOffset>
            </wp:positionV>
            <wp:extent cx="533082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7" w:name="page48"/>
    <w:bookmarkEnd w:id="47"/>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20" w:hanging="134"/>
        <w:spacing w:after="0"/>
        <w:tabs>
          <w:tab w:leader="none" w:pos="17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principal amount of retired bonds; and</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amount of cash deposited with the trustee. (Article Four)</w:t>
      </w:r>
    </w:p>
    <w:p>
      <w:pPr>
        <w:spacing w:after="0" w:line="123" w:lineRule="exact"/>
        <w:rPr>
          <w:sz w:val="20"/>
          <w:szCs w:val="20"/>
          <w:color w:val="auto"/>
        </w:rPr>
      </w:pPr>
    </w:p>
    <w:p>
      <w:pPr>
        <w:ind w:left="1300" w:right="1679" w:firstLine="281"/>
        <w:spacing w:after="0" w:line="268" w:lineRule="auto"/>
        <w:rPr>
          <w:sz w:val="20"/>
          <w:szCs w:val="20"/>
          <w:color w:val="auto"/>
        </w:rPr>
      </w:pPr>
      <w:r>
        <w:rPr>
          <w:rFonts w:ascii="Times New Roman" w:cs="Times New Roman" w:eastAsia="Times New Roman" w:hAnsi="Times New Roman"/>
          <w:sz w:val="14"/>
          <w:szCs w:val="14"/>
          <w:color w:val="auto"/>
        </w:rPr>
        <w:t>As of March 31, 2026, the aggregate principal amount of additional mortgage bonds that could be issued was approximately $4.8 billion based on retired bonds and 70% of property additions.</w:t>
      </w:r>
    </w:p>
    <w:p>
      <w:pPr>
        <w:spacing w:after="0" w:line="72" w:lineRule="exact"/>
        <w:rPr>
          <w:sz w:val="20"/>
          <w:szCs w:val="20"/>
          <w:color w:val="auto"/>
        </w:rPr>
      </w:pPr>
    </w:p>
    <w:p>
      <w:pPr>
        <w:ind w:left="1300" w:right="1319" w:firstLine="281"/>
        <w:spacing w:after="0" w:line="247" w:lineRule="auto"/>
        <w:rPr>
          <w:sz w:val="20"/>
          <w:szCs w:val="20"/>
          <w:color w:val="auto"/>
        </w:rPr>
      </w:pPr>
      <w:r>
        <w:rPr>
          <w:rFonts w:ascii="Times New Roman" w:cs="Times New Roman" w:eastAsia="Times New Roman" w:hAnsi="Times New Roman"/>
          <w:sz w:val="14"/>
          <w:szCs w:val="14"/>
          <w:color w:val="auto"/>
        </w:rPr>
        <w:t>In addition, any issuance of additional mortgage bonds after March 31, 2003, other than any issuance on the basis of retired bonds having an applicable interest rate not less than the interest rate applicable to the additional mortgage bonds to be issued, requires that we provide a net earnings certificate demonstrating that the adjusted net earnings (as defined below) for the specified 12 -month period are not less than 200% of the annual interest requirements (as defined below) for the specified 12-month period.</w:t>
      </w:r>
    </w:p>
    <w:p>
      <w:pPr>
        <w:spacing w:after="0" w:line="87" w:lineRule="exact"/>
        <w:rPr>
          <w:sz w:val="20"/>
          <w:szCs w:val="20"/>
          <w:color w:val="auto"/>
        </w:rPr>
      </w:pPr>
    </w:p>
    <w:p>
      <w:pPr>
        <w:ind w:left="1300" w:right="1379" w:firstLine="281"/>
        <w:spacing w:after="0" w:line="259" w:lineRule="auto"/>
        <w:rPr>
          <w:sz w:val="20"/>
          <w:szCs w:val="20"/>
          <w:color w:val="auto"/>
        </w:rPr>
      </w:pPr>
      <w:r>
        <w:rPr>
          <w:rFonts w:ascii="Times New Roman" w:cs="Times New Roman" w:eastAsia="Times New Roman" w:hAnsi="Times New Roman"/>
          <w:sz w:val="14"/>
          <w:szCs w:val="14"/>
          <w:color w:val="auto"/>
        </w:rPr>
        <w:t>“Adjusted net earnings” means the amount for a period of 12 consecutive calendar months within the 18 calendar months immediately preceding the first day of the month in which we intend to issue additional mortgage bonds of:</w:t>
      </w:r>
    </w:p>
    <w:p>
      <w:pPr>
        <w:spacing w:after="0" w:line="47" w:lineRule="exact"/>
        <w:rPr>
          <w:sz w:val="20"/>
          <w:szCs w:val="20"/>
          <w:color w:val="auto"/>
        </w:rPr>
      </w:pPr>
    </w:p>
    <w:p>
      <w:pPr>
        <w:ind w:left="1720" w:hanging="134"/>
        <w:spacing w:after="0"/>
        <w:tabs>
          <w:tab w:leader="none" w:pos="17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operating revenues for such period; minus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operating expenses, excluding:</w:t>
      </w:r>
    </w:p>
    <w:p>
      <w:pPr>
        <w:spacing w:after="0" w:line="91" w:lineRule="exact"/>
        <w:rPr>
          <w:rFonts w:ascii="Times New Roman" w:cs="Times New Roman" w:eastAsia="Times New Roman" w:hAnsi="Times New Roman"/>
          <w:sz w:val="14"/>
          <w:szCs w:val="14"/>
          <w:color w:val="auto"/>
        </w:rPr>
      </w:pPr>
    </w:p>
    <w:p>
      <w:pPr>
        <w:ind w:left="2000" w:hanging="133"/>
        <w:spacing w:after="0"/>
        <w:tabs>
          <w:tab w:leader="none" w:pos="200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for taxes on income or profits;</w:t>
      </w:r>
    </w:p>
    <w:p>
      <w:pPr>
        <w:spacing w:after="0" w:line="91" w:lineRule="exact"/>
        <w:rPr>
          <w:rFonts w:ascii="Times New Roman" w:cs="Times New Roman" w:eastAsia="Times New Roman" w:hAnsi="Times New Roman"/>
          <w:sz w:val="14"/>
          <w:szCs w:val="14"/>
          <w:color w:val="auto"/>
        </w:rPr>
      </w:pPr>
    </w:p>
    <w:p>
      <w:pPr>
        <w:ind w:left="2000" w:right="1659" w:hanging="133"/>
        <w:spacing w:after="0" w:line="283" w:lineRule="auto"/>
        <w:tabs>
          <w:tab w:leader="none" w:pos="200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for reserves for renewals, replacements, depreciation, depletion or retirement of property or provisions for amortization of property;</w:t>
      </w:r>
    </w:p>
    <w:p>
      <w:pPr>
        <w:spacing w:after="0" w:line="41" w:lineRule="exact"/>
        <w:rPr>
          <w:rFonts w:ascii="Times New Roman" w:cs="Times New Roman" w:eastAsia="Times New Roman" w:hAnsi="Times New Roman"/>
          <w:sz w:val="14"/>
          <w:szCs w:val="14"/>
          <w:color w:val="auto"/>
        </w:rPr>
      </w:pPr>
    </w:p>
    <w:p>
      <w:pPr>
        <w:ind w:left="2000" w:right="1539" w:hanging="133"/>
        <w:spacing w:after="0" w:line="267" w:lineRule="auto"/>
        <w:tabs>
          <w:tab w:leader="none" w:pos="200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expense, including the amortization of debt discount, premium, expense or loss on reacquired debt, for any maintenance and replacement, improvement or sinking fund or other device for the retirement or amortization of any indebtedness;</w:t>
      </w:r>
    </w:p>
    <w:p>
      <w:pPr>
        <w:spacing w:after="0" w:line="41" w:lineRule="exact"/>
        <w:rPr>
          <w:rFonts w:ascii="Times New Roman" w:cs="Times New Roman" w:eastAsia="Times New Roman" w:hAnsi="Times New Roman"/>
          <w:sz w:val="14"/>
          <w:szCs w:val="14"/>
          <w:color w:val="auto"/>
        </w:rPr>
      </w:pPr>
    </w:p>
    <w:p>
      <w:pPr>
        <w:ind w:left="2000" w:hanging="133"/>
        <w:spacing w:after="0"/>
        <w:tabs>
          <w:tab w:leader="none" w:pos="200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non-recurring charges or expenses; and</w:t>
      </w:r>
    </w:p>
    <w:p>
      <w:pPr>
        <w:spacing w:after="0" w:line="91" w:lineRule="exact"/>
        <w:rPr>
          <w:rFonts w:ascii="Times New Roman" w:cs="Times New Roman" w:eastAsia="Times New Roman" w:hAnsi="Times New Roman"/>
          <w:sz w:val="14"/>
          <w:szCs w:val="14"/>
          <w:color w:val="auto"/>
        </w:rPr>
      </w:pPr>
    </w:p>
    <w:p>
      <w:pPr>
        <w:ind w:left="2000" w:hanging="133"/>
        <w:spacing w:after="0"/>
        <w:tabs>
          <w:tab w:leader="none" w:pos="200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for any refund of our revenues previously collected or accrued; plus</w:t>
      </w:r>
    </w:p>
    <w:p>
      <w:pPr>
        <w:spacing w:after="0" w:line="91" w:lineRule="exact"/>
        <w:rPr>
          <w:rFonts w:ascii="Times New Roman" w:cs="Times New Roman" w:eastAsia="Times New Roman" w:hAnsi="Times New Roman"/>
          <w:sz w:val="14"/>
          <w:szCs w:val="14"/>
          <w:color w:val="auto"/>
        </w:rPr>
      </w:pPr>
    </w:p>
    <w:p>
      <w:pPr>
        <w:ind w:left="1720" w:right="1519" w:hanging="134"/>
        <w:spacing w:after="0" w:line="283" w:lineRule="auto"/>
        <w:tabs>
          <w:tab w:leader="none" w:pos="17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other income, net of related expenses (excluding expenses or provisions for any non-recurring charges).</w:t>
      </w:r>
    </w:p>
    <w:p>
      <w:pPr>
        <w:spacing w:after="0" w:line="73" w:lineRule="exact"/>
        <w:rPr>
          <w:sz w:val="20"/>
          <w:szCs w:val="20"/>
          <w:color w:val="auto"/>
        </w:rPr>
      </w:pPr>
    </w:p>
    <w:p>
      <w:pPr>
        <w:ind w:left="1300" w:right="1539" w:firstLine="281"/>
        <w:spacing w:after="0" w:line="268" w:lineRule="auto"/>
        <w:rPr>
          <w:sz w:val="20"/>
          <w:szCs w:val="20"/>
          <w:color w:val="auto"/>
        </w:rPr>
      </w:pPr>
      <w:r>
        <w:rPr>
          <w:rFonts w:ascii="Times New Roman" w:cs="Times New Roman" w:eastAsia="Times New Roman" w:hAnsi="Times New Roman"/>
          <w:sz w:val="14"/>
          <w:szCs w:val="14"/>
          <w:color w:val="auto"/>
        </w:rPr>
        <w:t>“Annual interest requirements” means the interest requirements for one year, at the respective stated interest rates, if any, borne before maturity, upon:</w:t>
      </w:r>
    </w:p>
    <w:p>
      <w:pPr>
        <w:spacing w:after="0" w:line="40" w:lineRule="exact"/>
        <w:rPr>
          <w:sz w:val="20"/>
          <w:szCs w:val="20"/>
          <w:color w:val="auto"/>
        </w:rPr>
      </w:pPr>
    </w:p>
    <w:p>
      <w:pPr>
        <w:ind w:left="1720" w:right="1379" w:hanging="134"/>
        <w:spacing w:after="0" w:line="283" w:lineRule="auto"/>
        <w:tabs>
          <w:tab w:leader="none" w:pos="17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outstanding mortgage bonds, except any for the payment or redemption of which mortgage bonds applied for are to be issued;</w:t>
      </w:r>
    </w:p>
    <w:p>
      <w:pPr>
        <w:spacing w:after="0" w:line="41" w:lineRule="exact"/>
        <w:rPr>
          <w:rFonts w:ascii="Times New Roman" w:cs="Times New Roman" w:eastAsia="Times New Roman" w:hAnsi="Times New Roman"/>
          <w:sz w:val="14"/>
          <w:szCs w:val="14"/>
          <w:color w:val="auto"/>
        </w:rPr>
      </w:pPr>
    </w:p>
    <w:p>
      <w:pPr>
        <w:ind w:left="1720" w:right="1579" w:hanging="134"/>
        <w:spacing w:after="0" w:line="283" w:lineRule="auto"/>
        <w:tabs>
          <w:tab w:leader="none" w:pos="17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mortgage bonds then applied for in pending applications for the original issuance of mortgage bonds, including the application in connection with which the net earnings certificate is made;</w:t>
      </w:r>
    </w:p>
    <w:p>
      <w:pPr>
        <w:spacing w:after="0" w:line="41" w:lineRule="exact"/>
        <w:rPr>
          <w:rFonts w:ascii="Times New Roman" w:cs="Times New Roman" w:eastAsia="Times New Roman" w:hAnsi="Times New Roman"/>
          <w:sz w:val="14"/>
          <w:szCs w:val="14"/>
          <w:color w:val="auto"/>
        </w:rPr>
      </w:pPr>
    </w:p>
    <w:p>
      <w:pPr>
        <w:ind w:left="1720" w:right="1859" w:hanging="134"/>
        <w:spacing w:after="0" w:line="283" w:lineRule="auto"/>
        <w:tabs>
          <w:tab w:leader="none" w:pos="17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outstanding first mortgage bonds, except any for the payment or redemption of which the mortgage bonds applied for are to be issued; and</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of all other indebtedness, except:</w:t>
      </w:r>
    </w:p>
    <w:p>
      <w:pPr>
        <w:spacing w:after="0" w:line="91" w:lineRule="exact"/>
        <w:rPr>
          <w:rFonts w:ascii="Times New Roman" w:cs="Times New Roman" w:eastAsia="Times New Roman" w:hAnsi="Times New Roman"/>
          <w:sz w:val="14"/>
          <w:szCs w:val="14"/>
          <w:color w:val="auto"/>
        </w:rPr>
      </w:pPr>
    </w:p>
    <w:p>
      <w:pPr>
        <w:ind w:left="2000" w:hanging="133"/>
        <w:spacing w:after="0"/>
        <w:tabs>
          <w:tab w:leader="none" w:pos="2000"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first mortgage collateral bonds;</w:t>
      </w:r>
    </w:p>
    <w:p>
      <w:pPr>
        <w:spacing w:after="0" w:line="91" w:lineRule="exact"/>
        <w:rPr>
          <w:rFonts w:ascii="Times New Roman" w:cs="Times New Roman" w:eastAsia="Times New Roman" w:hAnsi="Times New Roman"/>
          <w:sz w:val="14"/>
          <w:szCs w:val="14"/>
          <w:color w:val="auto"/>
        </w:rPr>
      </w:pPr>
    </w:p>
    <w:p>
      <w:pPr>
        <w:ind w:left="2000" w:right="1459" w:hanging="133"/>
        <w:spacing w:after="0" w:line="283" w:lineRule="auto"/>
        <w:tabs>
          <w:tab w:leader="none" w:pos="2000"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indebtedness, the repayment of which supports or is supported by other indebtedness included in annual interest requirements pursuant to one of the other clauses of this definition;</w:t>
      </w:r>
    </w:p>
    <w:p>
      <w:pPr>
        <w:spacing w:after="0" w:line="41" w:lineRule="exact"/>
        <w:rPr>
          <w:rFonts w:ascii="Times New Roman" w:cs="Times New Roman" w:eastAsia="Times New Roman" w:hAnsi="Times New Roman"/>
          <w:sz w:val="14"/>
          <w:szCs w:val="14"/>
          <w:color w:val="auto"/>
        </w:rPr>
      </w:pPr>
    </w:p>
    <w:p>
      <w:pPr>
        <w:ind w:left="2000" w:hanging="133"/>
        <w:spacing w:after="0"/>
        <w:tabs>
          <w:tab w:leader="none" w:pos="2000"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for the payment of which the mortgage bonds applied for are to be issued; and</w:t>
      </w:r>
    </w:p>
    <w:p>
      <w:pPr>
        <w:spacing w:after="0" w:line="81" w:lineRule="exact"/>
        <w:rPr>
          <w:rFonts w:ascii="Times New Roman" w:cs="Times New Roman" w:eastAsia="Times New Roman" w:hAnsi="Times New Roman"/>
          <w:sz w:val="14"/>
          <w:szCs w:val="14"/>
          <w:color w:val="auto"/>
        </w:rPr>
      </w:pPr>
    </w:p>
    <w:p>
      <w:pPr>
        <w:ind w:left="2000" w:right="1359" w:hanging="133"/>
        <w:spacing w:after="0" w:line="283" w:lineRule="auto"/>
        <w:tabs>
          <w:tab w:leader="none" w:pos="2000"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secured by a prepaid lien prior to the lien of the mortgage indenture upon property subject to the lien of the mortgage indenture;</w:t>
      </w:r>
    </w:p>
    <w:p>
      <w:pPr>
        <w:spacing w:after="0" w:line="73" w:lineRule="exact"/>
        <w:rPr>
          <w:sz w:val="20"/>
          <w:szCs w:val="20"/>
          <w:color w:val="auto"/>
        </w:rPr>
      </w:pPr>
    </w:p>
    <w:p>
      <w:pPr>
        <w:ind w:left="1720" w:right="1319"/>
        <w:spacing w:after="0" w:line="247" w:lineRule="auto"/>
        <w:rPr>
          <w:sz w:val="20"/>
          <w:szCs w:val="20"/>
          <w:color w:val="auto"/>
        </w:rPr>
      </w:pPr>
      <w:r>
        <w:rPr>
          <w:rFonts w:ascii="Times New Roman" w:cs="Times New Roman" w:eastAsia="Times New Roman" w:hAnsi="Times New Roman"/>
          <w:sz w:val="14"/>
          <w:szCs w:val="14"/>
          <w:color w:val="auto"/>
        </w:rPr>
        <w:t>outstanding on the date of such computation and secured by a lien on a parity with or prior to the lien of the mortgage indenture upon property subject to the lien of the mortgage indenture, if such indebtedness has been issued, assumed or guaranteed by us or if we customarily pay the interest upon the principal thereof or collections from our customers are applied to, or pledged as security for the payment of such interest;</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8" w:name="page49"/>
    <w:bookmarkEnd w:id="48"/>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00" w:right="1359"/>
        <w:spacing w:after="0" w:line="248" w:lineRule="auto"/>
        <w:rPr>
          <w:sz w:val="20"/>
          <w:szCs w:val="20"/>
          <w:color w:val="auto"/>
        </w:rPr>
      </w:pP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if any such indebtedness bears interest at a variable rate, then the interest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requirement on such indebtedness shall be determined by reference to the rate in effect on the day immediately preceding the date of such computation in the case of outstanding indebtedness and by reference to the rate in effect at issuance in the case of indebtedness to be issued; and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that any amounts collected by others to be applied to debt service on our indebtedness, and not otherwise treated on our books as revenue, shall be added to our operating revenues when determining adjusted net earnings.</w:t>
      </w:r>
    </w:p>
    <w:p>
      <w:pPr>
        <w:spacing w:after="0" w:line="8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“Cost” with respect to property additions generally means the sum of:</w:t>
      </w:r>
    </w:p>
    <w:p>
      <w:pPr>
        <w:spacing w:after="0" w:line="92" w:lineRule="exact"/>
        <w:rPr>
          <w:sz w:val="20"/>
          <w:szCs w:val="20"/>
          <w:color w:val="auto"/>
        </w:rPr>
      </w:pPr>
    </w:p>
    <w:p>
      <w:pPr>
        <w:ind w:left="1720" w:hanging="134"/>
        <w:spacing w:after="0"/>
        <w:tabs>
          <w:tab w:leader="none" w:pos="17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cash paid in the acquisition of such property;</w:t>
      </w:r>
    </w:p>
    <w:p>
      <w:pPr>
        <w:spacing w:after="0" w:line="81" w:lineRule="exact"/>
        <w:rPr>
          <w:rFonts w:ascii="Times New Roman" w:cs="Times New Roman" w:eastAsia="Times New Roman" w:hAnsi="Times New Roman"/>
          <w:sz w:val="14"/>
          <w:szCs w:val="14"/>
          <w:color w:val="auto"/>
        </w:rPr>
      </w:pPr>
    </w:p>
    <w:p>
      <w:pPr>
        <w:ind w:left="1720" w:right="1459" w:hanging="134"/>
        <w:spacing w:after="0" w:line="283" w:lineRule="auto"/>
        <w:tabs>
          <w:tab w:leader="none" w:pos="17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amount equivalent to the fair market value in cash of any securities or other property paid in the acquisition of such property;</w:t>
      </w:r>
    </w:p>
    <w:p>
      <w:pPr>
        <w:spacing w:after="0" w:line="41" w:lineRule="exact"/>
        <w:rPr>
          <w:rFonts w:ascii="Times New Roman" w:cs="Times New Roman" w:eastAsia="Times New Roman" w:hAnsi="Times New Roman"/>
          <w:sz w:val="14"/>
          <w:szCs w:val="14"/>
          <w:color w:val="auto"/>
        </w:rPr>
      </w:pPr>
    </w:p>
    <w:p>
      <w:pPr>
        <w:ind w:left="1720" w:right="1319" w:hanging="134"/>
        <w:spacing w:after="0" w:line="283" w:lineRule="auto"/>
        <w:tabs>
          <w:tab w:leader="none" w:pos="17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of any obligations secured by prior lien (other than the lien of the first mortgage indenture) upon such property additions outstanding at the time of the acquisition thereof;</w:t>
      </w:r>
    </w:p>
    <w:p>
      <w:pPr>
        <w:spacing w:after="0" w:line="41" w:lineRule="exact"/>
        <w:rPr>
          <w:rFonts w:ascii="Times New Roman" w:cs="Times New Roman" w:eastAsia="Times New Roman" w:hAnsi="Times New Roman"/>
          <w:sz w:val="14"/>
          <w:szCs w:val="14"/>
          <w:color w:val="auto"/>
        </w:rPr>
      </w:pPr>
    </w:p>
    <w:p>
      <w:pPr>
        <w:ind w:left="1720" w:right="1519" w:hanging="134"/>
        <w:spacing w:after="0" w:line="283" w:lineRule="auto"/>
        <w:tabs>
          <w:tab w:leader="none" w:pos="17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of any other obligations incurred or assumed in connection with the payment for such property additions or for the acquisition thereof; and</w:t>
      </w:r>
    </w:p>
    <w:p>
      <w:pPr>
        <w:spacing w:after="0" w:line="41" w:lineRule="exact"/>
        <w:rPr>
          <w:rFonts w:ascii="Times New Roman" w:cs="Times New Roman" w:eastAsia="Times New Roman" w:hAnsi="Times New Roman"/>
          <w:sz w:val="14"/>
          <w:szCs w:val="14"/>
          <w:color w:val="auto"/>
        </w:rPr>
      </w:pPr>
    </w:p>
    <w:p>
      <w:pPr>
        <w:jc w:val="both"/>
        <w:ind w:left="1720" w:right="1379" w:hanging="134"/>
        <w:spacing w:after="0" w:line="261" w:lineRule="auto"/>
        <w:tabs>
          <w:tab w:leader="none" w:pos="17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amounts which, in accordance with generally accepted accounting principles, are properly charged or chargeable to our plant or other property accounts with respect to such property additions as part of the cost of construction or acquisition thereof, including, but not limited to any allowance for funds used during construction or any similar or analogous amount;</w:t>
      </w:r>
    </w:p>
    <w:p>
      <w:pPr>
        <w:spacing w:after="0" w:line="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w:t>
      </w:r>
    </w:p>
    <w:p>
      <w:pPr>
        <w:spacing w:after="0" w:line="94" w:lineRule="exact"/>
        <w:rPr>
          <w:sz w:val="20"/>
          <w:szCs w:val="20"/>
          <w:color w:val="auto"/>
        </w:rPr>
      </w:pPr>
    </w:p>
    <w:p>
      <w:pPr>
        <w:ind w:left="1720" w:right="1359" w:hanging="134"/>
        <w:spacing w:after="0" w:line="257" w:lineRule="auto"/>
        <w:tabs>
          <w:tab w:leader="none" w:pos="17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property additions owned by our successor immediately prior to the time it shall have become such successor or acquired by our successor in or as a result of an acquisition, consolidation or merger (excluding property additions owned by us), cost shall mean the amount or amounts at which such property additions are recorded in the plant or other property accounts of such successor, or the predecessor from which such property additions are acquired, as the case may be, immediately prior to such consolidation or merger;</w:t>
      </w:r>
    </w:p>
    <w:p>
      <w:pPr>
        <w:spacing w:after="0" w:line="59" w:lineRule="exact"/>
        <w:rPr>
          <w:rFonts w:ascii="Times New Roman" w:cs="Times New Roman" w:eastAsia="Times New Roman" w:hAnsi="Times New Roman"/>
          <w:sz w:val="14"/>
          <w:szCs w:val="14"/>
          <w:color w:val="auto"/>
        </w:rPr>
      </w:pPr>
    </w:p>
    <w:p>
      <w:pPr>
        <w:ind w:left="1720" w:right="1419" w:hanging="134"/>
        <w:spacing w:after="0" w:line="257" w:lineRule="auto"/>
        <w:tabs>
          <w:tab w:leader="none" w:pos="17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property additions which shall have been acquired (otherwise than by construction) by us without any consideration consisting of cash, securities or other property or the incurring or assumption of indebtedness or other obligation, no determination of cost shall be required and, wherever provision is made for cost or fair value, cost with respect to such property additions shall mean an amount equal to the fair value to us thereof or, if greater, the aggregate amount reflected in our books of account with respect thereto upon the acquisition thereof; and</w:t>
      </w:r>
    </w:p>
    <w:p>
      <w:pPr>
        <w:spacing w:after="0" w:line="49" w:lineRule="exact"/>
        <w:rPr>
          <w:rFonts w:ascii="Times New Roman" w:cs="Times New Roman" w:eastAsia="Times New Roman" w:hAnsi="Times New Roman"/>
          <w:sz w:val="14"/>
          <w:szCs w:val="14"/>
          <w:color w:val="auto"/>
        </w:rPr>
      </w:pPr>
    </w:p>
    <w:p>
      <w:pPr>
        <w:ind w:left="1720" w:right="1339" w:hanging="134"/>
        <w:spacing w:after="0" w:line="261" w:lineRule="auto"/>
        <w:tabs>
          <w:tab w:leader="none" w:pos="17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 event shall the cost of property additions be required to reflect any depreciation or amortization in respect of such property additions, or any adjustment to the amount or amounts at which such property additions are recorded in plant or other property accounts due to the non-recoverability of investment or otherwise.</w:t>
      </w:r>
    </w:p>
    <w:p>
      <w:pPr>
        <w:spacing w:after="0" w:line="89" w:lineRule="exact"/>
        <w:rPr>
          <w:sz w:val="20"/>
          <w:szCs w:val="20"/>
          <w:color w:val="auto"/>
        </w:rPr>
      </w:pPr>
    </w:p>
    <w:p>
      <w:pPr>
        <w:ind w:left="1300" w:right="1459" w:firstLine="281"/>
        <w:spacing w:after="0" w:line="247" w:lineRule="auto"/>
        <w:rPr>
          <w:sz w:val="20"/>
          <w:szCs w:val="20"/>
          <w:color w:val="auto"/>
        </w:rPr>
      </w:pPr>
      <w:r>
        <w:rPr>
          <w:rFonts w:ascii="Times New Roman" w:cs="Times New Roman" w:eastAsia="Times New Roman" w:hAnsi="Times New Roman"/>
          <w:sz w:val="14"/>
          <w:szCs w:val="14"/>
          <w:color w:val="auto"/>
        </w:rPr>
        <w:t>If any property additions include property which has been used or operated by third parties in a business similar to that in which it has been or is to be used or operated by us, the cost thereof need not be reduced by any amount in respect of any goodwill, going concern value rights and/or intangible property simultaneously acquired and in such case the term property additions as defined herein may include such goodwill, going concern value rights and intangible property.</w:t>
      </w:r>
    </w:p>
    <w:p>
      <w:pPr>
        <w:spacing w:after="0" w:line="87" w:lineRule="exact"/>
        <w:rPr>
          <w:sz w:val="20"/>
          <w:szCs w:val="20"/>
          <w:color w:val="auto"/>
        </w:rPr>
      </w:pPr>
    </w:p>
    <w:p>
      <w:pPr>
        <w:ind w:left="1300" w:right="1939" w:firstLine="281"/>
        <w:spacing w:after="0" w:line="283" w:lineRule="auto"/>
        <w:rPr>
          <w:sz w:val="20"/>
          <w:szCs w:val="20"/>
          <w:color w:val="auto"/>
        </w:rPr>
      </w:pPr>
      <w:r>
        <w:rPr>
          <w:rFonts w:ascii="Times New Roman" w:cs="Times New Roman" w:eastAsia="Times New Roman" w:hAnsi="Times New Roman"/>
          <w:sz w:val="14"/>
          <w:szCs w:val="14"/>
          <w:color w:val="auto"/>
        </w:rPr>
        <w:t>“Fair value,” with respect to property, generally means the fair value of such property as may reasonably be determined by reference to:</w:t>
      </w:r>
    </w:p>
    <w:p>
      <w:pPr>
        <w:spacing w:after="0" w:line="31" w:lineRule="exact"/>
        <w:rPr>
          <w:sz w:val="20"/>
          <w:szCs w:val="20"/>
          <w:color w:val="auto"/>
        </w:rPr>
      </w:pPr>
    </w:p>
    <w:p>
      <w:pPr>
        <w:ind w:left="1720" w:right="1419" w:hanging="134"/>
        <w:spacing w:after="0" w:line="267" w:lineRule="auto"/>
        <w:tabs>
          <w:tab w:leader="none" w:pos="17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which would be likely to be obtained in an arm’s-length transaction with respect to such property between an informed and willing buyer and an informed and willing seller, under no compulsion, respectively, to buy or sell;</w:t>
      </w:r>
    </w:p>
    <w:p>
      <w:pPr>
        <w:spacing w:after="0" w:line="51" w:lineRule="exact"/>
        <w:rPr>
          <w:rFonts w:ascii="Times New Roman" w:cs="Times New Roman" w:eastAsia="Times New Roman" w:hAnsi="Times New Roman"/>
          <w:sz w:val="14"/>
          <w:szCs w:val="14"/>
          <w:color w:val="auto"/>
        </w:rPr>
      </w:pPr>
    </w:p>
    <w:p>
      <w:pPr>
        <w:ind w:left="1720" w:right="1639" w:hanging="134"/>
        <w:spacing w:after="0" w:line="283" w:lineRule="auto"/>
        <w:tabs>
          <w:tab w:leader="none" w:pos="17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investment with respect to such property which, together with a reasonable return thereon, would be likely to be recovered through ordinary business operations or otherwise;</w:t>
      </w:r>
    </w:p>
    <w:p>
      <w:pPr>
        <w:spacing w:after="0" w:line="30"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accumulated depreciation and replacement cost with respect to such property; and/or</w:t>
      </w: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49" w:name="page50"/>
    <w:bookmarkEnd w:id="49"/>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 any other relevant factors;</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w:t>
      </w:r>
    </w:p>
    <w:p>
      <w:pPr>
        <w:spacing w:after="0" w:line="94" w:lineRule="exact"/>
        <w:rPr>
          <w:sz w:val="20"/>
          <w:szCs w:val="20"/>
          <w:color w:val="auto"/>
        </w:rPr>
      </w:pPr>
    </w:p>
    <w:p>
      <w:pPr>
        <w:ind w:left="1720" w:right="1679" w:hanging="134"/>
        <w:spacing w:after="0" w:line="283" w:lineRule="auto"/>
        <w:tabs>
          <w:tab w:leader="none" w:pos="17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property shall generally be determined without deduction for any liens on such property prior to the lien of the mortgage indenture; and</w:t>
      </w:r>
    </w:p>
    <w:p>
      <w:pPr>
        <w:spacing w:after="0" w:line="20" w:lineRule="exact"/>
        <w:rPr>
          <w:rFonts w:ascii="Times New Roman" w:cs="Times New Roman" w:eastAsia="Times New Roman" w:hAnsi="Times New Roman"/>
          <w:sz w:val="14"/>
          <w:szCs w:val="14"/>
          <w:color w:val="auto"/>
        </w:rPr>
      </w:pPr>
    </w:p>
    <w:p>
      <w:pPr>
        <w:ind w:left="1720" w:right="1759" w:hanging="134"/>
        <w:spacing w:after="0" w:line="267" w:lineRule="auto"/>
        <w:tabs>
          <w:tab w:leader="none" w:pos="17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property additions shall not reflect any reduction relating to the fact that such property additions may be of less value to a person which is not the owner or operator of the mortgaged property or any portion thereof than to the owner or operator.</w:t>
      </w:r>
    </w:p>
    <w:p>
      <w:pPr>
        <w:spacing w:after="0" w:line="84" w:lineRule="exact"/>
        <w:rPr>
          <w:sz w:val="20"/>
          <w:szCs w:val="20"/>
          <w:color w:val="auto"/>
        </w:rPr>
      </w:pPr>
    </w:p>
    <w:p>
      <w:pPr>
        <w:ind w:left="1300" w:right="1659" w:firstLine="281"/>
        <w:spacing w:after="0" w:line="259" w:lineRule="auto"/>
        <w:rPr>
          <w:sz w:val="20"/>
          <w:szCs w:val="20"/>
          <w:color w:val="auto"/>
        </w:rPr>
      </w:pPr>
      <w:r>
        <w:rPr>
          <w:rFonts w:ascii="Times New Roman" w:cs="Times New Roman" w:eastAsia="Times New Roman" w:hAnsi="Times New Roman"/>
          <w:sz w:val="14"/>
          <w:szCs w:val="14"/>
          <w:color w:val="auto"/>
        </w:rPr>
        <w:t>Fair value may be determined, in the discretion of the expert certifying the same, without physical inspection, by the use of accounting and/or engineering records and/or other data maintained by us or otherwise available to such expert.</w:t>
      </w:r>
    </w:p>
    <w:p>
      <w:pPr>
        <w:spacing w:after="0" w:line="79" w:lineRule="exact"/>
        <w:rPr>
          <w:sz w:val="20"/>
          <w:szCs w:val="20"/>
          <w:color w:val="auto"/>
        </w:rPr>
      </w:pPr>
    </w:p>
    <w:p>
      <w:pPr>
        <w:ind w:left="1300" w:right="1319" w:firstLine="281"/>
        <w:spacing w:after="0" w:line="251" w:lineRule="auto"/>
        <w:rPr>
          <w:sz w:val="20"/>
          <w:szCs w:val="20"/>
          <w:color w:val="auto"/>
        </w:rPr>
      </w:pPr>
      <w:r>
        <w:rPr>
          <w:rFonts w:ascii="Times New Roman" w:cs="Times New Roman" w:eastAsia="Times New Roman" w:hAnsi="Times New Roman"/>
          <w:sz w:val="14"/>
          <w:szCs w:val="14"/>
          <w:color w:val="auto"/>
        </w:rPr>
        <w:t>“Funded property” generally includes property additions which have been designated funded property in an expert’s certificate, made the basis of the authentication and delivery of mortgage bonds, made the basis for the release of mortgaged property, made the basis for the withdrawal of cash, substituted for retired funded property or used for other specified purposes under the mortgage indenture. (See Section 102)</w:t>
      </w:r>
    </w:p>
    <w:p>
      <w:pPr>
        <w:spacing w:after="0" w:line="84" w:lineRule="exact"/>
        <w:rPr>
          <w:sz w:val="20"/>
          <w:szCs w:val="20"/>
          <w:color w:val="auto"/>
        </w:rPr>
      </w:pPr>
    </w:p>
    <w:p>
      <w:pPr>
        <w:ind w:left="1300" w:right="1439" w:firstLine="281"/>
        <w:spacing w:after="0" w:line="251" w:lineRule="auto"/>
        <w:rPr>
          <w:sz w:val="20"/>
          <w:szCs w:val="20"/>
          <w:color w:val="auto"/>
        </w:rPr>
      </w:pPr>
      <w:r>
        <w:rPr>
          <w:rFonts w:ascii="Times New Roman" w:cs="Times New Roman" w:eastAsia="Times New Roman" w:hAnsi="Times New Roman"/>
          <w:sz w:val="14"/>
          <w:szCs w:val="14"/>
          <w:color w:val="auto"/>
        </w:rPr>
        <w:t>“Property additions” generally include any property which is owned by us and is subject to the lien of the mortgage indenture except (with certain exceptions) goodwill, going concern value rights or intangible property, or any property the cost of acquisition or construction of which is properly chargeable to one of our operating expense accounts. (See Section 103)</w:t>
      </w:r>
    </w:p>
    <w:p>
      <w:pPr>
        <w:spacing w:after="0" w:line="8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“Retired bonds” means, generally:</w:t>
      </w:r>
    </w:p>
    <w:p>
      <w:pPr>
        <w:spacing w:after="0" w:line="81" w:lineRule="exact"/>
        <w:rPr>
          <w:sz w:val="20"/>
          <w:szCs w:val="20"/>
          <w:color w:val="auto"/>
        </w:rPr>
      </w:pPr>
    </w:p>
    <w:p>
      <w:pPr>
        <w:ind w:left="1720" w:right="1339" w:hanging="134"/>
        <w:spacing w:after="0" w:line="267" w:lineRule="auto"/>
        <w:tabs>
          <w:tab w:leader="none" w:pos="17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 bonds which are no longer outstanding under the mortgage indenture, which have not been retired by the application of funded cash and which have not been used as the basis for the authentication and delivery of mortgage bonds, the release of property or the withdrawal of cash; and</w:t>
      </w:r>
    </w:p>
    <w:p>
      <w:pPr>
        <w:spacing w:after="0" w:line="41" w:lineRule="exact"/>
        <w:rPr>
          <w:rFonts w:ascii="Times New Roman" w:cs="Times New Roman" w:eastAsia="Times New Roman" w:hAnsi="Times New Roman"/>
          <w:sz w:val="14"/>
          <w:szCs w:val="14"/>
          <w:color w:val="auto"/>
        </w:rPr>
      </w:pPr>
    </w:p>
    <w:p>
      <w:pPr>
        <w:ind w:left="1720" w:right="1359" w:hanging="134"/>
        <w:spacing w:after="0" w:line="264" w:lineRule="auto"/>
        <w:tabs>
          <w:tab w:leader="none" w:pos="17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first mortgage bonds issued under the first mortgage indenture which could be used as a basis for the authentication and delivery of additional first mortgage bonds under the first mortgage indenture and have been retired after the initial issuance of mortgage bonds under the mortgage indenture;</w:t>
      </w:r>
    </w:p>
    <w:p>
      <w:pPr>
        <w:spacing w:after="0" w:line="256" w:lineRule="exact"/>
        <w:rPr>
          <w:sz w:val="20"/>
          <w:szCs w:val="20"/>
          <w:color w:val="auto"/>
        </w:rPr>
      </w:pPr>
    </w:p>
    <w:p>
      <w:pPr>
        <w:ind w:left="1300" w:right="1399"/>
        <w:spacing w:after="0" w:line="271" w:lineRule="auto"/>
        <w:rPr>
          <w:sz w:val="20"/>
          <w:szCs w:val="20"/>
          <w:color w:val="auto"/>
        </w:rPr>
      </w:pP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no first mortgage bond may be used as the basis for the authentication and delivery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both additional mortgage bonds and additional first mortgage bonds. (See Section 101)</w:t>
      </w:r>
    </w:p>
    <w:p>
      <w:pPr>
        <w:spacing w:after="0" w:line="12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Outstanding Mortgage Bonds</w:t>
      </w:r>
    </w:p>
    <w:p>
      <w:pPr>
        <w:spacing w:after="0" w:line="125" w:lineRule="exact"/>
        <w:rPr>
          <w:sz w:val="20"/>
          <w:szCs w:val="20"/>
          <w:color w:val="auto"/>
        </w:rPr>
      </w:pPr>
    </w:p>
    <w:p>
      <w:pPr>
        <w:ind w:left="1300" w:right="1379" w:firstLine="281"/>
        <w:spacing w:after="0" w:line="268" w:lineRule="auto"/>
        <w:rPr>
          <w:sz w:val="20"/>
          <w:szCs w:val="20"/>
          <w:color w:val="auto"/>
        </w:rPr>
      </w:pPr>
      <w:r>
        <w:rPr>
          <w:rFonts w:ascii="Times New Roman" w:cs="Times New Roman" w:eastAsia="Times New Roman" w:hAnsi="Times New Roman"/>
          <w:sz w:val="14"/>
          <w:szCs w:val="14"/>
          <w:color w:val="auto"/>
        </w:rPr>
        <w:t>As of March 31, 2026, we have outstanding approximately $10.1 billion aggregate principal amount of mortgage bonds, including:</w:t>
      </w:r>
    </w:p>
    <w:p>
      <w:pPr>
        <w:spacing w:after="0" w:line="40" w:lineRule="exact"/>
        <w:rPr>
          <w:sz w:val="20"/>
          <w:szCs w:val="20"/>
          <w:color w:val="auto"/>
        </w:rPr>
      </w:pPr>
    </w:p>
    <w:p>
      <w:pPr>
        <w:ind w:left="1720" w:right="1439" w:hanging="134"/>
        <w:spacing w:after="0" w:line="259" w:lineRule="auto"/>
        <w:tabs>
          <w:tab w:leader="none" w:pos="17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$68 million aggregate principal amount of mortgage bonds issued to trustees under the indentures pursuant to which certain pollution control bonds were issued by various governmental authorities. These mortgage bonds secure the obligation of CenterPoint Energy under various installment payment and bond amortization agreements to pay installments of principal and interest that support the related pollution control bonds; and</w:t>
      </w:r>
    </w:p>
    <w:p>
      <w:pPr>
        <w:spacing w:after="0" w:line="46" w:lineRule="exact"/>
        <w:rPr>
          <w:rFonts w:ascii="Times New Roman" w:cs="Times New Roman" w:eastAsia="Times New Roman" w:hAnsi="Times New Roman"/>
          <w:sz w:val="14"/>
          <w:szCs w:val="14"/>
          <w:color w:val="auto"/>
        </w:rPr>
      </w:pPr>
    </w:p>
    <w:p>
      <w:pPr>
        <w:ind w:left="1720" w:right="1619" w:hanging="134"/>
        <w:spacing w:after="0" w:line="283" w:lineRule="auto"/>
        <w:tabs>
          <w:tab w:leader="none" w:pos="17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$10.1 billion aggregate principal amount of mortgage bonds issued directly to the public.</w:t>
      </w:r>
    </w:p>
    <w:p>
      <w:pPr>
        <w:spacing w:after="0" w:line="1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Release of Property</w:t>
      </w:r>
    </w:p>
    <w:p>
      <w:pPr>
        <w:spacing w:after="0" w:line="125" w:lineRule="exact"/>
        <w:rPr>
          <w:sz w:val="20"/>
          <w:szCs w:val="20"/>
          <w:color w:val="auto"/>
        </w:rPr>
      </w:pPr>
    </w:p>
    <w:p>
      <w:pPr>
        <w:ind w:left="1300" w:right="1319" w:firstLine="281"/>
        <w:spacing w:after="0" w:line="247" w:lineRule="auto"/>
        <w:rPr>
          <w:sz w:val="20"/>
          <w:szCs w:val="20"/>
          <w:color w:val="auto"/>
        </w:rPr>
      </w:pPr>
      <w:r>
        <w:rPr>
          <w:rFonts w:ascii="Times New Roman" w:cs="Times New Roman" w:eastAsia="Times New Roman" w:hAnsi="Times New Roman"/>
          <w:sz w:val="14"/>
          <w:szCs w:val="14"/>
          <w:color w:val="auto"/>
        </w:rPr>
        <w:t>Unless an event of default (as defined below) has occurred and is continuing, we may obtain the release from the lien of the mortgage indenture of any funded property upon delivery to the trustee of certain certificates and an amount in cash equal to the amount, if any, by which 70% of the cost of the property to be released (or, if less at that time, the fair value of such property at the time it became funded property) exceeds the aggregate of:</w:t>
      </w:r>
    </w:p>
    <w:p>
      <w:pPr>
        <w:spacing w:after="0" w:line="221" w:lineRule="exact"/>
        <w:rPr>
          <w:sz w:val="20"/>
          <w:szCs w:val="20"/>
          <w:color w:val="auto"/>
        </w:rPr>
      </w:pPr>
    </w:p>
    <w:p>
      <w:pPr>
        <w:ind w:left="1720" w:right="1339" w:hanging="134"/>
        <w:spacing w:after="0" w:line="283" w:lineRule="auto"/>
        <w:tabs>
          <w:tab w:leader="none" w:pos="17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amount equal to 70% of the aggregate principal amount of obligations secured by purchase money liens delivered to the trustee, subject to certain limitations described below;</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0" w:name="page51"/>
    <w:bookmarkEnd w:id="50"/>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20" w:right="1519" w:hanging="134"/>
        <w:spacing w:after="0" w:line="261" w:lineRule="auto"/>
        <w:tabs>
          <w:tab w:leader="none" w:pos="17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amount equal to 70% of the cost or fair value (whichever is less) of certified property additions not constituting funded property after certain deductions and additions, primarily including adjustments to offset property retirements (except that such adjustments need not be made if such property additions were acquired or made within the 90-day period preceding the release);</w:t>
      </w:r>
    </w:p>
    <w:p>
      <w:pPr>
        <w:spacing w:after="0" w:line="57" w:lineRule="exact"/>
        <w:rPr>
          <w:rFonts w:ascii="Times New Roman" w:cs="Times New Roman" w:eastAsia="Times New Roman" w:hAnsi="Times New Roman"/>
          <w:sz w:val="14"/>
          <w:szCs w:val="14"/>
          <w:color w:val="auto"/>
        </w:rPr>
      </w:pPr>
    </w:p>
    <w:p>
      <w:pPr>
        <w:ind w:left="1720" w:right="1559" w:hanging="134"/>
        <w:spacing w:after="0" w:line="283" w:lineRule="auto"/>
        <w:tabs>
          <w:tab w:leader="none" w:pos="17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principal amount of additional mortgage bonds we would be entitled to issue on the basis of retired bonds (with such entitlement being waived by operation of such release);</w:t>
      </w:r>
    </w:p>
    <w:p>
      <w:pPr>
        <w:spacing w:after="0" w:line="41" w:lineRule="exact"/>
        <w:rPr>
          <w:rFonts w:ascii="Times New Roman" w:cs="Times New Roman" w:eastAsia="Times New Roman" w:hAnsi="Times New Roman"/>
          <w:sz w:val="14"/>
          <w:szCs w:val="14"/>
          <w:color w:val="auto"/>
        </w:rPr>
      </w:pPr>
    </w:p>
    <w:p>
      <w:pPr>
        <w:ind w:left="1720" w:right="1399" w:hanging="134"/>
        <w:spacing w:after="0" w:line="267" w:lineRule="auto"/>
        <w:tabs>
          <w:tab w:leader="none" w:pos="17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amount of cash and/or an amount equal to 70% of the aggregate principal amount of obligations secured by purchase money liens upon the property released delivered to the trustee or other holder of a lien prior to the lien of the mortgage indenture, subject to certain limitations described below;</w:t>
      </w:r>
    </w:p>
    <w:p>
      <w:pPr>
        <w:spacing w:after="0" w:line="51" w:lineRule="exact"/>
        <w:rPr>
          <w:rFonts w:ascii="Times New Roman" w:cs="Times New Roman" w:eastAsia="Times New Roman" w:hAnsi="Times New Roman"/>
          <w:sz w:val="14"/>
          <w:szCs w:val="14"/>
          <w:color w:val="auto"/>
        </w:rPr>
      </w:pPr>
    </w:p>
    <w:p>
      <w:pPr>
        <w:ind w:left="1720" w:right="1399" w:hanging="134"/>
        <w:spacing w:after="0" w:line="283" w:lineRule="auto"/>
        <w:tabs>
          <w:tab w:leader="none" w:pos="17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after the first mortgage collateralization date, the aggregate principal amount of first mortgage bonds delivered to the trustee to be held as first mortgage collateral bonds;</w:t>
      </w:r>
    </w:p>
    <w:p>
      <w:pPr>
        <w:spacing w:after="0" w:line="41" w:lineRule="exact"/>
        <w:rPr>
          <w:rFonts w:ascii="Times New Roman" w:cs="Times New Roman" w:eastAsia="Times New Roman" w:hAnsi="Times New Roman"/>
          <w:sz w:val="14"/>
          <w:szCs w:val="14"/>
          <w:color w:val="auto"/>
        </w:rPr>
      </w:pPr>
    </w:p>
    <w:p>
      <w:pPr>
        <w:ind w:left="1720" w:right="1579" w:hanging="134"/>
        <w:spacing w:after="0" w:line="283" w:lineRule="auto"/>
        <w:tabs>
          <w:tab w:leader="none" w:pos="17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principal amount of outstanding mortgage bonds delivered to the trustee (with such mortgage bonds to be canceled by the trustee); and</w:t>
      </w:r>
    </w:p>
    <w:p>
      <w:pPr>
        <w:spacing w:after="0" w:line="41" w:lineRule="exact"/>
        <w:rPr>
          <w:rFonts w:ascii="Times New Roman" w:cs="Times New Roman" w:eastAsia="Times New Roman" w:hAnsi="Times New Roman"/>
          <w:sz w:val="14"/>
          <w:szCs w:val="14"/>
          <w:color w:val="auto"/>
        </w:rPr>
      </w:pPr>
    </w:p>
    <w:p>
      <w:pPr>
        <w:ind w:left="1720" w:right="1759" w:hanging="134"/>
        <w:spacing w:after="0" w:line="283" w:lineRule="auto"/>
        <w:tabs>
          <w:tab w:leader="none" w:pos="17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taxes and expenses incidental to any sale, exchange, dedication or other disposition of the property to be released. (Section 803)</w:t>
      </w:r>
    </w:p>
    <w:p>
      <w:pPr>
        <w:spacing w:after="0" w:line="73" w:lineRule="exact"/>
        <w:rPr>
          <w:sz w:val="20"/>
          <w:szCs w:val="20"/>
          <w:color w:val="auto"/>
        </w:rPr>
      </w:pPr>
    </w:p>
    <w:p>
      <w:pPr>
        <w:ind w:left="1300" w:right="1339" w:firstLine="281"/>
        <w:spacing w:after="0" w:line="253" w:lineRule="auto"/>
        <w:rPr>
          <w:sz w:val="20"/>
          <w:szCs w:val="20"/>
          <w:color w:val="auto"/>
        </w:rPr>
      </w:pPr>
      <w:r>
        <w:rPr>
          <w:rFonts w:ascii="Times New Roman" w:cs="Times New Roman" w:eastAsia="Times New Roman" w:hAnsi="Times New Roman"/>
          <w:sz w:val="14"/>
          <w:szCs w:val="14"/>
          <w:color w:val="auto"/>
        </w:rPr>
        <w:t>As used in the mortgage indenture, the term “purchase money lien” means, generally, a lien on the property being acquired, disposed of by us or being released from the lien of the mortgage indenture, which is taken or retained by the transferor of such property to secure all or part of the purchase price thereof or granted to one or more other persons (other than the transferor) who by making advances or incurring an obligation, give value to enable the grantor of the lien to acquire rights in such property, or granted to another person in connection with the release of property from the lien of the mortgage indenture on the basis of a deposit with the trustee or other holder of a lien prior to the lien of the mortgage indenture of obligations secured by such lien on such property, or held by a trustee or agent for the benefit of any such persons, and may include liens which cover property in addition to the property being released and/or which secure indebtedness in addition to indebtedness to the transferor of such property or which otherwise constitutes a purchase money lien under applicable law. (Section 101) Generally, the principal amount of obligations secured by purchase money liens used as the basis for the release of property may not exceed 75% of the fair value of such property unless no additional obligations are outstanding, or are permitted to be issued, under such purchase money lien. (Section 803)</w:t>
      </w:r>
    </w:p>
    <w:p>
      <w:pPr>
        <w:spacing w:after="0" w:line="267" w:lineRule="exact"/>
        <w:rPr>
          <w:sz w:val="20"/>
          <w:szCs w:val="20"/>
          <w:color w:val="auto"/>
        </w:rPr>
      </w:pPr>
    </w:p>
    <w:p>
      <w:pPr>
        <w:ind w:left="1300" w:right="1399" w:firstLine="281"/>
        <w:spacing w:after="0" w:line="283" w:lineRule="auto"/>
        <w:rPr>
          <w:sz w:val="20"/>
          <w:szCs w:val="20"/>
          <w:color w:val="auto"/>
        </w:rPr>
      </w:pPr>
      <w:r>
        <w:rPr>
          <w:rFonts w:ascii="Times New Roman" w:cs="Times New Roman" w:eastAsia="Times New Roman" w:hAnsi="Times New Roman"/>
          <w:sz w:val="14"/>
          <w:szCs w:val="14"/>
          <w:color w:val="auto"/>
        </w:rPr>
        <w:t>Property that is not funded property may generally be released from the lien of the mortgage indenture without depositing any cash or property with the trustee as long as:</w:t>
      </w:r>
    </w:p>
    <w:p>
      <w:pPr>
        <w:spacing w:after="0" w:line="41" w:lineRule="exact"/>
        <w:rPr>
          <w:sz w:val="20"/>
          <w:szCs w:val="20"/>
          <w:color w:val="auto"/>
        </w:rPr>
      </w:pPr>
    </w:p>
    <w:p>
      <w:pPr>
        <w:ind w:left="1720" w:right="1439" w:hanging="134"/>
        <w:spacing w:after="0" w:line="267" w:lineRule="auto"/>
        <w:tabs>
          <w:tab w:leader="none" w:pos="17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amount of cost or fair value (whichever is less) of all property additions which do not constitute funded property (excluding the property to be released) after certain deductions and additions, primarily including adjustments to offset property retirements, is not less than zero; or</w:t>
      </w:r>
    </w:p>
    <w:p>
      <w:pPr>
        <w:spacing w:after="0" w:line="51" w:lineRule="exact"/>
        <w:rPr>
          <w:rFonts w:ascii="Times New Roman" w:cs="Times New Roman" w:eastAsia="Times New Roman" w:hAnsi="Times New Roman"/>
          <w:sz w:val="14"/>
          <w:szCs w:val="14"/>
          <w:color w:val="auto"/>
        </w:rPr>
      </w:pPr>
    </w:p>
    <w:p>
      <w:pPr>
        <w:ind w:left="1720" w:right="1599" w:hanging="134"/>
        <w:spacing w:after="0" w:line="267" w:lineRule="auto"/>
        <w:tabs>
          <w:tab w:leader="none" w:pos="17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or fair value (whichever is less) of property to be released does not exceed the aggregate amount of the cost or fair value (whichever is less) of property additions acquired, made or constructed within the 90-day period preceding the request of such release. (Section 804)</w:t>
      </w:r>
    </w:p>
    <w:p>
      <w:pPr>
        <w:spacing w:after="0" w:line="73" w:lineRule="exact"/>
        <w:rPr>
          <w:sz w:val="20"/>
          <w:szCs w:val="20"/>
          <w:color w:val="auto"/>
        </w:rPr>
      </w:pPr>
    </w:p>
    <w:p>
      <w:pPr>
        <w:jc w:val="both"/>
        <w:ind w:left="1300" w:right="1339" w:firstLine="281"/>
        <w:spacing w:after="0" w:line="267" w:lineRule="auto"/>
        <w:rPr>
          <w:sz w:val="20"/>
          <w:szCs w:val="20"/>
          <w:color w:val="auto"/>
        </w:rPr>
      </w:pPr>
      <w:r>
        <w:rPr>
          <w:rFonts w:ascii="Times New Roman" w:cs="Times New Roman" w:eastAsia="Times New Roman" w:hAnsi="Times New Roman"/>
          <w:sz w:val="14"/>
          <w:szCs w:val="14"/>
          <w:color w:val="auto"/>
        </w:rPr>
        <w:t>The mortgage indenture provides simplified procedures for the release of minor properties and property taken by eminent domain, and provides for dispositions of certain obsolete property and grants or surrender of certain rights without any release or consent by the trustee. (Sections 802, 805, 807 and 808)</w:t>
      </w:r>
    </w:p>
    <w:p>
      <w:pPr>
        <w:spacing w:after="0" w:line="84" w:lineRule="exact"/>
        <w:rPr>
          <w:sz w:val="20"/>
          <w:szCs w:val="20"/>
          <w:color w:val="auto"/>
        </w:rPr>
      </w:pPr>
    </w:p>
    <w:p>
      <w:pPr>
        <w:ind w:left="1300" w:right="1379" w:firstLine="281"/>
        <w:spacing w:after="0" w:line="259" w:lineRule="auto"/>
        <w:rPr>
          <w:sz w:val="20"/>
          <w:szCs w:val="20"/>
          <w:color w:val="auto"/>
        </w:rPr>
      </w:pPr>
      <w:r>
        <w:rPr>
          <w:rFonts w:ascii="Times New Roman" w:cs="Times New Roman" w:eastAsia="Times New Roman" w:hAnsi="Times New Roman"/>
          <w:sz w:val="14"/>
          <w:szCs w:val="14"/>
          <w:color w:val="auto"/>
        </w:rPr>
        <w:t>If we retain any interest in any property released from the lien of the mortgage indenture, the mortgage indenture will not become a lien on such property or such interest therein or any improvements, extensions or additions to such property or renewals, replacements or substitutions of or for such property or any part or parts thereof unless we execute a supplemental indenture containing a grant, conveyance, transfer and mortgage thereof. (Section 809)</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1" w:name="page52"/>
    <w:bookmarkEnd w:id="51"/>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Withdrawal of Cash</w:t>
      </w:r>
    </w:p>
    <w:p>
      <w:pPr>
        <w:spacing w:after="0" w:line="125" w:lineRule="exact"/>
        <w:rPr>
          <w:sz w:val="20"/>
          <w:szCs w:val="20"/>
          <w:color w:val="auto"/>
        </w:rPr>
      </w:pPr>
    </w:p>
    <w:p>
      <w:pPr>
        <w:ind w:left="1300" w:right="1479" w:firstLine="281"/>
        <w:spacing w:after="0" w:line="283" w:lineRule="auto"/>
        <w:rPr>
          <w:sz w:val="20"/>
          <w:szCs w:val="20"/>
          <w:color w:val="auto"/>
        </w:rPr>
      </w:pPr>
      <w:r>
        <w:rPr>
          <w:rFonts w:ascii="Times New Roman" w:cs="Times New Roman" w:eastAsia="Times New Roman" w:hAnsi="Times New Roman"/>
          <w:sz w:val="14"/>
          <w:szCs w:val="14"/>
          <w:color w:val="auto"/>
        </w:rPr>
        <w:t>Unless an event of default has occurred and is continuing and subject to certain limitations, cash held by the trustee may, generally:</w:t>
      </w:r>
    </w:p>
    <w:p>
      <w:pPr>
        <w:spacing w:after="0" w:line="41" w:lineRule="exact"/>
        <w:rPr>
          <w:sz w:val="20"/>
          <w:szCs w:val="20"/>
          <w:color w:val="auto"/>
        </w:rPr>
      </w:pPr>
    </w:p>
    <w:p>
      <w:pPr>
        <w:ind w:left="1720" w:hanging="134"/>
        <w:spacing w:after="0"/>
        <w:tabs>
          <w:tab w:leader="none" w:pos="17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withdrawn by us:</w:t>
      </w:r>
    </w:p>
    <w:p>
      <w:pPr>
        <w:spacing w:after="0" w:line="91" w:lineRule="exact"/>
        <w:rPr>
          <w:rFonts w:ascii="Times New Roman" w:cs="Times New Roman" w:eastAsia="Times New Roman" w:hAnsi="Times New Roman"/>
          <w:sz w:val="14"/>
          <w:szCs w:val="14"/>
          <w:color w:val="auto"/>
        </w:rPr>
      </w:pPr>
    </w:p>
    <w:p>
      <w:pPr>
        <w:ind w:left="2000" w:right="1419" w:hanging="133"/>
        <w:spacing w:after="0" w:line="259" w:lineRule="auto"/>
        <w:tabs>
          <w:tab w:leader="none" w:pos="2000"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of an amount equal to 70% of the cost or fair value to us (whichever is less) of property additions not constituting funded property, after certain deductions and additions, primarily including adjustments to offset retirements (except that such adjustments need not be made if such property additions were acquired or made within the 90-day period preceding the withdrawal);</w:t>
      </w:r>
    </w:p>
    <w:p>
      <w:pPr>
        <w:spacing w:after="0" w:line="57" w:lineRule="exact"/>
        <w:rPr>
          <w:rFonts w:ascii="Times New Roman" w:cs="Times New Roman" w:eastAsia="Times New Roman" w:hAnsi="Times New Roman"/>
          <w:sz w:val="14"/>
          <w:szCs w:val="14"/>
          <w:color w:val="auto"/>
        </w:rPr>
      </w:pPr>
    </w:p>
    <w:p>
      <w:pPr>
        <w:ind w:left="2000" w:right="1539" w:hanging="133"/>
        <w:spacing w:after="0" w:line="267" w:lineRule="auto"/>
        <w:tabs>
          <w:tab w:leader="none" w:pos="2000"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 amount equal to the aggregate principal amount of additional mortgage bonds that we would be entitled to issue on the basis of retired bonds (with the entitlement to such issuance being waived by operation of such withdrawal);</w:t>
      </w:r>
    </w:p>
    <w:p>
      <w:pPr>
        <w:spacing w:after="0" w:line="51" w:lineRule="exact"/>
        <w:rPr>
          <w:rFonts w:ascii="Times New Roman" w:cs="Times New Roman" w:eastAsia="Times New Roman" w:hAnsi="Times New Roman"/>
          <w:sz w:val="14"/>
          <w:szCs w:val="14"/>
          <w:color w:val="auto"/>
        </w:rPr>
      </w:pPr>
    </w:p>
    <w:p>
      <w:pPr>
        <w:ind w:left="2000" w:right="1559" w:hanging="133"/>
        <w:spacing w:after="0" w:line="267" w:lineRule="auto"/>
        <w:tabs>
          <w:tab w:leader="none" w:pos="2000"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or after the first mortgage collateralization date, in an amount equal to the aggregate principal amount of first mortgage bonds delivered to the trustee to be held as first mortgage collateral bonds;</w:t>
      </w:r>
    </w:p>
    <w:p>
      <w:pPr>
        <w:spacing w:after="0" w:line="51" w:lineRule="exact"/>
        <w:rPr>
          <w:rFonts w:ascii="Times New Roman" w:cs="Times New Roman" w:eastAsia="Times New Roman" w:hAnsi="Times New Roman"/>
          <w:sz w:val="14"/>
          <w:szCs w:val="14"/>
          <w:color w:val="auto"/>
        </w:rPr>
      </w:pPr>
    </w:p>
    <w:p>
      <w:pPr>
        <w:ind w:left="2000" w:right="1439" w:hanging="133"/>
        <w:spacing w:after="0" w:line="283" w:lineRule="auto"/>
        <w:tabs>
          <w:tab w:leader="none" w:pos="2000" w:val="left"/>
        </w:tabs>
        <w:numPr>
          <w:ilvl w:val="1"/>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 amount equal to the aggregate principal amount of outstanding mortgage bonds delivered to the trustee; or</w:t>
      </w:r>
    </w:p>
    <w:p>
      <w:pPr>
        <w:spacing w:after="0" w:line="41" w:lineRule="exact"/>
        <w:rPr>
          <w:rFonts w:ascii="Times New Roman" w:cs="Times New Roman" w:eastAsia="Times New Roman" w:hAnsi="Times New Roman"/>
          <w:sz w:val="14"/>
          <w:szCs w:val="14"/>
          <w:color w:val="auto"/>
        </w:rPr>
      </w:pPr>
    </w:p>
    <w:p>
      <w:pPr>
        <w:ind w:left="1720" w:right="1479" w:hanging="134"/>
        <w:spacing w:after="0" w:line="267" w:lineRule="auto"/>
        <w:tabs>
          <w:tab w:leader="none" w:pos="17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our request, be applied to the purchase of mortgage bonds or the payment (or provision therefor) at stated maturity of any mortgage bonds or the redemption (or provision therefor) of any mortgage bonds which are redeemable. (Section 806)</w:t>
      </w:r>
    </w:p>
    <w:p>
      <w:pPr>
        <w:spacing w:after="0" w:line="13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Consolidation, Merger, Etc.</w:t>
      </w:r>
    </w:p>
    <w:p>
      <w:pPr>
        <w:spacing w:after="0" w:line="125" w:lineRule="exact"/>
        <w:rPr>
          <w:sz w:val="20"/>
          <w:szCs w:val="20"/>
          <w:color w:val="auto"/>
        </w:rPr>
      </w:pPr>
    </w:p>
    <w:p>
      <w:pPr>
        <w:ind w:left="1300" w:right="1439" w:firstLine="281"/>
        <w:spacing w:after="0" w:line="276" w:lineRule="auto"/>
        <w:rPr>
          <w:sz w:val="20"/>
          <w:szCs w:val="20"/>
          <w:color w:val="auto"/>
        </w:rPr>
      </w:pPr>
      <w:r>
        <w:rPr>
          <w:rFonts w:ascii="Times New Roman" w:cs="Times New Roman" w:eastAsia="Times New Roman" w:hAnsi="Times New Roman"/>
          <w:sz w:val="14"/>
          <w:szCs w:val="14"/>
          <w:color w:val="auto"/>
        </w:rPr>
        <w:t>We may not consolidate with or merge into any other entity or convey, transfer or lease, subject to the lien of this mortgage indenture, the mortgaged property as or substantially as an entirety to any entity unless:</w:t>
      </w:r>
    </w:p>
    <w:p>
      <w:pPr>
        <w:spacing w:after="0" w:line="219" w:lineRule="exact"/>
        <w:rPr>
          <w:sz w:val="20"/>
          <w:szCs w:val="20"/>
          <w:color w:val="auto"/>
        </w:rPr>
      </w:pPr>
    </w:p>
    <w:p>
      <w:pPr>
        <w:ind w:left="1720" w:right="1359" w:hanging="134"/>
        <w:spacing w:after="0" w:line="261" w:lineRule="auto"/>
        <w:tabs>
          <w:tab w:leader="none" w:pos="17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entity formed by such consolidation or into which we are merged or the entity which acquires by conveyance or transfer, or which leases, the mortgaged property as or substantially as an entirety is an entity organized and existing under the laws of the United States, or any State or Territory thereof or the District of Columbia; and</w:t>
      </w:r>
    </w:p>
    <w:p>
      <w:pPr>
        <w:spacing w:after="0" w:line="57"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entity executes and delivers to the trustee a supplemental indenture that:</w:t>
      </w:r>
    </w:p>
    <w:p>
      <w:pPr>
        <w:spacing w:after="0" w:line="91" w:lineRule="exact"/>
        <w:rPr>
          <w:rFonts w:ascii="Times New Roman" w:cs="Times New Roman" w:eastAsia="Times New Roman" w:hAnsi="Times New Roman"/>
          <w:sz w:val="14"/>
          <w:szCs w:val="14"/>
          <w:color w:val="auto"/>
        </w:rPr>
      </w:pPr>
    </w:p>
    <w:p>
      <w:pPr>
        <w:ind w:left="2000" w:right="1339" w:hanging="133"/>
        <w:spacing w:after="0" w:line="259" w:lineRule="auto"/>
        <w:tabs>
          <w:tab w:leader="none" w:pos="200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consolidation, merger, conveyance or other transfer, or in the case of a lease if the term thereof extends beyond the last stated maturity of the mortgage bonds then outstanding, contains an express assumption by such entity of the due and punctual payment of the principal of and premium, if any, and interest, if any, on the mortgage bonds and the performance of all of our covenants and conditions under the mortgage indenture; and</w:t>
      </w:r>
    </w:p>
    <w:p>
      <w:pPr>
        <w:spacing w:after="0" w:line="57" w:lineRule="exact"/>
        <w:rPr>
          <w:rFonts w:ascii="Times New Roman" w:cs="Times New Roman" w:eastAsia="Times New Roman" w:hAnsi="Times New Roman"/>
          <w:sz w:val="14"/>
          <w:szCs w:val="14"/>
          <w:color w:val="auto"/>
        </w:rPr>
      </w:pPr>
    </w:p>
    <w:p>
      <w:pPr>
        <w:ind w:left="2000" w:right="2019" w:hanging="133"/>
        <w:spacing w:after="0" w:line="283" w:lineRule="auto"/>
        <w:tabs>
          <w:tab w:leader="none" w:pos="200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consolidation, merger, conveyance or other transfer, contains a grant, conveyance, transfer and mortgage by such entity:</w:t>
      </w:r>
    </w:p>
    <w:p>
      <w:pPr>
        <w:spacing w:after="0" w:line="41" w:lineRule="exact"/>
        <w:rPr>
          <w:rFonts w:ascii="Times New Roman" w:cs="Times New Roman" w:eastAsia="Times New Roman" w:hAnsi="Times New Roman"/>
          <w:sz w:val="14"/>
          <w:szCs w:val="14"/>
          <w:color w:val="auto"/>
        </w:rPr>
      </w:pPr>
    </w:p>
    <w:p>
      <w:pPr>
        <w:ind w:left="2280" w:hanging="133"/>
        <w:spacing w:after="0"/>
        <w:tabs>
          <w:tab w:leader="none" w:pos="2280" w:val="left"/>
        </w:tabs>
        <w:numPr>
          <w:ilvl w:val="2"/>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confirming the lien of the mortgage indenture on the mortgaged property; and</w:t>
      </w:r>
    </w:p>
    <w:p>
      <w:pPr>
        <w:spacing w:after="0" w:line="91" w:lineRule="exact"/>
        <w:rPr>
          <w:rFonts w:ascii="Times New Roman" w:cs="Times New Roman" w:eastAsia="Times New Roman" w:hAnsi="Times New Roman"/>
          <w:sz w:val="14"/>
          <w:szCs w:val="14"/>
          <w:color w:val="auto"/>
        </w:rPr>
      </w:pPr>
    </w:p>
    <w:p>
      <w:pPr>
        <w:ind w:left="2280" w:right="1359" w:hanging="133"/>
        <w:spacing w:after="0" w:line="259" w:lineRule="auto"/>
        <w:tabs>
          <w:tab w:leader="none" w:pos="2280" w:val="left"/>
        </w:tabs>
        <w:numPr>
          <w:ilvl w:val="2"/>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subjecting to such lien all property thereafter acquired by such entity that shall constitute an improvement, extension or addition to the mortgaged property or renewal, replacement or substitution of or for any part thereof and, at the election of such entity, subjecting to the lien of the mortgage indenture such other property then owned or thereafter acquired by such entity as such entity shall specify; and</w:t>
      </w:r>
    </w:p>
    <w:p>
      <w:pPr>
        <w:spacing w:after="0" w:line="57" w:lineRule="exact"/>
        <w:rPr>
          <w:rFonts w:ascii="Times New Roman" w:cs="Times New Roman" w:eastAsia="Times New Roman" w:hAnsi="Times New Roman"/>
          <w:sz w:val="14"/>
          <w:szCs w:val="14"/>
          <w:color w:val="auto"/>
        </w:rPr>
      </w:pPr>
    </w:p>
    <w:p>
      <w:pPr>
        <w:ind w:left="1720" w:right="1499" w:hanging="134"/>
        <w:spacing w:after="0" w:line="283" w:lineRule="auto"/>
        <w:tabs>
          <w:tab w:leader="none" w:pos="17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lease, such lease is made expressly subject to termination by us or by the trustee at any time during the continuance of an event of default; and</w:t>
      </w:r>
    </w:p>
    <w:p>
      <w:pPr>
        <w:spacing w:after="0" w:line="41" w:lineRule="exact"/>
        <w:rPr>
          <w:rFonts w:ascii="Times New Roman" w:cs="Times New Roman" w:eastAsia="Times New Roman" w:hAnsi="Times New Roman"/>
          <w:sz w:val="14"/>
          <w:szCs w:val="14"/>
          <w:color w:val="auto"/>
        </w:rPr>
      </w:pPr>
    </w:p>
    <w:p>
      <w:pPr>
        <w:ind w:left="1720" w:right="1619" w:hanging="134"/>
        <w:spacing w:after="0" w:line="267" w:lineRule="auto"/>
        <w:tabs>
          <w:tab w:leader="none" w:pos="17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such transaction, no event of default and no event which, with notice or lapse of time or both, would become an event of default shall have occurred and be continuing. (Section 1301)</w:t>
      </w: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2" w:name="page53"/>
    <w:bookmarkEnd w:id="52"/>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19" w:firstLine="281"/>
        <w:spacing w:after="0" w:line="246" w:lineRule="auto"/>
        <w:rPr>
          <w:sz w:val="20"/>
          <w:szCs w:val="20"/>
          <w:color w:val="auto"/>
        </w:rPr>
      </w:pPr>
      <w:r>
        <w:rPr>
          <w:rFonts w:ascii="Times New Roman" w:cs="Times New Roman" w:eastAsia="Times New Roman" w:hAnsi="Times New Roman"/>
          <w:sz w:val="14"/>
          <w:szCs w:val="14"/>
          <w:color w:val="auto"/>
        </w:rPr>
        <w:t>In the case of the conveyance or other transfer of the mortgaged property as or substantially as an entirety to any other entity, upon the satisfaction of all the conditions described above, we would be released and discharged from all obligations under the mortgage indenture and on the mortgage bonds then outstanding unless we elect to waive such release and discharge. (Section 1304) For purposes of this section, “entity” means an individual, corporation, limited liability company, company, association, joint stock company, partnership, limited liability partnership, joint venture, trust, unincorporated organization or governmental authority.</w:t>
      </w:r>
    </w:p>
    <w:p>
      <w:pPr>
        <w:spacing w:after="0" w:line="31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Modification of Mortgage Indenture</w:t>
      </w:r>
    </w:p>
    <w:p>
      <w:pPr>
        <w:spacing w:after="0" w:line="113" w:lineRule="exact"/>
        <w:rPr>
          <w:sz w:val="20"/>
          <w:szCs w:val="20"/>
          <w:color w:val="auto"/>
        </w:rPr>
      </w:pPr>
    </w:p>
    <w:p>
      <w:pPr>
        <w:ind w:left="1300" w:right="1399" w:firstLine="281"/>
        <w:spacing w:after="0" w:line="286" w:lineRule="auto"/>
        <w:rPr>
          <w:sz w:val="20"/>
          <w:szCs w:val="20"/>
          <w:color w:val="auto"/>
        </w:rPr>
      </w:pPr>
      <w:r>
        <w:rPr>
          <w:rFonts w:ascii="Times New Roman" w:cs="Times New Roman" w:eastAsia="Times New Roman" w:hAnsi="Times New Roman"/>
          <w:sz w:val="14"/>
          <w:szCs w:val="14"/>
          <w:i w:val="1"/>
          <w:iCs w:val="1"/>
          <w:color w:val="auto"/>
        </w:rPr>
        <w:t xml:space="preserve">Modifications without Consent. </w:t>
      </w:r>
      <w:r>
        <w:rPr>
          <w:rFonts w:ascii="Times New Roman" w:cs="Times New Roman" w:eastAsia="Times New Roman" w:hAnsi="Times New Roman"/>
          <w:sz w:val="14"/>
          <w:szCs w:val="14"/>
          <w:color w:val="auto"/>
        </w:rPr>
        <w:t>Without the consent of any holders, we and the trustee may enter into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one or more supplemental indentures for any of the following purposes, among others:</w:t>
      </w:r>
    </w:p>
    <w:p>
      <w:pPr>
        <w:spacing w:after="0" w:line="29" w:lineRule="exact"/>
        <w:rPr>
          <w:sz w:val="20"/>
          <w:szCs w:val="20"/>
          <w:color w:val="auto"/>
        </w:rPr>
      </w:pPr>
    </w:p>
    <w:p>
      <w:pPr>
        <w:ind w:left="1720" w:right="1499" w:hanging="134"/>
        <w:spacing w:after="0" w:line="283" w:lineRule="auto"/>
        <w:tabs>
          <w:tab w:leader="none" w:pos="17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the succession of another entity to us and the assumption by any such successor of our covenants and agreements in the mortgage indenture and in the mortgage bonds; or</w:t>
      </w:r>
    </w:p>
    <w:p>
      <w:pPr>
        <w:spacing w:after="0" w:line="30" w:lineRule="exact"/>
        <w:rPr>
          <w:rFonts w:ascii="Times New Roman" w:cs="Times New Roman" w:eastAsia="Times New Roman" w:hAnsi="Times New Roman"/>
          <w:sz w:val="14"/>
          <w:szCs w:val="14"/>
          <w:color w:val="auto"/>
        </w:rPr>
      </w:pPr>
    </w:p>
    <w:p>
      <w:pPr>
        <w:ind w:left="1720" w:right="1399" w:hanging="134"/>
        <w:spacing w:after="0" w:line="261" w:lineRule="auto"/>
        <w:tabs>
          <w:tab w:leader="none" w:pos="17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one or more covenants or other provisions for the benefit of all holders or for the benefit of the holders of, or to remain in effect only so long as there shall be outstanding, mortgage bonds of one or more specified series (for the purposes of this subsection, “series” includes tranches thereof), or to surrender any right or power conferred upon us by the mortgage indenture; or</w:t>
      </w:r>
    </w:p>
    <w:p>
      <w:pPr>
        <w:spacing w:after="0" w:line="57" w:lineRule="exact"/>
        <w:rPr>
          <w:rFonts w:ascii="Times New Roman" w:cs="Times New Roman" w:eastAsia="Times New Roman" w:hAnsi="Times New Roman"/>
          <w:sz w:val="14"/>
          <w:szCs w:val="14"/>
          <w:color w:val="auto"/>
        </w:rPr>
      </w:pPr>
    </w:p>
    <w:p>
      <w:pPr>
        <w:ind w:left="1720" w:right="1379" w:hanging="134"/>
        <w:spacing w:after="0" w:line="256" w:lineRule="auto"/>
        <w:tabs>
          <w:tab w:leader="none" w:pos="17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correct or amplify the description of any property at any time subject to the lien of the mortgage indenture; or better to assure, convey and confirm to the trustee any property subject or required to be subjected to the lien of the mortgage indenture; or to subject to the lien of the mortgage indenture additional property (including property of others); to specify any additional permitted liens with respect to such additional property and to modify the provisions in the mortgage indenture for dispositions of certain types of property without release in order to specify any additional items with respect to such additional property; or</w:t>
      </w:r>
    </w:p>
    <w:p>
      <w:pPr>
        <w:spacing w:after="0" w:line="60" w:lineRule="exact"/>
        <w:rPr>
          <w:rFonts w:ascii="Times New Roman" w:cs="Times New Roman" w:eastAsia="Times New Roman" w:hAnsi="Times New Roman"/>
          <w:sz w:val="14"/>
          <w:szCs w:val="14"/>
          <w:color w:val="auto"/>
        </w:rPr>
      </w:pPr>
    </w:p>
    <w:p>
      <w:pPr>
        <w:ind w:left="1720" w:right="1859" w:hanging="134"/>
        <w:spacing w:after="0" w:line="283" w:lineRule="auto"/>
        <w:tabs>
          <w:tab w:leader="none" w:pos="17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establish the form or terms of additional mortgage bonds of any series as permitted by the mortgage indenture; or</w:t>
      </w:r>
    </w:p>
    <w:p>
      <w:pPr>
        <w:spacing w:after="0" w:line="41" w:lineRule="exact"/>
        <w:rPr>
          <w:rFonts w:ascii="Times New Roman" w:cs="Times New Roman" w:eastAsia="Times New Roman" w:hAnsi="Times New Roman"/>
          <w:sz w:val="14"/>
          <w:szCs w:val="14"/>
          <w:color w:val="auto"/>
        </w:rPr>
      </w:pPr>
    </w:p>
    <w:p>
      <w:pPr>
        <w:ind w:left="1720" w:right="1419" w:hanging="134"/>
        <w:spacing w:after="0" w:line="261" w:lineRule="auto"/>
        <w:tabs>
          <w:tab w:leader="none" w:pos="17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appointment by a successor trustee or by a co-trustee; or</w:t>
      </w:r>
    </w:p>
    <w:p>
      <w:pPr>
        <w:spacing w:after="0" w:line="235" w:lineRule="exact"/>
        <w:rPr>
          <w:rFonts w:ascii="Times New Roman" w:cs="Times New Roman" w:eastAsia="Times New Roman" w:hAnsi="Times New Roman"/>
          <w:sz w:val="14"/>
          <w:szCs w:val="14"/>
          <w:color w:val="auto"/>
        </w:rPr>
      </w:pPr>
    </w:p>
    <w:p>
      <w:pPr>
        <w:ind w:left="1720" w:right="1799" w:hanging="134"/>
        <w:spacing w:after="0" w:line="283" w:lineRule="auto"/>
        <w:tabs>
          <w:tab w:leader="none" w:pos="17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procedures required to permit the utilization of a non-certificated system of registration for all, or any series of, the mortgage bonds; or</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change any place or places where:</w:t>
      </w:r>
    </w:p>
    <w:p>
      <w:pPr>
        <w:spacing w:after="0" w:line="91" w:lineRule="exact"/>
        <w:rPr>
          <w:rFonts w:ascii="Times New Roman" w:cs="Times New Roman" w:eastAsia="Times New Roman" w:hAnsi="Times New Roman"/>
          <w:sz w:val="14"/>
          <w:szCs w:val="14"/>
          <w:color w:val="auto"/>
        </w:rPr>
      </w:pPr>
    </w:p>
    <w:p>
      <w:pPr>
        <w:ind w:left="2000" w:right="1399" w:hanging="133"/>
        <w:spacing w:after="0" w:line="283" w:lineRule="auto"/>
        <w:tabs>
          <w:tab w:leader="none" w:pos="2000"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of and premium, if any, and interest, if any, on all or any series of mortgage bonds will be payable;</w:t>
      </w:r>
    </w:p>
    <w:p>
      <w:pPr>
        <w:spacing w:after="0" w:line="30" w:lineRule="exact"/>
        <w:rPr>
          <w:rFonts w:ascii="Times New Roman" w:cs="Times New Roman" w:eastAsia="Times New Roman" w:hAnsi="Times New Roman"/>
          <w:sz w:val="14"/>
          <w:szCs w:val="14"/>
          <w:color w:val="auto"/>
        </w:rPr>
      </w:pPr>
    </w:p>
    <w:p>
      <w:pPr>
        <w:ind w:left="2000" w:hanging="133"/>
        <w:spacing w:after="0"/>
        <w:tabs>
          <w:tab w:leader="none" w:pos="2000"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or any series of mortgage bonds may be surrendered for registration of transfer;</w:t>
      </w:r>
    </w:p>
    <w:p>
      <w:pPr>
        <w:spacing w:after="0" w:line="91" w:lineRule="exact"/>
        <w:rPr>
          <w:rFonts w:ascii="Times New Roman" w:cs="Times New Roman" w:eastAsia="Times New Roman" w:hAnsi="Times New Roman"/>
          <w:sz w:val="14"/>
          <w:szCs w:val="14"/>
          <w:color w:val="auto"/>
        </w:rPr>
      </w:pPr>
    </w:p>
    <w:p>
      <w:pPr>
        <w:ind w:left="2000" w:hanging="133"/>
        <w:spacing w:after="0"/>
        <w:tabs>
          <w:tab w:leader="none" w:pos="2000"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or any series of mortgage bonds may be surrendered for exchange; and</w:t>
      </w:r>
    </w:p>
    <w:p>
      <w:pPr>
        <w:spacing w:after="0" w:line="91" w:lineRule="exact"/>
        <w:rPr>
          <w:rFonts w:ascii="Times New Roman" w:cs="Times New Roman" w:eastAsia="Times New Roman" w:hAnsi="Times New Roman"/>
          <w:sz w:val="14"/>
          <w:szCs w:val="14"/>
          <w:color w:val="auto"/>
        </w:rPr>
      </w:pPr>
    </w:p>
    <w:p>
      <w:pPr>
        <w:ind w:left="2000" w:right="1639" w:hanging="133"/>
        <w:spacing w:after="0" w:line="283" w:lineRule="auto"/>
        <w:tabs>
          <w:tab w:leader="none" w:pos="2000" w:val="left"/>
        </w:tabs>
        <w:numPr>
          <w:ilvl w:val="1"/>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notices and demands to or upon us in respect of all or any series of mortgage bonds and the mortgage indenture may be served; or</w:t>
      </w:r>
    </w:p>
    <w:p>
      <w:pPr>
        <w:spacing w:after="0" w:line="41" w:lineRule="exact"/>
        <w:rPr>
          <w:rFonts w:ascii="Times New Roman" w:cs="Times New Roman" w:eastAsia="Times New Roman" w:hAnsi="Times New Roman"/>
          <w:sz w:val="14"/>
          <w:szCs w:val="14"/>
          <w:color w:val="auto"/>
        </w:rPr>
      </w:pPr>
    </w:p>
    <w:p>
      <w:pPr>
        <w:ind w:left="1720" w:right="1399" w:hanging="134"/>
        <w:spacing w:after="0" w:line="261" w:lineRule="auto"/>
        <w:tabs>
          <w:tab w:leader="none" w:pos="17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authentication and delivery of bearer bonds and coupons appertaining thereto representing interest, if any, thereon and for the procedures for the registration, exchange and replacement thereof and for the giving of notice to, and the solicitation of the vote or consent of, the holders thereof, and for any and all other matters incidental thereto; or</w:t>
      </w:r>
    </w:p>
    <w:p>
      <w:pPr>
        <w:spacing w:after="0" w:line="46" w:lineRule="exact"/>
        <w:rPr>
          <w:rFonts w:ascii="Times New Roman" w:cs="Times New Roman" w:eastAsia="Times New Roman" w:hAnsi="Times New Roman"/>
          <w:sz w:val="14"/>
          <w:szCs w:val="14"/>
          <w:color w:val="auto"/>
        </w:rPr>
      </w:pPr>
    </w:p>
    <w:p>
      <w:pPr>
        <w:ind w:left="1720" w:right="1459" w:hanging="134"/>
        <w:spacing w:after="0" w:line="283" w:lineRule="auto"/>
        <w:tabs>
          <w:tab w:leader="none" w:pos="17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the rules of any securities exchange on which any series of mortgage bonds may be listed; or</w:t>
      </w:r>
    </w:p>
    <w:p>
      <w:pPr>
        <w:spacing w:after="0" w:line="41" w:lineRule="exact"/>
        <w:rPr>
          <w:rFonts w:ascii="Times New Roman" w:cs="Times New Roman" w:eastAsia="Times New Roman" w:hAnsi="Times New Roman"/>
          <w:sz w:val="14"/>
          <w:szCs w:val="14"/>
          <w:color w:val="auto"/>
        </w:rPr>
      </w:pPr>
    </w:p>
    <w:p>
      <w:pPr>
        <w:jc w:val="both"/>
        <w:ind w:left="1720" w:right="1639" w:hanging="134"/>
        <w:spacing w:after="0" w:line="267" w:lineRule="auto"/>
        <w:tabs>
          <w:tab w:leader="none" w:pos="17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modify the mortgage indenture to comply with the Trust Indenture Act, or any similar federal statute, and to add such provisions as may be expressly permitted by such act, subject to certain exceptions; or</w:t>
      </w:r>
    </w:p>
    <w:p>
      <w:pPr>
        <w:spacing w:after="0" w:line="51" w:lineRule="exact"/>
        <w:rPr>
          <w:rFonts w:ascii="Times New Roman" w:cs="Times New Roman" w:eastAsia="Times New Roman" w:hAnsi="Times New Roman"/>
          <w:sz w:val="14"/>
          <w:szCs w:val="14"/>
          <w:color w:val="auto"/>
        </w:rPr>
      </w:pPr>
    </w:p>
    <w:p>
      <w:pPr>
        <w:ind w:left="1720" w:right="1559" w:hanging="134"/>
        <w:spacing w:after="0" w:line="283" w:lineRule="auto"/>
        <w:tabs>
          <w:tab w:leader="none" w:pos="172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to correct or supplement any provision therein which may be defective or inconsistent with any other provision therein, or to make any other additions to, deletions from or</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3" w:name="page54"/>
    <w:bookmarkEnd w:id="53"/>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20" w:right="1399"/>
        <w:spacing w:after="0" w:line="267" w:lineRule="auto"/>
        <w:rPr>
          <w:sz w:val="20"/>
          <w:szCs w:val="20"/>
          <w:color w:val="auto"/>
        </w:rPr>
      </w:pPr>
      <w:r>
        <w:rPr>
          <w:rFonts w:ascii="Times New Roman" w:cs="Times New Roman" w:eastAsia="Times New Roman" w:hAnsi="Times New Roman"/>
          <w:sz w:val="14"/>
          <w:szCs w:val="14"/>
          <w:color w:val="auto"/>
        </w:rPr>
        <w:t>other changes to the provisions thereof; provided that such additions, deletions and/or other changes do not adversely affect the interests of the holders of mortgage bonds of any series in any material respect. (Section 1401)</w:t>
      </w:r>
    </w:p>
    <w:p>
      <w:pPr>
        <w:spacing w:after="0" w:line="84" w:lineRule="exact"/>
        <w:rPr>
          <w:sz w:val="20"/>
          <w:szCs w:val="20"/>
          <w:color w:val="auto"/>
        </w:rPr>
      </w:pPr>
    </w:p>
    <w:p>
      <w:pPr>
        <w:ind w:left="1300" w:right="1379" w:firstLine="281"/>
        <w:spacing w:after="0" w:line="258" w:lineRule="auto"/>
        <w:rPr>
          <w:sz w:val="20"/>
          <w:szCs w:val="20"/>
          <w:color w:val="auto"/>
        </w:rPr>
      </w:pPr>
      <w:r>
        <w:rPr>
          <w:rFonts w:ascii="Times New Roman" w:cs="Times New Roman" w:eastAsia="Times New Roman" w:hAnsi="Times New Roman"/>
          <w:sz w:val="14"/>
          <w:szCs w:val="14"/>
          <w:color w:val="auto"/>
        </w:rPr>
        <w:t>Without limiting the generality of the foregoing, if the Trust Indenture Act is amended after the date of the mortgage indenture in such a way as to require changes to the mortgage indenture or the incorporation therein of additional provisions, the mortgage indenture will be deemed to have been amended so as to conform to such amendment or to effect such changes or elimination, and we and the trustee may, without the consent of any holders, enter into one or more supplemental indentures to evidence or effect such amendment. (Section 1401)</w:t>
      </w:r>
    </w:p>
    <w:p>
      <w:pPr>
        <w:spacing w:after="0" w:line="259" w:lineRule="exact"/>
        <w:rPr>
          <w:sz w:val="20"/>
          <w:szCs w:val="20"/>
          <w:color w:val="auto"/>
        </w:rPr>
      </w:pPr>
    </w:p>
    <w:p>
      <w:pPr>
        <w:ind w:left="1300" w:right="1379" w:firstLine="281"/>
        <w:spacing w:after="0" w:line="254" w:lineRule="auto"/>
        <w:rPr>
          <w:sz w:val="20"/>
          <w:szCs w:val="20"/>
          <w:color w:val="auto"/>
        </w:rPr>
      </w:pPr>
      <w:r>
        <w:rPr>
          <w:rFonts w:ascii="Times New Roman" w:cs="Times New Roman" w:eastAsia="Times New Roman" w:hAnsi="Times New Roman"/>
          <w:sz w:val="14"/>
          <w:szCs w:val="14"/>
          <w:i w:val="1"/>
          <w:iCs w:val="1"/>
          <w:color w:val="auto"/>
        </w:rPr>
        <w:t xml:space="preserve">Modifications Requiring Consent. </w:t>
      </w:r>
      <w:r>
        <w:rPr>
          <w:rFonts w:ascii="Times New Roman" w:cs="Times New Roman" w:eastAsia="Times New Roman" w:hAnsi="Times New Roman"/>
          <w:sz w:val="14"/>
          <w:szCs w:val="14"/>
          <w:color w:val="auto"/>
        </w:rPr>
        <w:t>Except as provided above, the consent of the holders of not less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than a majority in aggregate principal amount of the mortgage bonds of all series then outstanding, considered as one class, is required for the purpose of adding any provisions to, or changing in any manner, or eliminating any of the provisions of, the mortgage indenture pursuant to one or more supplemental indentures;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if less than all of the series of mortgage bonds outstanding are directly affected by a proposed supplemental indenture, then the consent only of the holders of a majority in aggregate principal amount of outstanding mortgage bonds of all series so directly affected, considered as one class, will be required; and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xml:space="preserve">, that if the mortgage bonds of any series have been issued in more than one tranche and if the proposed supplemental indenture directly affects the rights of the holders of one or more, but less than all such tranches, then the consent only of the holders of a majority in aggregate principal amount of the outstanding mortgage bonds of all such tranches so directly affected, considered as one class, will be required; and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that no such amendment or modification may:</w:t>
      </w:r>
    </w:p>
    <w:p>
      <w:pPr>
        <w:spacing w:after="0" w:line="230" w:lineRule="exact"/>
        <w:rPr>
          <w:sz w:val="20"/>
          <w:szCs w:val="20"/>
          <w:color w:val="auto"/>
        </w:rPr>
      </w:pPr>
    </w:p>
    <w:p>
      <w:pPr>
        <w:ind w:left="1720" w:right="1359" w:hanging="134"/>
        <w:spacing w:after="0" w:line="255" w:lineRule="auto"/>
        <w:tabs>
          <w:tab w:leader="none" w:pos="17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stated maturity of the principal of, or any installment of principal of or interest on, any mortgage bond, or reduce the principal amount thereof or the rate of interest thereon (or the amount of any installment of interest thereon) or change the method of calculating such rate or any premium payable upon the redemption thereof, or reduce the amount of the principal of any discount bond or other mortgage bond that would be due and payable upon a declaration of acceleration of maturity or change the coin or currency in which any mortgage bond or any premium or the interest thereon is payable, or impair the right to institute suit for the enforcement of any such payment on or after the stated maturity of any mortgage bond (or, in the case of redemption, on or after the redemption date) without, in any such case, the consent of the holder of such mortgage bond;</w:t>
      </w:r>
    </w:p>
    <w:p>
      <w:pPr>
        <w:spacing w:after="0" w:line="59" w:lineRule="exact"/>
        <w:rPr>
          <w:rFonts w:ascii="Times New Roman" w:cs="Times New Roman" w:eastAsia="Times New Roman" w:hAnsi="Times New Roman"/>
          <w:sz w:val="14"/>
          <w:szCs w:val="14"/>
          <w:color w:val="auto"/>
        </w:rPr>
      </w:pPr>
    </w:p>
    <w:p>
      <w:pPr>
        <w:ind w:left="1720" w:right="1339" w:hanging="134"/>
        <w:spacing w:after="0" w:line="259" w:lineRule="auto"/>
        <w:tabs>
          <w:tab w:leader="none" w:pos="17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 the creation of any lien (not otherwise permitted by the mortgage indenture) ranking prior to the lien of the mortgage indenture with respect to all or substantially all of the mortgaged property or terminate the lien of the mortgage indenture on all or substantially all of the mortgaged property or deprive the holders of the benefit of the lien of the mortgage indenture, without, in any such case, the consent of the holders of all mortgage bonds then outstanding;</w:t>
      </w:r>
    </w:p>
    <w:p>
      <w:pPr>
        <w:spacing w:after="0" w:line="57" w:lineRule="exact"/>
        <w:rPr>
          <w:rFonts w:ascii="Times New Roman" w:cs="Times New Roman" w:eastAsia="Times New Roman" w:hAnsi="Times New Roman"/>
          <w:sz w:val="14"/>
          <w:szCs w:val="14"/>
          <w:color w:val="auto"/>
        </w:rPr>
      </w:pPr>
    </w:p>
    <w:p>
      <w:pPr>
        <w:ind w:left="1720" w:right="1339" w:hanging="134"/>
        <w:spacing w:after="0" w:line="257" w:lineRule="auto"/>
        <w:tabs>
          <w:tab w:leader="none" w:pos="17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in principal amount of the outstanding mortgage bonds of any series, or tranche thereof, the consent of the holders of which is required for any such supplemental indenture, or the consent of the holders of which is required for any waiver of compliance with any provision of the mortgage indenture or of any default thereunder and its consequences, or reduce the requirements for quorum or voting, without, in any such case, the consent of the holder of each outstanding mortgage bond of such series; or</w:t>
      </w:r>
    </w:p>
    <w:p>
      <w:pPr>
        <w:spacing w:after="0" w:line="59" w:lineRule="exact"/>
        <w:rPr>
          <w:rFonts w:ascii="Times New Roman" w:cs="Times New Roman" w:eastAsia="Times New Roman" w:hAnsi="Times New Roman"/>
          <w:sz w:val="14"/>
          <w:szCs w:val="14"/>
          <w:color w:val="auto"/>
        </w:rPr>
      </w:pPr>
    </w:p>
    <w:p>
      <w:pPr>
        <w:ind w:left="1720" w:right="1519" w:hanging="134"/>
        <w:spacing w:after="0" w:line="264" w:lineRule="auto"/>
        <w:tabs>
          <w:tab w:leader="none" w:pos="172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any of the provisions (with certain exceptions) of the mortgage indenture relating to supplemental indentures, waivers of certain covenants and waivers of past defaults with respect to the mortgage bonds without the consent of the holder of each outstanding mortgage bond affected thereby.</w:t>
      </w:r>
    </w:p>
    <w:p>
      <w:pPr>
        <w:spacing w:after="0" w:line="258" w:lineRule="exact"/>
        <w:rPr>
          <w:sz w:val="20"/>
          <w:szCs w:val="20"/>
          <w:color w:val="auto"/>
        </w:rPr>
      </w:pPr>
    </w:p>
    <w:p>
      <w:pPr>
        <w:ind w:left="1300" w:right="1339" w:firstLine="281"/>
        <w:spacing w:after="0" w:line="257" w:lineRule="auto"/>
        <w:rPr>
          <w:sz w:val="20"/>
          <w:szCs w:val="20"/>
          <w:color w:val="auto"/>
        </w:rPr>
      </w:pPr>
      <w:r>
        <w:rPr>
          <w:rFonts w:ascii="Times New Roman" w:cs="Times New Roman" w:eastAsia="Times New Roman" w:hAnsi="Times New Roman"/>
          <w:sz w:val="14"/>
          <w:szCs w:val="14"/>
          <w:color w:val="auto"/>
        </w:rPr>
        <w:t>A supplemental indenture that changes or eliminates any covenant or other provision of the mortgage indenture that has expressly been included solely for the benefit of the holders of, or that is to remain in effect only so long as there shall be outstanding, mortgage bonds of one or more specified series or modifies the rights of the holders of mortgage bonds of such series with respect to such covenant or other provision, will be deemed not to affect the rights under the mortgage indenture of the holders of the mortgage bonds of any other series. (Section 1402)</w:t>
      </w: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4" w:name="page55"/>
    <w:bookmarkEnd w:id="54"/>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Waiver</w:t>
      </w:r>
    </w:p>
    <w:p>
      <w:pPr>
        <w:spacing w:after="0" w:line="125" w:lineRule="exact"/>
        <w:rPr>
          <w:sz w:val="20"/>
          <w:szCs w:val="20"/>
          <w:color w:val="auto"/>
        </w:rPr>
      </w:pPr>
    </w:p>
    <w:p>
      <w:pPr>
        <w:ind w:left="1300" w:right="1419" w:firstLine="281"/>
        <w:spacing w:after="0" w:line="243" w:lineRule="auto"/>
        <w:rPr>
          <w:sz w:val="20"/>
          <w:szCs w:val="20"/>
          <w:color w:val="auto"/>
        </w:rPr>
      </w:pPr>
      <w:r>
        <w:rPr>
          <w:rFonts w:ascii="Times New Roman" w:cs="Times New Roman" w:eastAsia="Times New Roman" w:hAnsi="Times New Roman"/>
          <w:sz w:val="14"/>
          <w:szCs w:val="14"/>
          <w:color w:val="auto"/>
        </w:rPr>
        <w:t>The holders of at least a majority in aggregate principal amount of all mortgage bonds may waive our obligations to comply with certain covenants, including the covenants to maintain our corporate or other legal existence and properties, pay taxes and discharge liens and maintain certain insurance and our covenant with respect to merger, consolidation or the transfer or lease of the mortgaged property as or substantially as an entirety, described above, provided that such waiver occurs before the time such compliance is required. The holders of at least a majority of the aggregate principal amount of outstanding mortgage bonds of all affected series or tranches, considered as one class, may waive, before the time for such compliance, compliance with any covenant specified with respect to mortgage bonds of such series or tranches thereof. (Section 609) The holders of at least a majority in aggregate principal amount of all mortgage bonds outstanding may waive past defaults, not including defaults in the payment of principal, premium or interest or defaults with respect to provisions that cannot be modified without the consent of each holder affected thereby, under the mortgage indenture. (Section 1017)</w:t>
      </w:r>
    </w:p>
    <w:p>
      <w:pPr>
        <w:spacing w:after="0" w:line="14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1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Each of the following events constitutes an event of default under the mortgage indenture:</w:t>
      </w:r>
    </w:p>
    <w:p>
      <w:pPr>
        <w:spacing w:after="0" w:line="81" w:lineRule="exact"/>
        <w:rPr>
          <w:sz w:val="20"/>
          <w:szCs w:val="20"/>
          <w:color w:val="auto"/>
        </w:rPr>
      </w:pPr>
    </w:p>
    <w:p>
      <w:pPr>
        <w:ind w:left="1720" w:hanging="134"/>
        <w:spacing w:after="0"/>
        <w:tabs>
          <w:tab w:leader="none" w:pos="172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interest on any mortgage bond within 30 days after the same becomes due and payable;</w:t>
      </w:r>
    </w:p>
    <w:p>
      <w:pPr>
        <w:spacing w:after="0" w:line="81" w:lineRule="exact"/>
        <w:rPr>
          <w:rFonts w:ascii="Times New Roman" w:cs="Times New Roman" w:eastAsia="Times New Roman" w:hAnsi="Times New Roman"/>
          <w:sz w:val="14"/>
          <w:szCs w:val="14"/>
          <w:color w:val="auto"/>
        </w:rPr>
      </w:pPr>
    </w:p>
    <w:p>
      <w:pPr>
        <w:ind w:left="1720" w:right="1739" w:hanging="134"/>
        <w:spacing w:after="0" w:line="283" w:lineRule="auto"/>
        <w:tabs>
          <w:tab w:leader="none" w:pos="172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principal of or premium, if any, on any mortgage bond when it becomes due and payable;</w:t>
      </w:r>
    </w:p>
    <w:p>
      <w:pPr>
        <w:spacing w:after="0" w:line="30" w:lineRule="exact"/>
        <w:rPr>
          <w:rFonts w:ascii="Times New Roman" w:cs="Times New Roman" w:eastAsia="Times New Roman" w:hAnsi="Times New Roman"/>
          <w:sz w:val="14"/>
          <w:szCs w:val="14"/>
          <w:color w:val="auto"/>
        </w:rPr>
      </w:pPr>
    </w:p>
    <w:p>
      <w:pPr>
        <w:ind w:left="1720" w:right="1439" w:hanging="134"/>
        <w:spacing w:after="0" w:line="254" w:lineRule="auto"/>
        <w:tabs>
          <w:tab w:leader="none" w:pos="172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failure to perform or breach of any of our covenants or warranties in the mortgage indenture (other than a covenant or warranty a default in the performance of which or breach of which is dealt with elsewhere under this paragraph) for a period of 90 days after there has been given to us by the trustee, or to us and the trustee by the holders of at least 33% in principal amount of outstanding mortgage bonds, a written notice specifying such default or breach and requiring it to be remedied and stating that such notice is a “notice of default,” unless the trustee, or the trustee and the holders of a principal amount of mortgage bonds not less than the principal amount of mortgage bonds the holders of which gave such notice, as the case may be, agree in writing to an extension of such period prior to its expiration;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the trustee, or the trustee and such holders, as the case may be, will be deemed to have agreed to an extension of such period if corrective action has been initiated by us within such period and is being diligently pursued;</w:t>
      </w:r>
    </w:p>
    <w:p>
      <w:pPr>
        <w:spacing w:after="0" w:line="40" w:lineRule="exact"/>
        <w:rPr>
          <w:rFonts w:ascii="Times New Roman" w:cs="Times New Roman" w:eastAsia="Times New Roman" w:hAnsi="Times New Roman"/>
          <w:sz w:val="14"/>
          <w:szCs w:val="14"/>
          <w:color w:val="auto"/>
        </w:rPr>
      </w:pPr>
    </w:p>
    <w:p>
      <w:pPr>
        <w:ind w:left="1720" w:right="1779" w:hanging="134"/>
        <w:spacing w:after="0" w:line="283" w:lineRule="auto"/>
        <w:tabs>
          <w:tab w:leader="none" w:pos="172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relating to reorganization, bankruptcy and insolvency of us or appointment of a receiver, trustee or other similar official for our property; and</w:t>
      </w:r>
    </w:p>
    <w:p>
      <w:pPr>
        <w:spacing w:after="0" w:line="30" w:lineRule="exact"/>
        <w:rPr>
          <w:rFonts w:ascii="Times New Roman" w:cs="Times New Roman" w:eastAsia="Times New Roman" w:hAnsi="Times New Roman"/>
          <w:sz w:val="14"/>
          <w:szCs w:val="14"/>
          <w:color w:val="auto"/>
        </w:rPr>
      </w:pPr>
    </w:p>
    <w:p>
      <w:pPr>
        <w:ind w:left="1720" w:right="1419" w:hanging="134"/>
        <w:spacing w:after="0" w:line="258" w:lineRule="auto"/>
        <w:tabs>
          <w:tab w:leader="none" w:pos="172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occurrence of any default or any other event under the first mortgage indenture, and the expiration of the applicable grace period, if any, specified in the first mortgage indenture, if the effect of such default or other event is to accelerate, or to permit the acceleration of, the maturity of any amount due under the first mortgage indenture;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the waiver or cure of such event of default under the first mortgage indenture shall constitute a cure of such default. (Section 1001)</w:t>
      </w:r>
    </w:p>
    <w:p>
      <w:pPr>
        <w:spacing w:after="0" w:line="26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Each of the following events constitutes an event of default under the first mortgage indenture:</w:t>
      </w:r>
    </w:p>
    <w:p>
      <w:pPr>
        <w:spacing w:after="0" w:line="81" w:lineRule="exact"/>
        <w:rPr>
          <w:sz w:val="20"/>
          <w:szCs w:val="20"/>
          <w:color w:val="auto"/>
        </w:rPr>
      </w:pPr>
    </w:p>
    <w:p>
      <w:pPr>
        <w:ind w:left="1720" w:hanging="134"/>
        <w:spacing w:after="0"/>
        <w:tabs>
          <w:tab w:leader="none" w:pos="17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principal when due;</w:t>
      </w:r>
    </w:p>
    <w:p>
      <w:pPr>
        <w:spacing w:after="0" w:line="8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any interest installment, continued for 60 days;</w:t>
      </w:r>
    </w:p>
    <w:p>
      <w:pPr>
        <w:spacing w:after="0" w:line="81" w:lineRule="exact"/>
        <w:rPr>
          <w:rFonts w:ascii="Times New Roman" w:cs="Times New Roman" w:eastAsia="Times New Roman" w:hAnsi="Times New Roman"/>
          <w:sz w:val="14"/>
          <w:szCs w:val="14"/>
          <w:color w:val="auto"/>
        </w:rPr>
      </w:pPr>
    </w:p>
    <w:p>
      <w:pPr>
        <w:ind w:left="1720" w:right="1679" w:hanging="134"/>
        <w:spacing w:after="0" w:line="283" w:lineRule="auto"/>
        <w:tabs>
          <w:tab w:leader="none" w:pos="17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pay any installment of any fund established under the first mortgage indenture for the purchase or redemption of any first mortgage bonds, continued for 60 days;</w:t>
      </w:r>
    </w:p>
    <w:p>
      <w:pPr>
        <w:spacing w:after="0" w:line="20"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perform any covenant of the company, continued for 90 days after written notice; and</w:t>
      </w:r>
    </w:p>
    <w:p>
      <w:pPr>
        <w:spacing w:after="0" w:line="8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in bankruptcy, reorganization or insolvency.</w:t>
      </w:r>
    </w:p>
    <w:p>
      <w:pPr>
        <w:spacing w:after="0" w:line="17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Remedies</w:t>
      </w:r>
    </w:p>
    <w:p>
      <w:pPr>
        <w:spacing w:after="0" w:line="123" w:lineRule="exact"/>
        <w:rPr>
          <w:sz w:val="20"/>
          <w:szCs w:val="20"/>
          <w:color w:val="auto"/>
        </w:rPr>
      </w:pPr>
    </w:p>
    <w:p>
      <w:pPr>
        <w:ind w:left="1300" w:right="1739" w:firstLine="281"/>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Acceleration of Maturity. </w:t>
      </w:r>
      <w:r>
        <w:rPr>
          <w:rFonts w:ascii="Times New Roman" w:cs="Times New Roman" w:eastAsia="Times New Roman" w:hAnsi="Times New Roman"/>
          <w:sz w:val="14"/>
          <w:szCs w:val="14"/>
          <w:color w:val="auto"/>
        </w:rPr>
        <w:t>If an event of default occurs and is continuing, then the trustee or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holders of not less than 33% in principal amount of mortgage bonds then outstanding may declare the</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5" w:name="page56"/>
    <w:bookmarkEnd w:id="55"/>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59"/>
        <w:spacing w:after="0" w:line="245" w:lineRule="auto"/>
        <w:rPr>
          <w:sz w:val="20"/>
          <w:szCs w:val="20"/>
          <w:color w:val="auto"/>
        </w:rPr>
      </w:pPr>
      <w:r>
        <w:rPr>
          <w:rFonts w:ascii="Times New Roman" w:cs="Times New Roman" w:eastAsia="Times New Roman" w:hAnsi="Times New Roman"/>
          <w:sz w:val="14"/>
          <w:szCs w:val="14"/>
          <w:color w:val="auto"/>
        </w:rPr>
        <w:t>principal amount (or if the mortgage bonds are discount bonds, such portion of the principal amount as may be provided for such discount bonds pursuant to the terms of the mortgage indenture) of all of the mortgage bonds then outstanding, together with premium, if any, and accrued interest, if any, thereon to be immediately due and payable. At any time after such declaration of acceleration of the mortgage bonds then outstanding, but before the sale of any of the mortgaged property and before a judgment or decree for payment of money shall have been obtained by the trustee as provided in the mortgage indenture, the event or events of default giving rise to such declaration of acceleration will, without further act, be deemed to have been waived, and such declaration and its consequences will, without further act, be deemed to have been rescinded and annulled, if:</w:t>
      </w:r>
    </w:p>
    <w:p>
      <w:pPr>
        <w:spacing w:after="0" w:line="222" w:lineRule="exact"/>
        <w:rPr>
          <w:sz w:val="20"/>
          <w:szCs w:val="20"/>
          <w:color w:val="auto"/>
        </w:rPr>
      </w:pPr>
    </w:p>
    <w:p>
      <w:pPr>
        <w:ind w:left="1720" w:hanging="134"/>
        <w:spacing w:after="0"/>
        <w:tabs>
          <w:tab w:leader="none" w:pos="172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paid or deposited with the trustee a sum sufficient to pay:</w:t>
      </w:r>
    </w:p>
    <w:p>
      <w:pPr>
        <w:spacing w:after="0" w:line="81" w:lineRule="exact"/>
        <w:rPr>
          <w:rFonts w:ascii="Times New Roman" w:cs="Times New Roman" w:eastAsia="Times New Roman" w:hAnsi="Times New Roman"/>
          <w:sz w:val="14"/>
          <w:szCs w:val="14"/>
          <w:color w:val="auto"/>
        </w:rPr>
      </w:pPr>
    </w:p>
    <w:p>
      <w:pPr>
        <w:ind w:left="2000" w:hanging="133"/>
        <w:spacing w:after="0"/>
        <w:tabs>
          <w:tab w:leader="none" w:pos="2000" w:val="left"/>
        </w:tabs>
        <w:numPr>
          <w:ilvl w:val="1"/>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overdue interest, if any, on all mortgage bonds then outstanding;</w:t>
      </w:r>
    </w:p>
    <w:p>
      <w:pPr>
        <w:spacing w:after="0" w:line="81" w:lineRule="exact"/>
        <w:rPr>
          <w:rFonts w:ascii="Times New Roman" w:cs="Times New Roman" w:eastAsia="Times New Roman" w:hAnsi="Times New Roman"/>
          <w:sz w:val="14"/>
          <w:szCs w:val="14"/>
          <w:color w:val="auto"/>
        </w:rPr>
      </w:pPr>
    </w:p>
    <w:p>
      <w:pPr>
        <w:ind w:left="2000" w:right="1499" w:hanging="133"/>
        <w:spacing w:after="0" w:line="267" w:lineRule="auto"/>
        <w:tabs>
          <w:tab w:leader="none" w:pos="2000" w:val="left"/>
        </w:tabs>
        <w:numPr>
          <w:ilvl w:val="1"/>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of and premium, if any, on any mortgage bonds then outstanding which have become due otherwise than by such declaration of acceleration and interest thereon at the rate prescribed therefor in such mortgage bonds; and</w:t>
      </w:r>
    </w:p>
    <w:p>
      <w:pPr>
        <w:spacing w:after="0" w:line="51" w:lineRule="exact"/>
        <w:rPr>
          <w:rFonts w:ascii="Times New Roman" w:cs="Times New Roman" w:eastAsia="Times New Roman" w:hAnsi="Times New Roman"/>
          <w:sz w:val="14"/>
          <w:szCs w:val="14"/>
          <w:color w:val="auto"/>
        </w:rPr>
      </w:pPr>
    </w:p>
    <w:p>
      <w:pPr>
        <w:ind w:left="2000" w:right="1439" w:hanging="133"/>
        <w:spacing w:after="0" w:line="283" w:lineRule="auto"/>
        <w:tabs>
          <w:tab w:leader="none" w:pos="2000" w:val="left"/>
        </w:tabs>
        <w:numPr>
          <w:ilvl w:val="1"/>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amounts due to the trustee as compensation and reimbursement as provided in the mortgage indenture; and</w:t>
      </w:r>
    </w:p>
    <w:p>
      <w:pPr>
        <w:spacing w:after="0" w:line="30" w:lineRule="exact"/>
        <w:rPr>
          <w:rFonts w:ascii="Times New Roman" w:cs="Times New Roman" w:eastAsia="Times New Roman" w:hAnsi="Times New Roman"/>
          <w:sz w:val="14"/>
          <w:szCs w:val="14"/>
          <w:color w:val="auto"/>
        </w:rPr>
      </w:pPr>
    </w:p>
    <w:p>
      <w:pPr>
        <w:ind w:left="1720" w:right="1439" w:hanging="134"/>
        <w:spacing w:after="0" w:line="267" w:lineRule="auto"/>
        <w:tabs>
          <w:tab w:leader="none" w:pos="172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or events of default, other than the non-payment of the principal of mortgage bonds that shall have become due solely by such declaration of acceleration, shall have been cured or waived as provided in the mortgage indenture. (Section 1002)</w:t>
      </w:r>
    </w:p>
    <w:p>
      <w:pPr>
        <w:spacing w:after="0" w:line="13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Possession of Mortgaged Property</w:t>
      </w:r>
    </w:p>
    <w:p>
      <w:pPr>
        <w:spacing w:after="0" w:line="125" w:lineRule="exact"/>
        <w:rPr>
          <w:sz w:val="20"/>
          <w:szCs w:val="20"/>
          <w:color w:val="auto"/>
        </w:rPr>
      </w:pPr>
    </w:p>
    <w:p>
      <w:pPr>
        <w:ind w:left="1300" w:right="1319" w:firstLine="281"/>
        <w:spacing w:after="0" w:line="244" w:lineRule="auto"/>
        <w:rPr>
          <w:sz w:val="20"/>
          <w:szCs w:val="20"/>
          <w:color w:val="auto"/>
        </w:rPr>
      </w:pPr>
      <w:r>
        <w:rPr>
          <w:rFonts w:ascii="Times New Roman" w:cs="Times New Roman" w:eastAsia="Times New Roman" w:hAnsi="Times New Roman"/>
          <w:sz w:val="14"/>
          <w:szCs w:val="14"/>
          <w:color w:val="auto"/>
        </w:rPr>
        <w:t>Under certain circumstances and to the extent permitted by law, if an event of default occurs and is continuing, the trustee has the power to take possession of, and to hold, operate and manage, the mortgaged property, or with or without entry, sell the mortgaged property. If the mortgaged property is sold, whether by the trustee or pursuant to judicial proceedings, the principal of the outstanding mortgage bonds (or if the mortgage bonds are discount bonds, such portion of the principal amount as may be provided for such discount bonds pursuant to the terms of the mortgage indenture), if not previously due, will become immediately due and payable, together with premium, if any, and any accrued interest. (Sections 1003, 1004 and 1005)</w:t>
      </w:r>
    </w:p>
    <w:p>
      <w:pPr>
        <w:spacing w:after="0" w:line="30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Right to Direct Proceedings</w:t>
      </w:r>
    </w:p>
    <w:p>
      <w:pPr>
        <w:spacing w:after="0" w:line="125" w:lineRule="exact"/>
        <w:rPr>
          <w:sz w:val="20"/>
          <w:szCs w:val="20"/>
          <w:color w:val="auto"/>
        </w:rPr>
      </w:pPr>
    </w:p>
    <w:p>
      <w:pPr>
        <w:ind w:left="1300" w:right="1399" w:firstLine="281"/>
        <w:spacing w:after="0" w:line="245" w:lineRule="auto"/>
        <w:rPr>
          <w:sz w:val="20"/>
          <w:szCs w:val="20"/>
          <w:color w:val="auto"/>
        </w:rPr>
      </w:pPr>
      <w:r>
        <w:rPr>
          <w:rFonts w:ascii="Times New Roman" w:cs="Times New Roman" w:eastAsia="Times New Roman" w:hAnsi="Times New Roman"/>
          <w:sz w:val="14"/>
          <w:szCs w:val="14"/>
          <w:color w:val="auto"/>
        </w:rPr>
        <w:t>If an event of default occurs and is continuing, the holders of a majority in principal amount of the mortgage bonds then outstanding will have the right to direct the time, method and place of conducting any proceedings for any remedy available to the trustee or exercising any trust or power conferred on the trustee, provided that such direction does not conflict with any rule of law or with the mortgage indenture, and the trustee may take any other action deemed proper by it which is not inconsistent with such direction and the trustee may decline to follow such direction if it shall determine in good faith that the proceeding would involve it in personal liability. (Section 1016)</w:t>
      </w:r>
    </w:p>
    <w:p>
      <w:pPr>
        <w:spacing w:after="0" w:line="14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Limitation On Right to Institute Proceedings</w:t>
      </w:r>
    </w:p>
    <w:p>
      <w:pPr>
        <w:spacing w:after="0" w:line="125" w:lineRule="exact"/>
        <w:rPr>
          <w:sz w:val="20"/>
          <w:szCs w:val="20"/>
          <w:color w:val="auto"/>
        </w:rPr>
      </w:pPr>
    </w:p>
    <w:p>
      <w:pPr>
        <w:ind w:left="1300" w:right="1439" w:firstLine="281"/>
        <w:spacing w:after="0" w:line="259" w:lineRule="auto"/>
        <w:rPr>
          <w:sz w:val="20"/>
          <w:szCs w:val="20"/>
          <w:color w:val="auto"/>
        </w:rPr>
      </w:pPr>
      <w:r>
        <w:rPr>
          <w:rFonts w:ascii="Times New Roman" w:cs="Times New Roman" w:eastAsia="Times New Roman" w:hAnsi="Times New Roman"/>
          <w:sz w:val="14"/>
          <w:szCs w:val="14"/>
          <w:color w:val="auto"/>
        </w:rPr>
        <w:t>No holder of any mortgage bond will have any right to institute any proceeding, judicial or otherwise, with respect to the mortgage indenture or for the appointment of a receiver or for any other remedy thereunder unless:</w:t>
      </w:r>
    </w:p>
    <w:p>
      <w:pPr>
        <w:spacing w:after="0" w:line="36" w:lineRule="exact"/>
        <w:rPr>
          <w:sz w:val="20"/>
          <w:szCs w:val="20"/>
          <w:color w:val="auto"/>
        </w:rPr>
      </w:pPr>
    </w:p>
    <w:p>
      <w:pPr>
        <w:ind w:left="1720" w:hanging="134"/>
        <w:spacing w:after="0"/>
        <w:tabs>
          <w:tab w:leader="none" w:pos="17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holder has previously given to the trustee written notice of a continuing event of default;</w:t>
      </w:r>
    </w:p>
    <w:p>
      <w:pPr>
        <w:spacing w:after="0" w:line="91" w:lineRule="exact"/>
        <w:rPr>
          <w:rFonts w:ascii="Times New Roman" w:cs="Times New Roman" w:eastAsia="Times New Roman" w:hAnsi="Times New Roman"/>
          <w:sz w:val="14"/>
          <w:szCs w:val="14"/>
          <w:color w:val="auto"/>
        </w:rPr>
      </w:pPr>
    </w:p>
    <w:p>
      <w:pPr>
        <w:ind w:left="1720" w:right="1379" w:hanging="134"/>
        <w:spacing w:after="0" w:line="261" w:lineRule="auto"/>
        <w:tabs>
          <w:tab w:leader="none" w:pos="17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not less than a majority in aggregate principal amount of the mortgage bonds then outstanding have made written request to the trustee to institute proceedings in respect of such event of default and have offered the trustee reasonable indemnity against costs and liabilities to be incurred in complying with such request; and</w:t>
      </w:r>
    </w:p>
    <w:p>
      <w:pPr>
        <w:spacing w:after="0" w:line="46" w:lineRule="exact"/>
        <w:rPr>
          <w:rFonts w:ascii="Times New Roman" w:cs="Times New Roman" w:eastAsia="Times New Roman" w:hAnsi="Times New Roman"/>
          <w:sz w:val="14"/>
          <w:szCs w:val="14"/>
          <w:color w:val="auto"/>
        </w:rPr>
      </w:pPr>
    </w:p>
    <w:p>
      <w:pPr>
        <w:ind w:left="1720" w:right="1379" w:hanging="134"/>
        <w:spacing w:after="0" w:line="267" w:lineRule="auto"/>
        <w:tabs>
          <w:tab w:leader="none" w:pos="17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60 days after receipt of such notice, the trustee has failed to institute any such proceeding and no direction inconsistent with such request has been given to the trustee during such 60-day period by the holders of a majority in aggregate principal amount of mortgage bonds then outstanding.</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6" w:name="page57"/>
    <w:bookmarkEnd w:id="56"/>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419" w:firstLine="281"/>
        <w:spacing w:after="0" w:line="299" w:lineRule="auto"/>
        <w:rPr>
          <w:sz w:val="20"/>
          <w:szCs w:val="20"/>
          <w:color w:val="auto"/>
        </w:rPr>
      </w:pPr>
      <w:r>
        <w:rPr>
          <w:rFonts w:ascii="Times New Roman" w:cs="Times New Roman" w:eastAsia="Times New Roman" w:hAnsi="Times New Roman"/>
          <w:sz w:val="14"/>
          <w:szCs w:val="14"/>
          <w:color w:val="auto"/>
        </w:rPr>
        <w:t>Furthermore, no holder will be entitled to institute any such action if and to the extent that such action would disturb or prejudice the rights of other holders. (Section 1011)</w:t>
      </w:r>
    </w:p>
    <w:p>
      <w:pPr>
        <w:spacing w:after="0" w:line="1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No Impairment of Right to Receive Payment</w:t>
      </w:r>
    </w:p>
    <w:p>
      <w:pPr>
        <w:spacing w:after="0" w:line="115" w:lineRule="exact"/>
        <w:rPr>
          <w:sz w:val="20"/>
          <w:szCs w:val="20"/>
          <w:color w:val="auto"/>
        </w:rPr>
      </w:pPr>
    </w:p>
    <w:p>
      <w:pPr>
        <w:ind w:left="1300" w:right="1359" w:firstLine="281"/>
        <w:spacing w:after="0" w:line="270" w:lineRule="auto"/>
        <w:rPr>
          <w:sz w:val="20"/>
          <w:szCs w:val="20"/>
          <w:color w:val="auto"/>
        </w:rPr>
      </w:pPr>
      <w:r>
        <w:rPr>
          <w:rFonts w:ascii="Times New Roman" w:cs="Times New Roman" w:eastAsia="Times New Roman" w:hAnsi="Times New Roman"/>
          <w:sz w:val="14"/>
          <w:szCs w:val="14"/>
          <w:color w:val="auto"/>
        </w:rPr>
        <w:t>Notwithstanding that the right of a holder to institute a proceeding with respect to the mortgage indenture is subject to certain conditions precedent, each holder of a mortgage bond has the absolute and unconditional right to receive payment of the principal of and premium, if any, and interest, if any, on such mortgage bond when due and to institute suit for the enforcement of any such payment, and such rights may not be impaired without the consent of such holder. (Section 1012)</w:t>
      </w:r>
    </w:p>
    <w:p>
      <w:pPr>
        <w:spacing w:after="0" w:line="14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Notice of Default</w:t>
      </w:r>
    </w:p>
    <w:p>
      <w:pPr>
        <w:spacing w:after="0" w:line="115" w:lineRule="exact"/>
        <w:rPr>
          <w:sz w:val="20"/>
          <w:szCs w:val="20"/>
          <w:color w:val="auto"/>
        </w:rPr>
      </w:pPr>
    </w:p>
    <w:p>
      <w:pPr>
        <w:ind w:left="1300" w:right="1319" w:firstLine="281"/>
        <w:spacing w:after="0" w:line="270" w:lineRule="auto"/>
        <w:rPr>
          <w:sz w:val="20"/>
          <w:szCs w:val="20"/>
          <w:color w:val="auto"/>
        </w:rPr>
      </w:pPr>
      <w:r>
        <w:rPr>
          <w:rFonts w:ascii="Times New Roman" w:cs="Times New Roman" w:eastAsia="Times New Roman" w:hAnsi="Times New Roman"/>
          <w:sz w:val="14"/>
          <w:szCs w:val="14"/>
          <w:color w:val="auto"/>
        </w:rPr>
        <w:t>The trustee is required to give the holders notice of any default under the mortgage indenture to the extent required by the Trust Indenture Act, unless such default shall have been cured or waived, except that no such notice to holders of a default of the character described in the third bullet point under “Events of Default” may be given until at least 75 days after the occurrence thereof. (Section 1102) The Trust Indenture Act currently permits the trustee to withhold notices of default (except for certain payment defaults) if the trustee in good faith determines the withholding of such notice to be in the interests of the holders.</w:t>
      </w:r>
    </w:p>
    <w:p>
      <w:pPr>
        <w:spacing w:after="0" w:line="13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Indemnification of Trustee</w:t>
      </w:r>
    </w:p>
    <w:p>
      <w:pPr>
        <w:spacing w:after="0" w:line="125" w:lineRule="exact"/>
        <w:rPr>
          <w:sz w:val="20"/>
          <w:szCs w:val="20"/>
          <w:color w:val="auto"/>
        </w:rPr>
      </w:pPr>
    </w:p>
    <w:p>
      <w:pPr>
        <w:ind w:left="1300" w:right="1339" w:firstLine="281"/>
        <w:spacing w:after="0" w:line="276" w:lineRule="auto"/>
        <w:rPr>
          <w:sz w:val="20"/>
          <w:szCs w:val="20"/>
          <w:color w:val="auto"/>
        </w:rPr>
      </w:pPr>
      <w:r>
        <w:rPr>
          <w:rFonts w:ascii="Times New Roman" w:cs="Times New Roman" w:eastAsia="Times New Roman" w:hAnsi="Times New Roman"/>
          <w:sz w:val="14"/>
          <w:szCs w:val="14"/>
          <w:color w:val="auto"/>
        </w:rPr>
        <w:t>As a condition precedent to certain actions by the trustee in the enforcement of the lien of the mortgage indenture and institution of action on the mortgage bonds, the trustee may require adequate indemnity against costs, expenses and liabilities to be incurred in connection therewith. (Sections 1011, 1101 and 1103)</w:t>
      </w:r>
    </w:p>
    <w:p>
      <w:pPr>
        <w:spacing w:after="0" w:line="30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Remedies Limited By State Law</w:t>
      </w:r>
    </w:p>
    <w:p>
      <w:pPr>
        <w:spacing w:after="0" w:line="125" w:lineRule="exact"/>
        <w:rPr>
          <w:sz w:val="20"/>
          <w:szCs w:val="20"/>
          <w:color w:val="auto"/>
        </w:rPr>
      </w:pPr>
    </w:p>
    <w:p>
      <w:pPr>
        <w:ind w:left="1300" w:right="1499" w:firstLine="281"/>
        <w:spacing w:after="0" w:line="275" w:lineRule="auto"/>
        <w:rPr>
          <w:sz w:val="20"/>
          <w:szCs w:val="20"/>
          <w:color w:val="auto"/>
        </w:rPr>
      </w:pPr>
      <w:r>
        <w:rPr>
          <w:rFonts w:ascii="Times New Roman" w:cs="Times New Roman" w:eastAsia="Times New Roman" w:hAnsi="Times New Roman"/>
          <w:sz w:val="14"/>
          <w:szCs w:val="14"/>
          <w:color w:val="auto"/>
        </w:rPr>
        <w:t>The laws of any jurisdiction where the mortgaged property is located may limit or deny the ability of the trustee or bondholders to enforce certain rights and remedies provided in the mortgage indenture in accordance with their terms.</w:t>
      </w:r>
    </w:p>
    <w:p>
      <w:pPr>
        <w:spacing w:after="0" w:line="13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Defeasance</w:t>
      </w:r>
    </w:p>
    <w:p>
      <w:pPr>
        <w:spacing w:after="0" w:line="125" w:lineRule="exact"/>
        <w:rPr>
          <w:sz w:val="20"/>
          <w:szCs w:val="20"/>
          <w:color w:val="auto"/>
        </w:rPr>
      </w:pPr>
    </w:p>
    <w:p>
      <w:pPr>
        <w:ind w:left="1300" w:right="1319" w:firstLine="281"/>
        <w:spacing w:after="0" w:line="272" w:lineRule="auto"/>
        <w:rPr>
          <w:sz w:val="20"/>
          <w:szCs w:val="20"/>
          <w:color w:val="auto"/>
        </w:rPr>
      </w:pPr>
      <w:r>
        <w:rPr>
          <w:rFonts w:ascii="Times New Roman" w:cs="Times New Roman" w:eastAsia="Times New Roman" w:hAnsi="Times New Roman"/>
          <w:sz w:val="14"/>
          <w:szCs w:val="14"/>
          <w:color w:val="auto"/>
        </w:rPr>
        <w:t>Any mortgage bonds, or any portion of the principal amount thereof, will be deemed to have been paid for all purposes of the mortgage indenture, and the entirety of our indebtedness in respect thereof will be deemed to have been satisfied and discharged, if there has been irrevocably deposited with the trustee or any paying agent (other than us), in trust:</w:t>
      </w:r>
    </w:p>
    <w:p>
      <w:pPr>
        <w:spacing w:after="0" w:line="59" w:lineRule="exact"/>
        <w:rPr>
          <w:sz w:val="20"/>
          <w:szCs w:val="20"/>
          <w:color w:val="auto"/>
        </w:rPr>
      </w:pPr>
    </w:p>
    <w:p>
      <w:pPr>
        <w:ind w:left="1720" w:right="1739" w:hanging="134"/>
        <w:spacing w:after="0" w:line="283" w:lineRule="auto"/>
        <w:tabs>
          <w:tab w:leader="none" w:pos="17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money (including funded cash not otherwise applied pursuant to the mortgage indenture) in an amount which will be sufficient;</w:t>
      </w:r>
    </w:p>
    <w:p>
      <w:pPr>
        <w:spacing w:after="0" w:line="72" w:lineRule="exact"/>
        <w:rPr>
          <w:rFonts w:ascii="Times New Roman" w:cs="Times New Roman" w:eastAsia="Times New Roman" w:hAnsi="Times New Roman"/>
          <w:sz w:val="14"/>
          <w:szCs w:val="14"/>
          <w:color w:val="auto"/>
        </w:rPr>
      </w:pPr>
    </w:p>
    <w:p>
      <w:pPr>
        <w:ind w:left="1720" w:right="1479" w:hanging="134"/>
        <w:spacing w:after="0" w:line="259" w:lineRule="auto"/>
        <w:tabs>
          <w:tab w:leader="none" w:pos="17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deposit made prior to the date on which principal is due, eligible obligations (as described below), which do not contain provisions permitting the redemption or other prepayment thereof at the option of the issuer thereof, the principal of and the interest on which when due, without any regard to reinvestment thereof, will provide monies which, together with the money, if any, deposited with or held by the trustee or such paying agent, will be sufficient; or</w:t>
      </w:r>
    </w:p>
    <w:p>
      <w:pPr>
        <w:spacing w:after="0" w:line="78"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options in the preceding bullet points which will be sufficient;</w:t>
      </w:r>
    </w:p>
    <w:p>
      <w:pPr>
        <w:spacing w:after="0" w:line="123" w:lineRule="exact"/>
        <w:rPr>
          <w:sz w:val="20"/>
          <w:szCs w:val="20"/>
          <w:color w:val="auto"/>
        </w:rPr>
      </w:pPr>
    </w:p>
    <w:p>
      <w:pPr>
        <w:ind w:left="1300" w:right="1339"/>
        <w:spacing w:after="0" w:line="268" w:lineRule="auto"/>
        <w:rPr>
          <w:sz w:val="20"/>
          <w:szCs w:val="20"/>
          <w:color w:val="auto"/>
        </w:rPr>
      </w:pPr>
      <w:r>
        <w:rPr>
          <w:rFonts w:ascii="Times New Roman" w:cs="Times New Roman" w:eastAsia="Times New Roman" w:hAnsi="Times New Roman"/>
          <w:sz w:val="14"/>
          <w:szCs w:val="14"/>
          <w:color w:val="auto"/>
        </w:rPr>
        <w:t>to pay when due the principal of and premium, if any, and interest, if any, due and to become due on such mortgage bonds or portions thereof. (Section 901) For this purpose, eligible obligations include direct obligations of, or obligations unconditionally guaranteed by, the United States of America, entitled to the benefit of the full faith and credit thereof, and certificates, depositary receipts or other instruments that evidence a direct ownership interest in such obligations or in any specific interest or principal payments due in respect thereof.</w:t>
      </w: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7" w:name="page58"/>
    <w:bookmarkEnd w:id="57"/>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00" w:right="1699" w:firstLine="281"/>
        <w:spacing w:after="0" w:line="268" w:lineRule="auto"/>
        <w:rPr>
          <w:sz w:val="20"/>
          <w:szCs w:val="20"/>
          <w:color w:val="auto"/>
        </w:rPr>
      </w:pPr>
      <w:r>
        <w:rPr>
          <w:rFonts w:ascii="Times New Roman" w:cs="Times New Roman" w:eastAsia="Times New Roman" w:hAnsi="Times New Roman"/>
          <w:sz w:val="14"/>
          <w:szCs w:val="14"/>
          <w:color w:val="auto"/>
        </w:rPr>
        <w:t>Notwithstanding the foregoing, no mortgage bond shall be deemed to have been paid as aforesaid unless we shall have delivered to the trustee either:</w:t>
      </w:r>
    </w:p>
    <w:p>
      <w:pPr>
        <w:spacing w:after="0" w:line="40" w:lineRule="exact"/>
        <w:rPr>
          <w:sz w:val="20"/>
          <w:szCs w:val="20"/>
          <w:color w:val="auto"/>
        </w:rPr>
      </w:pPr>
    </w:p>
    <w:p>
      <w:pPr>
        <w:ind w:left="1720" w:right="1359" w:hanging="134"/>
        <w:spacing w:after="0" w:line="261" w:lineRule="auto"/>
        <w:tabs>
          <w:tab w:leader="none" w:pos="17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opinion of counsel in the United States reasonably acceptable to the trustee confirming that (i) we have received from, or there has been published by, the Internal Revenue Service a ruling or</w:t>
      </w:r>
    </w:p>
    <w:p>
      <w:pPr>
        <w:spacing w:after="0" w:line="1" w:lineRule="exact"/>
        <w:rPr>
          <w:rFonts w:ascii="Times New Roman" w:cs="Times New Roman" w:eastAsia="Times New Roman" w:hAnsi="Times New Roman"/>
          <w:sz w:val="14"/>
          <w:szCs w:val="14"/>
          <w:color w:val="auto"/>
        </w:rPr>
      </w:pPr>
    </w:p>
    <w:p>
      <w:pPr>
        <w:ind w:left="1720" w:right="1439"/>
        <w:spacing w:after="0" w:line="25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(ii) since the date of the mortgage indenture, there has been a change in the applicable federal income tax law, in either case to the effect that, and based thereon such opinion of counsel shall confirm that, the holders of the outstanding mortgage bonds will not recognize income, gain or loss for federal income tax purposes as a result of such defeasance and will be subject to federal income tax on the same amounts, in the same manner and at the same times as would have been the case if such defeasance had not occurred; or</w:t>
      </w:r>
    </w:p>
    <w:p>
      <w:pPr>
        <w:spacing w:after="0" w:line="50" w:lineRule="exact"/>
        <w:rPr>
          <w:rFonts w:ascii="Times New Roman" w:cs="Times New Roman" w:eastAsia="Times New Roman" w:hAnsi="Times New Roman"/>
          <w:sz w:val="14"/>
          <w:szCs w:val="14"/>
          <w:color w:val="auto"/>
        </w:rPr>
      </w:pPr>
    </w:p>
    <w:p>
      <w:pPr>
        <w:ind w:left="1720" w:right="1339" w:hanging="134"/>
        <w:spacing w:after="0" w:line="253" w:lineRule="auto"/>
        <w:tabs>
          <w:tab w:leader="none" w:pos="172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 instrument wherein we, notwithstanding the satisfaction and discharge of our indebtedness in respect of mortgage bonds, shall assume the obligation (which shall be absolute and unconditional) to irrevocably deposit with the trustee such additional sums of money, if any, or additional government obligations, if any, or any combination thereof, at such time or times, as shall be necessary, together with the money and/or government obligations theretofore so deposited, to pay when due the principal of and premium, if any, and interest due and to become due on such mortgage bonds or portions thereof;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such instrument may state that our obligation to make additional deposits as aforesaid shall be subject to the delivery to us by the trustee of (i) a notice asserting the deficiency accompanied by an opinion of an independent public accountant of nationally recognized standing showing the calculation thereof and (ii) an opinion of tax counsel in the United States reasonably acceptable to the trustee to the effect that the holders of the outstanding mortgage bonds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31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Duties of the Trustee; Resignation; Removal</w:t>
      </w:r>
    </w:p>
    <w:p>
      <w:pPr>
        <w:spacing w:after="0" w:line="115" w:lineRule="exact"/>
        <w:rPr>
          <w:sz w:val="20"/>
          <w:szCs w:val="20"/>
          <w:color w:val="auto"/>
        </w:rPr>
      </w:pPr>
    </w:p>
    <w:p>
      <w:pPr>
        <w:ind w:left="1300" w:right="1359" w:firstLine="281"/>
        <w:spacing w:after="0" w:line="236" w:lineRule="auto"/>
        <w:rPr>
          <w:sz w:val="20"/>
          <w:szCs w:val="20"/>
          <w:color w:val="auto"/>
        </w:rPr>
      </w:pPr>
      <w:r>
        <w:rPr>
          <w:rFonts w:ascii="Times New Roman" w:cs="Times New Roman" w:eastAsia="Times New Roman" w:hAnsi="Times New Roman"/>
          <w:sz w:val="14"/>
          <w:szCs w:val="14"/>
          <w:color w:val="auto"/>
        </w:rPr>
        <w:t>The trustee will have, and will be subject to, all the duties and responsibilities specified with respect to an indenture trustee under the Trust Indenture Act. Subject to such provisions, the trustee will be under no obligation to exercise any of the powers vested in it by the mortgage indenture at the request of any holder of mortgage bonds, unless offered reasonable indemnity by such holder against the costs, expenses and liabilities which might be incurred thereby. (Section 1103) The trustee will not be required to expend or risk its own funds or otherwise incur financial liability in the performance of its duties if the trustee reasonably believes that repayment or adequate indemnity is not reasonably assured to it. (Section 1101)</w:t>
      </w:r>
    </w:p>
    <w:p>
      <w:pPr>
        <w:spacing w:after="0" w:line="91" w:lineRule="exact"/>
        <w:rPr>
          <w:sz w:val="20"/>
          <w:szCs w:val="20"/>
          <w:color w:val="auto"/>
        </w:rPr>
      </w:pPr>
    </w:p>
    <w:p>
      <w:pPr>
        <w:ind w:left="1300" w:right="1399" w:firstLine="281"/>
        <w:spacing w:after="0" w:line="244" w:lineRule="auto"/>
        <w:rPr>
          <w:sz w:val="20"/>
          <w:szCs w:val="20"/>
          <w:color w:val="auto"/>
        </w:rPr>
      </w:pPr>
      <w:r>
        <w:rPr>
          <w:rFonts w:ascii="Times New Roman" w:cs="Times New Roman" w:eastAsia="Times New Roman" w:hAnsi="Times New Roman"/>
          <w:sz w:val="14"/>
          <w:szCs w:val="14"/>
          <w:color w:val="auto"/>
        </w:rPr>
        <w:t>The trustee may resign at any time by giving written notice thereof to us or may be removed at any time by the holders of a majority in principal amount of mortgage bonds then outstanding delivered to the trustee and us. No resignation or removal of the trustee and no appointment of a successor trustee will become effective until the acceptance of appointment by a successor trustee in accordance with the requirements of the mortgage indenture. So long as no event of default or event which, after notice or lapse of time, or both, would become an event of default has occurred and is continuing, if we have delivered to the trustee a resolution of our board of directors appointing a successor trustee and such successor has accepted such appointment in accordance with the terms of the mortgage indenture, the trustee will be deemed to have resigned and the successor will be deemed to have been appointed as trustee in accordance with the mortgage indenture. (Section 1110)</w:t>
      </w:r>
    </w:p>
    <w:p>
      <w:pPr>
        <w:spacing w:after="0" w:line="30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Evidence to Be Furnished to the Trustee</w:t>
      </w:r>
    </w:p>
    <w:p>
      <w:pPr>
        <w:spacing w:after="0" w:line="125" w:lineRule="exact"/>
        <w:rPr>
          <w:sz w:val="20"/>
          <w:szCs w:val="20"/>
          <w:color w:val="auto"/>
        </w:rPr>
      </w:pPr>
    </w:p>
    <w:p>
      <w:pPr>
        <w:ind w:left="1300" w:right="1499" w:firstLine="281"/>
        <w:spacing w:after="0" w:line="247" w:lineRule="auto"/>
        <w:rPr>
          <w:sz w:val="20"/>
          <w:szCs w:val="20"/>
          <w:color w:val="auto"/>
        </w:rPr>
      </w:pPr>
      <w:r>
        <w:rPr>
          <w:rFonts w:ascii="Times New Roman" w:cs="Times New Roman" w:eastAsia="Times New Roman" w:hAnsi="Times New Roman"/>
          <w:sz w:val="14"/>
          <w:szCs w:val="14"/>
          <w:color w:val="auto"/>
        </w:rPr>
        <w:t>Compliance with mortgage indenture provisions is evidenced by written statements of our officers or persons selected or paid by us. In certain cases, opinions of counsel and certification of an engineer, accountant, appraiser or other expert (who in some cases must be independent) must be furnished. In addition, the mortgage indenture requires that we give the trustee, not less often than annually, a brief statement as to our compliance with the conditions and covenants under the mortgage indenture.</w:t>
      </w:r>
    </w:p>
    <w:p>
      <w:pPr>
        <w:spacing w:after="0" w:line="14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15" w:lineRule="exact"/>
        <w:rPr>
          <w:sz w:val="20"/>
          <w:szCs w:val="20"/>
          <w:color w:val="auto"/>
        </w:rPr>
      </w:pPr>
    </w:p>
    <w:p>
      <w:pPr>
        <w:ind w:left="1300" w:right="1539" w:firstLine="281"/>
        <w:spacing w:after="0" w:line="268" w:lineRule="auto"/>
        <w:rPr>
          <w:sz w:val="20"/>
          <w:szCs w:val="20"/>
          <w:color w:val="auto"/>
        </w:rPr>
      </w:pPr>
      <w:r>
        <w:rPr>
          <w:rFonts w:ascii="Times New Roman" w:cs="Times New Roman" w:eastAsia="Times New Roman" w:hAnsi="Times New Roman"/>
          <w:sz w:val="14"/>
          <w:szCs w:val="14"/>
          <w:color w:val="auto"/>
        </w:rPr>
        <w:t>New York law governs the mortgage indenture and the mortgage bonds, except to the extent that the law of any jurisdiction where any portion of the mortgaged property is located will govern the creation,</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8" w:name="page59"/>
    <w:bookmarkEnd w:id="58"/>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519"/>
        <w:spacing w:after="0" w:line="283" w:lineRule="auto"/>
        <w:rPr>
          <w:sz w:val="20"/>
          <w:szCs w:val="20"/>
          <w:color w:val="auto"/>
        </w:rPr>
      </w:pPr>
      <w:r>
        <w:rPr>
          <w:rFonts w:ascii="Times New Roman" w:cs="Times New Roman" w:eastAsia="Times New Roman" w:hAnsi="Times New Roman"/>
          <w:sz w:val="14"/>
          <w:szCs w:val="14"/>
          <w:color w:val="auto"/>
        </w:rPr>
        <w:t>perfection, priority or enforcement of the lien of the mortgage indenture, or the exercise of remedies with respect to such portions of the mortgaged property. (Section 115)</w:t>
      </w:r>
    </w:p>
    <w:p>
      <w:pPr>
        <w:spacing w:after="0" w:line="1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b w:val="1"/>
          <w:bCs w:val="1"/>
          <w:color w:val="auto"/>
        </w:rPr>
        <w:t>The Trustee</w:t>
      </w:r>
    </w:p>
    <w:p>
      <w:pPr>
        <w:spacing w:after="0" w:line="125" w:lineRule="exact"/>
        <w:rPr>
          <w:sz w:val="20"/>
          <w:szCs w:val="20"/>
          <w:color w:val="auto"/>
        </w:rPr>
      </w:pPr>
    </w:p>
    <w:p>
      <w:pPr>
        <w:ind w:left="1300" w:right="1379" w:firstLine="281"/>
        <w:spacing w:after="0" w:line="255" w:lineRule="auto"/>
        <w:rPr>
          <w:sz w:val="20"/>
          <w:szCs w:val="20"/>
          <w:color w:val="auto"/>
        </w:rPr>
      </w:pPr>
      <w:r>
        <w:rPr>
          <w:rFonts w:ascii="Times New Roman" w:cs="Times New Roman" w:eastAsia="Times New Roman" w:hAnsi="Times New Roman"/>
          <w:sz w:val="14"/>
          <w:szCs w:val="14"/>
          <w:color w:val="auto"/>
        </w:rPr>
        <w:t>The Bank of New York Mellon Trust Company, National Association is the trustee under the mortgage indenture and will be the principal paying agent and registrar for the mortgage bonds. As of March 31, 2026, the trustee served as trustee for approximately $10.1 billion aggregate principal amount of our debt securities and pollution control bonds issued on our behalf. In addition, the trustee serves as trustee for debt securities of our parent company, CenterPoint Energy, and some of its subsidiaries, aggregating approximately $11.4 billion as of March 31, 2026. CenterPoint Energy maintains brokerage relationships with the trustee and its affiliates, each of whom may maintain other relationships with CenterPoint Energy or its affiliates in the ordinary course of business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59" w:name="page60"/>
    <w:bookmarkEnd w:id="59"/>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We may sell the offered mortgage bonds in and outside the United States:</w:t>
      </w:r>
    </w:p>
    <w:p>
      <w:pPr>
        <w:spacing w:after="0" w:line="92" w:lineRule="exact"/>
        <w:rPr>
          <w:sz w:val="20"/>
          <w:szCs w:val="20"/>
          <w:color w:val="auto"/>
        </w:rPr>
      </w:pPr>
    </w:p>
    <w:p>
      <w:pPr>
        <w:ind w:left="1720" w:hanging="134"/>
        <w:spacing w:after="0"/>
        <w:tabs>
          <w:tab w:leader="none" w:pos="17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underwriters or dealers,</w:t>
      </w:r>
    </w:p>
    <w:p>
      <w:pPr>
        <w:spacing w:after="0" w:line="102"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purchasers, including our affiliates,</w:t>
      </w:r>
    </w:p>
    <w:p>
      <w:pPr>
        <w:spacing w:after="0" w:line="102"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 or</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w:t>
      </w:r>
    </w:p>
    <w:p>
      <w:pPr>
        <w:spacing w:after="0" w:line="1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The prospectus supplement will include the following information:</w:t>
      </w:r>
    </w:p>
    <w:p>
      <w:pPr>
        <w:spacing w:after="0" w:line="92" w:lineRule="exact"/>
        <w:rPr>
          <w:sz w:val="20"/>
          <w:szCs w:val="20"/>
          <w:color w:val="auto"/>
        </w:rPr>
      </w:pPr>
    </w:p>
    <w:p>
      <w:pPr>
        <w:ind w:left="1720" w:hanging="134"/>
        <w:spacing w:after="0"/>
        <w:tabs>
          <w:tab w:leader="none" w:pos="17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offering,</w:t>
      </w:r>
    </w:p>
    <w:p>
      <w:pPr>
        <w:spacing w:after="0" w:line="102"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of any underwriters or agents,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or names of any managing underwriter or underwriters,</w:t>
      </w:r>
    </w:p>
    <w:p>
      <w:pPr>
        <w:spacing w:after="0" w:line="102"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the mortgage bonds,</w:t>
      </w:r>
    </w:p>
    <w:p>
      <w:pPr>
        <w:spacing w:after="0" w:line="102"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proceeds to us from the sale of the mortgage bonds,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delayed delivery arrangements,</w:t>
      </w:r>
    </w:p>
    <w:p>
      <w:pPr>
        <w:spacing w:after="0" w:line="102"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underwriting discounts, commissions and other items constituting underwriters’ compensation,</w:t>
      </w:r>
    </w:p>
    <w:p>
      <w:pPr>
        <w:spacing w:after="0" w:line="102"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initial public offering price,</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or concessions allowed or reallowed or paid to dealers, and</w:t>
      </w:r>
    </w:p>
    <w:p>
      <w:pPr>
        <w:spacing w:after="0" w:line="102"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commissions paid to agents.</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Sale Through Underwriters or Dealers</w:t>
      </w:r>
    </w:p>
    <w:p>
      <w:pPr>
        <w:spacing w:after="0" w:line="125" w:lineRule="exact"/>
        <w:rPr>
          <w:sz w:val="20"/>
          <w:szCs w:val="20"/>
          <w:color w:val="auto"/>
        </w:rPr>
      </w:pPr>
    </w:p>
    <w:p>
      <w:pPr>
        <w:ind w:left="1300" w:right="1359" w:firstLine="281"/>
        <w:spacing w:after="0" w:line="254" w:lineRule="auto"/>
        <w:rPr>
          <w:sz w:val="20"/>
          <w:szCs w:val="20"/>
          <w:color w:val="auto"/>
        </w:rPr>
      </w:pPr>
      <w:r>
        <w:rPr>
          <w:rFonts w:ascii="Times New Roman" w:cs="Times New Roman" w:eastAsia="Times New Roman" w:hAnsi="Times New Roman"/>
          <w:sz w:val="14"/>
          <w:szCs w:val="14"/>
          <w:color w:val="auto"/>
        </w:rPr>
        <w:t>If we use underwriters in the sale, the underwriters will acquire the mortgage bonds for their own account. The underwriters may resell the mortgage bonds from time to time in one or more transactions, including negotiated transactions, at a fixed public offering price or at varying prices determined at the time of sale. Underwriters may offer mortgage bonds to the public either through underwriting syndicates represented by one or more managing underwriters or directly by one or more firms acting as underwriters. Unless we inform you otherwise in the prospectus supplement, the obligations of the underwriters to purchase the mortgage bonds will be subject to certain conditions, and the underwriters will be obligated to purchase all the offered mortgage bonds if they purchase any of them. The underwriters may change from time to time any initial public offering price and any discounts or concessions allowed or reallowed or paid to dealers.</w:t>
      </w:r>
    </w:p>
    <w:p>
      <w:pPr>
        <w:spacing w:after="0" w:line="255" w:lineRule="exact"/>
        <w:rPr>
          <w:sz w:val="20"/>
          <w:szCs w:val="20"/>
          <w:color w:val="auto"/>
        </w:rPr>
      </w:pPr>
    </w:p>
    <w:p>
      <w:pPr>
        <w:ind w:left="1300" w:right="1319" w:firstLine="281"/>
        <w:spacing w:after="0" w:line="255" w:lineRule="auto"/>
        <w:rPr>
          <w:sz w:val="20"/>
          <w:szCs w:val="20"/>
          <w:color w:val="auto"/>
        </w:rPr>
      </w:pPr>
      <w:r>
        <w:rPr>
          <w:rFonts w:ascii="Times New Roman" w:cs="Times New Roman" w:eastAsia="Times New Roman" w:hAnsi="Times New Roman"/>
          <w:sz w:val="14"/>
          <w:szCs w:val="14"/>
          <w:color w:val="auto"/>
        </w:rPr>
        <w:t>During and after an offering through underwriters, the underwriters may purchase and sell the mortgage bonds in the open market. These transactions may include overallotment and stabilizing transactions and purchases to cover syndicate short positions created in connection with the offering. The underwriters also may impose a penalty bid, which means that selling concessions allowed to syndicate members or other broker-dealers for the offered mortgage bonds sold for their account may be reclaimed by the syndicate if the offered mortgage bonds are repurchased by the syndicate in stabilizing or covering transactions. These activities may stabilize, maintain or otherwise affect the market price of the offered mortgage bonds, which may be higher than the price that might otherwise prevail in the open market. If commenced, the underwriters may discontinue these activities at any time.</w:t>
      </w:r>
    </w:p>
    <w:p>
      <w:pPr>
        <w:spacing w:after="0" w:line="91" w:lineRule="exact"/>
        <w:rPr>
          <w:sz w:val="20"/>
          <w:szCs w:val="20"/>
          <w:color w:val="auto"/>
        </w:rPr>
      </w:pPr>
    </w:p>
    <w:p>
      <w:pPr>
        <w:ind w:left="1300" w:right="1399" w:firstLine="281"/>
        <w:spacing w:after="0" w:line="257" w:lineRule="auto"/>
        <w:rPr>
          <w:sz w:val="20"/>
          <w:szCs w:val="20"/>
          <w:color w:val="auto"/>
        </w:rPr>
      </w:pPr>
      <w:r>
        <w:rPr>
          <w:rFonts w:ascii="Times New Roman" w:cs="Times New Roman" w:eastAsia="Times New Roman" w:hAnsi="Times New Roman"/>
          <w:sz w:val="14"/>
          <w:szCs w:val="14"/>
          <w:color w:val="auto"/>
        </w:rPr>
        <w:t>If we use dealers in the sale of mortgage bonds, we may sell the mortgage bonds to them as principals. They may then resell those mortgage bonds to the public at varying prices determined by the dealers at the time of resale. The dealers participating in any sale of the mortgage bonds may be deemed to be underwriters within the meaning of the Securities Act of 1933, as amended (the “Securities Act”), with respect to any sale of these mortgage bonds. We will include in the prospectus supplement the names of the dealers and the terms of the transaction.</w:t>
      </w: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60" w:name="page61"/>
    <w:bookmarkEnd w:id="60"/>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Direct Sales and Sales Through Agents</w:t>
      </w:r>
    </w:p>
    <w:p>
      <w:pPr>
        <w:spacing w:after="0" w:line="125" w:lineRule="exact"/>
        <w:rPr>
          <w:sz w:val="20"/>
          <w:szCs w:val="20"/>
          <w:color w:val="auto"/>
        </w:rPr>
      </w:pPr>
    </w:p>
    <w:p>
      <w:pPr>
        <w:ind w:left="1300" w:right="1319" w:firstLine="281"/>
        <w:spacing w:after="0" w:line="258" w:lineRule="auto"/>
        <w:rPr>
          <w:sz w:val="20"/>
          <w:szCs w:val="20"/>
          <w:color w:val="auto"/>
        </w:rPr>
      </w:pPr>
      <w:r>
        <w:rPr>
          <w:rFonts w:ascii="Times New Roman" w:cs="Times New Roman" w:eastAsia="Times New Roman" w:hAnsi="Times New Roman"/>
          <w:sz w:val="14"/>
          <w:szCs w:val="14"/>
          <w:color w:val="auto"/>
        </w:rPr>
        <w:t>We may sell the mortgage bonds directly. In that event, no underwriters or agents would be involved. We may also sell the mortgage bonds through agents we designate from time to time. In the prospectus supplement, we will name any agent involved in the offer or sale of the offered mortgage bonds, and we will describe any commissions payable by us to the agent. Unless we inform you otherwise in the prospectus supplement, any agent will agree to use its reasonable best efforts to solicit purchases for the period of its appointment.</w:t>
      </w:r>
    </w:p>
    <w:p>
      <w:pPr>
        <w:spacing w:after="0" w:line="261" w:lineRule="exact"/>
        <w:rPr>
          <w:sz w:val="20"/>
          <w:szCs w:val="20"/>
          <w:color w:val="auto"/>
        </w:rPr>
      </w:pPr>
    </w:p>
    <w:p>
      <w:pPr>
        <w:jc w:val="both"/>
        <w:ind w:left="1300" w:right="1379" w:firstLine="281"/>
        <w:spacing w:after="0" w:line="267" w:lineRule="auto"/>
        <w:rPr>
          <w:sz w:val="20"/>
          <w:szCs w:val="20"/>
          <w:color w:val="auto"/>
        </w:rPr>
      </w:pPr>
      <w:r>
        <w:rPr>
          <w:rFonts w:ascii="Times New Roman" w:cs="Times New Roman" w:eastAsia="Times New Roman" w:hAnsi="Times New Roman"/>
          <w:sz w:val="14"/>
          <w:szCs w:val="14"/>
          <w:color w:val="auto"/>
        </w:rPr>
        <w:t>We may sell the mortgage bonds directly to institutional investors or others who may be deemed to be underwriters within the meaning of the Securities Act with respect to any sale of those mortgage bonds. We will describe the terms of any such sales in the prospectus supplement.</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Delayed Delivery Contracts</w:t>
      </w:r>
    </w:p>
    <w:p>
      <w:pPr>
        <w:spacing w:after="0" w:line="115" w:lineRule="exact"/>
        <w:rPr>
          <w:sz w:val="20"/>
          <w:szCs w:val="20"/>
          <w:color w:val="auto"/>
        </w:rPr>
      </w:pPr>
    </w:p>
    <w:p>
      <w:pPr>
        <w:ind w:left="1300" w:right="1379" w:firstLine="281"/>
        <w:spacing w:after="0" w:line="258" w:lineRule="auto"/>
        <w:rPr>
          <w:sz w:val="20"/>
          <w:szCs w:val="20"/>
          <w:color w:val="auto"/>
        </w:rPr>
      </w:pPr>
      <w:r>
        <w:rPr>
          <w:rFonts w:ascii="Times New Roman" w:cs="Times New Roman" w:eastAsia="Times New Roman" w:hAnsi="Times New Roman"/>
          <w:sz w:val="14"/>
          <w:szCs w:val="14"/>
          <w:color w:val="auto"/>
        </w:rPr>
        <w:t>If we so indicate in the prospectus supplement, we may authorize agents, underwriters or dealers to solicit offers from certain types of institutions to purchase mortgage bonds from us at the public offering price under delayed delivery contracts. These contracts would provide for payment and delivery on a specified date in the future. The contracts would be subject only to those conditions described in the prospectus supplement. The prospectus supplement will describe the commission payable for solicitation of those contracts.</w:t>
      </w:r>
    </w:p>
    <w:p>
      <w:pPr>
        <w:spacing w:after="0" w:line="3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Remarketing</w:t>
      </w:r>
    </w:p>
    <w:p>
      <w:pPr>
        <w:spacing w:after="0" w:line="125" w:lineRule="exact"/>
        <w:rPr>
          <w:sz w:val="20"/>
          <w:szCs w:val="20"/>
          <w:color w:val="auto"/>
        </w:rPr>
      </w:pPr>
    </w:p>
    <w:p>
      <w:pPr>
        <w:ind w:left="1300" w:right="1459" w:firstLine="281"/>
        <w:spacing w:after="0" w:line="258" w:lineRule="auto"/>
        <w:rPr>
          <w:sz w:val="20"/>
          <w:szCs w:val="20"/>
          <w:color w:val="auto"/>
        </w:rPr>
      </w:pPr>
      <w:r>
        <w:rPr>
          <w:rFonts w:ascii="Times New Roman" w:cs="Times New Roman" w:eastAsia="Times New Roman" w:hAnsi="Times New Roman"/>
          <w:sz w:val="14"/>
          <w:szCs w:val="14"/>
          <w:color w:val="auto"/>
        </w:rPr>
        <w:t>We may offer and sell any of the offered mortgage bonds in connection with a remarketing upon their purchase, in accordance with a redemption or repayment by their terms or otherwise by one or more remarketing firms acting as principals for their own accounts or as our agents. We will identify any remarketing firm, the terms of any remarketing agreement and the compensation to be paid to the remarketing firm in the prospectus supplement. Remarketing firms may be deemed underwriters under the Securities Act.</w:t>
      </w:r>
    </w:p>
    <w:p>
      <w:pPr>
        <w:spacing w:after="0" w:line="3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Derivative Transactions</w:t>
      </w:r>
    </w:p>
    <w:p>
      <w:pPr>
        <w:spacing w:after="0" w:line="125" w:lineRule="exact"/>
        <w:rPr>
          <w:sz w:val="20"/>
          <w:szCs w:val="20"/>
          <w:color w:val="auto"/>
        </w:rPr>
      </w:pPr>
    </w:p>
    <w:p>
      <w:pPr>
        <w:ind w:left="1300" w:right="1339" w:firstLine="281"/>
        <w:spacing w:after="0" w:line="254" w:lineRule="auto"/>
        <w:rPr>
          <w:sz w:val="20"/>
          <w:szCs w:val="20"/>
          <w:color w:val="auto"/>
        </w:rPr>
      </w:pPr>
      <w:r>
        <w:rPr>
          <w:rFonts w:ascii="Times New Roman" w:cs="Times New Roman" w:eastAsia="Times New Roman" w:hAnsi="Times New Roman"/>
          <w:sz w:val="14"/>
          <w:szCs w:val="14"/>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mortgage bonds covered by this prospectus and the applicable prospectus supplement, including in short sale transactions. If so, the third parties may use securities pledged by us or borrowed from us or others to settle those sales or to close out any related open borrowings of securities, and may use securities received from us in settlement of those derivatives to close out any related open borrowings of securities. The third parties in these sale transactions will be underwriters and, if not identified in this prospectus, will be identified in the applicable prospectus supplement or in a post-effective amendment to the registration statement of which this prospectus forms a part.</w:t>
      </w:r>
    </w:p>
    <w:p>
      <w:pPr>
        <w:spacing w:after="0" w:line="3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General Information</w:t>
      </w:r>
    </w:p>
    <w:p>
      <w:pPr>
        <w:spacing w:after="0" w:line="115" w:lineRule="exact"/>
        <w:rPr>
          <w:sz w:val="20"/>
          <w:szCs w:val="20"/>
          <w:color w:val="auto"/>
        </w:rPr>
      </w:pPr>
    </w:p>
    <w:p>
      <w:pPr>
        <w:ind w:left="1300" w:right="1399" w:firstLine="281"/>
        <w:spacing w:after="0" w:line="259" w:lineRule="auto"/>
        <w:rPr>
          <w:sz w:val="20"/>
          <w:szCs w:val="20"/>
          <w:color w:val="auto"/>
        </w:rPr>
      </w:pPr>
      <w:r>
        <w:rPr>
          <w:rFonts w:ascii="Times New Roman" w:cs="Times New Roman" w:eastAsia="Times New Roman" w:hAnsi="Times New Roman"/>
          <w:sz w:val="14"/>
          <w:szCs w:val="14"/>
          <w:color w:val="auto"/>
        </w:rPr>
        <w:t>We may have agreements with the remarketing firms, agents, dealers and underwriters to indemnify them against certain civil liabilities, including liabilities under the Securities Act, or to contribute with respect to payments that the agents, dealers or underwriters may be required to make. Such firms, agents, dealers and underwriters may be customers of, engage in transactions with or perform services for us in the ordinary course of their businesses.</w:t>
      </w:r>
    </w:p>
    <w:p>
      <w:pPr>
        <w:spacing w:after="0" w:line="89" w:lineRule="exact"/>
        <w:rPr>
          <w:sz w:val="20"/>
          <w:szCs w:val="20"/>
          <w:color w:val="auto"/>
        </w:rPr>
      </w:pPr>
    </w:p>
    <w:p>
      <w:pPr>
        <w:jc w:val="both"/>
        <w:ind w:left="1300" w:right="1399" w:firstLine="281"/>
        <w:spacing w:after="0" w:line="267" w:lineRule="auto"/>
        <w:rPr>
          <w:sz w:val="20"/>
          <w:szCs w:val="20"/>
          <w:color w:val="auto"/>
        </w:rPr>
      </w:pPr>
      <w:r>
        <w:rPr>
          <w:rFonts w:ascii="Times New Roman" w:cs="Times New Roman" w:eastAsia="Times New Roman" w:hAnsi="Times New Roman"/>
          <w:sz w:val="14"/>
          <w:szCs w:val="14"/>
          <w:color w:val="auto"/>
        </w:rPr>
        <w:t>To the extent required, this prospectus may be amended or supplemented from time to time to describe a particular plan of distribution. The place and time of delivery for the mortgage bonds in respect of which this prospectus is delivered will be set forth in the accompanying prospectus supplement.</w:t>
      </w:r>
    </w:p>
    <w:p>
      <w:pPr>
        <w:spacing w:after="0" w:line="8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Each series of offered mortgage bonds will be a new issue and will have no established trading market.</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We may elect to list any series of offered mortgage bonds on an exchange, but we are not obligated to do so.</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It is possible that one or more underwriters may make a market in a series of offered mortgage bonds.</w:t>
      </w: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61" w:name="page62"/>
    <w:bookmarkEnd w:id="61"/>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300" w:right="1759"/>
        <w:spacing w:after="0" w:line="267" w:lineRule="auto"/>
        <w:rPr>
          <w:sz w:val="20"/>
          <w:szCs w:val="20"/>
          <w:color w:val="auto"/>
        </w:rPr>
      </w:pPr>
      <w:r>
        <w:rPr>
          <w:rFonts w:ascii="Times New Roman" w:cs="Times New Roman" w:eastAsia="Times New Roman" w:hAnsi="Times New Roman"/>
          <w:sz w:val="14"/>
          <w:szCs w:val="14"/>
          <w:color w:val="auto"/>
        </w:rPr>
        <w:t>However, they will not be obligated to do so and may discontinue market making at any time without notice. We cannot assure you that a liquid trading market for any of our offered mortgage bonds will develop.</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5" w:lineRule="exact"/>
        <w:rPr>
          <w:sz w:val="20"/>
          <w:szCs w:val="20"/>
          <w:color w:val="auto"/>
        </w:rPr>
      </w:pPr>
    </w:p>
    <w:p>
      <w:pPr>
        <w:ind w:left="1300" w:right="1419" w:firstLine="281"/>
        <w:spacing w:after="0" w:line="257" w:lineRule="auto"/>
        <w:rPr>
          <w:sz w:val="20"/>
          <w:szCs w:val="20"/>
          <w:color w:val="auto"/>
        </w:rPr>
      </w:pPr>
      <w:r>
        <w:rPr>
          <w:rFonts w:ascii="Times New Roman" w:cs="Times New Roman" w:eastAsia="Times New Roman" w:hAnsi="Times New Roman"/>
          <w:sz w:val="14"/>
          <w:szCs w:val="14"/>
          <w:color w:val="auto"/>
        </w:rPr>
        <w:t>The validity of the mortgage bonds described in this prospectus will be passed upon for us by Baker Botts L.L.P., Houston, Texas. Monica Karuturi, Esq., our Executive Vice President and General Counsel, may pass upon other legal matters for us. Ms. Karuturi is the beneficial owner of less than 1% of CenterPoint Energy’s common stock. Any underwriters will be advised regarding issues relating to any offering by Hunton Andrews Kurth LLP, New York, New York. From time to time, Hunton Andrews Kurth LLP acts as counsel to CenterPoint Energy and its affiliates on certain matters.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5" w:lineRule="exact"/>
        <w:rPr>
          <w:sz w:val="20"/>
          <w:szCs w:val="20"/>
          <w:color w:val="auto"/>
        </w:rPr>
      </w:pPr>
    </w:p>
    <w:p>
      <w:pPr>
        <w:ind w:left="1300" w:right="1339" w:firstLine="281"/>
        <w:spacing w:after="0" w:line="257"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The financial statements of CenterPoint Energy Houston Electric, LLC as of December 31, 2025 and 2024, and for each of the three years in the period ended December 31, 2025, incorporated by reference in </w:t>
      </w:r>
      <w:hyperlink r:id="rId36">
        <w:r>
          <w:rPr>
            <w:rFonts w:ascii="Times New Roman" w:cs="Times New Roman" w:eastAsia="Times New Roman" w:hAnsi="Times New Roman"/>
            <w:sz w:val="14"/>
            <w:szCs w:val="14"/>
            <w:color w:val="auto"/>
          </w:rPr>
          <w:t xml:space="preserve">this Prospectus by reference to CenterPoint Energy Houston Electric, LLC’s </w:t>
        </w:r>
        <w:r>
          <w:rPr>
            <w:rFonts w:ascii="Times New Roman" w:cs="Times New Roman" w:eastAsia="Times New Roman" w:hAnsi="Times New Roman"/>
            <w:sz w:val="14"/>
            <w:szCs w:val="14"/>
            <w:u w:val="single" w:color="auto"/>
            <w:color w:val="0000EE"/>
          </w:rPr>
          <w:t>annual report on Form 10-K for</w:t>
        </w:r>
      </w:hyperlink>
      <w:r>
        <w:rPr>
          <w:rFonts w:ascii="Times New Roman" w:cs="Times New Roman" w:eastAsia="Times New Roman" w:hAnsi="Times New Roman"/>
          <w:sz w:val="14"/>
          <w:szCs w:val="14"/>
          <w:color w:val="auto"/>
        </w:rPr>
        <w:t xml:space="preserve"> </w:t>
      </w:r>
      <w:hyperlink r:id="rId36">
        <w:r>
          <w:rPr>
            <w:rFonts w:ascii="Times New Roman" w:cs="Times New Roman" w:eastAsia="Times New Roman" w:hAnsi="Times New Roman"/>
            <w:sz w:val="14"/>
            <w:szCs w:val="14"/>
            <w:u w:val="single" w:color="auto"/>
            <w:color w:val="0000EE"/>
          </w:rPr>
          <w:t>the year ended December 31, 2025</w:t>
        </w:r>
        <w:r>
          <w:rPr>
            <w:rFonts w:ascii="Times New Roman" w:cs="Times New Roman" w:eastAsia="Times New Roman" w:hAnsi="Times New Roman"/>
            <w:sz w:val="14"/>
            <w:szCs w:val="14"/>
            <w:color w:val="000000"/>
          </w:rPr>
          <w:t>, have been audited by Deloitte &amp; Touche LLP, an independent registered</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public accounting firm, as stated in their report. Such financial statements are incorporated by reference in reliance upon the report of such firm given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62" w:name="page63"/>
    <w:bookmarkEnd w:id="62"/>
    <w:p>
      <w:pPr>
        <w:ind w:left="320"/>
        <w:spacing w:after="0"/>
        <w:rPr>
          <w:sz w:val="20"/>
          <w:szCs w:val="20"/>
          <w:color w:val="auto"/>
        </w:rPr>
      </w:pPr>
      <w:r>
        <w:rPr>
          <w:rFonts w:ascii="Calibri" w:cs="Calibri" w:eastAsia="Calibri" w:hAnsi="Calibri"/>
          <w:sz w:val="11"/>
          <w:szCs w:val="11"/>
          <w:color w:val="003366"/>
        </w:rPr>
        <w:t>TABLE OF CONTENTS</w:t>
      </w:r>
    </w:p>
    <w:p>
      <w:pPr>
        <w:spacing w:after="0" w:line="3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CenterPoint Energy Resources Corp.</w:t>
      </w:r>
    </w:p>
    <w:p>
      <w:pPr>
        <w:spacing w:after="0" w:line="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1111 Louisiana Street</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Houston, Texas 77002</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(713) 207-1111</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CENTERPOINT ENERGY RESOURCES CORP.</w:t>
      </w:r>
    </w:p>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SENIOR DEBT SECURITIES</w:t>
      </w:r>
    </w:p>
    <w:p>
      <w:pPr>
        <w:spacing w:after="0" w:line="98" w:lineRule="exact"/>
        <w:rPr>
          <w:sz w:val="20"/>
          <w:szCs w:val="20"/>
          <w:color w:val="auto"/>
        </w:rPr>
      </w:pPr>
    </w:p>
    <w:p>
      <w:pPr>
        <w:ind w:left="1300" w:right="1339" w:firstLine="281"/>
        <w:spacing w:after="0" w:line="259" w:lineRule="auto"/>
        <w:rPr>
          <w:sz w:val="20"/>
          <w:szCs w:val="20"/>
          <w:color w:val="auto"/>
        </w:rPr>
      </w:pPr>
      <w:r>
        <w:rPr>
          <w:rFonts w:ascii="Times New Roman" w:cs="Times New Roman" w:eastAsia="Times New Roman" w:hAnsi="Times New Roman"/>
          <w:sz w:val="14"/>
          <w:szCs w:val="14"/>
          <w:color w:val="auto"/>
        </w:rPr>
        <w:t>This prospectus relates to senior debt securities that we may offer from time to time. We will provide additional terms of the senior debt securities in one or more supplements to this prospectus. You should read this prospectus and the related prospectus supplement carefully before you invest in the senior debt securities. No person may use this prospectus to offer and sell the senior debt securities unless a prospectus supplement accompanies this prospectus.</w:t>
      </w:r>
    </w:p>
    <w:p>
      <w:pPr>
        <w:spacing w:after="0" w:line="8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 xml:space="preserve">Investing in the senior debt securities involves risks. See “Risk Factors” on page </w:t>
      </w:r>
      <w:r>
        <w:rPr>
          <w:rFonts w:ascii="Times New Roman" w:cs="Times New Roman" w:eastAsia="Times New Roman" w:hAnsi="Times New Roman"/>
          <w:sz w:val="14"/>
          <w:szCs w:val="14"/>
          <w:b w:val="1"/>
          <w:bCs w:val="1"/>
          <w:u w:val="single" w:color="auto"/>
          <w:color w:val="0000EE"/>
        </w:rPr>
        <w:t>4</w:t>
      </w:r>
      <w:r>
        <w:rPr>
          <w:rFonts w:ascii="Times New Roman" w:cs="Times New Roman" w:eastAsia="Times New Roman" w:hAnsi="Times New Roman"/>
          <w:sz w:val="14"/>
          <w:szCs w:val="14"/>
          <w:b w:val="1"/>
          <w:bCs w:val="1"/>
          <w:color w:val="auto"/>
        </w:rPr>
        <w:t xml:space="preserv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2378710</wp:posOffset>
            </wp:positionH>
            <wp:positionV relativeFrom="paragraph">
              <wp:posOffset>135255</wp:posOffset>
            </wp:positionV>
            <wp:extent cx="96202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356" w:lineRule="exact"/>
        <w:rPr>
          <w:sz w:val="20"/>
          <w:szCs w:val="20"/>
          <w:color w:val="auto"/>
        </w:rPr>
      </w:pPr>
    </w:p>
    <w:p>
      <w:pPr>
        <w:ind w:left="1300" w:right="1499" w:firstLine="281"/>
        <w:spacing w:after="0" w:line="268"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2378710</wp:posOffset>
            </wp:positionH>
            <wp:positionV relativeFrom="paragraph">
              <wp:posOffset>115570</wp:posOffset>
            </wp:positionV>
            <wp:extent cx="96202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date of this prospectus is 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3582670</wp:posOffset>
            </wp:positionV>
            <wp:extent cx="533082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6">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63" w:name="page64"/>
    <w:bookmarkEnd w:id="63"/>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300" w:type="dxa"/>
        <w:tblCellMar>
          <w:top w:w="0" w:type="dxa"/>
          <w:left w:w="0" w:type="dxa"/>
          <w:bottom w:w="0" w:type="dxa"/>
          <w:right w:w="0" w:type="dxa"/>
        </w:tblCellMar>
      </w:tblPr>
      <w:tr>
        <w:trPr>
          <w:trHeight w:val="185"/>
        </w:trPr>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1340" w:type="dxa"/>
            <w:vAlign w:val="bottom"/>
            <w:gridSpan w:val="6"/>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color w:val="0000EE"/>
              </w:rPr>
              <w:t>About This Prospectus</w:t>
            </w:r>
          </w:p>
        </w:tc>
        <w:tc>
          <w:tcPr>
            <w:tcW w:w="3700" w:type="dxa"/>
            <w:vAlign w:val="bottom"/>
            <w:gridSpan w:val="6"/>
            <w:shd w:val="clear" w:color="auto" w:fill="CCEEFF"/>
          </w:tcPr>
          <w:p>
            <w:pPr>
              <w:spacing w:after="0"/>
              <w:rPr>
                <w:sz w:val="10"/>
                <w:szCs w:val="10"/>
                <w:color w:val="auto"/>
              </w:rPr>
            </w:pPr>
          </w:p>
        </w:tc>
        <w:tc>
          <w:tcPr>
            <w:tcW w:w="1360" w:type="dxa"/>
            <w:vAlign w:val="bottom"/>
            <w:tcBorders>
              <w:right w:val="single" w:sz="8" w:color="CCEEFF"/>
            </w:tcBorders>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0000EE"/>
              </w:rPr>
              <w:t>1</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40" w:type="dxa"/>
            <w:vAlign w:val="bottom"/>
            <w:tcBorders>
              <w:right w:val="single" w:sz="8" w:color="0000EE"/>
            </w:tcBorders>
            <w:shd w:val="clear" w:color="auto" w:fill="CCEEFF"/>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040" w:type="dxa"/>
            <w:vAlign w:val="bottom"/>
            <w:gridSpan w:val="12"/>
          </w:tcPr>
          <w:p>
            <w:pPr>
              <w:spacing w:after="0" w:line="158"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1220" w:type="dxa"/>
            <w:vAlign w:val="bottom"/>
          </w:tcPr>
          <w:p>
            <w:pPr>
              <w:spacing w:after="0"/>
              <w:rPr>
                <w:sz w:val="13"/>
                <w:szCs w:val="13"/>
                <w:color w:val="auto"/>
              </w:rPr>
            </w:pP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0000EE"/>
              </w:rPr>
              <w:t>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340" w:type="dxa"/>
            <w:vAlign w:val="bottom"/>
            <w:gridSpan w:val="8"/>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tcPr>
          <w:p>
            <w:pPr>
              <w:ind w:left="108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right w:val="single" w:sz="8" w:color="0000EE"/>
            </w:tcBorders>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0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4"/>
                <w:szCs w:val="14"/>
                <w:color w:val="0000EE"/>
              </w:rPr>
              <w:t>Incorporation By Reference</w:t>
            </w:r>
          </w:p>
        </w:tc>
        <w:tc>
          <w:tcPr>
            <w:tcW w:w="12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0000EE"/>
              </w:rPr>
              <w:t>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640" w:type="dxa"/>
            <w:vAlign w:val="bottom"/>
            <w:tcBorders>
              <w:bottom w:val="single" w:sz="8" w:color="CCEEFF"/>
            </w:tcBorders>
            <w:gridSpan w:val="7"/>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840" w:type="dxa"/>
            <w:vAlign w:val="bottom"/>
            <w:tcBorders>
              <w:bottom w:val="single" w:sz="8" w:color="CCEEFF"/>
            </w:tcBorders>
            <w:gridSpan w:val="2"/>
            <w:shd w:val="clear" w:color="auto" w:fill="CCEEFF"/>
          </w:tcPr>
          <w:p>
            <w:pPr>
              <w:spacing w:after="0" w:line="20" w:lineRule="exact"/>
              <w:rPr>
                <w:sz w:val="1"/>
                <w:szCs w:val="1"/>
                <w:color w:val="auto"/>
              </w:rPr>
            </w:pPr>
          </w:p>
        </w:tc>
        <w:tc>
          <w:tcPr>
            <w:tcW w:w="60" w:type="dxa"/>
            <w:vAlign w:val="bottom"/>
            <w:tcBorders>
              <w:bottom w:val="single" w:sz="8" w:color="CCEEFF"/>
            </w:tcBorders>
            <w:shd w:val="clear" w:color="auto" w:fill="CCEEFF"/>
          </w:tcPr>
          <w:p>
            <w:pPr>
              <w:spacing w:after="0" w:line="20" w:lineRule="exact"/>
              <w:rPr>
                <w:sz w:val="1"/>
                <w:szCs w:val="1"/>
                <w:color w:val="auto"/>
              </w:rPr>
            </w:pPr>
          </w:p>
        </w:tc>
        <w:tc>
          <w:tcPr>
            <w:tcW w:w="1200" w:type="dxa"/>
            <w:vAlign w:val="bottom"/>
            <w:tcBorders>
              <w:bottom w:val="single" w:sz="8" w:color="CCEEFF"/>
            </w:tcBorders>
            <w:shd w:val="clear" w:color="auto" w:fill="CCEEFF"/>
          </w:tcPr>
          <w:p>
            <w:pPr>
              <w:spacing w:after="0" w:line="20" w:lineRule="exact"/>
              <w:rPr>
                <w:sz w:val="1"/>
                <w:szCs w:val="1"/>
                <w:color w:val="auto"/>
              </w:rPr>
            </w:pPr>
          </w:p>
        </w:tc>
        <w:tc>
          <w:tcPr>
            <w:tcW w:w="1300" w:type="dxa"/>
            <w:vAlign w:val="bottom"/>
            <w:tcBorders>
              <w:bottom w:val="single" w:sz="8" w:color="CCEEFF"/>
            </w:tcBorders>
            <w:shd w:val="clear" w:color="auto" w:fill="CCEEFF"/>
          </w:tcPr>
          <w:p>
            <w:pPr>
              <w:spacing w:after="0" w:line="20" w:lineRule="exact"/>
              <w:rPr>
                <w:sz w:val="1"/>
                <w:szCs w:val="1"/>
                <w:color w:val="auto"/>
              </w:rPr>
            </w:pPr>
          </w:p>
        </w:tc>
        <w:tc>
          <w:tcPr>
            <w:tcW w:w="1220" w:type="dxa"/>
            <w:vAlign w:val="bottom"/>
            <w:tcBorders>
              <w:bottom w:val="single" w:sz="8" w:color="CCEEFF"/>
            </w:tcBorders>
            <w:shd w:val="clear" w:color="auto" w:fill="CCEEFF"/>
          </w:tcPr>
          <w:p>
            <w:pPr>
              <w:ind w:left="108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bottom w:val="single" w:sz="8" w:color="CCEEFF"/>
              <w:right w:val="single" w:sz="8" w:color="0000EE"/>
            </w:tcBorders>
            <w:shd w:val="clear" w:color="auto" w:fill="CCEEFF"/>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8"/>
        </w:trPr>
        <w:tc>
          <w:tcPr>
            <w:tcW w:w="5040" w:type="dxa"/>
            <w:vAlign w:val="bottom"/>
            <w:gridSpan w:val="12"/>
          </w:tcPr>
          <w:p>
            <w:pPr>
              <w:spacing w:after="0"/>
              <w:rPr>
                <w:sz w:val="20"/>
                <w:szCs w:val="20"/>
                <w:color w:val="auto"/>
              </w:rPr>
            </w:pPr>
            <w:r>
              <w:rPr>
                <w:rFonts w:ascii="Times New Roman" w:cs="Times New Roman" w:eastAsia="Times New Roman" w:hAnsi="Times New Roman"/>
                <w:sz w:val="14"/>
                <w:szCs w:val="14"/>
                <w:color w:val="0000EE"/>
              </w:rPr>
              <w:t>About CenterPoint Energy Resources Corp</w:t>
            </w:r>
          </w:p>
        </w:tc>
        <w:tc>
          <w:tcPr>
            <w:tcW w:w="1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0000EE"/>
              </w:rPr>
              <w:t>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540" w:type="dxa"/>
            <w:vAlign w:val="bottom"/>
            <w:gridSpan w:val="10"/>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1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tcPr>
          <w:p>
            <w:pPr>
              <w:ind w:left="108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right w:val="single" w:sz="8" w:color="0000EE"/>
            </w:tcBorders>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0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4"/>
                <w:szCs w:val="14"/>
                <w:color w:val="0000EE"/>
              </w:rPr>
              <w:t>Risk Factors</w:t>
            </w:r>
          </w:p>
        </w:tc>
        <w:tc>
          <w:tcPr>
            <w:tcW w:w="12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0000EE"/>
              </w:rPr>
              <w:t>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740" w:type="dxa"/>
            <w:vAlign w:val="bottom"/>
            <w:tcBorders>
              <w:bottom w:val="single" w:sz="8" w:color="CCEEFF"/>
            </w:tcBorders>
            <w:gridSpan w:val="2"/>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80" w:type="dxa"/>
            <w:vAlign w:val="bottom"/>
            <w:tcBorders>
              <w:bottom w:val="single" w:sz="8" w:color="CCEEFF"/>
            </w:tcBorders>
            <w:shd w:val="clear" w:color="auto" w:fill="CCEEFF"/>
          </w:tcPr>
          <w:p>
            <w:pPr>
              <w:spacing w:after="0" w:line="20" w:lineRule="exact"/>
              <w:rPr>
                <w:sz w:val="1"/>
                <w:szCs w:val="1"/>
                <w:color w:val="auto"/>
              </w:rPr>
            </w:pPr>
          </w:p>
        </w:tc>
        <w:tc>
          <w:tcPr>
            <w:tcW w:w="140" w:type="dxa"/>
            <w:vAlign w:val="bottom"/>
            <w:tcBorders>
              <w:bottom w:val="single" w:sz="8" w:color="CCEEFF"/>
            </w:tcBorders>
            <w:shd w:val="clear" w:color="auto" w:fill="CCEEFF"/>
          </w:tcPr>
          <w:p>
            <w:pPr>
              <w:spacing w:after="0" w:line="20" w:lineRule="exact"/>
              <w:rPr>
                <w:sz w:val="1"/>
                <w:szCs w:val="1"/>
                <w:color w:val="auto"/>
              </w:rPr>
            </w:pP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1300" w:type="dxa"/>
            <w:vAlign w:val="bottom"/>
            <w:tcBorders>
              <w:bottom w:val="single" w:sz="8" w:color="CCEEFF"/>
            </w:tcBorders>
            <w:gridSpan w:val="4"/>
            <w:shd w:val="clear" w:color="auto" w:fill="CCEEFF"/>
          </w:tcPr>
          <w:p>
            <w:pPr>
              <w:spacing w:after="0" w:line="20" w:lineRule="exact"/>
              <w:rPr>
                <w:sz w:val="1"/>
                <w:szCs w:val="1"/>
                <w:color w:val="auto"/>
              </w:rPr>
            </w:pPr>
          </w:p>
        </w:tc>
        <w:tc>
          <w:tcPr>
            <w:tcW w:w="1260" w:type="dxa"/>
            <w:vAlign w:val="bottom"/>
            <w:tcBorders>
              <w:bottom w:val="single" w:sz="8" w:color="CCEEFF"/>
            </w:tcBorders>
            <w:gridSpan w:val="2"/>
            <w:shd w:val="clear" w:color="auto" w:fill="CCEEFF"/>
          </w:tcPr>
          <w:p>
            <w:pPr>
              <w:spacing w:after="0" w:line="20" w:lineRule="exact"/>
              <w:rPr>
                <w:sz w:val="1"/>
                <w:szCs w:val="1"/>
                <w:color w:val="auto"/>
              </w:rPr>
            </w:pPr>
          </w:p>
        </w:tc>
        <w:tc>
          <w:tcPr>
            <w:tcW w:w="1300" w:type="dxa"/>
            <w:vAlign w:val="bottom"/>
            <w:tcBorders>
              <w:bottom w:val="single" w:sz="8" w:color="CCEEFF"/>
            </w:tcBorders>
            <w:shd w:val="clear" w:color="auto" w:fill="CCEEFF"/>
          </w:tcPr>
          <w:p>
            <w:pPr>
              <w:spacing w:after="0" w:line="20" w:lineRule="exact"/>
              <w:rPr>
                <w:sz w:val="1"/>
                <w:szCs w:val="1"/>
                <w:color w:val="auto"/>
              </w:rPr>
            </w:pPr>
          </w:p>
        </w:tc>
        <w:tc>
          <w:tcPr>
            <w:tcW w:w="1220" w:type="dxa"/>
            <w:vAlign w:val="bottom"/>
            <w:tcBorders>
              <w:bottom w:val="single" w:sz="8" w:color="CCEEFF"/>
            </w:tcBorders>
            <w:shd w:val="clear" w:color="auto" w:fill="CCEEFF"/>
          </w:tcPr>
          <w:p>
            <w:pPr>
              <w:ind w:left="108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bottom w:val="single" w:sz="8" w:color="CCEEFF"/>
              <w:right w:val="single" w:sz="8" w:color="0000EE"/>
            </w:tcBorders>
            <w:shd w:val="clear" w:color="auto" w:fill="CCEEFF"/>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8"/>
        </w:trPr>
        <w:tc>
          <w:tcPr>
            <w:tcW w:w="5040" w:type="dxa"/>
            <w:vAlign w:val="bottom"/>
            <w:gridSpan w:val="12"/>
          </w:tcPr>
          <w:p>
            <w:pPr>
              <w:spacing w:after="0"/>
              <w:rPr>
                <w:sz w:val="20"/>
                <w:szCs w:val="20"/>
                <w:color w:val="auto"/>
              </w:rPr>
            </w:pPr>
            <w:r>
              <w:rPr>
                <w:rFonts w:ascii="Times New Roman" w:cs="Times New Roman" w:eastAsia="Times New Roman" w:hAnsi="Times New Roman"/>
                <w:sz w:val="14"/>
                <w:szCs w:val="14"/>
                <w:color w:val="0000EE"/>
              </w:rPr>
              <w:t>Cautionary Statement Regarding Forward-Looking Information</w:t>
            </w:r>
          </w:p>
        </w:tc>
        <w:tc>
          <w:tcPr>
            <w:tcW w:w="1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0000EE"/>
              </w:rPr>
              <w:t>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740" w:type="dxa"/>
            <w:vAlign w:val="bottom"/>
            <w:gridSpan w:val="11"/>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1300" w:type="dxa"/>
            <w:vAlign w:val="bottom"/>
          </w:tcPr>
          <w:p>
            <w:pPr>
              <w:spacing w:after="0" w:line="20" w:lineRule="exact"/>
              <w:rPr>
                <w:sz w:val="1"/>
                <w:szCs w:val="1"/>
                <w:color w:val="auto"/>
              </w:rPr>
            </w:pPr>
          </w:p>
        </w:tc>
        <w:tc>
          <w:tcPr>
            <w:tcW w:w="1220" w:type="dxa"/>
            <w:vAlign w:val="bottom"/>
          </w:tcPr>
          <w:p>
            <w:pPr>
              <w:ind w:left="108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right w:val="single" w:sz="8" w:color="0000EE"/>
            </w:tcBorders>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0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4"/>
                <w:szCs w:val="14"/>
                <w:color w:val="0000EE"/>
              </w:rPr>
              <w:t>Use of Proceeds</w:t>
            </w:r>
          </w:p>
        </w:tc>
        <w:tc>
          <w:tcPr>
            <w:tcW w:w="12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0000EE"/>
              </w:rPr>
              <w:t>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960" w:type="dxa"/>
            <w:vAlign w:val="bottom"/>
            <w:tcBorders>
              <w:bottom w:val="single" w:sz="8" w:color="CCEEFF"/>
            </w:tcBorders>
            <w:gridSpan w:val="4"/>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1300" w:type="dxa"/>
            <w:vAlign w:val="bottom"/>
            <w:tcBorders>
              <w:bottom w:val="single" w:sz="8" w:color="CCEEFF"/>
            </w:tcBorders>
            <w:gridSpan w:val="4"/>
            <w:shd w:val="clear" w:color="auto" w:fill="CCEEFF"/>
          </w:tcPr>
          <w:p>
            <w:pPr>
              <w:spacing w:after="0" w:line="20" w:lineRule="exact"/>
              <w:rPr>
                <w:sz w:val="1"/>
                <w:szCs w:val="1"/>
                <w:color w:val="auto"/>
              </w:rPr>
            </w:pPr>
          </w:p>
        </w:tc>
        <w:tc>
          <w:tcPr>
            <w:tcW w:w="2560" w:type="dxa"/>
            <w:vAlign w:val="bottom"/>
            <w:tcBorders>
              <w:bottom w:val="single" w:sz="8" w:color="CCEEFF"/>
            </w:tcBorders>
            <w:gridSpan w:val="3"/>
            <w:shd w:val="clear" w:color="auto" w:fill="CCEEFF"/>
          </w:tcPr>
          <w:p>
            <w:pPr>
              <w:spacing w:after="0" w:line="20" w:lineRule="exact"/>
              <w:rPr>
                <w:sz w:val="1"/>
                <w:szCs w:val="1"/>
                <w:color w:val="auto"/>
              </w:rPr>
            </w:pPr>
          </w:p>
        </w:tc>
        <w:tc>
          <w:tcPr>
            <w:tcW w:w="1220" w:type="dxa"/>
            <w:vAlign w:val="bottom"/>
            <w:tcBorders>
              <w:bottom w:val="single" w:sz="8" w:color="CCEEFF"/>
            </w:tcBorders>
            <w:shd w:val="clear" w:color="auto" w:fill="CCEEFF"/>
          </w:tcPr>
          <w:p>
            <w:pPr>
              <w:ind w:left="108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bottom w:val="single" w:sz="8" w:color="CCEEFF"/>
              <w:right w:val="single" w:sz="8" w:color="0000EE"/>
            </w:tcBorders>
            <w:shd w:val="clear" w:color="auto" w:fill="CCEEFF"/>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8"/>
        </w:trPr>
        <w:tc>
          <w:tcPr>
            <w:tcW w:w="5040" w:type="dxa"/>
            <w:vAlign w:val="bottom"/>
            <w:gridSpan w:val="12"/>
          </w:tcPr>
          <w:p>
            <w:pPr>
              <w:spacing w:after="0"/>
              <w:rPr>
                <w:sz w:val="20"/>
                <w:szCs w:val="20"/>
                <w:color w:val="auto"/>
              </w:rPr>
            </w:pPr>
            <w:r>
              <w:rPr>
                <w:rFonts w:ascii="Times New Roman" w:cs="Times New Roman" w:eastAsia="Times New Roman" w:hAnsi="Times New Roman"/>
                <w:sz w:val="14"/>
                <w:szCs w:val="14"/>
                <w:color w:val="0000EE"/>
              </w:rPr>
              <w:t>Description of Our Senior Debt Securities</w:t>
            </w:r>
          </w:p>
        </w:tc>
        <w:tc>
          <w:tcPr>
            <w:tcW w:w="1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0000EE"/>
              </w:rPr>
              <w:t>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480" w:type="dxa"/>
            <w:vAlign w:val="bottom"/>
            <w:gridSpan w:val="9"/>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2560" w:type="dxa"/>
            <w:vAlign w:val="bottom"/>
            <w:gridSpan w:val="3"/>
          </w:tcPr>
          <w:p>
            <w:pPr>
              <w:spacing w:after="0" w:line="20" w:lineRule="exact"/>
              <w:rPr>
                <w:sz w:val="1"/>
                <w:szCs w:val="1"/>
                <w:color w:val="auto"/>
              </w:rPr>
            </w:pPr>
          </w:p>
        </w:tc>
        <w:tc>
          <w:tcPr>
            <w:tcW w:w="1220" w:type="dxa"/>
            <w:vAlign w:val="bottom"/>
          </w:tcPr>
          <w:p>
            <w:pPr>
              <w:ind w:left="108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right w:val="single" w:sz="8" w:color="0000EE"/>
            </w:tcBorders>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0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4"/>
                <w:szCs w:val="14"/>
                <w:color w:val="0000EE"/>
              </w:rPr>
              <w:t>Plan of Distribution</w:t>
            </w:r>
          </w:p>
        </w:tc>
        <w:tc>
          <w:tcPr>
            <w:tcW w:w="12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180" w:type="dxa"/>
            <w:vAlign w:val="bottom"/>
            <w:tcBorders>
              <w:bottom w:val="single" w:sz="8" w:color="CCEEFF"/>
            </w:tcBorders>
            <w:gridSpan w:val="5"/>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3860" w:type="dxa"/>
            <w:vAlign w:val="bottom"/>
            <w:tcBorders>
              <w:bottom w:val="single" w:sz="8" w:color="CCEEFF"/>
            </w:tcBorders>
            <w:gridSpan w:val="7"/>
            <w:shd w:val="clear" w:color="auto" w:fill="CCEEFF"/>
          </w:tcPr>
          <w:p>
            <w:pPr>
              <w:spacing w:after="0" w:line="20" w:lineRule="exact"/>
              <w:rPr>
                <w:sz w:val="1"/>
                <w:szCs w:val="1"/>
                <w:color w:val="auto"/>
              </w:rPr>
            </w:pPr>
          </w:p>
        </w:tc>
        <w:tc>
          <w:tcPr>
            <w:tcW w:w="1220" w:type="dxa"/>
            <w:vAlign w:val="bottom"/>
            <w:tcBorders>
              <w:bottom w:val="single" w:sz="8" w:color="CCEEFF"/>
            </w:tcBorders>
            <w:shd w:val="clear" w:color="auto" w:fill="CCEEFF"/>
          </w:tcPr>
          <w:p>
            <w:pPr>
              <w:ind w:left="108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bottom w:val="single" w:sz="8" w:color="CCEEFF"/>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r>
        <w:trPr>
          <w:trHeight w:val="168"/>
        </w:trPr>
        <w:tc>
          <w:tcPr>
            <w:tcW w:w="5040" w:type="dxa"/>
            <w:vAlign w:val="bottom"/>
            <w:gridSpan w:val="12"/>
          </w:tcPr>
          <w:p>
            <w:pPr>
              <w:spacing w:after="0"/>
              <w:rPr>
                <w:sz w:val="20"/>
                <w:szCs w:val="20"/>
                <w:color w:val="auto"/>
              </w:rPr>
            </w:pPr>
            <w:r>
              <w:rPr>
                <w:rFonts w:ascii="Times New Roman" w:cs="Times New Roman" w:eastAsia="Times New Roman" w:hAnsi="Times New Roman"/>
                <w:sz w:val="14"/>
                <w:szCs w:val="14"/>
                <w:color w:val="0000EE"/>
              </w:rPr>
              <w:t>Legal Matters</w:t>
            </w:r>
          </w:p>
        </w:tc>
        <w:tc>
          <w:tcPr>
            <w:tcW w:w="12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20" w:type="dxa"/>
            <w:vAlign w:val="bottom"/>
            <w:gridSpan w:val="3"/>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4220" w:type="dxa"/>
            <w:vAlign w:val="bottom"/>
            <w:gridSpan w:val="9"/>
          </w:tcPr>
          <w:p>
            <w:pPr>
              <w:spacing w:after="0" w:line="20" w:lineRule="exact"/>
              <w:rPr>
                <w:sz w:val="1"/>
                <w:szCs w:val="1"/>
                <w:color w:val="auto"/>
              </w:rPr>
            </w:pPr>
          </w:p>
        </w:tc>
        <w:tc>
          <w:tcPr>
            <w:tcW w:w="1220" w:type="dxa"/>
            <w:vAlign w:val="bottom"/>
          </w:tcPr>
          <w:p>
            <w:pPr>
              <w:ind w:left="108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line="20" w:lineRule="exact"/>
              <w:rPr>
                <w:sz w:val="1"/>
                <w:szCs w:val="1"/>
                <w:color w:val="auto"/>
              </w:rPr>
            </w:pPr>
          </w:p>
        </w:tc>
      </w:tr>
      <w:tr>
        <w:trPr>
          <w:trHeight w:val="21"/>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0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4"/>
                <w:szCs w:val="14"/>
                <w:color w:val="0000EE"/>
              </w:rPr>
              <w:t>Experts</w:t>
            </w:r>
          </w:p>
        </w:tc>
        <w:tc>
          <w:tcPr>
            <w:tcW w:w="12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4"/>
                <w:szCs w:val="14"/>
                <w:color w:val="0000EE"/>
                <w:w w:val="85"/>
              </w:rPr>
              <w:t>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460" w:type="dxa"/>
            <w:vAlign w:val="bottom"/>
            <w:tcBorders>
              <w:bottom w:val="single" w:sz="8" w:color="CCEEFF"/>
            </w:tcBorders>
            <w:shd w:val="clear" w:color="auto" w:fill="0000EE"/>
          </w:tcPr>
          <w:p>
            <w:pPr>
              <w:spacing w:after="0" w:line="10" w:lineRule="exact"/>
              <w:rPr>
                <w:sz w:val="20"/>
                <w:szCs w:val="20"/>
                <w:color w:val="auto"/>
              </w:rPr>
            </w:pPr>
            <w:r>
              <w:rPr>
                <w:rFonts w:ascii="Times New Roman" w:cs="Times New Roman" w:eastAsia="Times New Roman" w:hAnsi="Times New Roman"/>
                <w:sz w:val="1"/>
                <w:szCs w:val="1"/>
                <w:color w:val="auto"/>
              </w:rPr>
              <w:t>​</w:t>
            </w:r>
          </w:p>
        </w:tc>
        <w:tc>
          <w:tcPr>
            <w:tcW w:w="4580" w:type="dxa"/>
            <w:vAlign w:val="bottom"/>
            <w:tcBorders>
              <w:bottom w:val="single" w:sz="8" w:color="CCEEFF"/>
            </w:tcBorders>
            <w:gridSpan w:val="11"/>
            <w:shd w:val="clear" w:color="auto" w:fill="CCEEFF"/>
          </w:tcPr>
          <w:p>
            <w:pPr>
              <w:spacing w:after="0" w:line="20" w:lineRule="exact"/>
              <w:rPr>
                <w:sz w:val="1"/>
                <w:szCs w:val="1"/>
                <w:color w:val="auto"/>
              </w:rPr>
            </w:pPr>
          </w:p>
        </w:tc>
        <w:tc>
          <w:tcPr>
            <w:tcW w:w="1220" w:type="dxa"/>
            <w:vAlign w:val="bottom"/>
            <w:tcBorders>
              <w:bottom w:val="single" w:sz="8" w:color="CCEEFF"/>
            </w:tcBorders>
            <w:shd w:val="clear" w:color="auto" w:fill="CCEEFF"/>
          </w:tcPr>
          <w:p>
            <w:pPr>
              <w:ind w:left="1080"/>
              <w:spacing w:after="0" w:line="2" w:lineRule="exact"/>
              <w:rPr>
                <w:sz w:val="20"/>
                <w:szCs w:val="20"/>
                <w:color w:val="auto"/>
              </w:rPr>
            </w:pPr>
            <w:r>
              <w:rPr>
                <w:rFonts w:ascii="Times New Roman" w:cs="Times New Roman" w:eastAsia="Times New Roman" w:hAnsi="Times New Roman"/>
                <w:sz w:val="1"/>
                <w:szCs w:val="1"/>
                <w:color w:val="auto"/>
              </w:rPr>
              <w:t>​ ​</w:t>
            </w:r>
          </w:p>
        </w:tc>
        <w:tc>
          <w:tcPr>
            <w:tcW w:w="140" w:type="dxa"/>
            <w:vAlign w:val="bottom"/>
            <w:tcBorders>
              <w:bottom w:val="single" w:sz="8" w:color="CCEEFF"/>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 w:lineRule="exact"/>
              <w:rPr>
                <w:sz w:val="20"/>
                <w:szCs w:val="20"/>
                <w:color w:val="auto"/>
              </w:rPr>
            </w:pPr>
            <w:r>
              <w:rPr>
                <w:rFonts w:ascii="Times New Roman" w:cs="Times New Roman" w:eastAsia="Times New Roman" w:hAnsi="Times New Roman"/>
                <w:sz w:val="1"/>
                <w:sz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4718050</wp:posOffset>
            </wp:positionV>
            <wp:extent cx="533082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7">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64" w:name="page65"/>
    <w:bookmarkEnd w:id="64"/>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25" w:lineRule="exact"/>
        <w:rPr>
          <w:sz w:val="20"/>
          <w:szCs w:val="20"/>
          <w:color w:val="auto"/>
        </w:rPr>
      </w:pPr>
    </w:p>
    <w:p>
      <w:pPr>
        <w:ind w:left="1300" w:right="1399" w:firstLine="281"/>
        <w:spacing w:after="0" w:line="255" w:lineRule="auto"/>
        <w:rPr>
          <w:sz w:val="20"/>
          <w:szCs w:val="20"/>
          <w:color w:val="auto"/>
        </w:rPr>
      </w:pPr>
      <w:r>
        <w:rPr>
          <w:rFonts w:ascii="Times New Roman" w:cs="Times New Roman" w:eastAsia="Times New Roman" w:hAnsi="Times New Roman"/>
          <w:sz w:val="14"/>
          <w:szCs w:val="14"/>
          <w:color w:val="auto"/>
        </w:rPr>
        <w:t>This prospectus is part of a registration statement we have filed with the U.S. Securities and Exchange Commission (the “SEC”) using a “shelf” registration process. Using this process, we may offer the senior debt securities described in this prospectus (“debt securities”) in one or more offerings. Each time we use this prospectus to offer debt securities, we will file a supplement to this prospectus with the SEC that will describe the specific terms of the offering and the debt securities. The prospectus supplement may also add to, update or change the information contained in this prospectus. Before you invest, you should carefully read this prospectus, the applicable prospectus supplement and the information contained in the documents we refer to under the heading “Where You Can Find More Information.”</w:t>
      </w:r>
    </w:p>
    <w:p>
      <w:pPr>
        <w:spacing w:after="0" w:line="92" w:lineRule="exact"/>
        <w:rPr>
          <w:sz w:val="20"/>
          <w:szCs w:val="20"/>
          <w:color w:val="auto"/>
        </w:rPr>
      </w:pPr>
    </w:p>
    <w:p>
      <w:pPr>
        <w:ind w:left="1300" w:right="1319" w:firstLine="281"/>
        <w:spacing w:after="0" w:line="255" w:lineRule="auto"/>
        <w:rPr>
          <w:sz w:val="20"/>
          <w:szCs w:val="20"/>
          <w:color w:val="auto"/>
        </w:rPr>
      </w:pPr>
      <w:r>
        <w:rPr>
          <w:rFonts w:ascii="Times New Roman" w:cs="Times New Roman" w:eastAsia="Times New Roman" w:hAnsi="Times New Roman"/>
          <w:sz w:val="14"/>
          <w:szCs w:val="14"/>
          <w:b w:val="1"/>
          <w:bCs w:val="1"/>
          <w:color w:val="auto"/>
        </w:rPr>
        <w:t>We have not authorized anyone to provide any information or make any representations other than those contained in this prospectus, any prospectus supplement and any communication from us or any underwriter specifying the final terms of a particular offering.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this prospectus, any prospectus supplement or any communication from us or any underwriter specifying the final terms of a particular offering is accurate as of any date other than the date on the front of that document. Any information we have incorporated by reference is accurate only as of the date of the document incorporated by reference.</w:t>
      </w:r>
    </w:p>
    <w:p>
      <w:pPr>
        <w:spacing w:after="0" w:line="83" w:lineRule="exact"/>
        <w:rPr>
          <w:sz w:val="20"/>
          <w:szCs w:val="20"/>
          <w:color w:val="auto"/>
        </w:rPr>
      </w:pPr>
    </w:p>
    <w:p>
      <w:pPr>
        <w:ind w:left="1300" w:right="1499" w:firstLine="281"/>
        <w:spacing w:after="0" w:line="267" w:lineRule="auto"/>
        <w:rPr>
          <w:sz w:val="20"/>
          <w:szCs w:val="20"/>
          <w:color w:val="auto"/>
        </w:rPr>
      </w:pPr>
      <w:r>
        <w:rPr>
          <w:rFonts w:ascii="Times New Roman" w:cs="Times New Roman" w:eastAsia="Times New Roman" w:hAnsi="Times New Roman"/>
          <w:sz w:val="14"/>
          <w:szCs w:val="14"/>
          <w:color w:val="auto"/>
        </w:rPr>
        <w:t>References in this prospectus to the terms “we,” “us,” “our” or other similar terms mean CenterPoint Energy Resources Corp. and its subsidiaries, and references to “CenterPoint Energy” mean our indirect parent, CenterPoint Energy, Inc., unless the context clearly indicates otherwise.</w:t>
      </w:r>
    </w:p>
    <w:p>
      <w:pPr>
        <w:spacing w:after="0" w:line="84" w:lineRule="exact"/>
        <w:rPr>
          <w:sz w:val="20"/>
          <w:szCs w:val="20"/>
          <w:color w:val="auto"/>
        </w:rPr>
      </w:pPr>
    </w:p>
    <w:p>
      <w:pPr>
        <w:jc w:val="both"/>
        <w:ind w:left="1300" w:right="1439" w:firstLine="281"/>
        <w:spacing w:after="0" w:line="267" w:lineRule="auto"/>
        <w:rPr>
          <w:sz w:val="20"/>
          <w:szCs w:val="20"/>
          <w:color w:val="auto"/>
        </w:rPr>
      </w:pPr>
      <w:r>
        <w:rPr>
          <w:rFonts w:ascii="Times New Roman" w:cs="Times New Roman" w:eastAsia="Times New Roman" w:hAnsi="Times New Roman"/>
          <w:sz w:val="14"/>
          <w:szCs w:val="14"/>
          <w:color w:val="auto"/>
        </w:rPr>
        <w:t>The Bank of New York Mellon Trust Company, National Association, in its capacity as trustee for the debt securities, has not participated in the preparation of this prospectus and assumes no responsibility for its content.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25" w:lineRule="exact"/>
        <w:rPr>
          <w:sz w:val="20"/>
          <w:szCs w:val="20"/>
          <w:color w:val="auto"/>
        </w:rPr>
      </w:pPr>
    </w:p>
    <w:p>
      <w:pPr>
        <w:ind w:left="1300" w:right="1439" w:firstLine="281"/>
        <w:spacing w:after="0" w:line="267" w:lineRule="auto"/>
        <w:rPr>
          <w:sz w:val="20"/>
          <w:szCs w:val="20"/>
          <w:color w:val="auto"/>
        </w:rPr>
      </w:pPr>
      <w:r>
        <w:rPr>
          <w:rFonts w:ascii="Times New Roman" w:cs="Times New Roman" w:eastAsia="Times New Roman" w:hAnsi="Times New Roman"/>
          <w:sz w:val="14"/>
          <w:szCs w:val="14"/>
          <w:color w:val="auto"/>
        </w:rPr>
        <w:t xml:space="preserve">We file annual, quarterly and current reports, proxy statements and other information with the SEC. The SEC maintains a website that contains information we file electronically with the SEC, which you can access at </w:t>
      </w:r>
      <w:r>
        <w:rPr>
          <w:rFonts w:ascii="Times New Roman" w:cs="Times New Roman" w:eastAsia="Times New Roman" w:hAnsi="Times New Roman"/>
          <w:sz w:val="14"/>
          <w:szCs w:val="14"/>
          <w:i w:val="1"/>
          <w:iCs w:val="1"/>
          <w:color w:val="auto"/>
        </w:rPr>
        <w:t>http://www.sec.gov</w:t>
      </w:r>
      <w:r>
        <w:rPr>
          <w:rFonts w:ascii="Times New Roman" w:cs="Times New Roman" w:eastAsia="Times New Roman" w:hAnsi="Times New Roman"/>
          <w:sz w:val="14"/>
          <w:szCs w:val="14"/>
          <w:color w:val="auto"/>
        </w:rPr>
        <w:t>.</w:t>
      </w:r>
    </w:p>
    <w:p>
      <w:pPr>
        <w:spacing w:after="0" w:line="71" w:lineRule="exact"/>
        <w:rPr>
          <w:sz w:val="20"/>
          <w:szCs w:val="20"/>
          <w:color w:val="auto"/>
        </w:rPr>
      </w:pPr>
    </w:p>
    <w:p>
      <w:pPr>
        <w:ind w:left="1300" w:right="1339" w:firstLine="281"/>
        <w:spacing w:after="0" w:line="259" w:lineRule="auto"/>
        <w:rPr>
          <w:sz w:val="20"/>
          <w:szCs w:val="20"/>
          <w:color w:val="auto"/>
        </w:rPr>
      </w:pPr>
      <w:r>
        <w:rPr>
          <w:rFonts w:ascii="Times New Roman" w:cs="Times New Roman" w:eastAsia="Times New Roman" w:hAnsi="Times New Roman"/>
          <w:sz w:val="14"/>
          <w:szCs w:val="14"/>
          <w:color w:val="auto"/>
        </w:rPr>
        <w:t xml:space="preserve">Our website is located at </w:t>
      </w:r>
      <w:r>
        <w:rPr>
          <w:rFonts w:ascii="Times New Roman" w:cs="Times New Roman" w:eastAsia="Times New Roman" w:hAnsi="Times New Roman"/>
          <w:sz w:val="14"/>
          <w:szCs w:val="14"/>
          <w:i w:val="1"/>
          <w:iCs w:val="1"/>
          <w:color w:val="auto"/>
        </w:rPr>
        <w:t>http://investors.centerpointenergy.com</w:t>
      </w:r>
      <w:r>
        <w:rPr>
          <w:rFonts w:ascii="Times New Roman" w:cs="Times New Roman" w:eastAsia="Times New Roman" w:hAnsi="Times New Roman"/>
          <w:sz w:val="14"/>
          <w:szCs w:val="14"/>
          <w:color w:val="auto"/>
        </w:rPr>
        <w:t>. Our Annual Reports on Form 10-K, Quarterly Reports on Form 10-Q, Current Reports on Form 8-K and other filings with the SEC are available, free of charge, through our website, as soon as reasonably practicable after those reports or filings are electronically filed with or furnished to the SEC. Information on our website or any other website is not incorporated by reference in this prospectus and does not constitute a part of this prospectus.</w:t>
      </w:r>
    </w:p>
    <w:p>
      <w:pPr>
        <w:spacing w:after="0" w:line="91" w:lineRule="exact"/>
        <w:rPr>
          <w:sz w:val="20"/>
          <w:szCs w:val="20"/>
          <w:color w:val="auto"/>
        </w:rPr>
      </w:pPr>
    </w:p>
    <w:p>
      <w:pPr>
        <w:ind w:left="1300" w:right="1339" w:firstLine="281"/>
        <w:spacing w:after="0" w:line="256" w:lineRule="auto"/>
        <w:rPr>
          <w:sz w:val="20"/>
          <w:szCs w:val="20"/>
          <w:color w:val="auto"/>
        </w:rPr>
      </w:pPr>
      <w:r>
        <w:rPr>
          <w:rFonts w:ascii="Times New Roman" w:cs="Times New Roman" w:eastAsia="Times New Roman" w:hAnsi="Times New Roman"/>
          <w:sz w:val="14"/>
          <w:szCs w:val="14"/>
          <w:color w:val="auto"/>
        </w:rPr>
        <w:t>This prospectus, which includes information incorporated by reference (see “Incorporation by Reference” below), is part of a registration statement we have filed with the SEC relating to the debt securities we may offer. As permitted by SEC rules, this prospectus does not contain all of the information we have included in the registration statement and the accompanying exhibits and schedules we file with the SEC. You may refer to the registration statement, the exhibits and the schedules for more information about us and our securities. The registration statement, exhibits and schedules are available through the SEC’s website.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25" w:lineRule="exact"/>
        <w:rPr>
          <w:sz w:val="20"/>
          <w:szCs w:val="20"/>
          <w:color w:val="auto"/>
        </w:rPr>
      </w:pPr>
    </w:p>
    <w:p>
      <w:pPr>
        <w:ind w:left="1300" w:right="1339" w:firstLine="281"/>
        <w:spacing w:after="0" w:line="257" w:lineRule="auto"/>
        <w:rPr>
          <w:sz w:val="20"/>
          <w:szCs w:val="20"/>
          <w:color w:val="auto"/>
        </w:rPr>
      </w:pPr>
      <w:r>
        <w:rPr>
          <w:rFonts w:ascii="Times New Roman" w:cs="Times New Roman" w:eastAsia="Times New Roman" w:hAnsi="Times New Roman"/>
          <w:sz w:val="14"/>
          <w:szCs w:val="14"/>
          <w:color w:val="auto"/>
        </w:rPr>
        <w:t>We are “incorporating by reference” into this prospectus certain information we file with the SEC. This means we are disclosing important information to you by referring you to the documents containing the information. The information we incorporate by reference is considered to be part of this prospectus. Information that we file later with the SEC that is deemed incorporated by reference into this prospectus (which does not include information deemed pursuant to the SEC’s rules to be furnished to and not filed with the SEC) will automatically update and supersede information previously included.</w:t>
      </w: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8">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65" w:name="page66"/>
    <w:bookmarkEnd w:id="65"/>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99" w:firstLine="281"/>
        <w:spacing w:after="0" w:line="261" w:lineRule="auto"/>
        <w:rPr>
          <w:sz w:val="20"/>
          <w:szCs w:val="20"/>
          <w:color w:val="auto"/>
        </w:rPr>
      </w:pPr>
      <w:r>
        <w:rPr>
          <w:rFonts w:ascii="Times New Roman" w:cs="Times New Roman" w:eastAsia="Times New Roman" w:hAnsi="Times New Roman"/>
          <w:sz w:val="14"/>
          <w:szCs w:val="14"/>
          <w:color w:val="auto"/>
        </w:rPr>
        <w:t>We are incorporating by reference into this prospectus the documents listed below and any subsequent filings we make with the SEC under Sections 13(a), 13(c), 14 or 15(d) of the Securities Exchange Act of 1934, as amended, (excluding information deemed pursuant to the SEC’s rules to be furnished and not filed with the SEC) until all the debt securities are sold:</w:t>
      </w:r>
    </w:p>
    <w:p>
      <w:pPr>
        <w:spacing w:after="0" w:line="57" w:lineRule="exact"/>
        <w:rPr>
          <w:sz w:val="20"/>
          <w:szCs w:val="20"/>
          <w:color w:val="auto"/>
        </w:rPr>
      </w:pPr>
    </w:p>
    <w:p>
      <w:pPr>
        <w:ind w:left="1720" w:hanging="134"/>
        <w:spacing w:after="0"/>
        <w:tabs>
          <w:tab w:leader="none" w:pos="172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23">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2025;</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w:t>
      </w:r>
      <w:hyperlink r:id="rId62">
        <w:r>
          <w:rPr>
            <w:rFonts w:ascii="Times New Roman" w:cs="Times New Roman" w:eastAsia="Times New Roman" w:hAnsi="Times New Roman"/>
            <w:sz w:val="14"/>
            <w:szCs w:val="14"/>
            <w:u w:val="single" w:color="auto"/>
            <w:color w:val="0000EE"/>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quarter ended March 31, 2026; and</w:t>
      </w:r>
    </w:p>
    <w:p>
      <w:pPr>
        <w:spacing w:after="0" w:line="91" w:lineRule="exact"/>
        <w:rPr>
          <w:rFonts w:ascii="Times New Roman" w:cs="Times New Roman" w:eastAsia="Times New Roman" w:hAnsi="Times New Roman"/>
          <w:sz w:val="14"/>
          <w:szCs w:val="14"/>
          <w:color w:val="auto"/>
        </w:rPr>
      </w:pPr>
    </w:p>
    <w:p>
      <w:pPr>
        <w:ind w:left="1720" w:right="1559" w:hanging="134"/>
        <w:spacing w:after="0" w:line="283" w:lineRule="auto"/>
        <w:tabs>
          <w:tab w:leader="none" w:pos="1720" w:val="left"/>
        </w:tabs>
        <w:numPr>
          <w:ilvl w:val="0"/>
          <w:numId w:val="83"/>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our Current Reports on Form 8-K filed with the SEC on </w:t>
      </w:r>
      <w:hyperlink r:id="rId99">
        <w:r>
          <w:rPr>
            <w:rFonts w:ascii="Times New Roman" w:cs="Times New Roman" w:eastAsia="Times New Roman" w:hAnsi="Times New Roman"/>
            <w:sz w:val="14"/>
            <w:szCs w:val="14"/>
            <w:u w:val="single" w:color="auto"/>
            <w:color w:val="0000EE"/>
          </w:rPr>
          <w:t>January 16, 2026</w:t>
        </w:r>
      </w:hyperlink>
      <w:r>
        <w:rPr>
          <w:rFonts w:ascii="Times New Roman" w:cs="Times New Roman" w:eastAsia="Times New Roman" w:hAnsi="Times New Roman"/>
          <w:sz w:val="14"/>
          <w:szCs w:val="14"/>
          <w:color w:val="auto"/>
        </w:rPr>
        <w:t xml:space="preserve">, </w:t>
      </w:r>
      <w:hyperlink r:id="rId26">
        <w:r>
          <w:rPr>
            <w:rFonts w:ascii="Times New Roman" w:cs="Times New Roman" w:eastAsia="Times New Roman" w:hAnsi="Times New Roman"/>
            <w:sz w:val="14"/>
            <w:szCs w:val="14"/>
            <w:u w:val="single" w:color="auto"/>
            <w:color w:val="0000EE"/>
          </w:rPr>
          <w:t>February 12,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27">
        <w:r>
          <w:rPr>
            <w:rFonts w:ascii="Times New Roman" w:cs="Times New Roman" w:eastAsia="Times New Roman" w:hAnsi="Times New Roman"/>
            <w:sz w:val="14"/>
            <w:szCs w:val="14"/>
            <w:u w:val="single" w:color="auto"/>
            <w:color w:val="0000EE"/>
          </w:rPr>
          <w:t>February 23, 2026</w:t>
        </w:r>
      </w:hyperlink>
      <w:r>
        <w:rPr>
          <w:rFonts w:ascii="Times New Roman" w:cs="Times New Roman" w:eastAsia="Times New Roman" w:hAnsi="Times New Roman"/>
          <w:sz w:val="14"/>
          <w:szCs w:val="14"/>
          <w:color w:val="000000"/>
        </w:rPr>
        <w:t>.</w:t>
      </w:r>
    </w:p>
    <w:p>
      <w:pPr>
        <w:spacing w:after="0" w:line="73" w:lineRule="exact"/>
        <w:rPr>
          <w:rFonts w:ascii="Times New Roman" w:cs="Times New Roman" w:eastAsia="Times New Roman" w:hAnsi="Times New Roman"/>
          <w:sz w:val="14"/>
          <w:szCs w:val="14"/>
          <w:color w:val="auto"/>
        </w:rPr>
      </w:pPr>
    </w:p>
    <w:p>
      <w:pPr>
        <w:ind w:left="1300" w:right="1479" w:firstLine="281"/>
        <w:spacing w:after="0" w:line="259" w:lineRule="auto"/>
        <w:rPr>
          <w:sz w:val="20"/>
          <w:szCs w:val="20"/>
          <w:color w:val="auto"/>
        </w:rPr>
      </w:pPr>
      <w:r>
        <w:rPr>
          <w:rFonts w:ascii="Times New Roman" w:cs="Times New Roman" w:eastAsia="Times New Roman" w:hAnsi="Times New Roman"/>
          <w:sz w:val="14"/>
          <w:szCs w:val="14"/>
          <w:color w:val="auto"/>
        </w:rPr>
        <w:t>From time to time, we, CenterPoint Energy and CenterPoint Energy Houston Electric, LLC file combined reports with the SEC. We do not intend to incorporate by reference into this prospectus information relating to CenterPoint Energy and its subsidiaries (other than us and our consolidated subsidiaries), and we make no representations as to the information relating to CenterPoint Energy and its subsidiaries (other than us and our consolidated subsidiaries) contained in such combined reports.</w:t>
      </w:r>
    </w:p>
    <w:p>
      <w:pPr>
        <w:spacing w:after="0" w:line="89" w:lineRule="exact"/>
        <w:rPr>
          <w:rFonts w:ascii="Times New Roman" w:cs="Times New Roman" w:eastAsia="Times New Roman" w:hAnsi="Times New Roman"/>
          <w:sz w:val="14"/>
          <w:szCs w:val="14"/>
          <w:color w:val="auto"/>
        </w:rPr>
      </w:pPr>
    </w:p>
    <w:p>
      <w:pPr>
        <w:ind w:left="1300" w:right="1359" w:firstLine="281"/>
        <w:spacing w:after="0" w:line="283" w:lineRule="auto"/>
        <w:rPr>
          <w:sz w:val="20"/>
          <w:szCs w:val="20"/>
          <w:color w:val="auto"/>
        </w:rPr>
      </w:pPr>
      <w:r>
        <w:rPr>
          <w:rFonts w:ascii="Times New Roman" w:cs="Times New Roman" w:eastAsia="Times New Roman" w:hAnsi="Times New Roman"/>
          <w:sz w:val="14"/>
          <w:szCs w:val="14"/>
          <w:color w:val="auto"/>
        </w:rPr>
        <w:t>You may also obtain a copy of our filings with the SEC at no cost by writing to or telephoning us at the following address:</w:t>
      </w:r>
    </w:p>
    <w:p>
      <w:pPr>
        <w:spacing w:after="0" w:line="62"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CenterPoint Energy Resources Corp.</w:t>
      </w:r>
    </w:p>
    <w:p>
      <w:pPr>
        <w:spacing w:after="0" w:line="22"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c/o CenterPoint Energy, Inc.</w:t>
      </w:r>
    </w:p>
    <w:p>
      <w:pPr>
        <w:spacing w:after="0" w:line="7"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Attn: Investor Relations</w:t>
      </w:r>
    </w:p>
    <w:p>
      <w:pPr>
        <w:spacing w:after="0" w:line="7"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P.O. Box 4567</w:t>
      </w:r>
    </w:p>
    <w:p>
      <w:pPr>
        <w:spacing w:after="0" w:line="7"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Houston, Texas 77210-4567</w:t>
      </w:r>
    </w:p>
    <w:p>
      <w:pPr>
        <w:spacing w:after="0" w:line="7"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(713) 207-6500</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17"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66" w:name="page67"/>
    <w:bookmarkEnd w:id="66"/>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CENTERPOINT ENERGY RESOURCES CORP.</w:t>
      </w:r>
    </w:p>
    <w:p>
      <w:pPr>
        <w:spacing w:after="0" w:line="125" w:lineRule="exact"/>
        <w:rPr>
          <w:sz w:val="20"/>
          <w:szCs w:val="20"/>
          <w:color w:val="auto"/>
        </w:rPr>
      </w:pPr>
    </w:p>
    <w:p>
      <w:pPr>
        <w:ind w:left="1300" w:right="1399" w:firstLine="281"/>
        <w:spacing w:after="0" w:line="255" w:lineRule="auto"/>
        <w:rPr>
          <w:sz w:val="20"/>
          <w:szCs w:val="20"/>
          <w:color w:val="auto"/>
        </w:rPr>
      </w:pPr>
      <w:r>
        <w:rPr>
          <w:rFonts w:ascii="Times New Roman" w:cs="Times New Roman" w:eastAsia="Times New Roman" w:hAnsi="Times New Roman"/>
          <w:sz w:val="14"/>
          <w:szCs w:val="14"/>
          <w:color w:val="auto"/>
        </w:rPr>
        <w:t>We are an indirect, wholly-owned subsidiary of CenterPoint Energy, Inc. (“CenterPoint Energy”). We directly own and operate natural gas distribution facilities in Minnesota and Texas, and indirectly own and operate natural gas distribution facilities in Indiana and Ohio through Indiana Gas Company, Inc. and Vectren Energy Delivery of Ohio, LLC (“CEOH”). Additionally, we own and operate permanent pipeline connections through interconnects with various interstate and intrastate pipeline companies through our subsidiary CenterPoint Energy Intrastate Pipelines, LLC. On October 20, 2025, we entered into a purchase agreement to sell all of the issued and outstanding equity interests of CEOH. The transaction is expected to close in the fourth quarter of 2026, subject to the satisfaction of customary closing conditions.</w:t>
      </w:r>
    </w:p>
    <w:p>
      <w:pPr>
        <w:spacing w:after="0" w:line="94" w:lineRule="exact"/>
        <w:rPr>
          <w:sz w:val="20"/>
          <w:szCs w:val="20"/>
          <w:color w:val="auto"/>
        </w:rPr>
      </w:pPr>
    </w:p>
    <w:p>
      <w:pPr>
        <w:ind w:left="1300" w:right="1419" w:firstLine="281"/>
        <w:spacing w:after="0" w:line="283" w:lineRule="auto"/>
        <w:rPr>
          <w:sz w:val="20"/>
          <w:szCs w:val="20"/>
          <w:color w:val="auto"/>
        </w:rPr>
      </w:pPr>
      <w:r>
        <w:rPr>
          <w:rFonts w:ascii="Times New Roman" w:cs="Times New Roman" w:eastAsia="Times New Roman" w:hAnsi="Times New Roman"/>
          <w:sz w:val="14"/>
          <w:szCs w:val="14"/>
          <w:color w:val="auto"/>
        </w:rPr>
        <w:t>Our principal executive offices are located at 1111 Louisiana Street, Houston, Texas 77002 (telephone number: 713-207-1111).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67" w:name="page68"/>
    <w:bookmarkEnd w:id="67"/>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5" w:lineRule="exact"/>
        <w:rPr>
          <w:sz w:val="20"/>
          <w:szCs w:val="20"/>
          <w:color w:val="auto"/>
        </w:rPr>
      </w:pPr>
    </w:p>
    <w:p>
      <w:pPr>
        <w:ind w:left="1300" w:right="1319" w:firstLine="281"/>
        <w:spacing w:after="0" w:line="245" w:lineRule="auto"/>
        <w:rPr>
          <w:sz w:val="20"/>
          <w:szCs w:val="20"/>
          <w:color w:val="auto"/>
        </w:rPr>
      </w:pPr>
      <w:r>
        <w:rPr>
          <w:rFonts w:ascii="Times New Roman" w:cs="Times New Roman" w:eastAsia="Times New Roman" w:hAnsi="Times New Roman"/>
          <w:sz w:val="14"/>
          <w:szCs w:val="14"/>
          <w:color w:val="auto"/>
        </w:rPr>
        <w:t>Our businesses are influenced by many factors that are difficult to predict and that involve uncertainties that may materially affect actual operating results, cash flows and financial condition. These risk factors include those described as such in the documents that are incorporated by reference in this prospectus (which risk factors are incorporated herein by reference), and could include additional uncertainties not presently known to us or that we currently do not consider material. Before making an investment decision, you should carefully consider these risks as well as any other information we include or incorporate by reference in this prospectus or include in any applicable prospectus supplement.</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INFORMATION</w:t>
      </w:r>
    </w:p>
    <w:p>
      <w:pPr>
        <w:spacing w:after="0" w:line="125" w:lineRule="exact"/>
        <w:rPr>
          <w:sz w:val="20"/>
          <w:szCs w:val="20"/>
          <w:color w:val="auto"/>
        </w:rPr>
      </w:pPr>
    </w:p>
    <w:p>
      <w:pPr>
        <w:ind w:left="1300" w:right="1479" w:firstLine="281"/>
        <w:spacing w:after="0" w:line="244" w:lineRule="auto"/>
        <w:rPr>
          <w:sz w:val="20"/>
          <w:szCs w:val="20"/>
          <w:color w:val="auto"/>
        </w:rPr>
      </w:pPr>
      <w:r>
        <w:rPr>
          <w:rFonts w:ascii="Times New Roman" w:cs="Times New Roman" w:eastAsia="Times New Roman" w:hAnsi="Times New Roman"/>
          <w:sz w:val="14"/>
          <w:szCs w:val="14"/>
          <w:color w:val="auto"/>
        </w:rPr>
        <w:t>In this prospectus, including the information we incorporate by reference, we make statements concerning our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our forward-looking statements by the words “anticipate,” “believe,” “continue,” “could,” “estimate,” “expect,” “forecast,” “goal,” “intend,” “may,” “objective,” “plan,” “potential,” “predict,” “projection,” “should,” “target,” “will” or other similar words.</w:t>
      </w:r>
    </w:p>
    <w:p>
      <w:pPr>
        <w:spacing w:after="0" w:line="90" w:lineRule="exact"/>
        <w:rPr>
          <w:sz w:val="20"/>
          <w:szCs w:val="20"/>
          <w:color w:val="auto"/>
        </w:rPr>
      </w:pPr>
    </w:p>
    <w:p>
      <w:pPr>
        <w:ind w:left="1300" w:right="1339" w:firstLine="281"/>
        <w:spacing w:after="0" w:line="251" w:lineRule="auto"/>
        <w:rPr>
          <w:sz w:val="20"/>
          <w:szCs w:val="20"/>
          <w:color w:val="auto"/>
        </w:rPr>
      </w:pPr>
      <w:r>
        <w:rPr>
          <w:rFonts w:ascii="Times New Roman" w:cs="Times New Roman" w:eastAsia="Times New Roman" w:hAnsi="Times New Roman"/>
          <w:sz w:val="14"/>
          <w:szCs w:val="14"/>
          <w:color w:val="auto"/>
        </w:rPr>
        <w:t>We have based our forward-looking statements on our management’s beliefs and assumptions based on information reasonably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spacing w:after="0" w:line="84" w:lineRule="exact"/>
        <w:rPr>
          <w:sz w:val="20"/>
          <w:szCs w:val="20"/>
          <w:color w:val="auto"/>
        </w:rPr>
      </w:pPr>
    </w:p>
    <w:p>
      <w:pPr>
        <w:ind w:left="1300" w:right="1459" w:firstLine="281"/>
        <w:spacing w:after="0" w:line="268" w:lineRule="auto"/>
        <w:rPr>
          <w:sz w:val="20"/>
          <w:szCs w:val="20"/>
          <w:color w:val="auto"/>
        </w:rPr>
      </w:pPr>
      <w:r>
        <w:rPr>
          <w:rFonts w:ascii="Times New Roman" w:cs="Times New Roman" w:eastAsia="Times New Roman" w:hAnsi="Times New Roman"/>
          <w:sz w:val="14"/>
          <w:szCs w:val="14"/>
          <w:color w:val="auto"/>
        </w:rPr>
        <w:t>The following are some of the factors that could cause actual results to differ from those expressed or implied by our forward-looking statements:</w:t>
      </w:r>
    </w:p>
    <w:p>
      <w:pPr>
        <w:spacing w:after="0" w:line="40" w:lineRule="exact"/>
        <w:rPr>
          <w:sz w:val="20"/>
          <w:szCs w:val="20"/>
          <w:color w:val="auto"/>
        </w:rPr>
      </w:pPr>
    </w:p>
    <w:p>
      <w:pPr>
        <w:ind w:left="1720" w:right="1379" w:hanging="134"/>
        <w:spacing w:after="0" w:line="259" w:lineRule="auto"/>
        <w:tabs>
          <w:tab w:leader="none" w:pos="172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strategies and strategic initiatives, restructurings, joint ventures and acquisitions or dispositions of assets or businesses involving us or our industry, including the ability to successfully complete such strategies, initiatives, transactions or plans on the timelines we expect or at all, such as the announced sale of our Ohio natural gas local distribution company business, which we cannot assure will have the anticipated benefits to us;</w:t>
      </w:r>
    </w:p>
    <w:p>
      <w:pPr>
        <w:spacing w:after="0" w:line="57" w:lineRule="exact"/>
        <w:rPr>
          <w:rFonts w:ascii="Times New Roman" w:cs="Times New Roman" w:eastAsia="Times New Roman" w:hAnsi="Times New Roman"/>
          <w:sz w:val="14"/>
          <w:szCs w:val="14"/>
          <w:color w:val="auto"/>
        </w:rPr>
      </w:pPr>
    </w:p>
    <w:p>
      <w:pPr>
        <w:ind w:left="1720" w:right="1439" w:hanging="134"/>
        <w:spacing w:after="0" w:line="255" w:lineRule="auto"/>
        <w:tabs>
          <w:tab w:leader="none" w:pos="172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industrial, commercial and residential growth in our service territories and changes in market demand and energy consumption, including in relation to the expansion of data centers (associated with, among other things, increasing demand for artificial intelligence (“AI”)), energy refining and exports, advanced manufacturing and logistics, as well as the effects of energy efficiency measures, technological advances and demographic patterns, and our ability to appropriately estimate/forecast and effectively manage such demand and the business opportunities and projects relating to such matters as well as obtain the anticipated benefits, including relating to customer affordability, associated with such growth;</w:t>
      </w:r>
    </w:p>
    <w:p>
      <w:pPr>
        <w:spacing w:after="0" w:line="62" w:lineRule="exact"/>
        <w:rPr>
          <w:rFonts w:ascii="Times New Roman" w:cs="Times New Roman" w:eastAsia="Times New Roman" w:hAnsi="Times New Roman"/>
          <w:sz w:val="14"/>
          <w:szCs w:val="14"/>
          <w:color w:val="auto"/>
        </w:rPr>
      </w:pPr>
    </w:p>
    <w:p>
      <w:pPr>
        <w:ind w:left="1720" w:right="1459" w:hanging="134"/>
        <w:spacing w:after="0" w:line="283" w:lineRule="auto"/>
        <w:tabs>
          <w:tab w:leader="none" w:pos="172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fund and invest planned capital and the timely recovery of our investments, including the timing of and amounts sought for those related to CenterPoint Energy’s 10-year capital plan;</w:t>
      </w:r>
    </w:p>
    <w:p>
      <w:pPr>
        <w:spacing w:after="0" w:line="41" w:lineRule="exact"/>
        <w:rPr>
          <w:rFonts w:ascii="Times New Roman" w:cs="Times New Roman" w:eastAsia="Times New Roman" w:hAnsi="Times New Roman"/>
          <w:sz w:val="14"/>
          <w:szCs w:val="14"/>
          <w:color w:val="auto"/>
        </w:rPr>
      </w:pPr>
    </w:p>
    <w:p>
      <w:pPr>
        <w:ind w:left="1720" w:right="1319" w:hanging="134"/>
        <w:spacing w:after="0" w:line="261" w:lineRule="auto"/>
        <w:tabs>
          <w:tab w:leader="none" w:pos="172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execute and complete our planned capital projects and programs, including those within CenterPoint Energy’s 10-year capital plan, in a timely and cost-effective manner and within budget, obtain the anticipated benefits of such projects, and manage costs and impacts of such projects on customer affordability;</w:t>
      </w:r>
    </w:p>
    <w:p>
      <w:pPr>
        <w:spacing w:after="0" w:line="57" w:lineRule="exact"/>
        <w:rPr>
          <w:rFonts w:ascii="Times New Roman" w:cs="Times New Roman" w:eastAsia="Times New Roman" w:hAnsi="Times New Roman"/>
          <w:sz w:val="14"/>
          <w:szCs w:val="14"/>
          <w:color w:val="auto"/>
        </w:rPr>
      </w:pPr>
    </w:p>
    <w:p>
      <w:pPr>
        <w:ind w:left="1720" w:right="1859" w:hanging="134"/>
        <w:spacing w:after="0" w:line="267" w:lineRule="auto"/>
        <w:tabs>
          <w:tab w:leader="none" w:pos="172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construct, operate, repair, maintain, replace and restart natural gas facilities, including in the event of an outage and in relation to complying with applicable environmental, reliability and safety standards;</w:t>
      </w:r>
    </w:p>
    <w:p>
      <w:pPr>
        <w:spacing w:after="0" w:line="51" w:lineRule="exact"/>
        <w:rPr>
          <w:rFonts w:ascii="Times New Roman" w:cs="Times New Roman" w:eastAsia="Times New Roman" w:hAnsi="Times New Roman"/>
          <w:sz w:val="14"/>
          <w:szCs w:val="14"/>
          <w:color w:val="auto"/>
        </w:rPr>
      </w:pPr>
    </w:p>
    <w:p>
      <w:pPr>
        <w:jc w:val="both"/>
        <w:ind w:left="1720" w:right="1319" w:hanging="134"/>
        <w:spacing w:after="0" w:line="267" w:lineRule="auto"/>
        <w:tabs>
          <w:tab w:leader="none" w:pos="172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timely and appropriate rate actions that allow and authorize timely recovery of costs and a reasonable return on investment, and requested or favorable adjustments to rates and approval of other requested items as part of base rate proceedings or interim rate mechanisms;</w:t>
      </w: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68" w:name="page69"/>
    <w:bookmarkEnd w:id="68"/>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20" w:right="1359" w:hanging="134"/>
        <w:spacing w:after="0" w:line="267" w:lineRule="auto"/>
        <w:tabs>
          <w:tab w:leader="none" w:pos="172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conditions in regional and national markets, including economic uncertainty and volatility, potential for recession, changes to and increases in inflation and interest rates, and their effect on sales, prices and costs;</w:t>
      </w:r>
    </w:p>
    <w:p>
      <w:pPr>
        <w:spacing w:after="0" w:line="41" w:lineRule="exact"/>
        <w:rPr>
          <w:rFonts w:ascii="Times New Roman" w:cs="Times New Roman" w:eastAsia="Times New Roman" w:hAnsi="Times New Roman"/>
          <w:sz w:val="14"/>
          <w:szCs w:val="14"/>
          <w:color w:val="auto"/>
        </w:rPr>
      </w:pPr>
    </w:p>
    <w:p>
      <w:pPr>
        <w:ind w:left="1720" w:right="1399" w:hanging="134"/>
        <w:spacing w:after="0" w:line="257" w:lineRule="auto"/>
        <w:tabs>
          <w:tab w:leader="none" w:pos="172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severe weather events, natural disasters and other climate-related impacts, including the impact of severe weather events on operations, capital, legislation and/or regulations, such as seen in connection with the extreme and unprecedented winter weather event in February 2021 that resulted in electricity generation supply shortages, including in Texas, and natural gas supply shortages and increased wholesale prices of natural gas in the United States, primarily due to prolonged freezing temperatures (“February 2021 Winter Storm Event”);</w:t>
      </w:r>
    </w:p>
    <w:p>
      <w:pPr>
        <w:spacing w:after="0" w:line="49" w:lineRule="exact"/>
        <w:rPr>
          <w:rFonts w:ascii="Times New Roman" w:cs="Times New Roman" w:eastAsia="Times New Roman" w:hAnsi="Times New Roman"/>
          <w:sz w:val="14"/>
          <w:szCs w:val="14"/>
          <w:color w:val="auto"/>
        </w:rPr>
      </w:pPr>
    </w:p>
    <w:p>
      <w:pPr>
        <w:ind w:left="1720" w:right="1359" w:hanging="134"/>
        <w:spacing w:after="0" w:line="261" w:lineRule="auto"/>
        <w:tabs>
          <w:tab w:leader="none" w:pos="172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in the markets for natural gas as a result of, among other factors, inflation, adverse weather conditions, supply and demand changes, availability of competitively priced alternative energy sources, political and geopolitical instability, commodity production levels and storage capacity, energy and environmental legislation and regulation and economic and financial market conditions;</w:t>
      </w:r>
    </w:p>
    <w:p>
      <w:pPr>
        <w:spacing w:after="0" w:line="36" w:lineRule="exact"/>
        <w:rPr>
          <w:rFonts w:ascii="Times New Roman" w:cs="Times New Roman" w:eastAsia="Times New Roman" w:hAnsi="Times New Roman"/>
          <w:sz w:val="14"/>
          <w:szCs w:val="14"/>
          <w:color w:val="auto"/>
        </w:rPr>
      </w:pPr>
    </w:p>
    <w:p>
      <w:pPr>
        <w:ind w:left="1720" w:right="1399" w:hanging="134"/>
        <w:spacing w:after="0" w:line="267" w:lineRule="auto"/>
        <w:tabs>
          <w:tab w:leader="none" w:pos="172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non-payment for our services due to financial distress of our customers and the ability of our customers to satisfy their obligations to us and CenterPoint Energy, and the negative impact on such ability related to adverse economic conditions and severe weather events;</w:t>
      </w:r>
    </w:p>
    <w:p>
      <w:pPr>
        <w:spacing w:after="0" w:line="41" w:lineRule="exact"/>
        <w:rPr>
          <w:rFonts w:ascii="Times New Roman" w:cs="Times New Roman" w:eastAsia="Times New Roman" w:hAnsi="Times New Roman"/>
          <w:sz w:val="14"/>
          <w:szCs w:val="14"/>
          <w:color w:val="auto"/>
        </w:rPr>
      </w:pPr>
    </w:p>
    <w:p>
      <w:pPr>
        <w:ind w:left="1720" w:right="1699" w:hanging="134"/>
        <w:spacing w:after="0" w:line="267" w:lineRule="auto"/>
        <w:tabs>
          <w:tab w:leader="none" w:pos="172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 health threats, and their effect on our operations, business and financial condition, our industries and the communities we serve, U.S. and world financial markets and supply chains, potential regulatory actions and changes in customer and stakeholder behavior relating thereto;</w:t>
      </w:r>
    </w:p>
    <w:p>
      <w:pPr>
        <w:spacing w:after="0" w:line="41" w:lineRule="exact"/>
        <w:rPr>
          <w:rFonts w:ascii="Times New Roman" w:cs="Times New Roman" w:eastAsia="Times New Roman" w:hAnsi="Times New Roman"/>
          <w:sz w:val="14"/>
          <w:szCs w:val="14"/>
          <w:color w:val="auto"/>
        </w:rPr>
      </w:pPr>
    </w:p>
    <w:p>
      <w:pPr>
        <w:ind w:left="1720" w:right="1359" w:hanging="134"/>
        <w:spacing w:after="0" w:line="255" w:lineRule="auto"/>
        <w:tabs>
          <w:tab w:leader="none" w:pos="172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state and local legislative, executive and regulatory actions or developments affecting various aspects of our businesses, including, among others, any actions resulting from energy deregulation or re-regulation, pipeline integrity and safety, actions relating to our facilities and changes in regulation, legislation and governmental action pertaining to the utility model, trade (including tariffs, bans, retaliatory trade measures taken against the United States or related governmental action), the implementation of budget and spending cuts to federal government agencies and programs, effects of government shutdowns, policies incentivizing or disincentivizing the development or utilization of alternative sources of generation (including distributed generation), health care, finance and actions regarding the rates charged by our regulated businesses;</w:t>
      </w:r>
    </w:p>
    <w:p>
      <w:pPr>
        <w:spacing w:after="0" w:line="38" w:lineRule="exact"/>
        <w:rPr>
          <w:rFonts w:ascii="Times New Roman" w:cs="Times New Roman" w:eastAsia="Times New Roman" w:hAnsi="Times New Roman"/>
          <w:sz w:val="14"/>
          <w:szCs w:val="14"/>
          <w:color w:val="auto"/>
        </w:rPr>
      </w:pPr>
    </w:p>
    <w:p>
      <w:pPr>
        <w:ind w:left="1720" w:right="1359" w:hanging="134"/>
        <w:spacing w:after="0" w:line="255" w:lineRule="auto"/>
        <w:tabs>
          <w:tab w:leader="none" w:pos="172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to the global supply chain, inflation, labor shortages and scarcity of certain materials, including as a result of changes in U.S. and foreign trade policy, economic uncertainty, regulatory and policy instability, political and geopolitical uncertainty and instability, including the conflict involving Iran, severe weather and other catastrophic events, changes in laws, executive orders, legislation and other governmental action, increased competition for skilled labor and increases in demand for electricity, that could prevent us from securing the resources and labor needed to, among other things, fully execute on CenterPoint Energy’s strategy and 10-year capital plan, and otherwise impact the affordability of our rates for our customers;</w:t>
      </w:r>
    </w:p>
    <w:p>
      <w:pPr>
        <w:spacing w:after="0" w:line="52" w:lineRule="exact"/>
        <w:rPr>
          <w:rFonts w:ascii="Times New Roman" w:cs="Times New Roman" w:eastAsia="Times New Roman" w:hAnsi="Times New Roman"/>
          <w:sz w:val="14"/>
          <w:szCs w:val="14"/>
          <w:color w:val="auto"/>
        </w:rPr>
      </w:pPr>
    </w:p>
    <w:p>
      <w:pPr>
        <w:ind w:left="1720" w:right="1519" w:hanging="134"/>
        <w:spacing w:after="0" w:line="283" w:lineRule="auto"/>
        <w:tabs>
          <w:tab w:leader="none" w:pos="172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operations and maintenance costs, our ability to control such costs and cost-related impacts on the affordability of our rates for our customers;</w:t>
      </w:r>
    </w:p>
    <w:p>
      <w:pPr>
        <w:spacing w:after="0" w:line="30" w:lineRule="exact"/>
        <w:rPr>
          <w:rFonts w:ascii="Times New Roman" w:cs="Times New Roman" w:eastAsia="Times New Roman" w:hAnsi="Times New Roman"/>
          <w:sz w:val="14"/>
          <w:szCs w:val="14"/>
          <w:color w:val="auto"/>
        </w:rPr>
      </w:pPr>
    </w:p>
    <w:p>
      <w:pPr>
        <w:ind w:left="1720" w:right="1519" w:hanging="134"/>
        <w:spacing w:after="0" w:line="267" w:lineRule="auto"/>
        <w:tabs>
          <w:tab w:leader="none" w:pos="172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timely obtain and maintain necessary land rights, licenses, permits, easements and approvals from landowners and local, federal and other regulatory authorities on acceptable terms and resolve disputes or third-party challenges to such licenses, permits or approvals as applicable;</w:t>
      </w:r>
    </w:p>
    <w:p>
      <w:pPr>
        <w:spacing w:after="0" w:line="30" w:lineRule="exact"/>
        <w:rPr>
          <w:rFonts w:ascii="Times New Roman" w:cs="Times New Roman" w:eastAsia="Times New Roman" w:hAnsi="Times New Roman"/>
          <w:sz w:val="14"/>
          <w:szCs w:val="14"/>
          <w:color w:val="auto"/>
        </w:rPr>
      </w:pPr>
    </w:p>
    <w:p>
      <w:pPr>
        <w:ind w:left="1720" w:right="1459" w:hanging="134"/>
        <w:spacing w:after="0" w:line="256" w:lineRule="auto"/>
        <w:tabs>
          <w:tab w:leader="none" w:pos="172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or indirect effects on our facilities, resources, operations, reputation and financial condition resulting from terrorism, vandalism, cyberattacks or intrusions, data security breaches or other security incidents, threats or attempts to disrupt our businesses or the businesses of supply chain stakeholders (including by foreign actors), or other catastrophic events such as fires, earthquakes, explosions, leaks, floods, droughts, hurricanes, tornadoes, derecho events, ice storms and other severe weather events, wildfires, pandemic health events, geopolitical conflict, civil unrest or other occurrences;</w:t>
      </w:r>
    </w:p>
    <w:p>
      <w:pPr>
        <w:spacing w:after="0" w:line="221" w:lineRule="exact"/>
        <w:rPr>
          <w:rFonts w:ascii="Times New Roman" w:cs="Times New Roman" w:eastAsia="Times New Roman" w:hAnsi="Times New Roman"/>
          <w:sz w:val="14"/>
          <w:szCs w:val="14"/>
          <w:color w:val="auto"/>
        </w:rPr>
      </w:pPr>
    </w:p>
    <w:p>
      <w:pPr>
        <w:ind w:left="1720" w:right="1359" w:hanging="134"/>
        <w:spacing w:after="0" w:line="259" w:lineRule="auto"/>
        <w:tabs>
          <w:tab w:leader="none" w:pos="172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negative opinions of us or our utility services that our customers, investors, legislators, regulators, creditors, rating agencies or other stakeholders may have or develop, which could result from a variety of factors, including actual or perceived failures in system reliability and safety, the speed of our response to service interruptions, rates and customer affordability, our ability to successfully execute our capital plan, media coverage and actions by third parties;</w:t>
      </w:r>
    </w:p>
    <w:p>
      <w:pPr>
        <w:spacing w:after="0" w:line="2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69" w:name="page70"/>
    <w:bookmarkEnd w:id="69"/>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20" w:right="1399" w:hanging="134"/>
        <w:spacing w:after="0" w:line="267" w:lineRule="auto"/>
        <w:tabs>
          <w:tab w:leader="none" w:pos="172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damages to our network, facilities and systems, including as a result of wildfires, as well as to third-party property resulting in outages or shortages in our service territories, and losses in excess of insurance liability coverage;</w:t>
      </w:r>
    </w:p>
    <w:p>
      <w:pPr>
        <w:spacing w:after="0" w:line="51" w:lineRule="exact"/>
        <w:rPr>
          <w:rFonts w:ascii="Times New Roman" w:cs="Times New Roman" w:eastAsia="Times New Roman" w:hAnsi="Times New Roman"/>
          <w:sz w:val="14"/>
          <w:szCs w:val="14"/>
          <w:color w:val="auto"/>
        </w:rPr>
      </w:pPr>
    </w:p>
    <w:p>
      <w:pPr>
        <w:ind w:left="1720" w:right="1379" w:hanging="134"/>
        <w:spacing w:after="0" w:line="257" w:lineRule="auto"/>
        <w:tabs>
          <w:tab w:leader="none" w:pos="172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legislation and guidance and any changes in tax laws under the current or future administrations, including any further changes to or clarification of the Inflation Reduction Act of 2022 or the One Big Beautiful Bill Act, and any potential changes to tax rates, Corporate Alternative Minimum Tax imposed, tax credits and/or interest deductibility, as well as uncertainties involving state commissions’ and local municipalities’ regulatory requirements and determinations regarding the treatment of excess deferred income taxes and our rates;</w:t>
      </w:r>
    </w:p>
    <w:p>
      <w:pPr>
        <w:spacing w:after="0" w:line="59" w:lineRule="exact"/>
        <w:rPr>
          <w:rFonts w:ascii="Times New Roman" w:cs="Times New Roman" w:eastAsia="Times New Roman" w:hAnsi="Times New Roman"/>
          <w:sz w:val="14"/>
          <w:szCs w:val="14"/>
          <w:color w:val="auto"/>
        </w:rPr>
      </w:pPr>
    </w:p>
    <w:p>
      <w:pPr>
        <w:ind w:left="1720" w:right="1979" w:hanging="134"/>
        <w:spacing w:after="0" w:line="283" w:lineRule="auto"/>
        <w:tabs>
          <w:tab w:leader="none" w:pos="172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mitigate weather impacts through normalization or rate mechanisms, and the effectiveness of such mechanisms;</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by credit rating agencies, including any potential downgrades to credit ratings;</w:t>
      </w:r>
    </w:p>
    <w:p>
      <w:pPr>
        <w:spacing w:after="0" w:line="91" w:lineRule="exact"/>
        <w:rPr>
          <w:rFonts w:ascii="Times New Roman" w:cs="Times New Roman" w:eastAsia="Times New Roman" w:hAnsi="Times New Roman"/>
          <w:sz w:val="14"/>
          <w:szCs w:val="14"/>
          <w:color w:val="auto"/>
        </w:rPr>
      </w:pPr>
    </w:p>
    <w:p>
      <w:pPr>
        <w:ind w:left="1720" w:right="1359" w:hanging="134"/>
        <w:spacing w:after="0" w:line="261" w:lineRule="auto"/>
        <w:tabs>
          <w:tab w:leader="none" w:pos="172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local, state and federal legislative, executive and regulatory actions or developments relating to the environment, including, among others, those related to global climate risk, air emissions, greenhouse gas emissions, carbon emissions, wastewater discharges that could impact operations, and CenterPoint Energy’s energy transition goals;</w:t>
      </w:r>
    </w:p>
    <w:p>
      <w:pPr>
        <w:spacing w:after="0" w:line="57"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unplanned facility outages or other closures;</w:t>
      </w:r>
    </w:p>
    <w:p>
      <w:pPr>
        <w:spacing w:after="0" w:line="91" w:lineRule="exact"/>
        <w:rPr>
          <w:rFonts w:ascii="Times New Roman" w:cs="Times New Roman" w:eastAsia="Times New Roman" w:hAnsi="Times New Roman"/>
          <w:sz w:val="14"/>
          <w:szCs w:val="14"/>
          <w:color w:val="auto"/>
        </w:rPr>
      </w:pPr>
    </w:p>
    <w:p>
      <w:pPr>
        <w:ind w:left="1720" w:right="1339" w:hanging="134"/>
        <w:spacing w:after="0" w:line="283" w:lineRule="auto"/>
        <w:tabs>
          <w:tab w:leader="none" w:pos="172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sufficiency of our insurance coverage, including availability, cost, coverage and terms and ability to recover claims;</w:t>
      </w:r>
    </w:p>
    <w:p>
      <w:pPr>
        <w:spacing w:after="0" w:line="41" w:lineRule="exact"/>
        <w:rPr>
          <w:rFonts w:ascii="Times New Roman" w:cs="Times New Roman" w:eastAsia="Times New Roman" w:hAnsi="Times New Roman"/>
          <w:sz w:val="14"/>
          <w:szCs w:val="14"/>
          <w:color w:val="auto"/>
        </w:rPr>
      </w:pPr>
    </w:p>
    <w:p>
      <w:pPr>
        <w:ind w:left="1720" w:right="1399" w:hanging="134"/>
        <w:spacing w:after="0" w:line="267" w:lineRule="auto"/>
        <w:tabs>
          <w:tab w:leader="none" w:pos="172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impacts from CenterPoint Energy’s pension and postretirement benefit plans, such as the investment performance and increases to net periodic costs as a result of plan settlements and changes in assumptions, including discount rates;</w:t>
      </w:r>
    </w:p>
    <w:p>
      <w:pPr>
        <w:spacing w:after="0" w:line="51" w:lineRule="exact"/>
        <w:rPr>
          <w:rFonts w:ascii="Times New Roman" w:cs="Times New Roman" w:eastAsia="Times New Roman" w:hAnsi="Times New Roman"/>
          <w:sz w:val="14"/>
          <w:szCs w:val="14"/>
          <w:color w:val="auto"/>
        </w:rPr>
      </w:pPr>
    </w:p>
    <w:p>
      <w:pPr>
        <w:ind w:left="1720" w:right="1619" w:hanging="134"/>
        <w:spacing w:after="0" w:line="283" w:lineRule="auto"/>
        <w:tabs>
          <w:tab w:leader="none" w:pos="172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interest rates and their impact on costs of borrowing and the valuation of CenterPoint Energy’s pension benefit obligation;</w:t>
      </w:r>
    </w:p>
    <w:p>
      <w:pPr>
        <w:spacing w:after="0" w:line="41" w:lineRule="exact"/>
        <w:rPr>
          <w:rFonts w:ascii="Times New Roman" w:cs="Times New Roman" w:eastAsia="Times New Roman" w:hAnsi="Times New Roman"/>
          <w:sz w:val="14"/>
          <w:szCs w:val="14"/>
          <w:color w:val="auto"/>
        </w:rPr>
      </w:pPr>
    </w:p>
    <w:p>
      <w:pPr>
        <w:ind w:left="1720" w:right="1399" w:hanging="134"/>
        <w:spacing w:after="0" w:line="264" w:lineRule="auto"/>
        <w:tabs>
          <w:tab w:leader="none" w:pos="172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 bank and financial market conditions, including disruptions in the banking industry, our access to capital, the cost of such capital, the results of our financing and refinancing efforts, including availability of funds in the capital markets, and impacts on our vendors, customers and suppliers;</w:t>
      </w:r>
    </w:p>
    <w:p>
      <w:pPr>
        <w:spacing w:after="0" w:line="226"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of various counterparties to meet their obligations to us;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and effectiveness of our risk management activities;</w:t>
      </w:r>
    </w:p>
    <w:p>
      <w:pPr>
        <w:spacing w:after="0" w:line="91" w:lineRule="exact"/>
        <w:rPr>
          <w:rFonts w:ascii="Times New Roman" w:cs="Times New Roman" w:eastAsia="Times New Roman" w:hAnsi="Times New Roman"/>
          <w:sz w:val="14"/>
          <w:szCs w:val="14"/>
          <w:color w:val="auto"/>
        </w:rPr>
      </w:pPr>
    </w:p>
    <w:p>
      <w:pPr>
        <w:ind w:left="1720" w:right="1519" w:hanging="134"/>
        <w:spacing w:after="0" w:line="283" w:lineRule="auto"/>
        <w:tabs>
          <w:tab w:leader="none" w:pos="172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timely and appropriate regulatory actions, which include actions allowing requested securitization for any severe weather events or natural disasters or other amounts sought for recovery of costs;</w:t>
      </w:r>
    </w:p>
    <w:p>
      <w:pPr>
        <w:spacing w:after="0" w:line="41" w:lineRule="exact"/>
        <w:rPr>
          <w:rFonts w:ascii="Times New Roman" w:cs="Times New Roman" w:eastAsia="Times New Roman" w:hAnsi="Times New Roman"/>
          <w:sz w:val="14"/>
          <w:szCs w:val="14"/>
          <w:color w:val="auto"/>
        </w:rPr>
      </w:pPr>
    </w:p>
    <w:p>
      <w:pPr>
        <w:ind w:left="1720" w:right="1379" w:hanging="134"/>
        <w:spacing w:after="0" w:line="283" w:lineRule="auto"/>
        <w:tabs>
          <w:tab w:leader="none" w:pos="172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effectively transition, motivate and retain an appropriately qualified workforce, identify and develop top talent to succeed management and maintain good labor relations;</w:t>
      </w:r>
    </w:p>
    <w:p>
      <w:pPr>
        <w:spacing w:after="0" w:line="41" w:lineRule="exact"/>
        <w:rPr>
          <w:rFonts w:ascii="Times New Roman" w:cs="Times New Roman" w:eastAsia="Times New Roman" w:hAnsi="Times New Roman"/>
          <w:sz w:val="14"/>
          <w:szCs w:val="14"/>
          <w:color w:val="auto"/>
        </w:rPr>
      </w:pPr>
    </w:p>
    <w:p>
      <w:pPr>
        <w:ind w:left="1720" w:right="1539" w:hanging="134"/>
        <w:spacing w:after="0" w:line="283" w:lineRule="auto"/>
        <w:tabs>
          <w:tab w:leader="none" w:pos="172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technology and their adoption by consumers, and our ability to anticipate, adapt to and implement technological changes;</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advances in AI and our success in timely adopting, developing and deploying AI;</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outcome of any audits, disputes and other proceedings related to taxes;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recording of impairment charges;</w:t>
      </w:r>
    </w:p>
    <w:p>
      <w:pPr>
        <w:spacing w:after="0" w:line="91" w:lineRule="exact"/>
        <w:rPr>
          <w:rFonts w:ascii="Times New Roman" w:cs="Times New Roman" w:eastAsia="Times New Roman" w:hAnsi="Times New Roman"/>
          <w:sz w:val="14"/>
          <w:szCs w:val="14"/>
          <w:color w:val="auto"/>
        </w:rPr>
      </w:pPr>
    </w:p>
    <w:p>
      <w:pPr>
        <w:ind w:left="1720" w:right="1339" w:hanging="134"/>
        <w:spacing w:after="0" w:line="283" w:lineRule="auto"/>
        <w:tabs>
          <w:tab w:leader="none" w:pos="172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and economic developments and actions, including energy and environmental policies under the current administration;</w:t>
      </w:r>
    </w:p>
    <w:p>
      <w:pPr>
        <w:spacing w:after="0" w:line="41" w:lineRule="exact"/>
        <w:rPr>
          <w:rFonts w:ascii="Times New Roman" w:cs="Times New Roman" w:eastAsia="Times New Roman" w:hAnsi="Times New Roman"/>
          <w:sz w:val="14"/>
          <w:szCs w:val="14"/>
          <w:color w:val="auto"/>
        </w:rPr>
      </w:pPr>
    </w:p>
    <w:p>
      <w:pPr>
        <w:ind w:left="1720" w:right="1719" w:hanging="134"/>
        <w:spacing w:after="0" w:line="283" w:lineRule="auto"/>
        <w:tabs>
          <w:tab w:leader="none" w:pos="172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execute on CenterPoint Energy’s strategy, initiatives, targets and goals, including energy transition goals and operations and maintenance expenditure goals;</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litigation, including litigation related to the February 2021 Winter Storm Event;</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changes in and application of accounting standards and pronouncements; and</w:t>
      </w: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201930</wp:posOffset>
            </wp:positionV>
            <wp:extent cx="533082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70" w:name="page71"/>
    <w:bookmarkEnd w:id="70"/>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20" w:right="1519" w:hanging="134"/>
        <w:spacing w:after="0" w:line="267" w:lineRule="auto"/>
        <w:tabs>
          <w:tab w:leader="none" w:pos="1720" w:val="left"/>
        </w:tabs>
        <w:numPr>
          <w:ilvl w:val="0"/>
          <w:numId w:val="87"/>
        </w:numPr>
        <w:rPr>
          <w:rFonts w:ascii="Times New Roman" w:cs="Times New Roman" w:eastAsia="Times New Roman" w:hAnsi="Times New Roman"/>
          <w:sz w:val="14"/>
          <w:szCs w:val="14"/>
          <w:color w:val="0000EE"/>
        </w:rPr>
      </w:pPr>
      <w:hyperlink r:id="rId23">
        <w:r>
          <w:rPr>
            <w:rFonts w:ascii="Times New Roman" w:cs="Times New Roman" w:eastAsia="Times New Roman" w:hAnsi="Times New Roman"/>
            <w:sz w:val="14"/>
            <w:szCs w:val="14"/>
            <w:color w:val="auto"/>
          </w:rPr>
          <w:t xml:space="preserve">other factors discussed in “Risk Factors” in Item 1A of Part I of our </w:t>
        </w:r>
        <w:r>
          <w:rPr>
            <w:rFonts w:ascii="Times New Roman" w:cs="Times New Roman" w:eastAsia="Times New Roman" w:hAnsi="Times New Roman"/>
            <w:sz w:val="14"/>
            <w:szCs w:val="14"/>
            <w:u w:val="single" w:color="auto"/>
            <w:color w:val="0000EE"/>
          </w:rPr>
          <w:t>Annual Report on Form 10-K</w:t>
        </w:r>
      </w:hyperlink>
      <w:r>
        <w:rPr>
          <w:rFonts w:ascii="Times New Roman" w:cs="Times New Roman" w:eastAsia="Times New Roman" w:hAnsi="Times New Roman"/>
          <w:sz w:val="14"/>
          <w:szCs w:val="14"/>
          <w:color w:val="auto"/>
        </w:rPr>
        <w:t xml:space="preserve"> </w:t>
      </w:r>
      <w:hyperlink r:id="rId23">
        <w:r>
          <w:rPr>
            <w:rFonts w:ascii="Times New Roman" w:cs="Times New Roman" w:eastAsia="Times New Roman" w:hAnsi="Times New Roman"/>
            <w:sz w:val="14"/>
            <w:szCs w:val="14"/>
            <w:u w:val="single" w:color="auto"/>
            <w:color w:val="0000EE"/>
          </w:rPr>
          <w:t>for the fiscal year ended December 31, 2025</w:t>
        </w:r>
        <w:r>
          <w:rPr>
            <w:rFonts w:ascii="Times New Roman" w:cs="Times New Roman" w:eastAsia="Times New Roman" w:hAnsi="Times New Roman"/>
            <w:sz w:val="14"/>
            <w:szCs w:val="14"/>
            <w:color w:val="000000"/>
          </w:rPr>
          <w:t>, which are incorporated herein by reference, and in</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other reports we file from time to time with the SEC that are incorporated by reference.</w:t>
      </w:r>
    </w:p>
    <w:p>
      <w:pPr>
        <w:spacing w:after="0" w:line="84" w:lineRule="exact"/>
        <w:rPr>
          <w:rFonts w:ascii="Times New Roman" w:cs="Times New Roman" w:eastAsia="Times New Roman" w:hAnsi="Times New Roman"/>
          <w:sz w:val="14"/>
          <w:szCs w:val="14"/>
          <w:color w:val="auto"/>
        </w:rPr>
      </w:pPr>
    </w:p>
    <w:p>
      <w:pPr>
        <w:ind w:left="1300" w:right="1499" w:firstLine="281"/>
        <w:spacing w:after="0" w:line="267" w:lineRule="auto"/>
        <w:rPr>
          <w:sz w:val="20"/>
          <w:szCs w:val="20"/>
          <w:color w:val="auto"/>
        </w:rPr>
      </w:pPr>
      <w:r>
        <w:rPr>
          <w:rFonts w:ascii="Times New Roman" w:cs="Times New Roman" w:eastAsia="Times New Roman" w:hAnsi="Times New Roman"/>
          <w:sz w:val="14"/>
          <w:szCs w:val="14"/>
          <w:color w:val="auto"/>
        </w:rPr>
        <w:t>You should not place undue reliance on forward-looking statements. Each forward-looking statement speaks only as of the date of the particular statement, and we undertake no obligation to update or revise any forward-looking statements.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91"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71" w:name="page72"/>
    <w:bookmarkEnd w:id="71"/>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5" w:lineRule="exact"/>
        <w:rPr>
          <w:sz w:val="20"/>
          <w:szCs w:val="20"/>
          <w:color w:val="auto"/>
        </w:rPr>
      </w:pPr>
    </w:p>
    <w:p>
      <w:pPr>
        <w:ind w:left="1300" w:right="1539" w:firstLine="281"/>
        <w:spacing w:after="0" w:line="267" w:lineRule="auto"/>
        <w:rPr>
          <w:sz w:val="20"/>
          <w:szCs w:val="20"/>
          <w:color w:val="auto"/>
        </w:rPr>
      </w:pPr>
      <w:r>
        <w:rPr>
          <w:rFonts w:ascii="Times New Roman" w:cs="Times New Roman" w:eastAsia="Times New Roman" w:hAnsi="Times New Roman"/>
          <w:sz w:val="14"/>
          <w:szCs w:val="14"/>
          <w:color w:val="auto"/>
        </w:rPr>
        <w:t>Unless we inform you otherwise in the prospectus supplement, we anticipate using any net proceeds from the sale of the debt securities offered by this prospectus for general corporate purposes. These purposes may include, but are not limited to:</w:t>
      </w:r>
    </w:p>
    <w:p>
      <w:pPr>
        <w:spacing w:after="0" w:line="52" w:lineRule="exact"/>
        <w:rPr>
          <w:sz w:val="20"/>
          <w:szCs w:val="20"/>
          <w:color w:val="auto"/>
        </w:rPr>
      </w:pPr>
    </w:p>
    <w:p>
      <w:pPr>
        <w:ind w:left="1720" w:hanging="134"/>
        <w:spacing w:after="0"/>
        <w:tabs>
          <w:tab w:leader="none" w:pos="172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working capital,</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expenditures,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repayment or refinancing of debt, and</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loans or advances to subsidiaries.</w:t>
      </w:r>
    </w:p>
    <w:p>
      <w:pPr>
        <w:spacing w:after="0" w:line="123" w:lineRule="exact"/>
        <w:rPr>
          <w:sz w:val="20"/>
          <w:szCs w:val="20"/>
          <w:color w:val="auto"/>
        </w:rPr>
      </w:pPr>
    </w:p>
    <w:p>
      <w:pPr>
        <w:ind w:left="1300" w:right="1339" w:firstLine="281"/>
        <w:spacing w:after="0" w:line="283" w:lineRule="auto"/>
        <w:rPr>
          <w:sz w:val="20"/>
          <w:szCs w:val="20"/>
          <w:color w:val="auto"/>
        </w:rPr>
      </w:pPr>
      <w:r>
        <w:rPr>
          <w:rFonts w:ascii="Times New Roman" w:cs="Times New Roman" w:eastAsia="Times New Roman" w:hAnsi="Times New Roman"/>
          <w:sz w:val="14"/>
          <w:szCs w:val="14"/>
          <w:color w:val="auto"/>
        </w:rPr>
        <w:t>Pending any specific application, we may initially invest funds, loan funds to affiliates or apply them to the reduction of short-term indebtedness, commercial paper or debt under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72" w:name="page73"/>
    <w:bookmarkEnd w:id="72"/>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OUR SENIOR DEBT SECURITIES</w:t>
      </w:r>
    </w:p>
    <w:p>
      <w:pPr>
        <w:spacing w:after="0" w:line="125" w:lineRule="exact"/>
        <w:rPr>
          <w:sz w:val="20"/>
          <w:szCs w:val="20"/>
          <w:color w:val="auto"/>
        </w:rPr>
      </w:pPr>
    </w:p>
    <w:p>
      <w:pPr>
        <w:ind w:left="1300" w:right="1339" w:firstLine="281"/>
        <w:spacing w:after="0" w:line="255" w:lineRule="auto"/>
        <w:rPr>
          <w:sz w:val="20"/>
          <w:szCs w:val="20"/>
          <w:color w:val="auto"/>
        </w:rPr>
      </w:pPr>
      <w:r>
        <w:rPr>
          <w:rFonts w:ascii="Times New Roman" w:cs="Times New Roman" w:eastAsia="Times New Roman" w:hAnsi="Times New Roman"/>
          <w:sz w:val="14"/>
          <w:szCs w:val="14"/>
          <w:color w:val="auto"/>
        </w:rPr>
        <w:t>The debt securities offered by this prospectus will be issued under an indenture, dated as of February 1, 1998, as supplemented, between us and The Bank of New York Mellon Trust Company, National Association (successor to JPMorgan Chase Bank, National Association), as trustee. We have incorporated by reference the indenture as an exhibit to the registration statement of which this prospectus is a part. We have summarized selected provisions of the indenture and the debt securities below. This summary is not complete and is qualified in its entirety by reference to the indenture. References to section numbers in this prospectus, unless otherwise indicated, are references to section numbers of the indenture. For purposes of this summary, the terms “we,” “our,” “ours,” and “us” refer only to CenterPoint Energy Resources Corp. and not to any of our subsidiaries.</w:t>
      </w:r>
    </w:p>
    <w:p>
      <w:pPr>
        <w:spacing w:after="0" w:line="263" w:lineRule="exact"/>
        <w:rPr>
          <w:sz w:val="20"/>
          <w:szCs w:val="20"/>
          <w:color w:val="auto"/>
        </w:rPr>
      </w:pPr>
    </w:p>
    <w:p>
      <w:pPr>
        <w:ind w:left="1300" w:right="1339" w:firstLine="281"/>
        <w:spacing w:after="0" w:line="256" w:lineRule="auto"/>
        <w:rPr>
          <w:sz w:val="20"/>
          <w:szCs w:val="20"/>
          <w:color w:val="auto"/>
        </w:rPr>
      </w:pPr>
      <w:r>
        <w:rPr>
          <w:rFonts w:ascii="Times New Roman" w:cs="Times New Roman" w:eastAsia="Times New Roman" w:hAnsi="Times New Roman"/>
          <w:sz w:val="14"/>
          <w:szCs w:val="14"/>
          <w:color w:val="auto"/>
        </w:rPr>
        <w:t>We may issue debt securities from time to time in one or more series under the indenture. There is no limitation on the amount of debt securities we may issue under the indenture. We will describe the particular terms of each series of debt securities we offer in a supplement to this prospectus. The terms of our debt securities will include those set forth in the indenture and those made a part of the indenture by the Trust Indenture Act of 1939, as amended (the “Trust Indenture Act”). You should carefully read the summary below, the applicable prospectus supplement and the provisions of the indenture that may be important to you before investing in our debt securities.</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Ranking</w:t>
      </w:r>
    </w:p>
    <w:p>
      <w:pPr>
        <w:spacing w:after="0" w:line="11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The debt securities offered by this prospectus will:</w:t>
      </w:r>
    </w:p>
    <w:p>
      <w:pPr>
        <w:spacing w:after="0" w:line="92" w:lineRule="exact"/>
        <w:rPr>
          <w:sz w:val="20"/>
          <w:szCs w:val="20"/>
          <w:color w:val="auto"/>
        </w:rPr>
      </w:pPr>
    </w:p>
    <w:p>
      <w:pPr>
        <w:ind w:left="1720" w:hanging="134"/>
        <w:spacing w:after="0"/>
        <w:tabs>
          <w:tab w:leader="none" w:pos="172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general unsecured obligations,</w:t>
      </w:r>
    </w:p>
    <w:p>
      <w:pPr>
        <w:spacing w:after="0" w:line="102" w:lineRule="exact"/>
        <w:rPr>
          <w:rFonts w:ascii="Times New Roman" w:cs="Times New Roman" w:eastAsia="Times New Roman" w:hAnsi="Times New Roman"/>
          <w:sz w:val="14"/>
          <w:szCs w:val="14"/>
          <w:color w:val="auto"/>
        </w:rPr>
      </w:pPr>
    </w:p>
    <w:p>
      <w:pPr>
        <w:ind w:left="1720" w:right="2159" w:hanging="134"/>
        <w:spacing w:after="0" w:line="283" w:lineRule="auto"/>
        <w:tabs>
          <w:tab w:leader="none" w:pos="172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rank equally in right of payment with all of our other existing and future unsecured and unsubordinated indebtedness, and</w:t>
      </w:r>
    </w:p>
    <w:p>
      <w:pPr>
        <w:spacing w:after="0" w:line="41" w:lineRule="exact"/>
        <w:rPr>
          <w:rFonts w:ascii="Times New Roman" w:cs="Times New Roman" w:eastAsia="Times New Roman" w:hAnsi="Times New Roman"/>
          <w:sz w:val="14"/>
          <w:szCs w:val="14"/>
          <w:color w:val="auto"/>
        </w:rPr>
      </w:pPr>
    </w:p>
    <w:p>
      <w:pPr>
        <w:ind w:left="1720" w:right="1319" w:hanging="134"/>
        <w:spacing w:after="0" w:line="283" w:lineRule="auto"/>
        <w:tabs>
          <w:tab w:leader="none" w:pos="172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assets and earnings of our subsidiaries, structurally rank below all of the liabilities of our subsidiaries.</w:t>
      </w:r>
    </w:p>
    <w:p>
      <w:pPr>
        <w:spacing w:after="0" w:line="62" w:lineRule="exact"/>
        <w:rPr>
          <w:sz w:val="20"/>
          <w:szCs w:val="20"/>
          <w:color w:val="auto"/>
        </w:rPr>
      </w:pPr>
    </w:p>
    <w:p>
      <w:pPr>
        <w:ind w:left="1300" w:right="1459" w:firstLine="281"/>
        <w:spacing w:after="0" w:line="267" w:lineRule="auto"/>
        <w:rPr>
          <w:sz w:val="20"/>
          <w:szCs w:val="20"/>
          <w:color w:val="auto"/>
        </w:rPr>
      </w:pPr>
      <w:r>
        <w:rPr>
          <w:rFonts w:ascii="Times New Roman" w:cs="Times New Roman" w:eastAsia="Times New Roman" w:hAnsi="Times New Roman"/>
          <w:sz w:val="14"/>
          <w:szCs w:val="14"/>
          <w:color w:val="auto"/>
        </w:rPr>
        <w:t>Subject to the exceptions, and subject to compliance with the applicable requirements, set forth in the indenture, we may discharge our obligations under the indenture with respect to our debt securities as described below under “— Defeasance.”</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Terms</w:t>
      </w:r>
    </w:p>
    <w:p>
      <w:pPr>
        <w:spacing w:after="0" w:line="125" w:lineRule="exact"/>
        <w:rPr>
          <w:sz w:val="20"/>
          <w:szCs w:val="20"/>
          <w:color w:val="auto"/>
        </w:rPr>
      </w:pPr>
    </w:p>
    <w:p>
      <w:pPr>
        <w:ind w:left="1300" w:right="1439" w:firstLine="281"/>
        <w:spacing w:after="0" w:line="259" w:lineRule="auto"/>
        <w:rPr>
          <w:sz w:val="20"/>
          <w:szCs w:val="20"/>
          <w:color w:val="auto"/>
        </w:rPr>
      </w:pPr>
      <w:r>
        <w:rPr>
          <w:rFonts w:ascii="Times New Roman" w:cs="Times New Roman" w:eastAsia="Times New Roman" w:hAnsi="Times New Roman"/>
          <w:sz w:val="14"/>
          <w:szCs w:val="14"/>
          <w:color w:val="auto"/>
        </w:rPr>
        <w:t>We may issue debt securities in separate series from time to time under the indenture. The total principal amount of debt securities that may be issued under the indenture is unlimited. We may limit the maximum total principal amount for the debt securities of any series. However, any limit may be increased by resolution of our board of directors. (Section 301) We will establish the terms of each series of debt securities, which may not be inconsistent with the indenture, in a supplemental indenture.</w:t>
      </w:r>
    </w:p>
    <w:p>
      <w:pPr>
        <w:spacing w:after="0" w:line="89" w:lineRule="exact"/>
        <w:rPr>
          <w:sz w:val="20"/>
          <w:szCs w:val="20"/>
          <w:color w:val="auto"/>
        </w:rPr>
      </w:pPr>
    </w:p>
    <w:p>
      <w:pPr>
        <w:ind w:left="1300" w:right="1379" w:firstLine="281"/>
        <w:spacing w:after="0" w:line="283" w:lineRule="auto"/>
        <w:rPr>
          <w:sz w:val="20"/>
          <w:szCs w:val="20"/>
          <w:color w:val="auto"/>
        </w:rPr>
      </w:pPr>
      <w:r>
        <w:rPr>
          <w:rFonts w:ascii="Times New Roman" w:cs="Times New Roman" w:eastAsia="Times New Roman" w:hAnsi="Times New Roman"/>
          <w:sz w:val="14"/>
          <w:szCs w:val="14"/>
          <w:color w:val="auto"/>
        </w:rPr>
        <w:t>We will describe the specific terms of the series of debt securities being offered in a supplement to this prospectus. These terms will include some or all of the following:</w:t>
      </w:r>
    </w:p>
    <w:p>
      <w:pPr>
        <w:spacing w:after="0" w:line="41" w:lineRule="exact"/>
        <w:rPr>
          <w:sz w:val="20"/>
          <w:szCs w:val="20"/>
          <w:color w:val="auto"/>
        </w:rPr>
      </w:pPr>
    </w:p>
    <w:p>
      <w:pPr>
        <w:ind w:left="1720" w:hanging="134"/>
        <w:spacing w:after="0"/>
        <w:tabs>
          <w:tab w:leader="none" w:pos="172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debt securities,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on the total principal amount of the debt securities of the series,</w:t>
      </w:r>
    </w:p>
    <w:p>
      <w:pPr>
        <w:spacing w:after="0" w:line="91" w:lineRule="exact"/>
        <w:rPr>
          <w:rFonts w:ascii="Times New Roman" w:cs="Times New Roman" w:eastAsia="Times New Roman" w:hAnsi="Times New Roman"/>
          <w:sz w:val="14"/>
          <w:szCs w:val="14"/>
          <w:color w:val="auto"/>
        </w:rPr>
      </w:pPr>
    </w:p>
    <w:p>
      <w:pPr>
        <w:ind w:left="1720" w:right="1459" w:hanging="134"/>
        <w:spacing w:after="0" w:line="283" w:lineRule="auto"/>
        <w:tabs>
          <w:tab w:leader="none" w:pos="172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the debt securities will be payable or the method used to determine or extend those dates,</w:t>
      </w:r>
    </w:p>
    <w:p>
      <w:pPr>
        <w:spacing w:after="0" w:line="41" w:lineRule="exact"/>
        <w:rPr>
          <w:rFonts w:ascii="Times New Roman" w:cs="Times New Roman" w:eastAsia="Times New Roman" w:hAnsi="Times New Roman"/>
          <w:sz w:val="14"/>
          <w:szCs w:val="14"/>
          <w:color w:val="auto"/>
        </w:rPr>
      </w:pPr>
    </w:p>
    <w:p>
      <w:pPr>
        <w:ind w:left="1720" w:right="1339" w:hanging="134"/>
        <w:spacing w:after="0" w:line="258" w:lineRule="auto"/>
        <w:tabs>
          <w:tab w:leader="none" w:pos="172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interest rate on the debt securities, any date from which interest will accrue, any interest payment dates and regular record dates for interest payments, or the method used to determine any of the foregoing, and the basis for calculating interest if other than a 360-day year of twelve 30-</w:t>
      </w:r>
    </w:p>
    <w:p>
      <w:pPr>
        <w:ind w:left="17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day months,</w:t>
      </w:r>
    </w:p>
    <w:p>
      <w:pPr>
        <w:spacing w:after="0" w:line="76" w:lineRule="exact"/>
        <w:rPr>
          <w:rFonts w:ascii="Times New Roman" w:cs="Times New Roman" w:eastAsia="Times New Roman" w:hAnsi="Times New Roman"/>
          <w:sz w:val="14"/>
          <w:szCs w:val="14"/>
          <w:color w:val="auto"/>
        </w:rPr>
      </w:pPr>
    </w:p>
    <w:p>
      <w:pPr>
        <w:jc w:val="both"/>
        <w:ind w:left="1720" w:right="1379" w:hanging="134"/>
        <w:spacing w:after="0" w:line="267" w:lineRule="auto"/>
        <w:tabs>
          <w:tab w:leader="none" w:pos="172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payments on the debt securities will be payable, the debt securities may be presented for registration of transfer or exchange, and notices and demands to or upon us relating to the debt securities may be made,</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73" w:name="page74"/>
    <w:bookmarkEnd w:id="73"/>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20" w:right="1339" w:hanging="134"/>
        <w:spacing w:after="0" w:line="283" w:lineRule="auto"/>
        <w:tabs>
          <w:tab w:leader="none" w:pos="172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that would allow or obligate us to redeem or purchase the debt securities prior to their maturity,</w:t>
      </w:r>
    </w:p>
    <w:p>
      <w:pPr>
        <w:spacing w:after="0" w:line="41" w:lineRule="exact"/>
        <w:rPr>
          <w:rFonts w:ascii="Times New Roman" w:cs="Times New Roman" w:eastAsia="Times New Roman" w:hAnsi="Times New Roman"/>
          <w:sz w:val="14"/>
          <w:szCs w:val="14"/>
          <w:color w:val="auto"/>
        </w:rPr>
      </w:pPr>
    </w:p>
    <w:p>
      <w:pPr>
        <w:ind w:left="1720" w:right="1719" w:hanging="134"/>
        <w:spacing w:after="0" w:line="283" w:lineRule="auto"/>
        <w:tabs>
          <w:tab w:leader="none" w:pos="172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we will issue the debt securities, if other than denominations of an integral multiple of $1,000,</w:t>
      </w:r>
    </w:p>
    <w:p>
      <w:pPr>
        <w:spacing w:after="0" w:line="51" w:lineRule="exact"/>
        <w:rPr>
          <w:rFonts w:ascii="Times New Roman" w:cs="Times New Roman" w:eastAsia="Times New Roman" w:hAnsi="Times New Roman"/>
          <w:sz w:val="14"/>
          <w:szCs w:val="14"/>
          <w:color w:val="auto"/>
        </w:rPr>
      </w:pPr>
    </w:p>
    <w:p>
      <w:pPr>
        <w:ind w:left="1720" w:right="1539" w:hanging="134"/>
        <w:spacing w:after="0" w:line="283" w:lineRule="auto"/>
        <w:tabs>
          <w:tab w:leader="none" w:pos="172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that would determine payments on the debt securities by reference to an index or a formula,</w:t>
      </w:r>
    </w:p>
    <w:p>
      <w:pPr>
        <w:spacing w:after="0" w:line="41" w:lineRule="exact"/>
        <w:rPr>
          <w:rFonts w:ascii="Times New Roman" w:cs="Times New Roman" w:eastAsia="Times New Roman" w:hAnsi="Times New Roman"/>
          <w:sz w:val="14"/>
          <w:szCs w:val="14"/>
          <w:color w:val="auto"/>
        </w:rPr>
      </w:pPr>
    </w:p>
    <w:p>
      <w:pPr>
        <w:ind w:left="1720" w:right="1499" w:hanging="134"/>
        <w:spacing w:after="0" w:line="283" w:lineRule="auto"/>
        <w:tabs>
          <w:tab w:leader="none" w:pos="172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foreign currency, currencies or currency units in which payments on the debt securities will be payable and the manner for determining the equivalent amount in U.S. dollars ($),</w:t>
      </w:r>
    </w:p>
    <w:p>
      <w:pPr>
        <w:spacing w:after="0" w:line="41" w:lineRule="exact"/>
        <w:rPr>
          <w:rFonts w:ascii="Times New Roman" w:cs="Times New Roman" w:eastAsia="Times New Roman" w:hAnsi="Times New Roman"/>
          <w:sz w:val="14"/>
          <w:szCs w:val="14"/>
          <w:color w:val="auto"/>
        </w:rPr>
      </w:pPr>
    </w:p>
    <w:p>
      <w:pPr>
        <w:ind w:left="1720" w:right="1419" w:hanging="134"/>
        <w:spacing w:after="0" w:line="283" w:lineRule="auto"/>
        <w:tabs>
          <w:tab w:leader="none" w:pos="172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payments on the debt securities in one or more currencies or currency units other than those in which the debt securities are stated to be payable,</w:t>
      </w:r>
    </w:p>
    <w:p>
      <w:pPr>
        <w:spacing w:after="0" w:line="41" w:lineRule="exact"/>
        <w:rPr>
          <w:rFonts w:ascii="Times New Roman" w:cs="Times New Roman" w:eastAsia="Times New Roman" w:hAnsi="Times New Roman"/>
          <w:sz w:val="14"/>
          <w:szCs w:val="14"/>
          <w:color w:val="auto"/>
        </w:rPr>
      </w:pPr>
    </w:p>
    <w:p>
      <w:pPr>
        <w:ind w:left="1720" w:right="1339" w:hanging="134"/>
        <w:spacing w:after="0" w:line="267" w:lineRule="auto"/>
        <w:tabs>
          <w:tab w:leader="none" w:pos="172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percentage of the principal amount at which the debt securities will be issued and the portion of the principal amount of the debt securities that will be payable if the maturity of the debt securities is accelerated, if other than the entire principal amount,</w:t>
      </w:r>
    </w:p>
    <w:p>
      <w:pPr>
        <w:spacing w:after="0" w:line="51" w:lineRule="exact"/>
        <w:rPr>
          <w:rFonts w:ascii="Times New Roman" w:cs="Times New Roman" w:eastAsia="Times New Roman" w:hAnsi="Times New Roman"/>
          <w:sz w:val="14"/>
          <w:szCs w:val="14"/>
          <w:color w:val="auto"/>
        </w:rPr>
      </w:pPr>
    </w:p>
    <w:p>
      <w:pPr>
        <w:jc w:val="both"/>
        <w:ind w:left="1720" w:right="1459" w:hanging="134"/>
        <w:spacing w:after="0" w:line="267" w:lineRule="auto"/>
        <w:tabs>
          <w:tab w:leader="none" w:pos="172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principal amount to be paid at the stated maturity of the debt securities is not determinable as of one or more dates prior to the stated maturity, the amount that will be deemed to be the principal amount as of any such date for any purpose,</w:t>
      </w:r>
    </w:p>
    <w:p>
      <w:pPr>
        <w:spacing w:after="0" w:line="51" w:lineRule="exact"/>
        <w:rPr>
          <w:rFonts w:ascii="Times New Roman" w:cs="Times New Roman" w:eastAsia="Times New Roman" w:hAnsi="Times New Roman"/>
          <w:sz w:val="14"/>
          <w:szCs w:val="14"/>
          <w:color w:val="auto"/>
        </w:rPr>
      </w:pPr>
    </w:p>
    <w:p>
      <w:pPr>
        <w:ind w:left="1720" w:right="1399" w:hanging="134"/>
        <w:spacing w:after="0" w:line="276" w:lineRule="auto"/>
        <w:tabs>
          <w:tab w:leader="none" w:pos="172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variation of the defeasance and covenant defeasance sections of the indenture and the manner in which our election to defease the debt securities will be evidenced, if other than by a board resolution,</w:t>
      </w:r>
    </w:p>
    <w:p>
      <w:pPr>
        <w:spacing w:after="0" w:line="218" w:lineRule="exact"/>
        <w:rPr>
          <w:rFonts w:ascii="Times New Roman" w:cs="Times New Roman" w:eastAsia="Times New Roman" w:hAnsi="Times New Roman"/>
          <w:sz w:val="14"/>
          <w:szCs w:val="14"/>
          <w:color w:val="auto"/>
        </w:rPr>
      </w:pPr>
    </w:p>
    <w:p>
      <w:pPr>
        <w:ind w:left="1720" w:right="1359" w:hanging="134"/>
        <w:spacing w:after="0" w:line="276" w:lineRule="auto"/>
        <w:tabs>
          <w:tab w:leader="none" w:pos="172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we will issue the debt securities in the form of temporary or permanent global securities, the depositories for the global securities, and provisions for exchanging or transferring the global securities,</w:t>
      </w:r>
    </w:p>
    <w:p>
      <w:pPr>
        <w:spacing w:after="0" w:line="218"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interest rate of the debt securities may be reset,</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stated maturity of the debt securities may be extended,</w:t>
      </w:r>
    </w:p>
    <w:p>
      <w:pPr>
        <w:spacing w:after="0" w:line="91" w:lineRule="exact"/>
        <w:rPr>
          <w:rFonts w:ascii="Times New Roman" w:cs="Times New Roman" w:eastAsia="Times New Roman" w:hAnsi="Times New Roman"/>
          <w:sz w:val="14"/>
          <w:szCs w:val="14"/>
          <w:color w:val="auto"/>
        </w:rPr>
      </w:pPr>
    </w:p>
    <w:p>
      <w:pPr>
        <w:ind w:left="1720" w:right="1459" w:hanging="134"/>
        <w:spacing w:after="0" w:line="267" w:lineRule="auto"/>
        <w:tabs>
          <w:tab w:leader="none" w:pos="172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or change in the events of default for the debt securities and any change in the right of the trustee or the holders of the debt securities to declare the principal amount of the debt securities due and payable,</w:t>
      </w:r>
    </w:p>
    <w:p>
      <w:pPr>
        <w:spacing w:after="0" w:line="5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or change in the covenants in the indenture,</w:t>
      </w:r>
    </w:p>
    <w:p>
      <w:pPr>
        <w:spacing w:after="0" w:line="91" w:lineRule="exact"/>
        <w:rPr>
          <w:rFonts w:ascii="Times New Roman" w:cs="Times New Roman" w:eastAsia="Times New Roman" w:hAnsi="Times New Roman"/>
          <w:sz w:val="14"/>
          <w:szCs w:val="14"/>
          <w:color w:val="auto"/>
        </w:rPr>
      </w:pPr>
    </w:p>
    <w:p>
      <w:pPr>
        <w:ind w:left="1720" w:right="1759" w:hanging="134"/>
        <w:spacing w:after="0" w:line="283" w:lineRule="auto"/>
        <w:tabs>
          <w:tab w:leader="none" w:pos="172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additions or changes to the indenture necessary to issue the debt securities in bearer form, registrable or not registrable as to principal, and with or without interest coupons,</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appointment of any paying agents for the debt securities, if other than the trustee,</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right to convert or exchange the debt securities into any other securities or property,</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if any, pursuant to which the debt securities may be secured,</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 or condition on the transferability of the debt securities, and</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consistent with the indenture. (Section 301)</w:t>
      </w:r>
    </w:p>
    <w:p>
      <w:pPr>
        <w:spacing w:after="0" w:line="123" w:lineRule="exact"/>
        <w:rPr>
          <w:sz w:val="20"/>
          <w:szCs w:val="20"/>
          <w:color w:val="auto"/>
        </w:rPr>
      </w:pPr>
    </w:p>
    <w:p>
      <w:pPr>
        <w:ind w:left="1300" w:right="1359" w:firstLine="281"/>
        <w:spacing w:after="0" w:line="257" w:lineRule="auto"/>
        <w:rPr>
          <w:sz w:val="20"/>
          <w:szCs w:val="20"/>
          <w:color w:val="auto"/>
        </w:rPr>
      </w:pPr>
      <w:r>
        <w:rPr>
          <w:rFonts w:ascii="Times New Roman" w:cs="Times New Roman" w:eastAsia="Times New Roman" w:hAnsi="Times New Roman"/>
          <w:sz w:val="14"/>
          <w:szCs w:val="14"/>
          <w:color w:val="auto"/>
        </w:rPr>
        <w:t>We may sell the debt securities, including original issue discount securities, at a substantial discount below their stated principal amount. If there are any special United States federal income tax considerations applicable to debt securities we sell at an original issue discount, we will describe them in the prospectus supplement. In addition, we will describe in the prospectus supplement any special United States federal income tax considerations and any other special considerations for any debt securities we sell which are denominated in a currency or currency unit other than U.S. dollars.</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Form, Exchange and Transfer</w:t>
      </w:r>
    </w:p>
    <w:p>
      <w:pPr>
        <w:spacing w:after="0" w:line="115" w:lineRule="exact"/>
        <w:rPr>
          <w:sz w:val="20"/>
          <w:szCs w:val="20"/>
          <w:color w:val="auto"/>
        </w:rPr>
      </w:pPr>
    </w:p>
    <w:p>
      <w:pPr>
        <w:ind w:left="1300" w:right="1419" w:firstLine="281"/>
        <w:spacing w:after="0" w:line="267" w:lineRule="auto"/>
        <w:rPr>
          <w:sz w:val="20"/>
          <w:szCs w:val="20"/>
          <w:color w:val="auto"/>
        </w:rPr>
      </w:pPr>
      <w:r>
        <w:rPr>
          <w:rFonts w:ascii="Times New Roman" w:cs="Times New Roman" w:eastAsia="Times New Roman" w:hAnsi="Times New Roman"/>
          <w:sz w:val="14"/>
          <w:szCs w:val="14"/>
          <w:color w:val="auto"/>
        </w:rPr>
        <w:t>We will issue the debt securities in registered form, without coupons. Unless we inform you otherwise in the prospectus supplement, we will only issue debt securities in denominations of integral multiples of $1,000. (Section 302)</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74" w:name="page75"/>
    <w:bookmarkEnd w:id="74"/>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499" w:firstLine="281"/>
        <w:spacing w:after="0" w:line="297" w:lineRule="auto"/>
        <w:rPr>
          <w:sz w:val="20"/>
          <w:szCs w:val="20"/>
          <w:color w:val="auto"/>
        </w:rPr>
      </w:pPr>
      <w:r>
        <w:rPr>
          <w:rFonts w:ascii="Times New Roman" w:cs="Times New Roman" w:eastAsia="Times New Roman" w:hAnsi="Times New Roman"/>
          <w:sz w:val="14"/>
          <w:szCs w:val="14"/>
          <w:color w:val="auto"/>
        </w:rPr>
        <w:t>Holders generally will be able to exchange debt securities for other debt securities of the same series with the same total principal amount and the same terms but in different authorized denominations. (Section 305)</w:t>
      </w:r>
    </w:p>
    <w:p>
      <w:pPr>
        <w:spacing w:after="0" w:line="243" w:lineRule="exact"/>
        <w:rPr>
          <w:sz w:val="20"/>
          <w:szCs w:val="20"/>
          <w:color w:val="auto"/>
        </w:rPr>
      </w:pPr>
    </w:p>
    <w:p>
      <w:pPr>
        <w:ind w:left="1300" w:right="1379" w:firstLine="281"/>
        <w:spacing w:after="0" w:line="265" w:lineRule="auto"/>
        <w:rPr>
          <w:sz w:val="20"/>
          <w:szCs w:val="20"/>
          <w:color w:val="auto"/>
        </w:rPr>
      </w:pPr>
      <w:r>
        <w:rPr>
          <w:rFonts w:ascii="Times New Roman" w:cs="Times New Roman" w:eastAsia="Times New Roman" w:hAnsi="Times New Roman"/>
          <w:sz w:val="14"/>
          <w:szCs w:val="14"/>
          <w:color w:val="auto"/>
        </w:rPr>
        <w:t>Holders may present debt securities for exchange or for registration of transfer at the office of the security registrar or at the office of any transfer agent we designate for that purpose. The security registrar or designated transfer agent will exchange or transfer the debt securities if it is satisfied with the documents of title and identity of the person making the request. We will not charge a service charge for any exchange or registration of transfer of debt securities. However, we may require payment of a sum sufficient to cover any tax or other governmental charge payable for the registration of transfer or exchange. Unless we inform you otherwise in the prospectus supplement, we will appoint the trustee as security registrar. We will identify any transfer agent in addition to the security registrar in the prospectus supplement. (Section 305) At any time we may:</w:t>
      </w:r>
    </w:p>
    <w:p>
      <w:pPr>
        <w:spacing w:after="0" w:line="251" w:lineRule="exact"/>
        <w:rPr>
          <w:sz w:val="20"/>
          <w:szCs w:val="20"/>
          <w:color w:val="auto"/>
        </w:rPr>
      </w:pPr>
    </w:p>
    <w:p>
      <w:pPr>
        <w:ind w:left="1720" w:hanging="134"/>
        <w:spacing w:after="0"/>
        <w:tabs>
          <w:tab w:leader="none" w:pos="17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designate additional transfer agents,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rescind the designation of any transfer agent, or</w:t>
      </w:r>
    </w:p>
    <w:p>
      <w:pPr>
        <w:spacing w:after="0" w:line="102"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approve a change in the office of any transfer agent.</w:t>
      </w:r>
    </w:p>
    <w:p>
      <w:pPr>
        <w:spacing w:after="0" w:line="123" w:lineRule="exact"/>
        <w:rPr>
          <w:sz w:val="20"/>
          <w:szCs w:val="20"/>
          <w:color w:val="auto"/>
        </w:rPr>
      </w:pPr>
    </w:p>
    <w:p>
      <w:pPr>
        <w:ind w:left="1300" w:right="1439" w:firstLine="281"/>
        <w:spacing w:after="0" w:line="299" w:lineRule="auto"/>
        <w:rPr>
          <w:sz w:val="20"/>
          <w:szCs w:val="20"/>
          <w:color w:val="auto"/>
        </w:rPr>
      </w:pPr>
      <w:r>
        <w:rPr>
          <w:rFonts w:ascii="Times New Roman" w:cs="Times New Roman" w:eastAsia="Times New Roman" w:hAnsi="Times New Roman"/>
          <w:sz w:val="14"/>
          <w:szCs w:val="14"/>
          <w:color w:val="auto"/>
        </w:rPr>
        <w:t>However, we are required to maintain a transfer agent in each place of payment for the debt securities at all times. (Sections 305 and 1002)</w:t>
      </w:r>
    </w:p>
    <w:p>
      <w:pPr>
        <w:spacing w:after="0" w:line="6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If we elect to redeem a series of debt securities, neither we nor the trustee will be required:</w:t>
      </w:r>
    </w:p>
    <w:p>
      <w:pPr>
        <w:spacing w:after="0" w:line="102" w:lineRule="exact"/>
        <w:rPr>
          <w:sz w:val="20"/>
          <w:szCs w:val="20"/>
          <w:color w:val="auto"/>
        </w:rPr>
      </w:pPr>
    </w:p>
    <w:p>
      <w:pPr>
        <w:ind w:left="1720" w:right="1359" w:hanging="134"/>
        <w:spacing w:after="0" w:line="267" w:lineRule="auto"/>
        <w:tabs>
          <w:tab w:leader="none" w:pos="172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issue, register the transfer of or exchange any debt securities of that series during the period beginning at the opening of business 15 days before the day we mail the notice of redemption for the series and ending at the close of business on the day the notice is mailed, or</w:t>
      </w:r>
    </w:p>
    <w:p>
      <w:pPr>
        <w:spacing w:after="0" w:line="51" w:lineRule="exact"/>
        <w:rPr>
          <w:rFonts w:ascii="Times New Roman" w:cs="Times New Roman" w:eastAsia="Times New Roman" w:hAnsi="Times New Roman"/>
          <w:sz w:val="14"/>
          <w:szCs w:val="14"/>
          <w:color w:val="auto"/>
        </w:rPr>
      </w:pPr>
    </w:p>
    <w:p>
      <w:pPr>
        <w:ind w:left="1720" w:right="1319" w:hanging="134"/>
        <w:spacing w:after="0" w:line="283" w:lineRule="auto"/>
        <w:tabs>
          <w:tab w:leader="none" w:pos="172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register the transfer or exchange of any debt security of that series if we have so selected the series for redemption, in whole or in part, except for the unredeemed portion of the series. (Section 305)</w:t>
      </w:r>
    </w:p>
    <w:p>
      <w:pPr>
        <w:spacing w:after="0" w:line="1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Book-Entry</w:t>
      </w:r>
    </w:p>
    <w:p>
      <w:pPr>
        <w:spacing w:after="0" w:line="125" w:lineRule="exact"/>
        <w:rPr>
          <w:sz w:val="20"/>
          <w:szCs w:val="20"/>
          <w:color w:val="auto"/>
        </w:rPr>
      </w:pPr>
    </w:p>
    <w:p>
      <w:pPr>
        <w:ind w:left="1300" w:right="1339" w:firstLine="281"/>
        <w:spacing w:after="0" w:line="273" w:lineRule="auto"/>
        <w:rPr>
          <w:sz w:val="20"/>
          <w:szCs w:val="20"/>
          <w:color w:val="auto"/>
        </w:rPr>
      </w:pPr>
      <w:r>
        <w:rPr>
          <w:rFonts w:ascii="Times New Roman" w:cs="Times New Roman" w:eastAsia="Times New Roman" w:hAnsi="Times New Roman"/>
          <w:sz w:val="14"/>
          <w:szCs w:val="14"/>
          <w:color w:val="auto"/>
        </w:rPr>
        <w:t>We may issue the debt securities of a series in the form of one or more global debt securities that would be deposited with a depositary or its nominee identified in the prospectus supplement. We may issue global debt securities in either temporary or permanent form. We will describe in the prospectus supplement the terms of any depositary arrangement and the rights and limitations of owners of beneficial interests in any global debt security.</w:t>
      </w:r>
    </w:p>
    <w:p>
      <w:pPr>
        <w:spacing w:after="0" w:line="3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Payment and Paying Agents</w:t>
      </w:r>
    </w:p>
    <w:p>
      <w:pPr>
        <w:spacing w:after="0" w:line="125" w:lineRule="exact"/>
        <w:rPr>
          <w:sz w:val="20"/>
          <w:szCs w:val="20"/>
          <w:color w:val="auto"/>
        </w:rPr>
      </w:pPr>
    </w:p>
    <w:p>
      <w:pPr>
        <w:ind w:left="1300" w:right="1359" w:firstLine="281"/>
        <w:spacing w:after="0" w:line="266" w:lineRule="auto"/>
        <w:rPr>
          <w:sz w:val="20"/>
          <w:szCs w:val="20"/>
          <w:color w:val="auto"/>
        </w:rPr>
      </w:pPr>
      <w:r>
        <w:rPr>
          <w:rFonts w:ascii="Times New Roman" w:cs="Times New Roman" w:eastAsia="Times New Roman" w:hAnsi="Times New Roman"/>
          <w:sz w:val="14"/>
          <w:szCs w:val="14"/>
          <w:color w:val="auto"/>
        </w:rPr>
        <w:t>Under the indenture, we will pay interest on the debt securities to the persons in whose names the debt securities are registered at the close of business on the regular record date for each interest payment. However, unless we inform you otherwise in the prospectus supplement, we will pay the interest payable on the debt securities at their stated maturity to the persons to whom we pay the principal amount of the debt securities. The initial payment of interest on any series of debt securities issued between a regular record date and the related interest payment date will be payable in the manner provided by the terms of the series, which we will describe in the prospectus supplement. (Section 307)</w:t>
      </w:r>
    </w:p>
    <w:p>
      <w:pPr>
        <w:spacing w:after="0" w:line="87" w:lineRule="exact"/>
        <w:rPr>
          <w:sz w:val="20"/>
          <w:szCs w:val="20"/>
          <w:color w:val="auto"/>
        </w:rPr>
      </w:pPr>
    </w:p>
    <w:p>
      <w:pPr>
        <w:ind w:left="1300" w:right="1419" w:firstLine="281"/>
        <w:spacing w:after="0" w:line="283" w:lineRule="auto"/>
        <w:rPr>
          <w:sz w:val="20"/>
          <w:szCs w:val="20"/>
          <w:color w:val="auto"/>
        </w:rPr>
      </w:pPr>
      <w:r>
        <w:rPr>
          <w:rFonts w:ascii="Times New Roman" w:cs="Times New Roman" w:eastAsia="Times New Roman" w:hAnsi="Times New Roman"/>
          <w:sz w:val="14"/>
          <w:szCs w:val="14"/>
          <w:color w:val="auto"/>
        </w:rPr>
        <w:t>Unless we inform you otherwise in the prospectus supplement, we will pay principal, premium, if any, and interest on the debt securities at the offices of the paying agents we designate. However, except in the case of a global security, we may pay interest by:</w:t>
      </w:r>
    </w:p>
    <w:p>
      <w:pPr>
        <w:spacing w:after="0" w:line="51" w:lineRule="exact"/>
        <w:rPr>
          <w:sz w:val="20"/>
          <w:szCs w:val="20"/>
          <w:color w:val="auto"/>
        </w:rPr>
      </w:pPr>
    </w:p>
    <w:p>
      <w:pPr>
        <w:ind w:left="1720" w:right="1839" w:hanging="134"/>
        <w:spacing w:after="0" w:line="283" w:lineRule="auto"/>
        <w:tabs>
          <w:tab w:leader="none" w:pos="172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check mailed to the address of the person entitled to the payment as it appears in the security register, or</w:t>
      </w:r>
    </w:p>
    <w:p>
      <w:pPr>
        <w:spacing w:after="0" w:line="51" w:lineRule="exact"/>
        <w:rPr>
          <w:rFonts w:ascii="Times New Roman" w:cs="Times New Roman" w:eastAsia="Times New Roman" w:hAnsi="Times New Roman"/>
          <w:sz w:val="14"/>
          <w:szCs w:val="14"/>
          <w:color w:val="auto"/>
        </w:rPr>
      </w:pPr>
    </w:p>
    <w:p>
      <w:pPr>
        <w:ind w:left="1720" w:right="1359" w:hanging="134"/>
        <w:spacing w:after="0" w:line="283" w:lineRule="auto"/>
        <w:tabs>
          <w:tab w:leader="none" w:pos="172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wire transfer in immediately available funds to the place and account designated in writing by the person entitled to the payment as specified in the security register.</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75" w:name="page76"/>
    <w:bookmarkEnd w:id="75"/>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39" w:firstLine="281"/>
        <w:spacing w:after="0" w:line="259" w:lineRule="auto"/>
        <w:rPr>
          <w:sz w:val="20"/>
          <w:szCs w:val="20"/>
          <w:color w:val="auto"/>
        </w:rPr>
      </w:pPr>
      <w:r>
        <w:rPr>
          <w:rFonts w:ascii="Times New Roman" w:cs="Times New Roman" w:eastAsia="Times New Roman" w:hAnsi="Times New Roman"/>
          <w:sz w:val="14"/>
          <w:szCs w:val="14"/>
          <w:color w:val="auto"/>
        </w:rPr>
        <w:t>We will designate the trustee as the sole paying agent for the debt securities unless we inform you otherwise in the prospectus supplement. If we initially designate any other paying agents for a series of debt securities, we will identify them in the prospectus supplement. At any time, we may designate additional paying agents or rescind the designation of any paying agents. However, we are required to maintain a paying agent in each place of payment for the debt securities at all times. (Sections 307 and 1002)</w:t>
      </w:r>
    </w:p>
    <w:p>
      <w:pPr>
        <w:spacing w:after="0" w:line="89" w:lineRule="exact"/>
        <w:rPr>
          <w:sz w:val="20"/>
          <w:szCs w:val="20"/>
          <w:color w:val="auto"/>
        </w:rPr>
      </w:pPr>
    </w:p>
    <w:p>
      <w:pPr>
        <w:ind w:left="1300" w:right="1479" w:firstLine="281"/>
        <w:spacing w:after="0" w:line="259" w:lineRule="auto"/>
        <w:rPr>
          <w:sz w:val="20"/>
          <w:szCs w:val="20"/>
          <w:color w:val="auto"/>
        </w:rPr>
      </w:pPr>
      <w:r>
        <w:rPr>
          <w:rFonts w:ascii="Times New Roman" w:cs="Times New Roman" w:eastAsia="Times New Roman" w:hAnsi="Times New Roman"/>
          <w:sz w:val="14"/>
          <w:szCs w:val="14"/>
          <w:color w:val="auto"/>
        </w:rPr>
        <w:t>Any money deposited with the trustee or any paying agent for the payment of principal, premium, if any, and interest on the debt securities that remains unclaimed for two years after the date the payments became due, may be repaid to us upon our request. After we have been repaid, holders entitled to those payments may only look to us for payment as our unsecured general creditors. The trustee and any paying agents will not be liable for those payments after we have been repaid. (Section 1003)</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Restrictive Covenants</w:t>
      </w:r>
    </w:p>
    <w:p>
      <w:pPr>
        <w:spacing w:after="0" w:line="125" w:lineRule="exact"/>
        <w:rPr>
          <w:sz w:val="20"/>
          <w:szCs w:val="20"/>
          <w:color w:val="auto"/>
        </w:rPr>
      </w:pPr>
    </w:p>
    <w:p>
      <w:pPr>
        <w:ind w:left="1300" w:right="2039" w:firstLine="281"/>
        <w:spacing w:after="0" w:line="283" w:lineRule="auto"/>
        <w:rPr>
          <w:sz w:val="20"/>
          <w:szCs w:val="20"/>
          <w:color w:val="auto"/>
        </w:rPr>
      </w:pPr>
      <w:r>
        <w:rPr>
          <w:rFonts w:ascii="Times New Roman" w:cs="Times New Roman" w:eastAsia="Times New Roman" w:hAnsi="Times New Roman"/>
          <w:sz w:val="14"/>
          <w:szCs w:val="14"/>
          <w:color w:val="auto"/>
        </w:rPr>
        <w:t>We will describe any restrictive covenants for any series of debt securities in the prospectus supplement.</w:t>
      </w:r>
    </w:p>
    <w:p>
      <w:pPr>
        <w:spacing w:after="0" w:line="1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Consolidation, Merger and Sale of Assets</w:t>
      </w:r>
    </w:p>
    <w:p>
      <w:pPr>
        <w:spacing w:after="0" w:line="115" w:lineRule="exact"/>
        <w:rPr>
          <w:sz w:val="20"/>
          <w:szCs w:val="20"/>
          <w:color w:val="auto"/>
        </w:rPr>
      </w:pPr>
    </w:p>
    <w:p>
      <w:pPr>
        <w:ind w:left="1300" w:right="1419" w:firstLine="281"/>
        <w:spacing w:after="0" w:line="261" w:lineRule="auto"/>
        <w:rPr>
          <w:sz w:val="20"/>
          <w:szCs w:val="20"/>
          <w:color w:val="auto"/>
        </w:rPr>
      </w:pPr>
      <w:r>
        <w:rPr>
          <w:rFonts w:ascii="Times New Roman" w:cs="Times New Roman" w:eastAsia="Times New Roman" w:hAnsi="Times New Roman"/>
          <w:sz w:val="14"/>
          <w:szCs w:val="14"/>
          <w:color w:val="auto"/>
        </w:rPr>
        <w:t>Under the indenture, we may not consolidate with or merge into, or convey, transfer or lease our properties and assets substantially as an entirety, to any person, referred to as a “successor person,” and we may not permit any person to consolidate with or merge into, or convey, transfer or lease its properties and assets substantially as an entirety to us, unless:</w:t>
      </w:r>
    </w:p>
    <w:p>
      <w:pPr>
        <w:spacing w:after="0" w:line="68" w:lineRule="exact"/>
        <w:rPr>
          <w:sz w:val="20"/>
          <w:szCs w:val="20"/>
          <w:color w:val="auto"/>
        </w:rPr>
      </w:pPr>
    </w:p>
    <w:p>
      <w:pPr>
        <w:ind w:left="1720" w:right="1359" w:hanging="134"/>
        <w:spacing w:after="0" w:line="283" w:lineRule="auto"/>
        <w:tabs>
          <w:tab w:leader="none" w:pos="172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successor person is a corporation, partnership, trust or other entity organized and validly existing under the laws of the United States of America or any state thereof or the District of Columbia,</w:t>
      </w:r>
    </w:p>
    <w:p>
      <w:pPr>
        <w:spacing w:after="0" w:line="41" w:lineRule="exact"/>
        <w:rPr>
          <w:rFonts w:ascii="Times New Roman" w:cs="Times New Roman" w:eastAsia="Times New Roman" w:hAnsi="Times New Roman"/>
          <w:sz w:val="14"/>
          <w:szCs w:val="14"/>
          <w:color w:val="auto"/>
        </w:rPr>
      </w:pPr>
    </w:p>
    <w:p>
      <w:pPr>
        <w:ind w:left="1720" w:right="1559" w:hanging="134"/>
        <w:spacing w:after="0" w:line="283" w:lineRule="auto"/>
        <w:tabs>
          <w:tab w:leader="none" w:pos="172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successor person expressly assumes our obligations with respect to the debt securities and the indenture,</w:t>
      </w:r>
    </w:p>
    <w:p>
      <w:pPr>
        <w:spacing w:after="0" w:line="51" w:lineRule="exact"/>
        <w:rPr>
          <w:rFonts w:ascii="Times New Roman" w:cs="Times New Roman" w:eastAsia="Times New Roman" w:hAnsi="Times New Roman"/>
          <w:sz w:val="14"/>
          <w:szCs w:val="14"/>
          <w:color w:val="auto"/>
        </w:rPr>
      </w:pPr>
    </w:p>
    <w:p>
      <w:pPr>
        <w:ind w:left="1720" w:right="1519" w:hanging="134"/>
        <w:spacing w:after="0" w:line="276" w:lineRule="auto"/>
        <w:tabs>
          <w:tab w:leader="none" w:pos="172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the transaction, no event of default, and no event which, after notice or lapse of time or both, would become an event of default, would occur and be continuing, and</w:t>
      </w:r>
    </w:p>
    <w:p>
      <w:pPr>
        <w:spacing w:after="0" w:line="229" w:lineRule="exact"/>
        <w:rPr>
          <w:rFonts w:ascii="Times New Roman" w:cs="Times New Roman" w:eastAsia="Times New Roman" w:hAnsi="Times New Roman"/>
          <w:sz w:val="14"/>
          <w:szCs w:val="14"/>
          <w:color w:val="auto"/>
        </w:rPr>
      </w:pPr>
    </w:p>
    <w:p>
      <w:pPr>
        <w:ind w:left="1720" w:right="1979" w:hanging="134"/>
        <w:spacing w:after="0" w:line="283" w:lineRule="auto"/>
        <w:tabs>
          <w:tab w:leader="none" w:pos="172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delivered to the trustee the certificates and opinions required under the indenture. (Section 801)</w:t>
      </w:r>
    </w:p>
    <w:p>
      <w:pPr>
        <w:spacing w:after="0" w:line="73" w:lineRule="exact"/>
        <w:rPr>
          <w:sz w:val="20"/>
          <w:szCs w:val="20"/>
          <w:color w:val="auto"/>
        </w:rPr>
      </w:pPr>
    </w:p>
    <w:p>
      <w:pPr>
        <w:ind w:left="1300" w:right="1339" w:firstLine="281"/>
        <w:spacing w:after="0" w:line="283" w:lineRule="auto"/>
        <w:rPr>
          <w:sz w:val="20"/>
          <w:szCs w:val="20"/>
          <w:color w:val="auto"/>
        </w:rPr>
      </w:pPr>
      <w:r>
        <w:rPr>
          <w:rFonts w:ascii="Times New Roman" w:cs="Times New Roman" w:eastAsia="Times New Roman" w:hAnsi="Times New Roman"/>
          <w:sz w:val="14"/>
          <w:szCs w:val="14"/>
          <w:color w:val="auto"/>
        </w:rPr>
        <w:t>As used in the indenture, the term “corporation” means a corporation, association, company, joint-stock company or business trust.</w:t>
      </w:r>
    </w:p>
    <w:p>
      <w:pPr>
        <w:spacing w:after="0" w:line="1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125" w:lineRule="exact"/>
        <w:rPr>
          <w:sz w:val="20"/>
          <w:szCs w:val="20"/>
          <w:color w:val="auto"/>
        </w:rPr>
      </w:pPr>
    </w:p>
    <w:p>
      <w:pPr>
        <w:ind w:left="1300" w:right="1479" w:firstLine="281"/>
        <w:spacing w:after="0" w:line="283" w:lineRule="auto"/>
        <w:rPr>
          <w:sz w:val="20"/>
          <w:szCs w:val="20"/>
          <w:color w:val="auto"/>
        </w:rPr>
      </w:pPr>
      <w:r>
        <w:rPr>
          <w:rFonts w:ascii="Times New Roman" w:cs="Times New Roman" w:eastAsia="Times New Roman" w:hAnsi="Times New Roman"/>
          <w:sz w:val="14"/>
          <w:szCs w:val="14"/>
          <w:color w:val="auto"/>
        </w:rPr>
        <w:t>Unless we inform you otherwise in the prospectus supplement, each of the following will be an event of default under the indenture for a series of debt securities:</w:t>
      </w:r>
    </w:p>
    <w:p>
      <w:pPr>
        <w:spacing w:after="0" w:line="41" w:lineRule="exact"/>
        <w:rPr>
          <w:sz w:val="20"/>
          <w:szCs w:val="20"/>
          <w:color w:val="auto"/>
        </w:rPr>
      </w:pPr>
    </w:p>
    <w:p>
      <w:pPr>
        <w:ind w:left="1720" w:right="1319" w:hanging="134"/>
        <w:spacing w:after="0" w:line="283" w:lineRule="auto"/>
        <w:tabs>
          <w:tab w:leader="none" w:pos="172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pay principal or premium, if any, on that series when due, including at maturity or upon redemption,</w:t>
      </w:r>
    </w:p>
    <w:p>
      <w:pPr>
        <w:spacing w:after="0" w:line="5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pay any interest on that series for 30 days after the interest becomes due,</w:t>
      </w:r>
    </w:p>
    <w:p>
      <w:pPr>
        <w:spacing w:after="0" w:line="102"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deposit any sinking fund payment relating to that series when due,</w:t>
      </w:r>
    </w:p>
    <w:p>
      <w:pPr>
        <w:spacing w:after="0" w:line="102" w:lineRule="exact"/>
        <w:rPr>
          <w:rFonts w:ascii="Times New Roman" w:cs="Times New Roman" w:eastAsia="Times New Roman" w:hAnsi="Times New Roman"/>
          <w:sz w:val="14"/>
          <w:szCs w:val="14"/>
          <w:color w:val="auto"/>
        </w:rPr>
      </w:pPr>
    </w:p>
    <w:p>
      <w:pPr>
        <w:ind w:left="1720" w:right="1339" w:hanging="134"/>
        <w:spacing w:after="0" w:line="259" w:lineRule="auto"/>
        <w:tabs>
          <w:tab w:leader="none" w:pos="172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perform, or our breach in any material respect of, any other covenant or warranty in the indenture, other than a covenant or warranty included in the indenture solely for the benefit of another series of debt securities issued under the indenture, for 90 days after either the trustee or holders of at least 25% in principal amount of the outstanding debt securities of that series have given us written notice of the breach in the manner required by the indenture,</w:t>
      </w:r>
    </w:p>
    <w:p>
      <w:pPr>
        <w:spacing w:after="0" w:line="67"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specified events involving our bankruptcy, insolvency or reorganization, and</w:t>
      </w:r>
    </w:p>
    <w:p>
      <w:pPr>
        <w:spacing w:after="0" w:line="102"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we may provide for that series,</w:t>
      </w: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76" w:name="page77"/>
    <w:bookmarkEnd w:id="76"/>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300" w:right="1379"/>
        <w:spacing w:after="0" w:line="251" w:lineRule="auto"/>
        <w:rPr>
          <w:sz w:val="20"/>
          <w:szCs w:val="20"/>
          <w:color w:val="auto"/>
        </w:rPr>
      </w:pPr>
      <w:r>
        <w:rPr>
          <w:rFonts w:ascii="Times New Roman" w:cs="Times New Roman" w:eastAsia="Times New Roman" w:hAnsi="Times New Roman"/>
          <w:sz w:val="14"/>
          <w:szCs w:val="14"/>
          <w:color w:val="auto"/>
        </w:rPr>
        <w:t>provided, however, that no event described in the fourth, fifth or sixth bullet points above will be an event of default until an officer of the trustee, assigned to and working in the trustee’s corporate trust department, has actual knowledge of the event or until the trustee receives written notice of the event at its corporate trust office, and the notice refers to the debt securities generally, us or the indenture. (Section 501)</w:t>
      </w:r>
    </w:p>
    <w:p>
      <w:pPr>
        <w:spacing w:after="0" w:line="84" w:lineRule="exact"/>
        <w:rPr>
          <w:sz w:val="20"/>
          <w:szCs w:val="20"/>
          <w:color w:val="auto"/>
        </w:rPr>
      </w:pPr>
    </w:p>
    <w:p>
      <w:pPr>
        <w:ind w:left="1300" w:right="1419" w:firstLine="281"/>
        <w:spacing w:after="0" w:line="248" w:lineRule="auto"/>
        <w:rPr>
          <w:sz w:val="20"/>
          <w:szCs w:val="20"/>
          <w:color w:val="auto"/>
        </w:rPr>
      </w:pPr>
      <w:r>
        <w:rPr>
          <w:rFonts w:ascii="Times New Roman" w:cs="Times New Roman" w:eastAsia="Times New Roman" w:hAnsi="Times New Roman"/>
          <w:sz w:val="14"/>
          <w:szCs w:val="14"/>
          <w:color w:val="auto"/>
        </w:rPr>
        <w:t>If an event of default for a series of debt securities occurs and is continuing, either the trustee or the holders of at least 25% in principal amount of the outstanding debt securities of that series may declare the principal amount of all the debt securities of that series due and immediately payable. To declare the principal amount of that series of debt securities due and immediately payable, the trustee or the holders must deliver a notice that satisfies the requirements of the indenture. Upon a declaration by the trustee or the holders, we will be obligated to pay the principal amount of the series of debt securities.</w:t>
      </w:r>
    </w:p>
    <w:p>
      <w:pPr>
        <w:spacing w:after="0" w:line="8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The right described in the preceding paragraph does not apply if:</w:t>
      </w:r>
    </w:p>
    <w:p>
      <w:pPr>
        <w:spacing w:after="0" w:line="92" w:lineRule="exact"/>
        <w:rPr>
          <w:sz w:val="20"/>
          <w:szCs w:val="20"/>
          <w:color w:val="auto"/>
        </w:rPr>
      </w:pPr>
    </w:p>
    <w:p>
      <w:pPr>
        <w:ind w:left="1720" w:hanging="134"/>
        <w:spacing w:after="0"/>
        <w:tabs>
          <w:tab w:leader="none" w:pos="172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event of default described in the fifth bullet point above occurs, or</w:t>
      </w:r>
    </w:p>
    <w:p>
      <w:pPr>
        <w:spacing w:after="0" w:line="81" w:lineRule="exact"/>
        <w:rPr>
          <w:rFonts w:ascii="Times New Roman" w:cs="Times New Roman" w:eastAsia="Times New Roman" w:hAnsi="Times New Roman"/>
          <w:sz w:val="14"/>
          <w:szCs w:val="14"/>
          <w:color w:val="auto"/>
        </w:rPr>
      </w:pPr>
    </w:p>
    <w:p>
      <w:pPr>
        <w:ind w:left="1720" w:right="1399" w:hanging="134"/>
        <w:spacing w:after="0" w:line="283" w:lineRule="auto"/>
        <w:tabs>
          <w:tab w:leader="none" w:pos="172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event of default described in the fourth or sixth bullet points above that applies to all outstanding debt securities occurs.</w:t>
      </w:r>
    </w:p>
    <w:p>
      <w:pPr>
        <w:spacing w:after="0" w:line="73" w:lineRule="exact"/>
        <w:rPr>
          <w:sz w:val="20"/>
          <w:szCs w:val="20"/>
          <w:color w:val="auto"/>
        </w:rPr>
      </w:pPr>
    </w:p>
    <w:p>
      <w:pPr>
        <w:ind w:left="1300" w:right="1319" w:firstLine="281"/>
        <w:spacing w:after="0" w:line="248" w:lineRule="auto"/>
        <w:rPr>
          <w:sz w:val="20"/>
          <w:szCs w:val="20"/>
          <w:color w:val="auto"/>
        </w:rPr>
      </w:pPr>
      <w:r>
        <w:rPr>
          <w:rFonts w:ascii="Times New Roman" w:cs="Times New Roman" w:eastAsia="Times New Roman" w:hAnsi="Times New Roman"/>
          <w:sz w:val="14"/>
          <w:szCs w:val="14"/>
          <w:color w:val="auto"/>
        </w:rPr>
        <w:t>If any of these events of default occurs and is continuing, either the trustee or holders of at least 25% in principal amount of all of the debt securities then outstanding, treated as one class, may declare the principal amount of all of the debt securities then outstanding to be due and payable immediately. To declare the principal amount of the debt securities due and immediately payable, the trustee or the holders must deliver a notice that satisfies the requirements of the indenture. Upon a declaration by the trustee or the holders, we will be obligated to pay the principal amount of the debt securities.</w:t>
      </w:r>
    </w:p>
    <w:p>
      <w:pPr>
        <w:spacing w:after="0" w:line="86" w:lineRule="exact"/>
        <w:rPr>
          <w:sz w:val="20"/>
          <w:szCs w:val="20"/>
          <w:color w:val="auto"/>
        </w:rPr>
      </w:pPr>
    </w:p>
    <w:p>
      <w:pPr>
        <w:ind w:left="1300" w:right="1379" w:firstLine="281"/>
        <w:spacing w:after="0" w:line="251" w:lineRule="auto"/>
        <w:rPr>
          <w:sz w:val="20"/>
          <w:szCs w:val="20"/>
          <w:color w:val="auto"/>
        </w:rPr>
      </w:pPr>
      <w:r>
        <w:rPr>
          <w:rFonts w:ascii="Times New Roman" w:cs="Times New Roman" w:eastAsia="Times New Roman" w:hAnsi="Times New Roman"/>
          <w:sz w:val="14"/>
          <w:szCs w:val="14"/>
          <w:color w:val="auto"/>
        </w:rPr>
        <w:t>However, after any declaration of acceleration of a series of debt securities, but before a judgment or decree for payment has been obtained, the holders of a majority in principal amount of the outstanding debt securities of that series may rescind and annul the declaration of acceleration if:</w:t>
      </w:r>
    </w:p>
    <w:p>
      <w:pPr>
        <w:spacing w:after="0" w:line="53" w:lineRule="exact"/>
        <w:rPr>
          <w:sz w:val="20"/>
          <w:szCs w:val="20"/>
          <w:color w:val="auto"/>
        </w:rPr>
      </w:pPr>
    </w:p>
    <w:p>
      <w:pPr>
        <w:ind w:left="1720" w:hanging="134"/>
        <w:spacing w:after="0"/>
        <w:tabs>
          <w:tab w:leader="none" w:pos="172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paid or deposited with the trustee a sum sufficient to pay:</w:t>
      </w:r>
    </w:p>
    <w:p>
      <w:pPr>
        <w:spacing w:after="0" w:line="91" w:lineRule="exact"/>
        <w:rPr>
          <w:rFonts w:ascii="Times New Roman" w:cs="Times New Roman" w:eastAsia="Times New Roman" w:hAnsi="Times New Roman"/>
          <w:sz w:val="14"/>
          <w:szCs w:val="14"/>
          <w:color w:val="auto"/>
        </w:rPr>
      </w:pPr>
    </w:p>
    <w:p>
      <w:pPr>
        <w:ind w:left="1860" w:hanging="134"/>
        <w:spacing w:after="0"/>
        <w:tabs>
          <w:tab w:leader="none" w:pos="1860"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overdue interest,</w:t>
      </w:r>
    </w:p>
    <w:p>
      <w:pPr>
        <w:spacing w:after="0" w:line="91" w:lineRule="exact"/>
        <w:rPr>
          <w:rFonts w:ascii="Times New Roman" w:cs="Times New Roman" w:eastAsia="Times New Roman" w:hAnsi="Times New Roman"/>
          <w:sz w:val="14"/>
          <w:szCs w:val="14"/>
          <w:color w:val="auto"/>
        </w:rPr>
      </w:pPr>
    </w:p>
    <w:p>
      <w:pPr>
        <w:ind w:left="1860" w:right="1519" w:hanging="134"/>
        <w:spacing w:after="0" w:line="283" w:lineRule="auto"/>
        <w:tabs>
          <w:tab w:leader="none" w:pos="1860"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and premium, if any, due otherwise than by the declaration of acceleration and any interest on such amounts,</w:t>
      </w:r>
    </w:p>
    <w:p>
      <w:pPr>
        <w:spacing w:after="0" w:line="41" w:lineRule="exact"/>
        <w:rPr>
          <w:rFonts w:ascii="Times New Roman" w:cs="Times New Roman" w:eastAsia="Times New Roman" w:hAnsi="Times New Roman"/>
          <w:sz w:val="14"/>
          <w:szCs w:val="14"/>
          <w:color w:val="auto"/>
        </w:rPr>
      </w:pPr>
    </w:p>
    <w:p>
      <w:pPr>
        <w:ind w:left="1860" w:hanging="134"/>
        <w:spacing w:after="0"/>
        <w:tabs>
          <w:tab w:leader="none" w:pos="1860"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interest on overdue interest, to the extent legally permitted, and</w:t>
      </w:r>
    </w:p>
    <w:p>
      <w:pPr>
        <w:spacing w:after="0" w:line="81" w:lineRule="exact"/>
        <w:rPr>
          <w:rFonts w:ascii="Times New Roman" w:cs="Times New Roman" w:eastAsia="Times New Roman" w:hAnsi="Times New Roman"/>
          <w:sz w:val="14"/>
          <w:szCs w:val="14"/>
          <w:color w:val="auto"/>
        </w:rPr>
      </w:pPr>
    </w:p>
    <w:p>
      <w:pPr>
        <w:ind w:left="1860" w:hanging="134"/>
        <w:spacing w:after="0"/>
        <w:tabs>
          <w:tab w:leader="none" w:pos="1860"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amounts paid or advanced by, or due to the trustee under the indenture, and</w:t>
      </w:r>
    </w:p>
    <w:p>
      <w:pPr>
        <w:spacing w:after="0" w:line="91" w:lineRule="exact"/>
        <w:rPr>
          <w:rFonts w:ascii="Times New Roman" w:cs="Times New Roman" w:eastAsia="Times New Roman" w:hAnsi="Times New Roman"/>
          <w:sz w:val="14"/>
          <w:szCs w:val="14"/>
          <w:color w:val="auto"/>
        </w:rPr>
      </w:pPr>
    </w:p>
    <w:p>
      <w:pPr>
        <w:jc w:val="both"/>
        <w:ind w:left="1860" w:right="1379" w:hanging="134"/>
        <w:spacing w:after="0" w:line="267" w:lineRule="auto"/>
        <w:tabs>
          <w:tab w:leader="none" w:pos="1860"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events of default with respect to that series of debt securities, other than the nonpayment of the principal which became due solely by virtue of the declaration of acceleration, have been cured or waived. (Section 502)</w:t>
      </w:r>
    </w:p>
    <w:p>
      <w:pPr>
        <w:spacing w:after="0" w:line="84" w:lineRule="exact"/>
        <w:rPr>
          <w:sz w:val="20"/>
          <w:szCs w:val="20"/>
          <w:color w:val="auto"/>
        </w:rPr>
      </w:pPr>
    </w:p>
    <w:p>
      <w:pPr>
        <w:ind w:left="1300" w:right="1379" w:firstLine="281"/>
        <w:spacing w:after="0" w:line="248" w:lineRule="auto"/>
        <w:rPr>
          <w:sz w:val="20"/>
          <w:szCs w:val="20"/>
          <w:color w:val="auto"/>
        </w:rPr>
      </w:pPr>
      <w:r>
        <w:rPr>
          <w:rFonts w:ascii="Times New Roman" w:cs="Times New Roman" w:eastAsia="Times New Roman" w:hAnsi="Times New Roman"/>
          <w:sz w:val="14"/>
          <w:szCs w:val="14"/>
          <w:color w:val="auto"/>
        </w:rPr>
        <w:t>If an event of default occurs and is continuing, the trustee will generally have no obligation to exercise any of its rights or powers under the indenture at the request or direction of any of the holders, unless the holders offer reasonable indemnity to the trustee. (Section 603) The holders of a majority in principal amount of the outstanding debt securities of any series will generally have the right to direct the time, method and place of conducting any proceeding for any remedy available to the trustee or exercising any trust or power conferred on the trustee for the debt securities of that series, provided that:</w:t>
      </w:r>
    </w:p>
    <w:p>
      <w:pPr>
        <w:spacing w:after="0" w:line="54" w:lineRule="exact"/>
        <w:rPr>
          <w:sz w:val="20"/>
          <w:szCs w:val="20"/>
          <w:color w:val="auto"/>
        </w:rPr>
      </w:pPr>
    </w:p>
    <w:p>
      <w:pPr>
        <w:ind w:left="1720" w:hanging="134"/>
        <w:spacing w:after="0"/>
        <w:tabs>
          <w:tab w:leader="none" w:pos="172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direction is not in conflict with any law or the indenture,</w:t>
      </w:r>
    </w:p>
    <w:p>
      <w:pPr>
        <w:spacing w:after="0" w:line="91" w:lineRule="exact"/>
        <w:rPr>
          <w:rFonts w:ascii="Times New Roman" w:cs="Times New Roman" w:eastAsia="Times New Roman" w:hAnsi="Times New Roman"/>
          <w:sz w:val="14"/>
          <w:szCs w:val="14"/>
          <w:color w:val="auto"/>
        </w:rPr>
      </w:pPr>
    </w:p>
    <w:p>
      <w:pPr>
        <w:ind w:left="1720" w:right="1559" w:hanging="134"/>
        <w:spacing w:after="0" w:line="261" w:lineRule="auto"/>
        <w:tabs>
          <w:tab w:leader="none" w:pos="172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take any other action it deems proper which is not inconsistent with the direction, and</w:t>
      </w:r>
    </w:p>
    <w:p>
      <w:pPr>
        <w:spacing w:after="0" w:line="245" w:lineRule="exact"/>
        <w:rPr>
          <w:rFonts w:ascii="Times New Roman" w:cs="Times New Roman" w:eastAsia="Times New Roman" w:hAnsi="Times New Roman"/>
          <w:sz w:val="14"/>
          <w:szCs w:val="14"/>
          <w:color w:val="auto"/>
        </w:rPr>
      </w:pPr>
    </w:p>
    <w:p>
      <w:pPr>
        <w:ind w:left="1720" w:right="1339" w:hanging="134"/>
        <w:spacing w:after="0" w:line="267" w:lineRule="auto"/>
        <w:tabs>
          <w:tab w:leader="none" w:pos="172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will generally have the right to decline to follow the direction if an officer of the trustee determines, in good faith, that the proceeding would involve the trustee in personal liability or would otherwise be contrary to applicable law. (Section 512)</w:t>
      </w:r>
    </w:p>
    <w:p>
      <w:pPr>
        <w:spacing w:after="0" w:line="7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A holder of a debt security of any series may only pursue a remedy under the indenture if:</w:t>
      </w:r>
    </w:p>
    <w:p>
      <w:pPr>
        <w:spacing w:after="0" w:line="92" w:lineRule="exact"/>
        <w:rPr>
          <w:sz w:val="20"/>
          <w:szCs w:val="20"/>
          <w:color w:val="auto"/>
        </w:rPr>
      </w:pPr>
    </w:p>
    <w:p>
      <w:pPr>
        <w:ind w:left="4420" w:right="2079" w:hanging="2834"/>
        <w:spacing w:after="0" w:line="489" w:lineRule="auto"/>
        <w:tabs>
          <w:tab w:leader="none" w:pos="1733"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gives the trustee written notice of a continuing event of default for that series,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396240</wp:posOffset>
            </wp:positionV>
            <wp:extent cx="533082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77" w:name="page78"/>
    <w:bookmarkEnd w:id="77"/>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20" w:right="1519" w:hanging="134"/>
        <w:spacing w:after="0" w:line="283" w:lineRule="auto"/>
        <w:tabs>
          <w:tab w:leader="none" w:pos="172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of at least 25% in principal amount of the outstanding debt securities of that series make a written request to the trustee to institute proceedings with respect to the event of default,</w:t>
      </w:r>
    </w:p>
    <w:p>
      <w:pPr>
        <w:spacing w:after="0" w:line="4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offer reasonable indemnity to the trustee,</w:t>
      </w:r>
    </w:p>
    <w:p>
      <w:pPr>
        <w:spacing w:after="0" w:line="91" w:lineRule="exact"/>
        <w:rPr>
          <w:rFonts w:ascii="Times New Roman" w:cs="Times New Roman" w:eastAsia="Times New Roman" w:hAnsi="Times New Roman"/>
          <w:sz w:val="14"/>
          <w:szCs w:val="14"/>
          <w:color w:val="auto"/>
        </w:rPr>
      </w:pPr>
    </w:p>
    <w:p>
      <w:pPr>
        <w:ind w:left="1720" w:right="1419" w:hanging="134"/>
        <w:spacing w:after="0" w:line="283" w:lineRule="auto"/>
        <w:tabs>
          <w:tab w:leader="none" w:pos="172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fails to pursue that remedy within 60 days after receipt of the notice, request and offer of indemnity, and</w:t>
      </w:r>
    </w:p>
    <w:p>
      <w:pPr>
        <w:spacing w:after="0" w:line="30" w:lineRule="exact"/>
        <w:rPr>
          <w:rFonts w:ascii="Times New Roman" w:cs="Times New Roman" w:eastAsia="Times New Roman" w:hAnsi="Times New Roman"/>
          <w:sz w:val="14"/>
          <w:szCs w:val="14"/>
          <w:color w:val="auto"/>
        </w:rPr>
      </w:pPr>
    </w:p>
    <w:p>
      <w:pPr>
        <w:ind w:left="1720" w:right="1399" w:hanging="134"/>
        <w:spacing w:after="0" w:line="283" w:lineRule="auto"/>
        <w:tabs>
          <w:tab w:leader="none" w:pos="172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that 60-day period, the holders of a majority in principal amount of the debt securities of that series do not give the trustee a direction inconsistent with the request. (Section 507)</w:t>
      </w:r>
    </w:p>
    <w:p>
      <w:pPr>
        <w:spacing w:after="0" w:line="73" w:lineRule="exact"/>
        <w:rPr>
          <w:sz w:val="20"/>
          <w:szCs w:val="20"/>
          <w:color w:val="auto"/>
        </w:rPr>
      </w:pPr>
    </w:p>
    <w:p>
      <w:pPr>
        <w:ind w:left="1300" w:right="1379" w:firstLine="281"/>
        <w:spacing w:after="0" w:line="247" w:lineRule="auto"/>
        <w:rPr>
          <w:sz w:val="20"/>
          <w:szCs w:val="20"/>
          <w:color w:val="auto"/>
        </w:rPr>
      </w:pPr>
      <w:r>
        <w:rPr>
          <w:rFonts w:ascii="Times New Roman" w:cs="Times New Roman" w:eastAsia="Times New Roman" w:hAnsi="Times New Roman"/>
          <w:sz w:val="14"/>
          <w:szCs w:val="14"/>
          <w:color w:val="auto"/>
        </w:rPr>
        <w:t>No holder has any right in any manner by virtue of, or availing itself of, any provision of the indenture to affect, disturb or prejudice the rights of any other holder of debt securities, or to obtain or seek to obtain priority or preference over any other holder, or to enforce any right under the indenture, except in the manner provided for in the indenture and for the equal and ratable benefit of all holders of debt securities. (Section 507)</w:t>
      </w:r>
    </w:p>
    <w:p>
      <w:pPr>
        <w:spacing w:after="0" w:line="253" w:lineRule="exact"/>
        <w:rPr>
          <w:sz w:val="20"/>
          <w:szCs w:val="20"/>
          <w:color w:val="auto"/>
        </w:rPr>
      </w:pPr>
    </w:p>
    <w:p>
      <w:pPr>
        <w:ind w:left="1300" w:right="1439" w:firstLine="281"/>
        <w:spacing w:after="0" w:line="266" w:lineRule="auto"/>
        <w:rPr>
          <w:sz w:val="20"/>
          <w:szCs w:val="20"/>
          <w:color w:val="auto"/>
        </w:rPr>
      </w:pPr>
      <w:r>
        <w:rPr>
          <w:rFonts w:ascii="Times New Roman" w:cs="Times New Roman" w:eastAsia="Times New Roman" w:hAnsi="Times New Roman"/>
          <w:sz w:val="14"/>
          <w:szCs w:val="14"/>
          <w:color w:val="auto"/>
        </w:rPr>
        <w:t>However, these limitations do not apply to a suit by a holder of a debt security demanding payment of the principal, premium, if any, or interest on a debt security on or after the date the payment is due. (Section 508)</w:t>
      </w:r>
    </w:p>
    <w:p>
      <w:pPr>
        <w:spacing w:after="0" w:line="243" w:lineRule="exact"/>
        <w:rPr>
          <w:sz w:val="20"/>
          <w:szCs w:val="20"/>
          <w:color w:val="auto"/>
        </w:rPr>
      </w:pPr>
    </w:p>
    <w:p>
      <w:pPr>
        <w:jc w:val="both"/>
        <w:ind w:left="1300" w:right="1379" w:firstLine="281"/>
        <w:spacing w:after="0" w:line="259" w:lineRule="auto"/>
        <w:rPr>
          <w:sz w:val="20"/>
          <w:szCs w:val="20"/>
          <w:color w:val="auto"/>
        </w:rPr>
      </w:pPr>
      <w:r>
        <w:rPr>
          <w:rFonts w:ascii="Times New Roman" w:cs="Times New Roman" w:eastAsia="Times New Roman" w:hAnsi="Times New Roman"/>
          <w:sz w:val="14"/>
          <w:szCs w:val="14"/>
          <w:color w:val="auto"/>
        </w:rPr>
        <w:t>We will be required to furnish to the trustee annually a statement by some of our officers regarding our performance or observance of any of the terms of the indenture and specifying all of our known defaults, if any. (Section 1004)</w:t>
      </w:r>
    </w:p>
    <w:p>
      <w:pPr>
        <w:spacing w:after="0" w:line="1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Modification and Waiver</w:t>
      </w:r>
    </w:p>
    <w:p>
      <w:pPr>
        <w:spacing w:after="0" w:line="125" w:lineRule="exact"/>
        <w:rPr>
          <w:sz w:val="20"/>
          <w:szCs w:val="20"/>
          <w:color w:val="auto"/>
        </w:rPr>
      </w:pPr>
    </w:p>
    <w:p>
      <w:pPr>
        <w:ind w:left="1300" w:right="1639" w:firstLine="281"/>
        <w:spacing w:after="0" w:line="268" w:lineRule="auto"/>
        <w:rPr>
          <w:sz w:val="20"/>
          <w:szCs w:val="20"/>
          <w:color w:val="auto"/>
        </w:rPr>
      </w:pPr>
      <w:r>
        <w:rPr>
          <w:rFonts w:ascii="Times New Roman" w:cs="Times New Roman" w:eastAsia="Times New Roman" w:hAnsi="Times New Roman"/>
          <w:sz w:val="14"/>
          <w:szCs w:val="14"/>
          <w:color w:val="auto"/>
        </w:rPr>
        <w:t>We may enter into one or more supplemental indentures with the trustee without the consent of the holders of the debt securities to:</w:t>
      </w:r>
    </w:p>
    <w:p>
      <w:pPr>
        <w:spacing w:after="0" w:line="40" w:lineRule="exact"/>
        <w:rPr>
          <w:sz w:val="20"/>
          <w:szCs w:val="20"/>
          <w:color w:val="auto"/>
        </w:rPr>
      </w:pPr>
    </w:p>
    <w:p>
      <w:pPr>
        <w:ind w:left="1720" w:right="1459" w:hanging="134"/>
        <w:spacing w:after="0" w:line="283" w:lineRule="auto"/>
        <w:tabs>
          <w:tab w:leader="none" w:pos="17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evidence the succession of another corporation to us, or successive successions and the assumption of our covenants, agreements and obligations by a successor,</w:t>
      </w:r>
    </w:p>
    <w:p>
      <w:pPr>
        <w:spacing w:after="0" w:line="41" w:lineRule="exact"/>
        <w:rPr>
          <w:rFonts w:ascii="Times New Roman" w:cs="Times New Roman" w:eastAsia="Times New Roman" w:hAnsi="Times New Roman"/>
          <w:sz w:val="14"/>
          <w:szCs w:val="14"/>
          <w:color w:val="auto"/>
        </w:rPr>
      </w:pPr>
    </w:p>
    <w:p>
      <w:pPr>
        <w:ind w:left="1720" w:right="1359" w:hanging="134"/>
        <w:spacing w:after="0" w:line="283" w:lineRule="auto"/>
        <w:tabs>
          <w:tab w:leader="none" w:pos="17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to our covenants for the benefit of the holders of any series of debt securities or to surrender any of our rights or powers,</w:t>
      </w:r>
    </w:p>
    <w:p>
      <w:pPr>
        <w:spacing w:after="0" w:line="30"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events of default for any series of debt securities,</w:t>
      </w:r>
    </w:p>
    <w:p>
      <w:pPr>
        <w:spacing w:after="0" w:line="91" w:lineRule="exact"/>
        <w:rPr>
          <w:rFonts w:ascii="Times New Roman" w:cs="Times New Roman" w:eastAsia="Times New Roman" w:hAnsi="Times New Roman"/>
          <w:sz w:val="14"/>
          <w:szCs w:val="14"/>
          <w:color w:val="auto"/>
        </w:rPr>
      </w:pPr>
    </w:p>
    <w:p>
      <w:pPr>
        <w:ind w:left="1720" w:right="1559" w:hanging="134"/>
        <w:spacing w:after="0" w:line="283" w:lineRule="auto"/>
        <w:tabs>
          <w:tab w:leader="none" w:pos="17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to or change any provisions of the indenture to the extent necessary to issue debt securities in bearer form,</w:t>
      </w:r>
    </w:p>
    <w:p>
      <w:pPr>
        <w:spacing w:after="0" w:line="41" w:lineRule="exact"/>
        <w:rPr>
          <w:rFonts w:ascii="Times New Roman" w:cs="Times New Roman" w:eastAsia="Times New Roman" w:hAnsi="Times New Roman"/>
          <w:sz w:val="14"/>
          <w:szCs w:val="14"/>
          <w:color w:val="auto"/>
        </w:rPr>
      </w:pPr>
    </w:p>
    <w:p>
      <w:pPr>
        <w:ind w:left="1720" w:right="1459" w:hanging="134"/>
        <w:spacing w:after="0" w:line="261" w:lineRule="auto"/>
        <w:tabs>
          <w:tab w:leader="none" w:pos="17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to, change or eliminate any provision of the indenture applying to one or more series of debt securities, provided that if such action adversely affects the interests of any holder of any series of debt securities, the addition, change or elimination will become effective with respect to that series only when no security of that series remains outstanding,</w:t>
      </w:r>
    </w:p>
    <w:p>
      <w:pPr>
        <w:spacing w:after="0" w:line="57" w:lineRule="exact"/>
        <w:rPr>
          <w:rFonts w:ascii="Times New Roman" w:cs="Times New Roman" w:eastAsia="Times New Roman" w:hAnsi="Times New Roman"/>
          <w:sz w:val="14"/>
          <w:szCs w:val="14"/>
          <w:color w:val="auto"/>
        </w:rPr>
      </w:pPr>
    </w:p>
    <w:p>
      <w:pPr>
        <w:ind w:left="1720" w:right="1339" w:hanging="134"/>
        <w:spacing w:after="0" w:line="283" w:lineRule="auto"/>
        <w:tabs>
          <w:tab w:leader="none" w:pos="17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convey, transfer, assign, mortgage or pledge any property to or with the trustee or surrender any right or power conferred upon us by the indenture,</w:t>
      </w:r>
    </w:p>
    <w:p>
      <w:pPr>
        <w:spacing w:after="0" w:line="30"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the form or terms of any series of debt securities,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uncertificated securities in addition to certificated securities,</w:t>
      </w:r>
    </w:p>
    <w:p>
      <w:pPr>
        <w:spacing w:after="0" w:line="91" w:lineRule="exact"/>
        <w:rPr>
          <w:rFonts w:ascii="Times New Roman" w:cs="Times New Roman" w:eastAsia="Times New Roman" w:hAnsi="Times New Roman"/>
          <w:sz w:val="14"/>
          <w:szCs w:val="14"/>
          <w:color w:val="auto"/>
        </w:rPr>
      </w:pPr>
    </w:p>
    <w:p>
      <w:pPr>
        <w:ind w:left="1720" w:right="1439" w:hanging="134"/>
        <w:spacing w:after="0" w:line="283" w:lineRule="auto"/>
        <w:tabs>
          <w:tab w:leader="none" w:pos="17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evidence and provide for successor trustees or add or change any provisions to the extent necessary to appoint a separate trustee or trustees for a specific series of debt securities,</w:t>
      </w:r>
    </w:p>
    <w:p>
      <w:pPr>
        <w:spacing w:after="0" w:line="30" w:lineRule="exact"/>
        <w:rPr>
          <w:rFonts w:ascii="Times New Roman" w:cs="Times New Roman" w:eastAsia="Times New Roman" w:hAnsi="Times New Roman"/>
          <w:sz w:val="14"/>
          <w:szCs w:val="14"/>
          <w:color w:val="auto"/>
        </w:rPr>
      </w:pPr>
    </w:p>
    <w:p>
      <w:pPr>
        <w:ind w:left="1720" w:right="1539" w:hanging="134"/>
        <w:spacing w:after="0" w:line="283" w:lineRule="auto"/>
        <w:tabs>
          <w:tab w:leader="none" w:pos="17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correct any ambiguity, defect or inconsistency under the indenture, provided that such action does not adversely affect the interests of the holders of any series of debt securities,</w:t>
      </w:r>
    </w:p>
    <w:p>
      <w:pPr>
        <w:spacing w:after="0" w:line="41" w:lineRule="exact"/>
        <w:rPr>
          <w:rFonts w:ascii="Times New Roman" w:cs="Times New Roman" w:eastAsia="Times New Roman" w:hAnsi="Times New Roman"/>
          <w:sz w:val="14"/>
          <w:szCs w:val="14"/>
          <w:color w:val="auto"/>
        </w:rPr>
      </w:pPr>
    </w:p>
    <w:p>
      <w:pPr>
        <w:ind w:left="1720" w:right="1599" w:hanging="134"/>
        <w:spacing w:after="0" w:line="267" w:lineRule="auto"/>
        <w:tabs>
          <w:tab w:leader="none" w:pos="17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supplement any provisions of the indenture necessary to defease and discharge any series of debt securities, provided that such action does not adversely affect the interests of the holders of any series of debt securities,</w:t>
      </w:r>
    </w:p>
    <w:p>
      <w:pPr>
        <w:spacing w:after="0" w:line="51" w:lineRule="exact"/>
        <w:rPr>
          <w:rFonts w:ascii="Times New Roman" w:cs="Times New Roman" w:eastAsia="Times New Roman" w:hAnsi="Times New Roman"/>
          <w:sz w:val="14"/>
          <w:szCs w:val="14"/>
          <w:color w:val="auto"/>
        </w:rPr>
      </w:pPr>
    </w:p>
    <w:p>
      <w:pPr>
        <w:ind w:left="1720" w:right="1539" w:hanging="134"/>
        <w:spacing w:after="0" w:line="283" w:lineRule="auto"/>
        <w:tabs>
          <w:tab w:leader="none" w:pos="172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the rules or regulations of any securities exchange or automated quotation system on which any debt securities are listed or traded, or</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78" w:name="page79"/>
    <w:bookmarkEnd w:id="78"/>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720" w:right="1439" w:hanging="134"/>
        <w:spacing w:after="0" w:line="267" w:lineRule="auto"/>
        <w:tabs>
          <w:tab w:leader="none" w:pos="172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change or eliminate any provisions of the indenture in accordance with any amendments to the Trust Indenture Act, provided that the action does not adversely affect the rights or interests of any holder of debt securities. (Section 901)</w:t>
      </w:r>
    </w:p>
    <w:p>
      <w:pPr>
        <w:spacing w:after="0" w:line="84" w:lineRule="exact"/>
        <w:rPr>
          <w:sz w:val="20"/>
          <w:szCs w:val="20"/>
          <w:color w:val="auto"/>
        </w:rPr>
      </w:pPr>
    </w:p>
    <w:p>
      <w:pPr>
        <w:ind w:left="1300" w:right="1339" w:firstLine="281"/>
        <w:spacing w:after="0" w:line="248" w:lineRule="auto"/>
        <w:rPr>
          <w:sz w:val="20"/>
          <w:szCs w:val="20"/>
          <w:color w:val="auto"/>
        </w:rPr>
      </w:pPr>
      <w:r>
        <w:rPr>
          <w:rFonts w:ascii="Times New Roman" w:cs="Times New Roman" w:eastAsia="Times New Roman" w:hAnsi="Times New Roman"/>
          <w:sz w:val="14"/>
          <w:szCs w:val="14"/>
          <w:color w:val="auto"/>
        </w:rPr>
        <w:t>We may enter into one or more supplemental indentures with the trustee to add to, change or eliminate provisions of the indenture or to modify the rights of the holders of one or more series of debt securities if we obtain the consent of the holders of a majority in principal amount of the outstanding debt securities of each series affected by the supplemental indenture, treated as one class. However, without the consent of the holders of each outstanding debt security affected by the supplemental indenture, we may not enter into a supplemental indenture that:</w:t>
      </w:r>
    </w:p>
    <w:p>
      <w:pPr>
        <w:spacing w:after="0" w:line="54" w:lineRule="exact"/>
        <w:rPr>
          <w:sz w:val="20"/>
          <w:szCs w:val="20"/>
          <w:color w:val="auto"/>
        </w:rPr>
      </w:pPr>
    </w:p>
    <w:p>
      <w:pPr>
        <w:ind w:left="1720" w:right="1459" w:hanging="134"/>
        <w:spacing w:after="0" w:line="283" w:lineRule="auto"/>
        <w:tabs>
          <w:tab w:leader="none" w:pos="172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the stated maturity of the principal of, or any installment of principal of or interest on, any debt security, except to the extent permitted by the indenture,</w:t>
      </w:r>
    </w:p>
    <w:p>
      <w:pPr>
        <w:spacing w:after="0" w:line="30"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reduces the principal amount of, or any premium or interest on, any debt security,</w:t>
      </w:r>
    </w:p>
    <w:p>
      <w:pPr>
        <w:spacing w:after="0" w:line="81" w:lineRule="exact"/>
        <w:rPr>
          <w:rFonts w:ascii="Times New Roman" w:cs="Times New Roman" w:eastAsia="Times New Roman" w:hAnsi="Times New Roman"/>
          <w:sz w:val="14"/>
          <w:szCs w:val="14"/>
          <w:color w:val="auto"/>
        </w:rPr>
      </w:pPr>
    </w:p>
    <w:p>
      <w:pPr>
        <w:ind w:left="1720" w:right="1679" w:hanging="134"/>
        <w:spacing w:after="0" w:line="283" w:lineRule="auto"/>
        <w:tabs>
          <w:tab w:leader="none" w:pos="172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reduces the amount of principal of an original issue discount security or any other debt security payable upon acceleration of the maturity thereof,</w:t>
      </w:r>
    </w:p>
    <w:p>
      <w:pPr>
        <w:spacing w:after="0" w:line="20"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the place or currency of payment of principal, premium, if any, or interest,</w:t>
      </w:r>
    </w:p>
    <w:p>
      <w:pPr>
        <w:spacing w:after="0" w:line="8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impairs the right to institute suit for the enforcement of any payment on any debt security,</w:t>
      </w:r>
    </w:p>
    <w:p>
      <w:pPr>
        <w:spacing w:after="0" w:line="81" w:lineRule="exact"/>
        <w:rPr>
          <w:rFonts w:ascii="Times New Roman" w:cs="Times New Roman" w:eastAsia="Times New Roman" w:hAnsi="Times New Roman"/>
          <w:sz w:val="14"/>
          <w:szCs w:val="14"/>
          <w:color w:val="auto"/>
        </w:rPr>
      </w:pPr>
    </w:p>
    <w:p>
      <w:pPr>
        <w:ind w:left="1720" w:right="1359" w:hanging="134"/>
        <w:spacing w:after="0" w:line="267" w:lineRule="auto"/>
        <w:tabs>
          <w:tab w:leader="none" w:pos="172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reduces the percentage in principal amount of outstanding debt securities of any series, the consent of whose holders is required for modification of the indenture, for waiver of compliance with certain provisions of the indenture or for waiver of certain defaults,</w:t>
      </w:r>
    </w:p>
    <w:p>
      <w:pPr>
        <w:spacing w:after="0" w:line="41" w:lineRule="exact"/>
        <w:rPr>
          <w:rFonts w:ascii="Times New Roman" w:cs="Times New Roman" w:eastAsia="Times New Roman" w:hAnsi="Times New Roman"/>
          <w:sz w:val="14"/>
          <w:szCs w:val="14"/>
          <w:color w:val="auto"/>
        </w:rPr>
      </w:pPr>
    </w:p>
    <w:p>
      <w:pPr>
        <w:ind w:left="1720" w:right="1459" w:hanging="134"/>
        <w:spacing w:after="0" w:line="276" w:lineRule="auto"/>
        <w:tabs>
          <w:tab w:leader="none" w:pos="172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makes certain modifications to the provisions for modification of the indenture and for certain waivers, except to increase the principal amount of debt securities necessary to consent to any such change,</w:t>
      </w:r>
    </w:p>
    <w:p>
      <w:pPr>
        <w:spacing w:after="0" w:line="208" w:lineRule="exact"/>
        <w:rPr>
          <w:rFonts w:ascii="Times New Roman" w:cs="Times New Roman" w:eastAsia="Times New Roman" w:hAnsi="Times New Roman"/>
          <w:sz w:val="14"/>
          <w:szCs w:val="14"/>
          <w:color w:val="auto"/>
        </w:rPr>
      </w:pPr>
    </w:p>
    <w:p>
      <w:pPr>
        <w:ind w:left="1720" w:right="1579" w:hanging="134"/>
        <w:spacing w:after="0" w:line="267" w:lineRule="auto"/>
        <w:tabs>
          <w:tab w:leader="none" w:pos="172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makes any change that adversely affects the right to convert or exchange any debt security or decreases the conversion or exchange rate or increases the conversion price of any convertible or exchangeable debt security, or</w:t>
      </w:r>
    </w:p>
    <w:p>
      <w:pPr>
        <w:spacing w:after="0" w:line="41" w:lineRule="exact"/>
        <w:rPr>
          <w:rFonts w:ascii="Times New Roman" w:cs="Times New Roman" w:eastAsia="Times New Roman" w:hAnsi="Times New Roman"/>
          <w:sz w:val="14"/>
          <w:szCs w:val="14"/>
          <w:color w:val="auto"/>
        </w:rPr>
      </w:pPr>
    </w:p>
    <w:p>
      <w:pPr>
        <w:ind w:left="1720" w:right="1699" w:hanging="134"/>
        <w:spacing w:after="0" w:line="283" w:lineRule="auto"/>
        <w:tabs>
          <w:tab w:leader="none" w:pos="172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the terms and conditions pursuant to which any series of debt securities is secured in a manner adverse to the holders of the debt securities. (Section 902)</w:t>
      </w:r>
    </w:p>
    <w:p>
      <w:pPr>
        <w:spacing w:after="0" w:line="73" w:lineRule="exact"/>
        <w:rPr>
          <w:sz w:val="20"/>
          <w:szCs w:val="20"/>
          <w:color w:val="auto"/>
        </w:rPr>
      </w:pPr>
    </w:p>
    <w:p>
      <w:pPr>
        <w:ind w:left="1300" w:right="1479" w:firstLine="281"/>
        <w:spacing w:after="0" w:line="251" w:lineRule="auto"/>
        <w:rPr>
          <w:sz w:val="20"/>
          <w:szCs w:val="20"/>
          <w:color w:val="auto"/>
        </w:rPr>
      </w:pPr>
      <w:r>
        <w:rPr>
          <w:rFonts w:ascii="Times New Roman" w:cs="Times New Roman" w:eastAsia="Times New Roman" w:hAnsi="Times New Roman"/>
          <w:sz w:val="14"/>
          <w:szCs w:val="14"/>
          <w:color w:val="auto"/>
        </w:rPr>
        <w:t>Holders of a majority in principal amount of the outstanding debt securities of any series may waive past defaults or noncompliance with restrictive provisions of the indenture. However, such holders of a majority in principal amount may not waive, and consequently, the consent of holders of each outstanding debt security of a series would be required to:</w:t>
      </w:r>
    </w:p>
    <w:p>
      <w:pPr>
        <w:spacing w:after="0" w:line="53" w:lineRule="exact"/>
        <w:rPr>
          <w:sz w:val="20"/>
          <w:szCs w:val="20"/>
          <w:color w:val="auto"/>
        </w:rPr>
      </w:pPr>
    </w:p>
    <w:p>
      <w:pPr>
        <w:ind w:left="1720" w:hanging="134"/>
        <w:spacing w:after="0"/>
        <w:tabs>
          <w:tab w:leader="none" w:pos="172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any default in the payment of principal, premium, if any, or interest, or</w:t>
      </w:r>
    </w:p>
    <w:p>
      <w:pPr>
        <w:spacing w:after="0" w:line="70" w:lineRule="exact"/>
        <w:rPr>
          <w:rFonts w:ascii="Times New Roman" w:cs="Times New Roman" w:eastAsia="Times New Roman" w:hAnsi="Times New Roman"/>
          <w:sz w:val="14"/>
          <w:szCs w:val="14"/>
          <w:color w:val="auto"/>
        </w:rPr>
      </w:pPr>
    </w:p>
    <w:p>
      <w:pPr>
        <w:ind w:left="1720" w:right="1339" w:hanging="134"/>
        <w:spacing w:after="0" w:line="283" w:lineRule="auto"/>
        <w:tabs>
          <w:tab w:leader="none" w:pos="172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any covenants and provisions of the indenture that may not be amended without the consent of the holder of each outstanding debt security of the series affected. (Sections 513 and 1006)</w:t>
      </w:r>
    </w:p>
    <w:p>
      <w:pPr>
        <w:spacing w:after="0" w:line="73" w:lineRule="exact"/>
        <w:rPr>
          <w:sz w:val="20"/>
          <w:szCs w:val="20"/>
          <w:color w:val="auto"/>
        </w:rPr>
      </w:pPr>
    </w:p>
    <w:p>
      <w:pPr>
        <w:ind w:left="1300" w:right="1519" w:firstLine="281"/>
        <w:spacing w:after="0" w:line="268" w:lineRule="auto"/>
        <w:rPr>
          <w:sz w:val="20"/>
          <w:szCs w:val="20"/>
          <w:color w:val="auto"/>
        </w:rPr>
      </w:pPr>
      <w:r>
        <w:rPr>
          <w:rFonts w:ascii="Times New Roman" w:cs="Times New Roman" w:eastAsia="Times New Roman" w:hAnsi="Times New Roman"/>
          <w:sz w:val="14"/>
          <w:szCs w:val="14"/>
          <w:color w:val="auto"/>
        </w:rPr>
        <w:t>To determine whether the holders of the requisite principal amount of the outstanding debt securities have taken an action under the indenture as of a specified date:</w:t>
      </w:r>
    </w:p>
    <w:p>
      <w:pPr>
        <w:spacing w:after="0" w:line="40" w:lineRule="exact"/>
        <w:rPr>
          <w:sz w:val="20"/>
          <w:szCs w:val="20"/>
          <w:color w:val="auto"/>
        </w:rPr>
      </w:pPr>
    </w:p>
    <w:p>
      <w:pPr>
        <w:ind w:left="1720" w:right="1319" w:hanging="134"/>
        <w:spacing w:after="0" w:line="267" w:lineRule="auto"/>
        <w:tabs>
          <w:tab w:leader="none" w:pos="17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of an “original issue discount security” that will be deemed to be outstanding will be the amount of the principal that would be due and payable as of that date upon acceleration of the maturity to that date,</w:t>
      </w:r>
    </w:p>
    <w:p>
      <w:pPr>
        <w:spacing w:after="0" w:line="41" w:lineRule="exact"/>
        <w:rPr>
          <w:rFonts w:ascii="Times New Roman" w:cs="Times New Roman" w:eastAsia="Times New Roman" w:hAnsi="Times New Roman"/>
          <w:sz w:val="14"/>
          <w:szCs w:val="14"/>
          <w:color w:val="auto"/>
        </w:rPr>
      </w:pPr>
    </w:p>
    <w:p>
      <w:pPr>
        <w:ind w:left="1720" w:right="1399" w:hanging="134"/>
        <w:spacing w:after="0" w:line="261" w:lineRule="auto"/>
        <w:tabs>
          <w:tab w:leader="none" w:pos="17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as of that date, the principal amount payable at the stated maturity of a debt security is not determinable, for example, because it is based on an index, the principal amount of the debt security deemed to be outstanding as of that date will be an amount determined in the manner prescribed for the debt security,</w:t>
      </w:r>
    </w:p>
    <w:p>
      <w:pPr>
        <w:spacing w:after="0" w:line="46" w:lineRule="exact"/>
        <w:rPr>
          <w:rFonts w:ascii="Times New Roman" w:cs="Times New Roman" w:eastAsia="Times New Roman" w:hAnsi="Times New Roman"/>
          <w:sz w:val="14"/>
          <w:szCs w:val="14"/>
          <w:color w:val="auto"/>
        </w:rPr>
      </w:pPr>
    </w:p>
    <w:p>
      <w:pPr>
        <w:ind w:left="1720" w:right="1379" w:hanging="134"/>
        <w:spacing w:after="0" w:line="260" w:lineRule="auto"/>
        <w:tabs>
          <w:tab w:leader="none" w:pos="172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of a debt security denominated in one or more foreign currencies or currency units that will be deemed to be outstanding will be the U.S. dollar ($) equivalent, determined as of that date in the manner prescribed for the debt security, of the principal amount of the debt security or, in the case of a debt security described in the two preceding bullet points, of the amount described above, and</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79" w:name="page80"/>
    <w:bookmarkEnd w:id="79"/>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720" w:right="1759" w:hanging="134"/>
        <w:spacing w:after="0" w:line="283" w:lineRule="auto"/>
        <w:tabs>
          <w:tab w:leader="none" w:pos="172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securities owned by us or any other obligor upon the debt securities or any of our or their affiliates will be disregarded and deemed not to be outstanding.</w:t>
      </w:r>
    </w:p>
    <w:p>
      <w:pPr>
        <w:spacing w:after="0" w:line="73" w:lineRule="exact"/>
        <w:rPr>
          <w:sz w:val="20"/>
          <w:szCs w:val="20"/>
          <w:color w:val="auto"/>
        </w:rPr>
      </w:pPr>
    </w:p>
    <w:p>
      <w:pPr>
        <w:ind w:left="1300" w:right="1419" w:firstLine="281"/>
        <w:spacing w:after="0" w:line="247" w:lineRule="auto"/>
        <w:rPr>
          <w:sz w:val="20"/>
          <w:szCs w:val="20"/>
          <w:color w:val="auto"/>
        </w:rPr>
      </w:pPr>
      <w:r>
        <w:rPr>
          <w:rFonts w:ascii="Times New Roman" w:cs="Times New Roman" w:eastAsia="Times New Roman" w:hAnsi="Times New Roman"/>
          <w:sz w:val="14"/>
          <w:szCs w:val="14"/>
          <w:color w:val="auto"/>
        </w:rPr>
        <w:t>An “original issue discount security” means a debt security issued under the indenture which provides for an amount less than the principal amount thereof to be due and payable upon a declaration of acceleration of maturity. Some debt securities, including those for the payment or redemption of which money has been deposited or set aside in trust for the holders and those that have been fully defeased pursuant to Section 1402 of the indenture, will not be deemed to be outstanding. (Section 101)</w:t>
      </w:r>
    </w:p>
    <w:p>
      <w:pPr>
        <w:spacing w:after="0" w:line="87" w:lineRule="exact"/>
        <w:rPr>
          <w:sz w:val="20"/>
          <w:szCs w:val="20"/>
          <w:color w:val="auto"/>
        </w:rPr>
      </w:pPr>
    </w:p>
    <w:p>
      <w:pPr>
        <w:ind w:left="1300" w:right="1339" w:firstLine="281"/>
        <w:spacing w:after="0" w:line="255" w:lineRule="auto"/>
        <w:rPr>
          <w:sz w:val="20"/>
          <w:szCs w:val="20"/>
          <w:color w:val="auto"/>
        </w:rPr>
      </w:pPr>
      <w:r>
        <w:rPr>
          <w:rFonts w:ascii="Times New Roman" w:cs="Times New Roman" w:eastAsia="Times New Roman" w:hAnsi="Times New Roman"/>
          <w:sz w:val="14"/>
          <w:szCs w:val="14"/>
          <w:color w:val="auto"/>
        </w:rPr>
        <w:t>We will generally be entitled to set any day as a record date for determining the holders of outstanding debt securities of any series entitled to give or take any direction, notice, consent, waiver or other action under the indenture. In limited circumstances, the trustee will be entitled to set a record date for action by holders of outstanding debt securities. If a record date is set for any action to be taken by holders of a particular series, the action may be taken only by persons who are holders of outstanding debt securities of that series on the record date. To be effective, the action must be taken by holders of the requisite principal amount of debt securities within a specified period following the record date. For any particular record date, this period will be 180 days or such shorter period as we may specify, or the trustee may specify, if it set the record date. This period may be shortened or lengthened by not more than 180 days. (Section 104)</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Defeasance</w:t>
      </w:r>
    </w:p>
    <w:p>
      <w:pPr>
        <w:spacing w:after="0" w:line="125" w:lineRule="exact"/>
        <w:rPr>
          <w:sz w:val="20"/>
          <w:szCs w:val="20"/>
          <w:color w:val="auto"/>
        </w:rPr>
      </w:pPr>
    </w:p>
    <w:p>
      <w:pPr>
        <w:ind w:left="1300" w:right="1539" w:firstLine="281"/>
        <w:spacing w:after="0" w:line="261" w:lineRule="auto"/>
        <w:rPr>
          <w:sz w:val="20"/>
          <w:szCs w:val="20"/>
          <w:color w:val="auto"/>
        </w:rPr>
      </w:pPr>
      <w:r>
        <w:rPr>
          <w:rFonts w:ascii="Times New Roman" w:cs="Times New Roman" w:eastAsia="Times New Roman" w:hAnsi="Times New Roman"/>
          <w:sz w:val="14"/>
          <w:szCs w:val="14"/>
          <w:color w:val="auto"/>
        </w:rPr>
        <w:t>When we use the term defeasance, we mean discharge from some or all of our obligations under the indenture. Unless we inform you otherwise in the prospectus supplement, if we deposit with the trustee funds or government securities sufficient to make payments on the debt securities of a series on the dates those payments are due and payable, then, at our option, either of the following will occur:</w:t>
      </w:r>
    </w:p>
    <w:p>
      <w:pPr>
        <w:spacing w:after="0" w:line="57" w:lineRule="exact"/>
        <w:rPr>
          <w:sz w:val="20"/>
          <w:szCs w:val="20"/>
          <w:color w:val="auto"/>
        </w:rPr>
      </w:pPr>
    </w:p>
    <w:p>
      <w:pPr>
        <w:ind w:left="1720" w:right="1519" w:hanging="134"/>
        <w:spacing w:after="0" w:line="283" w:lineRule="auto"/>
        <w:tabs>
          <w:tab w:leader="none" w:pos="172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be discharged from our obligations with respect to the debt securities of that series (“legal defeasance”), or</w:t>
      </w:r>
    </w:p>
    <w:p>
      <w:pPr>
        <w:spacing w:after="0" w:line="41" w:lineRule="exact"/>
        <w:rPr>
          <w:rFonts w:ascii="Times New Roman" w:cs="Times New Roman" w:eastAsia="Times New Roman" w:hAnsi="Times New Roman"/>
          <w:sz w:val="14"/>
          <w:szCs w:val="14"/>
          <w:color w:val="auto"/>
        </w:rPr>
      </w:pPr>
    </w:p>
    <w:p>
      <w:pPr>
        <w:ind w:left="1720" w:right="1439" w:hanging="134"/>
        <w:spacing w:after="0" w:line="261" w:lineRule="auto"/>
        <w:tabs>
          <w:tab w:leader="none" w:pos="172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no longer have any obligation to comply with the restrictive covenants under the indenture, and the related events of default will no longer apply to us, but some of our other obligations under the indenture and the debt securities of that series, including our obligation to make payments on those debt securities, will survive.</w:t>
      </w:r>
    </w:p>
    <w:p>
      <w:pPr>
        <w:spacing w:after="0" w:line="89" w:lineRule="exact"/>
        <w:rPr>
          <w:sz w:val="20"/>
          <w:szCs w:val="20"/>
          <w:color w:val="auto"/>
        </w:rPr>
      </w:pPr>
    </w:p>
    <w:p>
      <w:pPr>
        <w:ind w:left="1300" w:right="1319" w:firstLine="281"/>
        <w:spacing w:after="0" w:line="283" w:lineRule="auto"/>
        <w:rPr>
          <w:sz w:val="20"/>
          <w:szCs w:val="20"/>
          <w:color w:val="auto"/>
        </w:rPr>
      </w:pPr>
      <w:r>
        <w:rPr>
          <w:rFonts w:ascii="Times New Roman" w:cs="Times New Roman" w:eastAsia="Times New Roman" w:hAnsi="Times New Roman"/>
          <w:sz w:val="14"/>
          <w:szCs w:val="14"/>
          <w:color w:val="auto"/>
        </w:rPr>
        <w:t>If we effect legal defeasance of a series of debt securities, the holders of the debt securities of the series affected will not be entitled to the benefits of the indenture, except for our obligations to:</w:t>
      </w:r>
    </w:p>
    <w:p>
      <w:pPr>
        <w:spacing w:after="0" w:line="41" w:lineRule="exact"/>
        <w:rPr>
          <w:sz w:val="20"/>
          <w:szCs w:val="20"/>
          <w:color w:val="auto"/>
        </w:rPr>
      </w:pPr>
    </w:p>
    <w:p>
      <w:pPr>
        <w:ind w:left="1720" w:hanging="134"/>
        <w:spacing w:after="0"/>
        <w:tabs>
          <w:tab w:leader="none" w:pos="17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register the transfer or exchange of debt securities,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replace mutilated, destroyed, lost or stolen debt securities, and</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paying agencies and hold moneys for payment in trust.</w:t>
      </w:r>
    </w:p>
    <w:p>
      <w:pPr>
        <w:spacing w:after="0" w:line="113" w:lineRule="exact"/>
        <w:rPr>
          <w:sz w:val="20"/>
          <w:szCs w:val="20"/>
          <w:color w:val="auto"/>
        </w:rPr>
      </w:pPr>
    </w:p>
    <w:p>
      <w:pPr>
        <w:ind w:left="1300" w:right="1359" w:firstLine="281"/>
        <w:spacing w:after="0" w:line="256" w:lineRule="auto"/>
        <w:rPr>
          <w:sz w:val="20"/>
          <w:szCs w:val="20"/>
          <w:color w:val="auto"/>
        </w:rPr>
      </w:pPr>
      <w:r>
        <w:rPr>
          <w:rFonts w:ascii="Times New Roman" w:cs="Times New Roman" w:eastAsia="Times New Roman" w:hAnsi="Times New Roman"/>
          <w:sz w:val="14"/>
          <w:szCs w:val="14"/>
          <w:color w:val="auto"/>
        </w:rPr>
        <w:t>Unless we inform you otherwise in the prospectus supplement, we will be required to deliver to the trustee an opinion of counsel that the deposit and related defeasance would not cause the holders of the debt securities to recognize gain or loss for federal income tax purposes and that the holders would be subject to federal income tax on the same amounts, in the same manner and at the same times as would have been the case if the deposit and related defeasance had not occurred. If we elect legal defeasance, that opinion of counsel must be based upon a ruling from the United States Internal Revenue Service or a change in law to that effect. (Sections 1401, 1402, 1403 and 1404)</w:t>
      </w:r>
    </w:p>
    <w:p>
      <w:pPr>
        <w:spacing w:after="0" w:line="1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Satisfaction And Discharge</w:t>
      </w:r>
    </w:p>
    <w:p>
      <w:pPr>
        <w:spacing w:after="0" w:line="125" w:lineRule="exact"/>
        <w:rPr>
          <w:sz w:val="20"/>
          <w:szCs w:val="20"/>
          <w:color w:val="auto"/>
        </w:rPr>
      </w:pPr>
    </w:p>
    <w:p>
      <w:pPr>
        <w:ind w:left="1300" w:right="1319" w:firstLine="281"/>
        <w:spacing w:after="0" w:line="254" w:lineRule="auto"/>
        <w:rPr>
          <w:sz w:val="20"/>
          <w:szCs w:val="20"/>
          <w:color w:val="auto"/>
        </w:rPr>
      </w:pPr>
      <w:r>
        <w:rPr>
          <w:rFonts w:ascii="Times New Roman" w:cs="Times New Roman" w:eastAsia="Times New Roman" w:hAnsi="Times New Roman"/>
          <w:sz w:val="14"/>
          <w:szCs w:val="14"/>
          <w:color w:val="auto"/>
        </w:rPr>
        <w:t>We may discharge our obligations under the indenture while debt securities remain outstanding if (1) all outstanding debt securities issued under the indenture have become due and payable, (2) all outstanding debt securities issued under the indenture have or will become due and payable at their scheduled maturity within one year or (3) all outstanding debt securities issued under the indenture are scheduled for redemption in one year, and in each case, we have deposited with the trustee an amount sufficient to pay and discharge all outstanding debt securities issued under the indenture on the date of their scheduled maturity or the scheduled date of redemption and we have paid all other sums payable under the indenture.</w:t>
      </w:r>
    </w:p>
    <w:p>
      <w:pPr>
        <w:ind w:left="1300"/>
        <w:spacing w:after="0"/>
        <w:rPr>
          <w:sz w:val="20"/>
          <w:szCs w:val="20"/>
          <w:color w:val="auto"/>
        </w:rPr>
      </w:pPr>
      <w:r>
        <w:rPr>
          <w:rFonts w:ascii="Times New Roman" w:cs="Times New Roman" w:eastAsia="Times New Roman" w:hAnsi="Times New Roman"/>
          <w:sz w:val="14"/>
          <w:szCs w:val="14"/>
          <w:color w:val="auto"/>
        </w:rPr>
        <w:t>(Section 401)</w:t>
      </w: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80" w:name="page81"/>
    <w:bookmarkEnd w:id="80"/>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Notices</w:t>
      </w:r>
    </w:p>
    <w:p>
      <w:pPr>
        <w:spacing w:after="0" w:line="1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Holders will receive notices by mail at their addresses as they appear in the security register.</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(Section 106)</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125" w:lineRule="exact"/>
        <w:rPr>
          <w:sz w:val="20"/>
          <w:szCs w:val="20"/>
          <w:color w:val="auto"/>
        </w:rPr>
      </w:pPr>
    </w:p>
    <w:p>
      <w:pPr>
        <w:ind w:left="1300" w:right="1319" w:firstLine="281"/>
        <w:spacing w:after="0" w:line="283" w:lineRule="auto"/>
        <w:rPr>
          <w:sz w:val="20"/>
          <w:szCs w:val="20"/>
          <w:color w:val="auto"/>
        </w:rPr>
      </w:pPr>
      <w:r>
        <w:rPr>
          <w:rFonts w:ascii="Times New Roman" w:cs="Times New Roman" w:eastAsia="Times New Roman" w:hAnsi="Times New Roman"/>
          <w:sz w:val="14"/>
          <w:szCs w:val="14"/>
          <w:color w:val="auto"/>
        </w:rPr>
        <w:t>We may treat the person in whose name a debt security is registered on the applicable record date as the owner of the debt security for all purposes, whether or not it is overdue. (Section 309)</w:t>
      </w:r>
    </w:p>
    <w:p>
      <w:pPr>
        <w:spacing w:after="0" w:line="1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1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New York law will govern the indenture and the debt securities. (Section 112)</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Regarding the Trustee</w:t>
      </w:r>
    </w:p>
    <w:p>
      <w:pPr>
        <w:spacing w:after="0" w:line="125" w:lineRule="exact"/>
        <w:rPr>
          <w:sz w:val="20"/>
          <w:szCs w:val="20"/>
          <w:color w:val="auto"/>
        </w:rPr>
      </w:pPr>
    </w:p>
    <w:p>
      <w:pPr>
        <w:ind w:left="1300" w:right="1399" w:firstLine="281"/>
        <w:spacing w:after="0" w:line="256" w:lineRule="auto"/>
        <w:rPr>
          <w:sz w:val="20"/>
          <w:szCs w:val="20"/>
          <w:color w:val="auto"/>
        </w:rPr>
      </w:pPr>
      <w:r>
        <w:rPr>
          <w:rFonts w:ascii="Times New Roman" w:cs="Times New Roman" w:eastAsia="Times New Roman" w:hAnsi="Times New Roman"/>
          <w:sz w:val="14"/>
          <w:szCs w:val="14"/>
          <w:color w:val="auto"/>
        </w:rPr>
        <w:t>The Bank of New York Mellon Trust Company, National Association, successor to JPMorgan Chase Bank, National Association, is the trustee, security registrar and paying agent under the indenture. As of March 31, 2026, the trustee served as trustee for approximately $3.9 billion aggregate principal amount of our debt securities. In addition, the trustee served as trustee for debt securities issued by or on behalf of our affiliates, aggregating approximately $17.6 billion as of March 31, 2026. We maintain brokerage relationships with the trustee and its affiliates, each of whom may maintain other relationships with us or our affiliates in the ordinary course of business.</w:t>
      </w:r>
    </w:p>
    <w:p>
      <w:pPr>
        <w:spacing w:after="0" w:line="92" w:lineRule="exact"/>
        <w:rPr>
          <w:sz w:val="20"/>
          <w:szCs w:val="20"/>
          <w:color w:val="auto"/>
        </w:rPr>
      </w:pPr>
    </w:p>
    <w:p>
      <w:pPr>
        <w:ind w:left="1300" w:right="1419" w:firstLine="281"/>
        <w:spacing w:after="0" w:line="259" w:lineRule="auto"/>
        <w:rPr>
          <w:sz w:val="20"/>
          <w:szCs w:val="20"/>
          <w:color w:val="auto"/>
        </w:rPr>
      </w:pPr>
      <w:r>
        <w:rPr>
          <w:rFonts w:ascii="Times New Roman" w:cs="Times New Roman" w:eastAsia="Times New Roman" w:hAnsi="Times New Roman"/>
          <w:sz w:val="14"/>
          <w:szCs w:val="14"/>
          <w:color w:val="auto"/>
        </w:rPr>
        <w:t>If an event of default occurs under the indenture and is continuing, the trustee will be required to use the degree of care and skill of a prudent person in the conduct of that person’s own affairs. The trustee will become obligated to exercise any of its powers under the indenture at the request of any of the holders of any debt securities issued under the indenture only after those holders have offered the trustee indemnity satisfactory to it.</w:t>
      </w:r>
    </w:p>
    <w:p>
      <w:pPr>
        <w:spacing w:after="0" w:line="78" w:lineRule="exact"/>
        <w:rPr>
          <w:sz w:val="20"/>
          <w:szCs w:val="20"/>
          <w:color w:val="auto"/>
        </w:rPr>
      </w:pPr>
    </w:p>
    <w:p>
      <w:pPr>
        <w:ind w:left="1300" w:right="1379" w:firstLine="281"/>
        <w:spacing w:after="0" w:line="257" w:lineRule="auto"/>
        <w:rPr>
          <w:sz w:val="20"/>
          <w:szCs w:val="20"/>
          <w:color w:val="auto"/>
        </w:rPr>
      </w:pPr>
      <w:r>
        <w:rPr>
          <w:rFonts w:ascii="Times New Roman" w:cs="Times New Roman" w:eastAsia="Times New Roman" w:hAnsi="Times New Roman"/>
          <w:sz w:val="14"/>
          <w:szCs w:val="14"/>
          <w:color w:val="auto"/>
        </w:rPr>
        <w:t>If the trustee becomes one of our creditors, its rights to obtain payment of claims in specified circumstances, or to realize for its own account on certain property received in respect of any such claim as security or otherwise will be limited under the terms of the indenture pursuant to the provisions of the Trust Indenture Act. (Section 613) The trustee may engage in certain other transactions; however, if the trustee acquires any conflicting interest (within the meaning specified under the Trust Indenture Act), it will be required to eliminate the conflict or resign. (Section 608)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81" w:name="page82"/>
    <w:bookmarkEnd w:id="81"/>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We may sell the offered debt securities in and outside the United States:</w:t>
      </w:r>
    </w:p>
    <w:p>
      <w:pPr>
        <w:spacing w:after="0" w:line="92" w:lineRule="exact"/>
        <w:rPr>
          <w:sz w:val="20"/>
          <w:szCs w:val="20"/>
          <w:color w:val="auto"/>
        </w:rPr>
      </w:pPr>
    </w:p>
    <w:p>
      <w:pPr>
        <w:ind w:left="1720" w:hanging="134"/>
        <w:spacing w:after="0"/>
        <w:tabs>
          <w:tab w:leader="none" w:pos="17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underwriters or dealers,</w:t>
      </w:r>
    </w:p>
    <w:p>
      <w:pPr>
        <w:spacing w:after="0" w:line="102"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purchasers, including our affiliates,</w:t>
      </w:r>
    </w:p>
    <w:p>
      <w:pPr>
        <w:spacing w:after="0" w:line="102"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 or</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w:t>
      </w:r>
    </w:p>
    <w:p>
      <w:pPr>
        <w:spacing w:after="0" w:line="12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The prospectus supplement will include the following information:</w:t>
      </w:r>
    </w:p>
    <w:p>
      <w:pPr>
        <w:spacing w:after="0" w:line="92" w:lineRule="exact"/>
        <w:rPr>
          <w:sz w:val="20"/>
          <w:szCs w:val="20"/>
          <w:color w:val="auto"/>
        </w:rPr>
      </w:pPr>
    </w:p>
    <w:p>
      <w:pPr>
        <w:ind w:left="1720" w:hanging="134"/>
        <w:spacing w:after="0"/>
        <w:tabs>
          <w:tab w:leader="none" w:pos="17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offering,</w:t>
      </w:r>
    </w:p>
    <w:p>
      <w:pPr>
        <w:spacing w:after="0" w:line="102"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of any underwriters or agents,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or names of any managing underwriter or underwriters,</w:t>
      </w:r>
    </w:p>
    <w:p>
      <w:pPr>
        <w:spacing w:after="0" w:line="102"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the debt securities,</w:t>
      </w:r>
    </w:p>
    <w:p>
      <w:pPr>
        <w:spacing w:after="0" w:line="102"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proceeds to us from the sale of the debt securities,</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delayed delivery arrangements,</w:t>
      </w:r>
    </w:p>
    <w:p>
      <w:pPr>
        <w:spacing w:after="0" w:line="102"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underwriting discounts, commissions and other items constituting underwriters’ compensation,</w:t>
      </w:r>
    </w:p>
    <w:p>
      <w:pPr>
        <w:spacing w:after="0" w:line="102"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initial public offering price,</w:t>
      </w:r>
    </w:p>
    <w:p>
      <w:pPr>
        <w:spacing w:after="0" w:line="91"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or concessions allowed or reallowed or paid to dealers, and</w:t>
      </w:r>
    </w:p>
    <w:p>
      <w:pPr>
        <w:spacing w:after="0" w:line="102" w:lineRule="exact"/>
        <w:rPr>
          <w:rFonts w:ascii="Times New Roman" w:cs="Times New Roman" w:eastAsia="Times New Roman" w:hAnsi="Times New Roman"/>
          <w:sz w:val="14"/>
          <w:szCs w:val="14"/>
          <w:color w:val="auto"/>
        </w:rPr>
      </w:pPr>
    </w:p>
    <w:p>
      <w:pPr>
        <w:ind w:left="1720" w:hanging="134"/>
        <w:spacing w:after="0"/>
        <w:tabs>
          <w:tab w:leader="none" w:pos="172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commissions paid to agents.</w:t>
      </w:r>
    </w:p>
    <w:p>
      <w:pPr>
        <w:spacing w:after="0" w:line="17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Sale Through Underwriters or Dealers</w:t>
      </w:r>
    </w:p>
    <w:p>
      <w:pPr>
        <w:spacing w:after="0" w:line="125" w:lineRule="exact"/>
        <w:rPr>
          <w:sz w:val="20"/>
          <w:szCs w:val="20"/>
          <w:color w:val="auto"/>
        </w:rPr>
      </w:pPr>
    </w:p>
    <w:p>
      <w:pPr>
        <w:ind w:left="1300" w:right="1359" w:firstLine="281"/>
        <w:spacing w:after="0" w:line="254" w:lineRule="auto"/>
        <w:rPr>
          <w:sz w:val="20"/>
          <w:szCs w:val="20"/>
          <w:color w:val="auto"/>
        </w:rPr>
      </w:pPr>
      <w:r>
        <w:rPr>
          <w:rFonts w:ascii="Times New Roman" w:cs="Times New Roman" w:eastAsia="Times New Roman" w:hAnsi="Times New Roman"/>
          <w:sz w:val="14"/>
          <w:szCs w:val="14"/>
          <w:color w:val="auto"/>
        </w:rPr>
        <w:t>If we use underwriters in the sale, the underwriters will acquire the debt securities for their own account. The underwriters may resell the debt securities from time to time in one or more transactions, including negotiated transactions, at a fixed public offering price or at varying prices determined at the time of sale. Underwriters may offer debt securities to the public either through underwriting syndicates represented by one or more managing underwriters or directly by one or more firms acting as underwriters. Unless we inform you otherwise in the prospectus supplement, the obligations of the underwriters to purchase the debt securities will be subject to certain conditions, and the underwriters will be obligated to purchase all the offered debt securities if they purchase any of them. The underwriters may change from time to time any initial public offering price and any discounts or concessions allowed or reallowed or paid to dealers.</w:t>
      </w:r>
    </w:p>
    <w:p>
      <w:pPr>
        <w:spacing w:after="0" w:line="255" w:lineRule="exact"/>
        <w:rPr>
          <w:sz w:val="20"/>
          <w:szCs w:val="20"/>
          <w:color w:val="auto"/>
        </w:rPr>
      </w:pPr>
    </w:p>
    <w:p>
      <w:pPr>
        <w:ind w:left="1300" w:right="1359" w:firstLine="281"/>
        <w:spacing w:after="0" w:line="255" w:lineRule="auto"/>
        <w:rPr>
          <w:sz w:val="20"/>
          <w:szCs w:val="20"/>
          <w:color w:val="auto"/>
        </w:rPr>
      </w:pPr>
      <w:r>
        <w:rPr>
          <w:rFonts w:ascii="Times New Roman" w:cs="Times New Roman" w:eastAsia="Times New Roman" w:hAnsi="Times New Roman"/>
          <w:sz w:val="14"/>
          <w:szCs w:val="14"/>
          <w:color w:val="auto"/>
        </w:rPr>
        <w:t>During and after an offering through underwriters, the underwriters may purchase and sell the debt securities in the open market. These transactions may include overallotment and stabilizing transactions and purchases to cover syndicate short positions created in connection with the offering. The underwriters also may impose a penalty bid, which means that selling concessions allowed to syndicate members or other broker-dealers for the offered debt securities sold for their account may be reclaimed by the syndicate if the offered debt securities are repurchased by the syndicate in stabilizing or covering transactions. These activities may stabilize, maintain or otherwise affect the market price of the offered debt securities, which may be higher than the price that might otherwise prevail in the open market. If commenced, the underwriters may discontinue these activities at any time.</w:t>
      </w:r>
    </w:p>
    <w:p>
      <w:pPr>
        <w:spacing w:after="0" w:line="91" w:lineRule="exact"/>
        <w:rPr>
          <w:sz w:val="20"/>
          <w:szCs w:val="20"/>
          <w:color w:val="auto"/>
        </w:rPr>
      </w:pPr>
    </w:p>
    <w:p>
      <w:pPr>
        <w:ind w:left="1300" w:right="1359" w:firstLine="281"/>
        <w:spacing w:after="0" w:line="257" w:lineRule="auto"/>
        <w:rPr>
          <w:sz w:val="20"/>
          <w:szCs w:val="20"/>
          <w:color w:val="auto"/>
        </w:rPr>
      </w:pPr>
      <w:r>
        <w:rPr>
          <w:rFonts w:ascii="Times New Roman" w:cs="Times New Roman" w:eastAsia="Times New Roman" w:hAnsi="Times New Roman"/>
          <w:sz w:val="14"/>
          <w:szCs w:val="14"/>
          <w:color w:val="auto"/>
        </w:rPr>
        <w:t>If we use dealers in the sale of debt securities, we may sell the debt securities to them as principals. They may then resell those debt securities to the public at varying prices determined by the dealers at the time of resale. The dealers participating in any sale of the debt securities may be deemed to be underwriters within the meaning of the Securities Act of 1933, as amended (the “Securities Act”), with respect to any sale of these securities. We will include in the prospectus supplement the names of the dealers and the terms of the transaction.</w:t>
      </w: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82" w:name="page83"/>
    <w:bookmarkEnd w:id="82"/>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Direct Sales and Sales Through Agents</w:t>
      </w:r>
    </w:p>
    <w:p>
      <w:pPr>
        <w:spacing w:after="0" w:line="125" w:lineRule="exact"/>
        <w:rPr>
          <w:sz w:val="20"/>
          <w:szCs w:val="20"/>
          <w:color w:val="auto"/>
        </w:rPr>
      </w:pPr>
    </w:p>
    <w:p>
      <w:pPr>
        <w:ind w:left="1300" w:right="1359" w:firstLine="281"/>
        <w:spacing w:after="0" w:line="258" w:lineRule="auto"/>
        <w:rPr>
          <w:sz w:val="20"/>
          <w:szCs w:val="20"/>
          <w:color w:val="auto"/>
        </w:rPr>
      </w:pPr>
      <w:r>
        <w:rPr>
          <w:rFonts w:ascii="Times New Roman" w:cs="Times New Roman" w:eastAsia="Times New Roman" w:hAnsi="Times New Roman"/>
          <w:sz w:val="14"/>
          <w:szCs w:val="14"/>
          <w:color w:val="auto"/>
        </w:rPr>
        <w:t>We may sell the debt securities directly. In that event, no underwriters or agents would be involved. We may also sell the debt securities through agents we designate from time to time. In the prospectus supplement, we will name any agent involved in the offer or sale of the offered debt securities, and we will describe any commissions payable by us to the agent. Unless we inform you otherwise in the prospectus supplement, any agent will agree to use its reasonable best efforts to solicit purchases for the period of its appointment.</w:t>
      </w:r>
    </w:p>
    <w:p>
      <w:pPr>
        <w:spacing w:after="0" w:line="261" w:lineRule="exact"/>
        <w:rPr>
          <w:sz w:val="20"/>
          <w:szCs w:val="20"/>
          <w:color w:val="auto"/>
        </w:rPr>
      </w:pPr>
    </w:p>
    <w:p>
      <w:pPr>
        <w:jc w:val="both"/>
        <w:ind w:left="1300" w:right="1479" w:firstLine="281"/>
        <w:spacing w:after="0" w:line="267" w:lineRule="auto"/>
        <w:rPr>
          <w:sz w:val="20"/>
          <w:szCs w:val="20"/>
          <w:color w:val="auto"/>
        </w:rPr>
      </w:pPr>
      <w:r>
        <w:rPr>
          <w:rFonts w:ascii="Times New Roman" w:cs="Times New Roman" w:eastAsia="Times New Roman" w:hAnsi="Times New Roman"/>
          <w:sz w:val="14"/>
          <w:szCs w:val="14"/>
          <w:color w:val="auto"/>
        </w:rPr>
        <w:t>We may sell the debt securities directly to institutional investors or others who may be deemed to be underwriters within the meaning of the Securities Act with respect to any sale of those debt securities. We will describe the terms of any such sales in the prospectus supplement.</w:t>
      </w:r>
    </w:p>
    <w:p>
      <w:pPr>
        <w:spacing w:after="0" w:line="13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Delayed Delivery Contracts</w:t>
      </w:r>
    </w:p>
    <w:p>
      <w:pPr>
        <w:spacing w:after="0" w:line="115" w:lineRule="exact"/>
        <w:rPr>
          <w:sz w:val="20"/>
          <w:szCs w:val="20"/>
          <w:color w:val="auto"/>
        </w:rPr>
      </w:pPr>
    </w:p>
    <w:p>
      <w:pPr>
        <w:ind w:left="1300" w:right="1379" w:firstLine="281"/>
        <w:spacing w:after="0" w:line="258" w:lineRule="auto"/>
        <w:rPr>
          <w:sz w:val="20"/>
          <w:szCs w:val="20"/>
          <w:color w:val="auto"/>
        </w:rPr>
      </w:pPr>
      <w:r>
        <w:rPr>
          <w:rFonts w:ascii="Times New Roman" w:cs="Times New Roman" w:eastAsia="Times New Roman" w:hAnsi="Times New Roman"/>
          <w:sz w:val="14"/>
          <w:szCs w:val="14"/>
          <w:color w:val="auto"/>
        </w:rPr>
        <w:t>If we so indicate in the prospectus supplement, we may authorize agents, underwriters or dealers to solicit offers from certain types of institutions to purchase debt securities from us at the public offering price under delayed delivery contracts. These contracts would provide for payment and delivery on a specified date in the future. The contracts would be subject only to those conditions described in the prospectus supplement. The prospectus supplement will describe the commission payable for solicitation of those contracts.</w:t>
      </w:r>
    </w:p>
    <w:p>
      <w:pPr>
        <w:spacing w:after="0" w:line="3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Remarketing</w:t>
      </w:r>
    </w:p>
    <w:p>
      <w:pPr>
        <w:spacing w:after="0" w:line="125" w:lineRule="exact"/>
        <w:rPr>
          <w:sz w:val="20"/>
          <w:szCs w:val="20"/>
          <w:color w:val="auto"/>
        </w:rPr>
      </w:pPr>
    </w:p>
    <w:p>
      <w:pPr>
        <w:ind w:left="1300" w:right="1459" w:firstLine="281"/>
        <w:spacing w:after="0" w:line="258" w:lineRule="auto"/>
        <w:rPr>
          <w:sz w:val="20"/>
          <w:szCs w:val="20"/>
          <w:color w:val="auto"/>
        </w:rPr>
      </w:pPr>
      <w:r>
        <w:rPr>
          <w:rFonts w:ascii="Times New Roman" w:cs="Times New Roman" w:eastAsia="Times New Roman" w:hAnsi="Times New Roman"/>
          <w:sz w:val="14"/>
          <w:szCs w:val="14"/>
          <w:color w:val="auto"/>
        </w:rPr>
        <w:t>We may offer and sell any of the offered debt securities in connection with a remarketing upon their purchase, in accordance with a redemption or repayment by their terms or otherwise by one or more remarketing firms acting as principals for their own accounts or as our agents. We will identify any remarketing firm, the terms of any remarketing agreement and the compensation to be paid to the remarketing firm in the prospectus supplement. Remarketing firms may be deemed underwriters under the Securities Act.</w:t>
      </w:r>
    </w:p>
    <w:p>
      <w:pPr>
        <w:spacing w:after="0" w:line="3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Derivative Transactions</w:t>
      </w:r>
    </w:p>
    <w:p>
      <w:pPr>
        <w:spacing w:after="0" w:line="125" w:lineRule="exact"/>
        <w:rPr>
          <w:sz w:val="20"/>
          <w:szCs w:val="20"/>
          <w:color w:val="auto"/>
        </w:rPr>
      </w:pPr>
    </w:p>
    <w:p>
      <w:pPr>
        <w:ind w:left="1300" w:right="1339" w:firstLine="281"/>
        <w:spacing w:after="0" w:line="255" w:lineRule="auto"/>
        <w:rPr>
          <w:sz w:val="20"/>
          <w:szCs w:val="20"/>
          <w:color w:val="auto"/>
        </w:rPr>
      </w:pPr>
      <w:r>
        <w:rPr>
          <w:rFonts w:ascii="Times New Roman" w:cs="Times New Roman" w:eastAsia="Times New Roman" w:hAnsi="Times New Roman"/>
          <w:sz w:val="14"/>
          <w:szCs w:val="14"/>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debt securities covered by this prospectus and the applicable prospectus supplement, including in short sale transactions. If so, the third parties may use securities pledged by us or borrowed from us or others to settle those sales or to close out any related open borrowings of securities, and may use securities received from us in settlement of those derivatives to close out any related open borrowings of securities. The third parties in these sale transactions will be underwriters and will be identified in the applicable prospectus supplement or in a post-effective amendment to the registration statement of which this prospectus forms a part.</w:t>
      </w:r>
    </w:p>
    <w:p>
      <w:pPr>
        <w:spacing w:after="0" w:line="1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General Information</w:t>
      </w:r>
    </w:p>
    <w:p>
      <w:pPr>
        <w:spacing w:after="0" w:line="115" w:lineRule="exact"/>
        <w:rPr>
          <w:sz w:val="20"/>
          <w:szCs w:val="20"/>
          <w:color w:val="auto"/>
        </w:rPr>
      </w:pPr>
    </w:p>
    <w:p>
      <w:pPr>
        <w:ind w:left="1300" w:right="1439" w:firstLine="281"/>
        <w:spacing w:after="0" w:line="260" w:lineRule="auto"/>
        <w:rPr>
          <w:sz w:val="20"/>
          <w:szCs w:val="20"/>
          <w:color w:val="auto"/>
        </w:rPr>
      </w:pPr>
      <w:r>
        <w:rPr>
          <w:rFonts w:ascii="Times New Roman" w:cs="Times New Roman" w:eastAsia="Times New Roman" w:hAnsi="Times New Roman"/>
          <w:sz w:val="14"/>
          <w:szCs w:val="14"/>
          <w:color w:val="auto"/>
        </w:rPr>
        <w:t>We may have agreements with the agents, dealers and underwriters to indemnify them against certain civil liabilities, including liabilities under the Securities Act, or to contribute with respect to payments that the agents, dealers or underwriters may be required to make. Agents, dealers and underwriters may be customers of, engage in transactions with or perform services for us in the ordinary course of their businesses.</w:t>
      </w:r>
    </w:p>
    <w:p>
      <w:pPr>
        <w:spacing w:after="0" w:line="260" w:lineRule="exact"/>
        <w:rPr>
          <w:sz w:val="20"/>
          <w:szCs w:val="20"/>
          <w:color w:val="auto"/>
        </w:rPr>
      </w:pPr>
    </w:p>
    <w:p>
      <w:pPr>
        <w:ind w:left="1300" w:right="1399" w:firstLine="281"/>
        <w:spacing w:after="0" w:line="267" w:lineRule="auto"/>
        <w:rPr>
          <w:sz w:val="20"/>
          <w:szCs w:val="20"/>
          <w:color w:val="auto"/>
        </w:rPr>
      </w:pPr>
      <w:r>
        <w:rPr>
          <w:rFonts w:ascii="Times New Roman" w:cs="Times New Roman" w:eastAsia="Times New Roman" w:hAnsi="Times New Roman"/>
          <w:sz w:val="14"/>
          <w:szCs w:val="14"/>
          <w:color w:val="auto"/>
        </w:rPr>
        <w:t>To the extent required, this prospectus may be amended or supplemented from time to time to describe a particular plan of distribution. The place and time of delivery for the debt securities in respect of which this prospectus is delivered will be set forth in the accompanying prospectus supplement.</w:t>
      </w:r>
    </w:p>
    <w:p>
      <w:pPr>
        <w:spacing w:after="0" w:line="8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Each series of offered debt securities will be a new issue and will have no established trading market.</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We may elect to list any series of offered debt securities on an exchange, but we are not obligated to do so.</w:t>
      </w:r>
    </w:p>
    <w:p>
      <w:pPr>
        <w:spacing w:after="0" w:line="7" w:lineRule="exact"/>
        <w:rPr>
          <w:sz w:val="20"/>
          <w:szCs w:val="20"/>
          <w:color w:val="auto"/>
        </w:rPr>
      </w:pPr>
    </w:p>
    <w:p>
      <w:pPr>
        <w:ind w:left="1300" w:right="1359"/>
        <w:spacing w:after="0" w:line="256" w:lineRule="auto"/>
        <w:rPr>
          <w:sz w:val="20"/>
          <w:szCs w:val="20"/>
          <w:color w:val="auto"/>
        </w:rPr>
      </w:pPr>
      <w:r>
        <w:rPr>
          <w:rFonts w:ascii="Times New Roman" w:cs="Times New Roman" w:eastAsia="Times New Roman" w:hAnsi="Times New Roman"/>
          <w:sz w:val="14"/>
          <w:szCs w:val="14"/>
          <w:color w:val="auto"/>
        </w:rPr>
        <w:t>It is possible that one or more underwriters may make a market in a series of offered debt securities. However, they will not be obligated to do so and may discontinue market making at any time without notice. We cannot assure you that a liquid trading market for any of our offered debt securities will develop.</w:t>
      </w: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83" w:name="page84"/>
    <w:bookmarkEnd w:id="83"/>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5" w:lineRule="exact"/>
        <w:rPr>
          <w:sz w:val="20"/>
          <w:szCs w:val="20"/>
          <w:color w:val="auto"/>
        </w:rPr>
      </w:pPr>
    </w:p>
    <w:p>
      <w:pPr>
        <w:ind w:left="1300" w:right="1399" w:firstLine="281"/>
        <w:spacing w:after="0" w:line="257" w:lineRule="auto"/>
        <w:rPr>
          <w:sz w:val="20"/>
          <w:szCs w:val="20"/>
          <w:color w:val="auto"/>
        </w:rPr>
      </w:pPr>
      <w:r>
        <w:rPr>
          <w:rFonts w:ascii="Times New Roman" w:cs="Times New Roman" w:eastAsia="Times New Roman" w:hAnsi="Times New Roman"/>
          <w:sz w:val="14"/>
          <w:szCs w:val="14"/>
          <w:color w:val="auto"/>
        </w:rPr>
        <w:t>The validity of the debt securities described in this prospectus will be passed upon for us by Baker Botts L.L.P., Houston, Texas. Monica Karuturi, Esq., our Executive Vice President and General Counsel, may pass on other legal matters for us. Ms. Karuturi is the beneficial owner of less than 1% of CenterPoint Energy’s common stock. Any underwriters will be advised regarding issues relating to any offering by Hunton Andrews Kurth LLP, New York, New York. From time to time, Hunton Andrews Kurth LLP acts as counsel to CenterPoint Energy and its affiliates on certain matters.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5" w:lineRule="exact"/>
        <w:rPr>
          <w:sz w:val="20"/>
          <w:szCs w:val="20"/>
          <w:color w:val="auto"/>
        </w:rPr>
      </w:pPr>
    </w:p>
    <w:p>
      <w:pPr>
        <w:ind w:left="1300" w:right="1359" w:firstLine="281"/>
        <w:spacing w:after="0" w:line="257" w:lineRule="auto"/>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The financial statements of CenterPoint Energy Resources Corp. as of December 31, 2025 and 2024, and for each of the three years in the period ended December 31, 2025, incorporated by reference in this </w:t>
      </w:r>
      <w:hyperlink r:id="rId23">
        <w:r>
          <w:rPr>
            <w:rFonts w:ascii="Times New Roman" w:cs="Times New Roman" w:eastAsia="Times New Roman" w:hAnsi="Times New Roman"/>
            <w:sz w:val="14"/>
            <w:szCs w:val="14"/>
            <w:color w:val="auto"/>
          </w:rPr>
          <w:t xml:space="preserve">Prospectus by reference to CenterPoint Energy Resources Corp.’s </w:t>
        </w:r>
        <w:r>
          <w:rPr>
            <w:rFonts w:ascii="Times New Roman" w:cs="Times New Roman" w:eastAsia="Times New Roman" w:hAnsi="Times New Roman"/>
            <w:sz w:val="14"/>
            <w:szCs w:val="14"/>
            <w:u w:val="single" w:color="auto"/>
            <w:color w:val="0000EE"/>
          </w:rPr>
          <w:t>annual report on Form 10-K for the year</w:t>
        </w:r>
      </w:hyperlink>
      <w:r>
        <w:rPr>
          <w:rFonts w:ascii="Times New Roman" w:cs="Times New Roman" w:eastAsia="Times New Roman" w:hAnsi="Times New Roman"/>
          <w:sz w:val="14"/>
          <w:szCs w:val="14"/>
          <w:color w:val="auto"/>
        </w:rPr>
        <w:t xml:space="preserve"> </w:t>
      </w:r>
      <w:hyperlink r:id="rId23">
        <w:r>
          <w:rPr>
            <w:rFonts w:ascii="Times New Roman" w:cs="Times New Roman" w:eastAsia="Times New Roman" w:hAnsi="Times New Roman"/>
            <w:sz w:val="14"/>
            <w:szCs w:val="14"/>
            <w:u w:val="single" w:color="auto"/>
            <w:color w:val="0000EE"/>
          </w:rPr>
          <w:t>ended December 31, 2025</w:t>
        </w:r>
        <w:r>
          <w:rPr>
            <w:rFonts w:ascii="Times New Roman" w:cs="Times New Roman" w:eastAsia="Times New Roman" w:hAnsi="Times New Roman"/>
            <w:sz w:val="14"/>
            <w:szCs w:val="14"/>
            <w:color w:val="000000"/>
          </w:rPr>
          <w:t>, have been audited by Deloitte &amp; Touche LLP, an independent registered public</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accounting firm, as stated in their report. Such financial statements are incorporated by reference in reliance upon the report of such firm given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84" w:name="page85"/>
    <w:bookmarkEnd w:id="84"/>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 xml:space="preserve">Item 14. </w:t>
      </w:r>
      <w:r>
        <w:rPr>
          <w:rFonts w:ascii="Times New Roman" w:cs="Times New Roman" w:eastAsia="Times New Roman" w:hAnsi="Times New Roman"/>
          <w:sz w:val="14"/>
          <w:szCs w:val="14"/>
          <w:b w:val="1"/>
          <w:bCs w:val="1"/>
          <w:i w:val="1"/>
          <w:iCs w:val="1"/>
          <w:color w:val="auto"/>
        </w:rPr>
        <w:t>Other Expenses of Issuance and Distribution.</w:t>
      </w:r>
    </w:p>
    <w:p>
      <w:pPr>
        <w:spacing w:after="0" w:line="104" w:lineRule="exact"/>
        <w:rPr>
          <w:sz w:val="20"/>
          <w:szCs w:val="20"/>
          <w:color w:val="auto"/>
        </w:rPr>
      </w:pPr>
    </w:p>
    <w:p>
      <w:pPr>
        <w:ind w:left="1300" w:right="1419" w:firstLine="281"/>
        <w:spacing w:after="0" w:line="268" w:lineRule="auto"/>
        <w:rPr>
          <w:sz w:val="20"/>
          <w:szCs w:val="20"/>
          <w:color w:val="auto"/>
        </w:rPr>
      </w:pPr>
      <w:r>
        <w:rPr>
          <w:rFonts w:ascii="Times New Roman" w:cs="Times New Roman" w:eastAsia="Times New Roman" w:hAnsi="Times New Roman"/>
          <w:sz w:val="14"/>
          <w:szCs w:val="14"/>
          <w:color w:val="auto"/>
        </w:rPr>
        <w:t>The following are the expenses in connection with the issuance and distribution of the securities being registered, other than underwriting fees and commissions.</w:t>
      </w:r>
    </w:p>
    <w:p>
      <w:pPr>
        <w:sectPr>
          <w:pgSz w:w="11900" w:h="16838" w:orient="portrait"/>
          <w:cols w:equalWidth="0" w:num="1">
            <w:col w:w="9019"/>
          </w:cols>
          <w:pgMar w:left="1440" w:top="107" w:right="1440" w:bottom="1440" w:gutter="0" w:footer="0" w:header="0"/>
        </w:sectPr>
      </w:pPr>
    </w:p>
    <w:p>
      <w:pPr>
        <w:spacing w:after="0" w:line="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Securities​ and Exchange Commission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4062095" cy="933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4062095" cy="93345"/>
                    </a:xfrm>
                    <a:prstGeom prst="rect">
                      <a:avLst/>
                    </a:prstGeom>
                    <a:noFill/>
                  </pic:spPr>
                </pic:pic>
              </a:graphicData>
            </a:graphic>
          </wp:anchor>
        </w:drawing>
      </w:r>
    </w:p>
    <w:p>
      <w:pPr>
        <w:spacing w:after="0" w:line="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Trustees’​ and transfer agents’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11430</wp:posOffset>
            </wp:positionV>
            <wp:extent cx="4062095" cy="1270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4062095" cy="127000"/>
                    </a:xfrm>
                    <a:prstGeom prst="rect">
                      <a:avLst/>
                    </a:prstGeom>
                    <a:noFill/>
                  </pic:spPr>
                </pic:pic>
              </a:graphicData>
            </a:graphic>
          </wp:anchor>
        </w:drawing>
      </w:r>
    </w:p>
    <w:p>
      <w:pPr>
        <w:spacing w:after="0" w:line="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Printing​ and engraving fees and expenses</w:t>
      </w:r>
    </w:p>
    <w:p>
      <w:pPr>
        <w:spacing w:after="0" w:line="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11430</wp:posOffset>
            </wp:positionV>
            <wp:extent cx="4062095" cy="1270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4062095" cy="127000"/>
                    </a:xfrm>
                    <a:prstGeom prst="rect">
                      <a:avLst/>
                    </a:prstGeom>
                    <a:noFill/>
                  </pic:spPr>
                </pic:pic>
              </a:graphicData>
            </a:graphic>
          </wp:anchor>
        </w:drawing>
      </w:r>
    </w:p>
    <w:p>
      <w:pPr>
        <w:spacing w:after="0" w:line="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Legal​ fees</w:t>
      </w:r>
    </w:p>
    <w:p>
      <w:pPr>
        <w:spacing w:after="0" w:line="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Rating​ agency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11430</wp:posOffset>
            </wp:positionV>
            <wp:extent cx="4062095" cy="1403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4062095" cy="140335"/>
                    </a:xfrm>
                    <a:prstGeom prst="rect">
                      <a:avLst/>
                    </a:prstGeom>
                    <a:noFill/>
                  </pic:spPr>
                </pic:pic>
              </a:graphicData>
            </a:graphic>
          </wp:anchor>
        </w:drawing>
      </w:r>
    </w:p>
    <w:p>
      <w:pPr>
        <w:ind w:left="1300"/>
        <w:spacing w:after="0" w:line="185" w:lineRule="auto"/>
        <w:rPr>
          <w:sz w:val="20"/>
          <w:szCs w:val="20"/>
          <w:color w:val="auto"/>
        </w:rPr>
      </w:pPr>
      <w:r>
        <w:rPr>
          <w:rFonts w:ascii="Times New Roman" w:cs="Times New Roman" w:eastAsia="Times New Roman" w:hAnsi="Times New Roman"/>
          <w:sz w:val="14"/>
          <w:szCs w:val="14"/>
          <w:color w:val="auto"/>
        </w:rPr>
        <w:t>Miscellaneous</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(including Listing fees, if applicable)</w:t>
      </w:r>
    </w:p>
    <w:p>
      <w:pPr>
        <w:ind w:left="1300"/>
        <w:spacing w:after="0" w:line="181" w:lineRule="auto"/>
        <w:rPr>
          <w:sz w:val="20"/>
          <w:szCs w:val="20"/>
          <w:color w:val="auto"/>
        </w:rPr>
      </w:pPr>
      <w:r>
        <w:rPr>
          <w:rFonts w:ascii="Times New Roman" w:cs="Times New Roman" w:eastAsia="Times New Roman" w:hAnsi="Times New Roman"/>
          <w:sz w:val="14"/>
          <w:szCs w:val="14"/>
          <w:color w:val="auto"/>
        </w:rPr>
        <w:t>Total</w:t>
      </w:r>
      <w:r>
        <w:rPr>
          <w:rFonts w:ascii="Times New Roman" w:cs="Times New Roman" w:eastAsia="Times New Roman" w:hAnsi="Times New Roman"/>
          <w:sz w:val="28"/>
          <w:szCs w:val="28"/>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46990</wp:posOffset>
            </wp:positionV>
            <wp:extent cx="96202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155" w:lineRule="exact"/>
        <w:rPr>
          <w:sz w:val="20"/>
          <w:szCs w:val="20"/>
          <w:color w:val="auto"/>
        </w:rPr>
      </w:pPr>
    </w:p>
    <w:p>
      <w:pPr>
        <w:jc w:val="both"/>
        <w:ind w:left="1300" w:firstLine="5"/>
        <w:spacing w:after="0" w:line="293" w:lineRule="auto"/>
        <w:tabs>
          <w:tab w:leader="none" w:pos="1581"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Omitted because the registration fee is being deferred pursuant to Rule 456(b) and Rule 457(r). + Estimated expenses are not presently known. The foregoing sets forth the general categories of</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left="81" w:hanging="81"/>
        <w:spacing w:after="0"/>
        <w:tabs>
          <w:tab w:leader="none" w:pos="81"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w:t>
      </w:r>
    </w:p>
    <w:p>
      <w:pPr>
        <w:spacing w:after="0" w:line="32" w:lineRule="exact"/>
        <w:rPr>
          <w:rFonts w:ascii="Times New Roman" w:cs="Times New Roman" w:eastAsia="Times New Roman" w:hAnsi="Times New Roman"/>
          <w:sz w:val="14"/>
          <w:szCs w:val="14"/>
          <w:color w:val="auto"/>
        </w:rPr>
      </w:pPr>
    </w:p>
    <w:p>
      <w:pPr>
        <w:ind w:left="81" w:hanging="81"/>
        <w:spacing w:after="0"/>
        <w:tabs>
          <w:tab w:leader="none" w:pos="81"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​        ​+</w:t>
      </w:r>
    </w:p>
    <w:p>
      <w:pPr>
        <w:spacing w:after="0" w:line="38" w:lineRule="exact"/>
        <w:rPr>
          <w:rFonts w:ascii="Times New Roman" w:cs="Times New Roman" w:eastAsia="Times New Roman" w:hAnsi="Times New Roman"/>
          <w:sz w:val="14"/>
          <w:szCs w:val="14"/>
          <w:color w:val="auto"/>
        </w:rPr>
      </w:pPr>
    </w:p>
    <w:p>
      <w:pPr>
        <w:ind w:left="81" w:hanging="81"/>
        <w:spacing w:after="0"/>
        <w:tabs>
          <w:tab w:leader="none" w:pos="81"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​        ​+</w:t>
      </w:r>
    </w:p>
    <w:p>
      <w:pPr>
        <w:spacing w:after="0" w:line="38" w:lineRule="exact"/>
        <w:rPr>
          <w:rFonts w:ascii="Times New Roman" w:cs="Times New Roman" w:eastAsia="Times New Roman" w:hAnsi="Times New Roman"/>
          <w:sz w:val="14"/>
          <w:szCs w:val="14"/>
          <w:color w:val="auto"/>
        </w:rPr>
      </w:pPr>
    </w:p>
    <w:p>
      <w:pPr>
        <w:ind w:left="81" w:hanging="81"/>
        <w:spacing w:after="0"/>
        <w:tabs>
          <w:tab w:leader="none" w:pos="81"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​        ​+</w:t>
      </w:r>
    </w:p>
    <w:p>
      <w:pPr>
        <w:spacing w:after="0" w:line="38" w:lineRule="exact"/>
        <w:rPr>
          <w:rFonts w:ascii="Times New Roman" w:cs="Times New Roman" w:eastAsia="Times New Roman" w:hAnsi="Times New Roman"/>
          <w:sz w:val="14"/>
          <w:szCs w:val="14"/>
          <w:color w:val="auto"/>
        </w:rPr>
      </w:pPr>
    </w:p>
    <w:p>
      <w:pPr>
        <w:ind w:left="81" w:hanging="81"/>
        <w:spacing w:after="0"/>
        <w:tabs>
          <w:tab w:leader="none" w:pos="81"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​        ​+</w:t>
      </w:r>
    </w:p>
    <w:p>
      <w:pPr>
        <w:spacing w:after="0" w:line="38" w:lineRule="exact"/>
        <w:rPr>
          <w:rFonts w:ascii="Times New Roman" w:cs="Times New Roman" w:eastAsia="Times New Roman" w:hAnsi="Times New Roman"/>
          <w:sz w:val="14"/>
          <w:szCs w:val="14"/>
          <w:color w:val="auto"/>
        </w:rPr>
      </w:pPr>
    </w:p>
    <w:p>
      <w:pPr>
        <w:ind w:left="81" w:hanging="81"/>
        <w:spacing w:after="0"/>
        <w:tabs>
          <w:tab w:leader="none" w:pos="81"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​        ​+</w:t>
      </w:r>
    </w:p>
    <w:p>
      <w:pPr>
        <w:spacing w:after="0" w:line="38" w:lineRule="exact"/>
        <w:rPr>
          <w:rFonts w:ascii="Times New Roman" w:cs="Times New Roman" w:eastAsia="Times New Roman" w:hAnsi="Times New Roman"/>
          <w:sz w:val="14"/>
          <w:szCs w:val="14"/>
          <w:color w:val="auto"/>
        </w:rPr>
      </w:pPr>
    </w:p>
    <w:p>
      <w:pPr>
        <w:ind w:left="81" w:hanging="81"/>
        <w:spacing w:after="0" w:line="183" w:lineRule="auto"/>
        <w:tabs>
          <w:tab w:leader="none" w:pos="81" w:val="left"/>
        </w:tabs>
        <w:numPr>
          <w:ilvl w:val="0"/>
          <w:numId w:val="113"/>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 xml:space="preserve"> ​        </w:t>
      </w: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3"/>
          <w:szCs w:val="13"/>
          <w:color w:val="auto"/>
        </w:rPr>
        <w:t>+</w:t>
      </w:r>
    </w:p>
    <w:p>
      <w:pPr>
        <w:ind w:left="81" w:hanging="81"/>
        <w:spacing w:after="0" w:line="180" w:lineRule="auto"/>
        <w:tabs>
          <w:tab w:leader="none" w:pos="81" w:val="left"/>
        </w:tabs>
        <w:numPr>
          <w:ilvl w:val="0"/>
          <w:numId w:val="113"/>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-25400</wp:posOffset>
            </wp:positionV>
            <wp:extent cx="22733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227330" cy="6985"/>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-5715</wp:posOffset>
            </wp:positionV>
            <wp:extent cx="22733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227330" cy="6985"/>
                    </a:xfrm>
                    <a:prstGeom prst="rect">
                      <a:avLst/>
                    </a:prstGeom>
                    <a:noFill/>
                  </pic:spPr>
                </pic:pic>
              </a:graphicData>
            </a:graphic>
          </wp:anchor>
        </w:drawing>
      </w:r>
    </w:p>
    <w:p>
      <w:pPr>
        <w:spacing w:after="0" w:line="569" w:lineRule="exact"/>
        <w:rPr>
          <w:sz w:val="20"/>
          <w:szCs w:val="20"/>
          <w:color w:val="auto"/>
        </w:rPr>
      </w:pPr>
    </w:p>
    <w:p>
      <w:pPr>
        <w:sectPr>
          <w:pgSz w:w="11900" w:h="16838" w:orient="portrait"/>
          <w:cols w:equalWidth="0" w:num="2">
            <w:col w:w="7180" w:space="39"/>
            <w:col w:w="1800"/>
          </w:cols>
          <w:pgMar w:left="1440" w:top="107" w:right="1440" w:bottom="1440" w:gutter="0" w:footer="0" w:header="0"/>
          <w:type w:val="continuous"/>
        </w:sectPr>
      </w:pPr>
    </w:p>
    <w:p>
      <w:pPr>
        <w:ind w:left="1580" w:right="1439"/>
        <w:spacing w:after="0" w:line="254" w:lineRule="auto"/>
        <w:rPr>
          <w:sz w:val="20"/>
          <w:szCs w:val="20"/>
          <w:color w:val="auto"/>
        </w:rPr>
      </w:pPr>
      <w:r>
        <w:rPr>
          <w:rFonts w:ascii="Times New Roman" w:cs="Times New Roman" w:eastAsia="Times New Roman" w:hAnsi="Times New Roman"/>
          <w:sz w:val="14"/>
          <w:szCs w:val="14"/>
          <w:color w:val="auto"/>
        </w:rPr>
        <w:t>expenses (other than underwriting discounts and commissions) that the registrants anticipate will be incurred in connection with the offering of securities under this registration statement. An estimate of the aggregate expenses in connection with the issuance and distribution of the securities being offered will be included in the applicable prospectus supplement.</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 xml:space="preserve">Item 15. </w:t>
      </w:r>
      <w:r>
        <w:rPr>
          <w:rFonts w:ascii="Times New Roman" w:cs="Times New Roman" w:eastAsia="Times New Roman" w:hAnsi="Times New Roman"/>
          <w:sz w:val="14"/>
          <w:szCs w:val="14"/>
          <w:b w:val="1"/>
          <w:bCs w:val="1"/>
          <w:i w:val="1"/>
          <w:iCs w:val="1"/>
          <w:color w:val="auto"/>
        </w:rPr>
        <w:t>Indemnification of Directors and Officers.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CenterPoint Energy, Inc.</w:t>
      </w:r>
    </w:p>
    <w:p>
      <w:pPr>
        <w:spacing w:after="0" w:line="115" w:lineRule="exact"/>
        <w:rPr>
          <w:sz w:val="20"/>
          <w:szCs w:val="20"/>
          <w:color w:val="auto"/>
        </w:rPr>
      </w:pPr>
    </w:p>
    <w:p>
      <w:pPr>
        <w:ind w:left="1300" w:right="1399" w:firstLine="281"/>
        <w:spacing w:after="0"/>
        <w:rPr>
          <w:sz w:val="20"/>
          <w:szCs w:val="20"/>
          <w:color w:val="auto"/>
        </w:rPr>
      </w:pPr>
      <w:r>
        <w:rPr>
          <w:rFonts w:ascii="Times New Roman" w:cs="Times New Roman" w:eastAsia="Times New Roman" w:hAnsi="Times New Roman"/>
          <w:sz w:val="14"/>
          <w:szCs w:val="14"/>
          <w:color w:val="auto"/>
        </w:rPr>
        <w:t>Title 1, Chapter 8 of the Texas Business Organizations Code (“TBOC”) and Article V of CenterPoint Energy’s Fifth Amended and Restated Bylaws (the “Bylaws”) provide CenterPoint Energy with broad powers and authority to indemnify its current or former directors and officers and to purchase and maintain insurance for such purposes. Pursuant to such statutory and Bylaw provisions, CenterPoint Energy has purchased insurance against certain costs of indemnification that may be incurred by it and by its officers and directors.</w:t>
      </w:r>
    </w:p>
    <w:p>
      <w:pPr>
        <w:spacing w:after="0" w:line="237" w:lineRule="exact"/>
        <w:rPr>
          <w:sz w:val="20"/>
          <w:szCs w:val="20"/>
          <w:color w:val="auto"/>
        </w:rPr>
      </w:pPr>
    </w:p>
    <w:p>
      <w:pPr>
        <w:ind w:left="1300" w:right="1359" w:firstLine="281"/>
        <w:spacing w:after="0" w:line="244" w:lineRule="auto"/>
        <w:rPr>
          <w:sz w:val="20"/>
          <w:szCs w:val="20"/>
          <w:color w:val="auto"/>
        </w:rPr>
      </w:pPr>
      <w:r>
        <w:rPr>
          <w:rFonts w:ascii="Times New Roman" w:cs="Times New Roman" w:eastAsia="Times New Roman" w:hAnsi="Times New Roman"/>
          <w:sz w:val="14"/>
          <w:szCs w:val="14"/>
          <w:color w:val="auto"/>
        </w:rPr>
        <w:t>Additionally, Article IX of CenterPoint Energy’s Amended and Restated Certificate of Formation provides that no director or officer of CenterPoint Energy is liable to CenterPoint Energy or its shareholders for monetary damages for any act or omission in the director’s capacity as a director or officer’s capacity as an officer, as applicable, except for the liability of (1) a director or officer to the extent the director or officer is found liable under applicable law for: (i) a breach of the director’s or officer’s duty of loyalty to CenterPoint Energy or its shareholders, (ii) an act or omission not in good faith that constitutes a breach of duty of the director or officer to CenterPoint Energy or involves intentional misconduct or a knowing violation of law, (iii) a transaction from which the director or officer received an improper benefit, regardless of whether the benefit resulted from an action taken within the scope of a director’s or officer’s duties, (iv) an act or omission for which the liability of a director or officer is expressly provided by an applicable statute; and (2) an officer in any action by or in the right of CenterPoint Energy.</w:t>
      </w:r>
    </w:p>
    <w:p>
      <w:pPr>
        <w:spacing w:after="0" w:line="94" w:lineRule="exact"/>
        <w:rPr>
          <w:sz w:val="20"/>
          <w:szCs w:val="20"/>
          <w:color w:val="auto"/>
        </w:rPr>
      </w:pPr>
    </w:p>
    <w:p>
      <w:pPr>
        <w:ind w:left="1300" w:right="1479" w:firstLine="281"/>
        <w:spacing w:after="0" w:line="251" w:lineRule="auto"/>
        <w:rPr>
          <w:sz w:val="20"/>
          <w:szCs w:val="20"/>
          <w:color w:val="auto"/>
        </w:rPr>
      </w:pPr>
      <w:r>
        <w:rPr>
          <w:rFonts w:ascii="Times New Roman" w:cs="Times New Roman" w:eastAsia="Times New Roman" w:hAnsi="Times New Roman"/>
          <w:sz w:val="14"/>
          <w:szCs w:val="14"/>
          <w:color w:val="auto"/>
        </w:rPr>
        <w:t>Article IX also provides that any subsequent amendments to Texas statutes that further limit the liability of directors or officers will inure to the benefit of the directors or officers, without any further action by shareholders. Any repeal or modification of Article IX shall not adversely affect any right of protection of a director or officer of CenterPoint Energy existing at the time of the repeal or modification.</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CenterPoint Energy Houston Electric, LLC</w:t>
      </w:r>
    </w:p>
    <w:p>
      <w:pPr>
        <w:spacing w:after="0" w:line="125" w:lineRule="exact"/>
        <w:rPr>
          <w:sz w:val="20"/>
          <w:szCs w:val="20"/>
          <w:color w:val="auto"/>
        </w:rPr>
      </w:pPr>
    </w:p>
    <w:p>
      <w:pPr>
        <w:ind w:left="1300" w:right="1379" w:firstLine="281"/>
        <w:spacing w:after="0" w:line="268" w:lineRule="auto"/>
        <w:rPr>
          <w:sz w:val="20"/>
          <w:szCs w:val="20"/>
          <w:color w:val="auto"/>
        </w:rPr>
      </w:pPr>
      <w:r>
        <w:rPr>
          <w:rFonts w:ascii="Times New Roman" w:cs="Times New Roman" w:eastAsia="Times New Roman" w:hAnsi="Times New Roman"/>
          <w:sz w:val="14"/>
          <w:szCs w:val="14"/>
          <w:color w:val="auto"/>
        </w:rPr>
        <w:t>The TBOC and Article VIII of Houston Electric’s Amended and Restated Limited Liability Company Agreement (the “LLC Agreement”) provide Houston Electric with broad powers and authority to indemnify</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85" w:name="page86"/>
    <w:bookmarkEnd w:id="85"/>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300" w:right="1519"/>
        <w:spacing w:after="0" w:line="267" w:lineRule="auto"/>
        <w:rPr>
          <w:sz w:val="20"/>
          <w:szCs w:val="20"/>
          <w:color w:val="auto"/>
        </w:rPr>
      </w:pPr>
      <w:r>
        <w:rPr>
          <w:rFonts w:ascii="Times New Roman" w:cs="Times New Roman" w:eastAsia="Times New Roman" w:hAnsi="Times New Roman"/>
          <w:sz w:val="14"/>
          <w:szCs w:val="14"/>
          <w:color w:val="auto"/>
        </w:rPr>
        <w:t>its member, managers and officers and to purchase and maintain insurance for such purposes. Pursuant to such statutory and LLC Agreement provisions, Houston Electric has purchased insurance against certain costs of indemnification that may be incurred by it and by its member, manager and officers.</w:t>
      </w:r>
    </w:p>
    <w:p>
      <w:pPr>
        <w:spacing w:after="0" w:line="84" w:lineRule="exact"/>
        <w:rPr>
          <w:sz w:val="20"/>
          <w:szCs w:val="20"/>
          <w:color w:val="auto"/>
        </w:rPr>
      </w:pPr>
    </w:p>
    <w:p>
      <w:pPr>
        <w:ind w:left="1300" w:right="1319" w:firstLine="281"/>
        <w:spacing w:after="0" w:line="259" w:lineRule="auto"/>
        <w:rPr>
          <w:sz w:val="20"/>
          <w:szCs w:val="20"/>
          <w:color w:val="auto"/>
        </w:rPr>
      </w:pPr>
      <w:r>
        <w:rPr>
          <w:rFonts w:ascii="Times New Roman" w:cs="Times New Roman" w:eastAsia="Times New Roman" w:hAnsi="Times New Roman"/>
          <w:sz w:val="14"/>
          <w:szCs w:val="14"/>
          <w:color w:val="auto"/>
        </w:rPr>
        <w:t>Additionally, Section 7.12 of Houston Electric’s LLC Agreement provides that a manager of Houston Electric is not liable to Houston Electric or its member for monetary damages for breach of fiduciary duty as a manager, except that Section 7.12 does not eliminate or limit the liability of a manager for any acts or omissions that involve intentional misconduct, fraud or a knowing violation of law or for a distribution in violation of Texas law as a result of the willful or grossly negligent act or omission of the manager.</w:t>
      </w:r>
    </w:p>
    <w:p>
      <w:pPr>
        <w:spacing w:after="0" w:line="89" w:lineRule="exact"/>
        <w:rPr>
          <w:sz w:val="20"/>
          <w:szCs w:val="20"/>
          <w:color w:val="auto"/>
        </w:rPr>
      </w:pPr>
    </w:p>
    <w:p>
      <w:pPr>
        <w:ind w:left="1300" w:right="1339" w:firstLine="281"/>
        <w:spacing w:after="0" w:line="261" w:lineRule="auto"/>
        <w:rPr>
          <w:sz w:val="20"/>
          <w:szCs w:val="20"/>
          <w:color w:val="auto"/>
        </w:rPr>
      </w:pPr>
      <w:r>
        <w:rPr>
          <w:rFonts w:ascii="Times New Roman" w:cs="Times New Roman" w:eastAsia="Times New Roman" w:hAnsi="Times New Roman"/>
          <w:sz w:val="14"/>
          <w:szCs w:val="14"/>
          <w:color w:val="auto"/>
        </w:rPr>
        <w:t>Section 7.12 also provides that any subsequent amendments to Texas statutes that further limit the liability of managers will inure to the benefit of the managers. Any repeal or modification of Section 7.12 shall not adversely affect any right of protection of a manager of Houston Electric existing at the time of the repeal or modification.</w:t>
      </w:r>
    </w:p>
    <w:p>
      <w:pPr>
        <w:spacing w:after="0" w:line="1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CenterPoint Energy Resources Corp.</w:t>
      </w:r>
    </w:p>
    <w:p>
      <w:pPr>
        <w:spacing w:after="0" w:line="115" w:lineRule="exact"/>
        <w:rPr>
          <w:sz w:val="20"/>
          <w:szCs w:val="20"/>
          <w:color w:val="auto"/>
        </w:rPr>
      </w:pPr>
    </w:p>
    <w:p>
      <w:pPr>
        <w:ind w:left="1300" w:right="1359" w:firstLine="281"/>
        <w:spacing w:after="0" w:line="283" w:lineRule="auto"/>
        <w:rPr>
          <w:sz w:val="20"/>
          <w:szCs w:val="20"/>
          <w:color w:val="auto"/>
        </w:rPr>
      </w:pPr>
      <w:r>
        <w:rPr>
          <w:rFonts w:ascii="Times New Roman" w:cs="Times New Roman" w:eastAsia="Times New Roman" w:hAnsi="Times New Roman"/>
          <w:sz w:val="14"/>
          <w:szCs w:val="14"/>
          <w:color w:val="auto"/>
        </w:rPr>
        <w:t>Section 145 of the General Corporation Law of the State of Delaware (the “DGCL”) gives corporations the power to indemnify officers and directors under certain circumstances.</w:t>
      </w:r>
    </w:p>
    <w:p>
      <w:pPr>
        <w:spacing w:after="0" w:line="73" w:lineRule="exact"/>
        <w:rPr>
          <w:sz w:val="20"/>
          <w:szCs w:val="20"/>
          <w:color w:val="auto"/>
        </w:rPr>
      </w:pPr>
    </w:p>
    <w:p>
      <w:pPr>
        <w:ind w:left="1300" w:right="1479" w:firstLine="281"/>
        <w:spacing w:after="0" w:line="264" w:lineRule="auto"/>
        <w:rPr>
          <w:sz w:val="20"/>
          <w:szCs w:val="20"/>
          <w:color w:val="auto"/>
        </w:rPr>
      </w:pPr>
      <w:r>
        <w:rPr>
          <w:rFonts w:ascii="Times New Roman" w:cs="Times New Roman" w:eastAsia="Times New Roman" w:hAnsi="Times New Roman"/>
          <w:sz w:val="14"/>
          <w:szCs w:val="14"/>
          <w:color w:val="auto"/>
        </w:rPr>
        <w:t>Article V of the Bylaws of CERC Corp. provides for indemnification of officers and directors to the extent permitted by the DGCL. CERC Corp. also has policies insuring its officers and directors against certain liabilities for action taken in such capacities, including liabilities under the Securities Act of 1933, as amended.</w:t>
      </w:r>
    </w:p>
    <w:p>
      <w:pPr>
        <w:spacing w:after="0" w:line="258" w:lineRule="exact"/>
        <w:rPr>
          <w:sz w:val="20"/>
          <w:szCs w:val="20"/>
          <w:color w:val="auto"/>
        </w:rPr>
      </w:pPr>
    </w:p>
    <w:p>
      <w:pPr>
        <w:ind w:left="1300" w:right="1379" w:firstLine="281"/>
        <w:spacing w:after="0" w:line="257" w:lineRule="auto"/>
        <w:rPr>
          <w:sz w:val="20"/>
          <w:szCs w:val="20"/>
          <w:color w:val="auto"/>
        </w:rPr>
      </w:pPr>
      <w:r>
        <w:rPr>
          <w:rFonts w:ascii="Times New Roman" w:cs="Times New Roman" w:eastAsia="Times New Roman" w:hAnsi="Times New Roman"/>
          <w:sz w:val="14"/>
          <w:szCs w:val="14"/>
          <w:color w:val="auto"/>
        </w:rPr>
        <w:t>Article Nine of CERC Corp.’s Certificate of Incorporation adopted the provision of Delaware law limiting or eliminating the potential monetary liability of directors to CERC Corp. or its stockholders for breaches of a director’s fiduciary duty of care. However, the provision does not limit or eliminate the liability of a director for disloyalty to CERC Corp. or its stockholders, failing to act in good faith, engaging in intentional misconduct or a knowing violation of the law, obtaining an improper personal benefit or paying a dividend or approving a stock repurchase that was illegal under section 174 of the DGCL.</w:t>
      </w:r>
    </w:p>
    <w:p>
      <w:pPr>
        <w:spacing w:after="0" w:line="81" w:lineRule="exact"/>
        <w:rPr>
          <w:sz w:val="20"/>
          <w:szCs w:val="20"/>
          <w:color w:val="auto"/>
        </w:rPr>
      </w:pPr>
    </w:p>
    <w:p>
      <w:pPr>
        <w:ind w:left="1300" w:right="1319" w:firstLine="281"/>
        <w:spacing w:after="0" w:line="259" w:lineRule="auto"/>
        <w:rPr>
          <w:sz w:val="20"/>
          <w:szCs w:val="20"/>
          <w:color w:val="auto"/>
        </w:rPr>
      </w:pPr>
      <w:r>
        <w:rPr>
          <w:rFonts w:ascii="Times New Roman" w:cs="Times New Roman" w:eastAsia="Times New Roman" w:hAnsi="Times New Roman"/>
          <w:sz w:val="14"/>
          <w:szCs w:val="14"/>
          <w:color w:val="auto"/>
        </w:rPr>
        <w:t>Article Nine of CERC Corp.’s Certificate of Incorporation also provides that if the DGCL is subsequently amended to authorize further limitation or elimination of the liability of directors, such subsequent limitation or elimination of director’s liability will be automatically implemented without further stockholder action. Furthermore, repeal or modification of the terms of Article Nine will not adversely affect any right or protection of a director existing at the time of such repeal or modification.</w:t>
      </w:r>
    </w:p>
    <w:p>
      <w:pPr>
        <w:spacing w:after="0" w:line="89" w:lineRule="exact"/>
        <w:rPr>
          <w:sz w:val="20"/>
          <w:szCs w:val="20"/>
          <w:color w:val="auto"/>
        </w:rPr>
      </w:pPr>
    </w:p>
    <w:p>
      <w:pPr>
        <w:ind w:left="1300" w:right="2059" w:firstLine="281"/>
        <w:spacing w:after="0" w:line="283" w:lineRule="auto"/>
        <w:rPr>
          <w:sz w:val="20"/>
          <w:szCs w:val="20"/>
          <w:color w:val="auto"/>
        </w:rPr>
      </w:pPr>
      <w:r>
        <w:rPr>
          <w:rFonts w:ascii="Times New Roman" w:cs="Times New Roman" w:eastAsia="Times New Roman" w:hAnsi="Times New Roman"/>
          <w:sz w:val="14"/>
          <w:szCs w:val="14"/>
          <w:color w:val="auto"/>
        </w:rPr>
        <w:t>See “Item 17. Undertakings” for a description of the Commission’s position regarding such indemnification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86" w:name="page87"/>
    <w:bookmarkEnd w:id="86"/>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b w:val="1"/>
          <w:bCs w:val="1"/>
          <w:color w:val="auto"/>
        </w:rPr>
        <w:t xml:space="preserve">Item 16. </w:t>
      </w:r>
      <w:r>
        <w:rPr>
          <w:rFonts w:ascii="Times New Roman" w:cs="Times New Roman" w:eastAsia="Times New Roman" w:hAnsi="Times New Roman"/>
          <w:sz w:val="14"/>
          <w:szCs w:val="14"/>
          <w:b w:val="1"/>
          <w:bCs w:val="1"/>
          <w:i w:val="1"/>
          <w:iCs w:val="1"/>
          <w:color w:val="auto"/>
        </w:rPr>
        <w:t>Exhibits.</w:t>
      </w:r>
    </w:p>
    <w:p>
      <w:pPr>
        <w:spacing w:after="0" w:line="125" w:lineRule="exact"/>
        <w:rPr>
          <w:sz w:val="20"/>
          <w:szCs w:val="20"/>
          <w:color w:val="auto"/>
        </w:rPr>
      </w:pPr>
    </w:p>
    <w:p>
      <w:pPr>
        <w:ind w:left="1300" w:right="1319" w:firstLine="281"/>
        <w:spacing w:after="0" w:line="267" w:lineRule="auto"/>
        <w:rPr>
          <w:sz w:val="20"/>
          <w:szCs w:val="20"/>
          <w:color w:val="auto"/>
        </w:rPr>
      </w:pPr>
      <w:r>
        <w:rPr>
          <w:rFonts w:ascii="Times New Roman" w:cs="Times New Roman" w:eastAsia="Times New Roman" w:hAnsi="Times New Roman"/>
          <w:sz w:val="14"/>
          <w:szCs w:val="14"/>
          <w:color w:val="auto"/>
        </w:rPr>
        <w:t>The following is a list of all exhibits filed as a part of this registration statement on Form S-3, including those incorporated herein by reference. CenterPoint Energy, Houston Electric or CERC Corp., as applicable, will file as an exhibit to a Current Report on Form 8-K (i) any underwriting, remarketing or agency agreement relating to securities offered hereby, (ii) any additional instruments setting forth the terms of any debt securities, including mortgage bonds, preferred stock, stock purchase contracts, equity units or depositary shares, (iii) any additional required opinions of counsel with respect to legality of the securities offered hereby and (iv) any required opinion of counsel as to certain tax matters relating to securities offered hereby.</w:t>
      </w:r>
    </w:p>
    <w:p>
      <w:pPr>
        <w:spacing w:after="0" w:line="289" w:lineRule="exact"/>
        <w:rPr>
          <w:sz w:val="20"/>
          <w:szCs w:val="20"/>
          <w:color w:val="auto"/>
        </w:rPr>
      </w:pPr>
    </w:p>
    <w:p>
      <w:pPr>
        <w:ind w:left="1340"/>
        <w:spacing w:after="0"/>
        <w:tabs>
          <w:tab w:leader="none" w:pos="5080" w:val="left"/>
          <w:tab w:leader="none" w:pos="6560" w:val="left"/>
          <w:tab w:leader="none" w:pos="7320" w:val="left"/>
        </w:tabs>
        <w:rPr>
          <w:sz w:val="20"/>
          <w:szCs w:val="20"/>
          <w:color w:val="auto"/>
        </w:rPr>
      </w:pPr>
      <w:r>
        <w:rPr>
          <w:rFonts w:ascii="Times New Roman" w:cs="Times New Roman" w:eastAsia="Times New Roman" w:hAnsi="Times New Roman"/>
          <w:sz w:val="11"/>
          <w:szCs w:val="11"/>
          <w:b w:val="1"/>
          <w:bCs w:val="1"/>
          <w:color w:val="auto"/>
        </w:rPr>
        <w:t>Exhibit</w:t>
      </w:r>
      <w:r>
        <w:rPr>
          <w:sz w:val="20"/>
          <w:szCs w:val="20"/>
          <w:color w:val="auto"/>
        </w:rPr>
        <w:tab/>
      </w:r>
      <w:r>
        <w:rPr>
          <w:rFonts w:ascii="Times New Roman" w:cs="Times New Roman" w:eastAsia="Times New Roman" w:hAnsi="Times New Roman"/>
          <w:sz w:val="11"/>
          <w:szCs w:val="11"/>
          <w:b w:val="1"/>
          <w:bCs w:val="1"/>
          <w:color w:val="auto"/>
        </w:rPr>
        <w:t>Report or Registration</w:t>
      </w:r>
      <w:r>
        <w:rPr>
          <w:sz w:val="20"/>
          <w:szCs w:val="20"/>
          <w:color w:val="auto"/>
        </w:rPr>
        <w:tab/>
      </w:r>
      <w:r>
        <w:rPr>
          <w:rFonts w:ascii="Times New Roman" w:cs="Times New Roman" w:eastAsia="Times New Roman" w:hAnsi="Times New Roman"/>
          <w:sz w:val="11"/>
          <w:szCs w:val="11"/>
          <w:b w:val="1"/>
          <w:bCs w:val="1"/>
          <w:color w:val="auto"/>
        </w:rPr>
        <w:t>Registration</w:t>
      </w:r>
      <w:r>
        <w:rPr>
          <w:sz w:val="20"/>
          <w:szCs w:val="20"/>
          <w:color w:val="auto"/>
        </w:rPr>
        <w:tab/>
      </w:r>
      <w:r>
        <w:rPr>
          <w:rFonts w:ascii="Times New Roman" w:cs="Times New Roman" w:eastAsia="Times New Roman" w:hAnsi="Times New Roman"/>
          <w:sz w:val="10"/>
          <w:szCs w:val="10"/>
          <w:b w:val="1"/>
          <w:bCs w:val="1"/>
          <w:color w:val="auto"/>
        </w:rPr>
        <w:t>Exhibit</w:t>
      </w:r>
    </w:p>
    <w:p>
      <w:pPr>
        <w:jc w:val="right"/>
        <w:ind w:right="1239"/>
        <w:spacing w:after="0"/>
        <w:tabs>
          <w:tab w:leader="none" w:pos="5780" w:val="left"/>
          <w:tab w:leader="none" w:pos="5120" w:val="left"/>
          <w:tab w:leader="none" w:pos="4580" w:val="left"/>
          <w:tab w:leader="none" w:pos="3040" w:val="left"/>
          <w:tab w:leader="none" w:pos="2360" w:val="left"/>
          <w:tab w:leader="none" w:pos="1260" w:val="left"/>
          <w:tab w:leader="none" w:pos="1080" w:val="left"/>
          <w:tab w:leader="none" w:pos="540" w:val="left"/>
        </w:tabs>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Number </w:t>
      </w:r>
      <w:r>
        <w:rPr>
          <w:rFonts w:ascii="Times New Roman" w:cs="Times New Roman" w:eastAsia="Times New Roman" w:hAnsi="Times New Roman"/>
          <w:sz w:val="19"/>
          <w:szCs w:val="19"/>
          <w:b w:val="1"/>
          <w:bCs w:val="1"/>
          <w:color w:val="auto"/>
          <w:vertAlign w:val="subscript"/>
        </w:rPr>
        <w:t>​​</w:t>
      </w:r>
      <w:r>
        <w:rPr>
          <w:sz w:val="20"/>
          <w:szCs w:val="20"/>
          <w:color w:val="auto"/>
        </w:rPr>
        <w:tab/>
      </w:r>
      <w:r>
        <w:rPr>
          <w:rFonts w:ascii="Times New Roman" w:cs="Times New Roman" w:eastAsia="Times New Roman" w:hAnsi="Times New Roman"/>
          <w:sz w:val="11"/>
          <w:szCs w:val="11"/>
          <w:b w:val="1"/>
          <w:bCs w:val="1"/>
          <w:color w:val="auto"/>
        </w:rPr>
        <w:t>Registrant</w:t>
      </w:r>
      <w:r>
        <w:rPr>
          <w:sz w:val="20"/>
          <w:szCs w:val="20"/>
          <w:color w:val="auto"/>
        </w:rPr>
        <w:tab/>
      </w:r>
      <w:r>
        <w:rPr>
          <w:rFonts w:ascii="Times New Roman" w:cs="Times New Roman" w:eastAsia="Times New Roman" w:hAnsi="Times New Roman"/>
          <w:sz w:val="19"/>
          <w:szCs w:val="19"/>
          <w:b w:val="1"/>
          <w:bCs w:val="1"/>
          <w:color w:val="auto"/>
          <w:vertAlign w:val="subscript"/>
        </w:rPr>
        <w:t>​​</w:t>
      </w:r>
      <w:r>
        <w:rPr>
          <w:sz w:val="20"/>
          <w:szCs w:val="20"/>
          <w:color w:val="auto"/>
        </w:rPr>
        <w:tab/>
      </w:r>
      <w:r>
        <w:rPr>
          <w:rFonts w:ascii="Times New Roman" w:cs="Times New Roman" w:eastAsia="Times New Roman" w:hAnsi="Times New Roman"/>
          <w:sz w:val="11"/>
          <w:szCs w:val="11"/>
          <w:b w:val="1"/>
          <w:bCs w:val="1"/>
          <w:color w:val="auto"/>
        </w:rPr>
        <w:t>Document Description</w:t>
      </w:r>
      <w:r>
        <w:rPr>
          <w:sz w:val="20"/>
          <w:szCs w:val="20"/>
          <w:color w:val="auto"/>
        </w:rPr>
        <w:tab/>
      </w:r>
      <w:r>
        <w:rPr>
          <w:rFonts w:ascii="Times New Roman" w:cs="Times New Roman" w:eastAsia="Times New Roman" w:hAnsi="Times New Roman"/>
          <w:sz w:val="19"/>
          <w:szCs w:val="19"/>
          <w:b w:val="1"/>
          <w:bCs w:val="1"/>
          <w:color w:val="auto"/>
          <w:vertAlign w:val="subscript"/>
        </w:rPr>
        <w:t>​​</w:t>
      </w:r>
      <w:r>
        <w:rPr>
          <w:sz w:val="20"/>
          <w:szCs w:val="20"/>
          <w:color w:val="auto"/>
        </w:rPr>
        <w:tab/>
      </w:r>
      <w:r>
        <w:rPr>
          <w:rFonts w:ascii="Times New Roman" w:cs="Times New Roman" w:eastAsia="Times New Roman" w:hAnsi="Times New Roman"/>
          <w:sz w:val="11"/>
          <w:szCs w:val="11"/>
          <w:b w:val="1"/>
          <w:bCs w:val="1"/>
          <w:color w:val="auto"/>
        </w:rPr>
        <w:t>Statement</w:t>
      </w:r>
      <w:r>
        <w:rPr>
          <w:sz w:val="20"/>
          <w:szCs w:val="20"/>
          <w:color w:val="auto"/>
        </w:rPr>
        <w:tab/>
      </w:r>
      <w:r>
        <w:rPr>
          <w:rFonts w:ascii="Times New Roman" w:cs="Times New Roman" w:eastAsia="Times New Roman" w:hAnsi="Times New Roman"/>
          <w:sz w:val="19"/>
          <w:szCs w:val="19"/>
          <w:b w:val="1"/>
          <w:bCs w:val="1"/>
          <w:color w:val="auto"/>
          <w:vertAlign w:val="subscript"/>
        </w:rPr>
        <w:t>​​</w:t>
      </w:r>
      <w:r>
        <w:rPr>
          <w:sz w:val="20"/>
          <w:szCs w:val="20"/>
          <w:color w:val="auto"/>
        </w:rPr>
        <w:tab/>
      </w:r>
      <w:r>
        <w:rPr>
          <w:rFonts w:ascii="Times New Roman" w:cs="Times New Roman" w:eastAsia="Times New Roman" w:hAnsi="Times New Roman"/>
          <w:sz w:val="11"/>
          <w:szCs w:val="11"/>
          <w:b w:val="1"/>
          <w:bCs w:val="1"/>
          <w:color w:val="auto"/>
        </w:rPr>
        <w:t>Number</w:t>
      </w:r>
      <w:r>
        <w:rPr>
          <w:sz w:val="20"/>
          <w:szCs w:val="20"/>
          <w:color w:val="auto"/>
        </w:rPr>
        <w:tab/>
      </w:r>
      <w:r>
        <w:rPr>
          <w:rFonts w:ascii="Times New Roman" w:cs="Times New Roman" w:eastAsia="Times New Roman" w:hAnsi="Times New Roman"/>
          <w:sz w:val="13"/>
          <w:szCs w:val="13"/>
          <w:b w:val="1"/>
          <w:bCs w:val="1"/>
          <w:color w:val="auto"/>
          <w:vertAlign w:val="subscript"/>
        </w:rPr>
        <w:t>​​</w:t>
      </w:r>
      <w:r>
        <w:rPr>
          <w:rFonts w:ascii="Times New Roman" w:cs="Times New Roman" w:eastAsia="Times New Roman" w:hAnsi="Times New Roman"/>
          <w:sz w:val="13"/>
          <w:szCs w:val="13"/>
          <w:b w:val="1"/>
          <w:bCs w:val="1"/>
          <w:color w:val="auto"/>
        </w:rPr>
        <w:t>Reference</w:t>
      </w:r>
      <w:r>
        <w:rPr>
          <w:rFonts w:ascii="Times New Roman" w:cs="Times New Roman" w:eastAsia="Times New Roman" w:hAnsi="Times New Roman"/>
          <w:sz w:val="13"/>
          <w:szCs w:val="13"/>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4624070</wp:posOffset>
            </wp:positionH>
            <wp:positionV relativeFrom="paragraph">
              <wp:posOffset>635</wp:posOffset>
            </wp:positionV>
            <wp:extent cx="30035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300355" cy="698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p>
      <w:pPr>
        <w:spacing w:after="0" w:line="21" w:lineRule="exact"/>
        <w:rPr>
          <w:sz w:val="20"/>
          <w:szCs w:val="20"/>
          <w:color w:val="auto"/>
        </w:rPr>
      </w:pPr>
    </w:p>
    <w:tbl>
      <w:tblPr>
        <w:tblLayout w:type="fixed"/>
        <w:tblInd w:w="1300" w:type="dxa"/>
        <w:tblCellMar>
          <w:top w:w="0" w:type="dxa"/>
          <w:left w:w="0" w:type="dxa"/>
          <w:bottom w:w="0" w:type="dxa"/>
          <w:right w:w="0" w:type="dxa"/>
        </w:tblCellMar>
      </w:tblPr>
      <w:tr>
        <w:trPr>
          <w:trHeight w:val="20"/>
        </w:trPr>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8"/>
        </w:trPr>
        <w:tc>
          <w:tcPr>
            <w:tcW w:w="10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4"/>
                <w:szCs w:val="14"/>
                <w:color w:val="auto"/>
              </w:rPr>
              <w:t>2.1* ​​CenterPoint</w:t>
            </w:r>
          </w:p>
        </w:tc>
        <w:tc>
          <w:tcPr>
            <w:tcW w:w="2080" w:type="dxa"/>
            <w:vAlign w:val="bottom"/>
            <w:gridSpan w:val="10"/>
          </w:tcPr>
          <w:p>
            <w:pPr>
              <w:spacing w:after="0" w:line="129"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hyperlink r:id="rId129">
              <w:r>
                <w:rPr>
                  <w:rFonts w:ascii="Times New Roman" w:cs="Times New Roman" w:eastAsia="Times New Roman" w:hAnsi="Times New Roman"/>
                  <w:sz w:val="14"/>
                  <w:szCs w:val="14"/>
                  <w:color w:val="0000EE"/>
                </w:rPr>
                <w:t>Asset Purchase Agreement by</w:t>
              </w:r>
            </w:hyperlink>
          </w:p>
        </w:tc>
        <w:tc>
          <w:tcPr>
            <w:tcW w:w="1780" w:type="dxa"/>
            <w:vAlign w:val="bottom"/>
            <w:gridSpan w:val="2"/>
          </w:tcPr>
          <w:p>
            <w:pPr>
              <w:jc w:val="right"/>
              <w:ind w:right="370"/>
              <w:spacing w:after="0" w:line="129" w:lineRule="exact"/>
              <w:rPr>
                <w:sz w:val="20"/>
                <w:szCs w:val="20"/>
                <w:color w:val="auto"/>
              </w:rPr>
            </w:pPr>
            <w:r>
              <w:rPr>
                <w:rFonts w:ascii="Times New Roman" w:cs="Times New Roman" w:eastAsia="Times New Roman" w:hAnsi="Times New Roman"/>
                <w:sz w:val="14"/>
                <w:szCs w:val="14"/>
                <w:color w:val="auto"/>
              </w:rPr>
              <w:t>​​CenterPoint Energy’s</w:t>
            </w:r>
          </w:p>
        </w:tc>
        <w:tc>
          <w:tcPr>
            <w:tcW w:w="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0"/>
              <w:spacing w:after="0" w:line="129" w:lineRule="exact"/>
              <w:rPr>
                <w:sz w:val="20"/>
                <w:szCs w:val="20"/>
                <w:color w:val="auto"/>
              </w:rPr>
            </w:pPr>
            <w:r>
              <w:rPr>
                <w:rFonts w:ascii="Times New Roman" w:cs="Times New Roman" w:eastAsia="Times New Roman" w:hAnsi="Times New Roman"/>
                <w:sz w:val="14"/>
                <w:szCs w:val="14"/>
                <w:color w:val="auto"/>
              </w:rPr>
              <w:t>1-31447</w:t>
            </w:r>
          </w:p>
        </w:tc>
        <w:tc>
          <w:tcPr>
            <w:tcW w:w="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8"/>
        </w:trPr>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Energy</w:t>
            </w:r>
          </w:p>
        </w:tc>
        <w:tc>
          <w:tcPr>
            <w:tcW w:w="100" w:type="dxa"/>
            <w:vAlign w:val="bottom"/>
          </w:tcPr>
          <w:p>
            <w:pPr>
              <w:spacing w:after="0"/>
              <w:rPr>
                <w:sz w:val="12"/>
                <w:szCs w:val="12"/>
                <w:color w:val="auto"/>
              </w:rPr>
            </w:pPr>
          </w:p>
        </w:tc>
        <w:tc>
          <w:tcPr>
            <w:tcW w:w="1980" w:type="dxa"/>
            <w:vAlign w:val="bottom"/>
            <w:gridSpan w:val="9"/>
          </w:tcPr>
          <w:p>
            <w:pPr>
              <w:spacing w:after="0" w:line="149" w:lineRule="exact"/>
              <w:rPr>
                <w:rFonts w:ascii="Times New Roman" w:cs="Times New Roman" w:eastAsia="Times New Roman" w:hAnsi="Times New Roman"/>
                <w:sz w:val="14"/>
                <w:szCs w:val="14"/>
                <w:color w:val="0000EE"/>
              </w:rPr>
            </w:pPr>
            <w:hyperlink r:id="rId129">
              <w:r>
                <w:rPr>
                  <w:rFonts w:ascii="Times New Roman" w:cs="Times New Roman" w:eastAsia="Times New Roman" w:hAnsi="Times New Roman"/>
                  <w:sz w:val="14"/>
                  <w:szCs w:val="14"/>
                  <w:color w:val="0000EE"/>
                </w:rPr>
                <w:t>and between CenterPoint Energy</w:t>
              </w:r>
            </w:hyperlink>
          </w:p>
        </w:tc>
        <w:tc>
          <w:tcPr>
            <w:tcW w:w="8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Form 10-Q for the quarter</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Borders>
              <w:top w:val="single" w:sz="8" w:color="0000EE"/>
              <w:bottom w:val="single" w:sz="8" w:color="0000EE"/>
            </w:tcBorders>
            <w:gridSpan w:val="5"/>
          </w:tcPr>
          <w:p>
            <w:pPr>
              <w:spacing w:after="0" w:line="149" w:lineRule="exact"/>
              <w:rPr>
                <w:rFonts w:ascii="Times New Roman" w:cs="Times New Roman" w:eastAsia="Times New Roman" w:hAnsi="Times New Roman"/>
                <w:sz w:val="14"/>
                <w:szCs w:val="14"/>
                <w:color w:val="0000EE"/>
              </w:rPr>
            </w:pPr>
            <w:hyperlink r:id="rId129">
              <w:r>
                <w:rPr>
                  <w:rFonts w:ascii="Times New Roman" w:cs="Times New Roman" w:eastAsia="Times New Roman" w:hAnsi="Times New Roman"/>
                  <w:sz w:val="14"/>
                  <w:szCs w:val="14"/>
                  <w:color w:val="0000EE"/>
                </w:rPr>
                <w:t>Resources Corp. and Southern</w:t>
              </w:r>
            </w:hyperlink>
          </w:p>
        </w:tc>
        <w:tc>
          <w:tcPr>
            <w:tcW w:w="160" w:type="dxa"/>
            <w:vAlign w:val="bottom"/>
            <w:tcBorders>
              <w:top w:val="single" w:sz="8" w:color="0000EE"/>
            </w:tcBorders>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ended March 31, 2021</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9"/>
          </w:tcPr>
          <w:p>
            <w:pPr>
              <w:spacing w:after="0" w:line="149" w:lineRule="exact"/>
              <w:rPr>
                <w:rFonts w:ascii="Times New Roman" w:cs="Times New Roman" w:eastAsia="Times New Roman" w:hAnsi="Times New Roman"/>
                <w:sz w:val="14"/>
                <w:szCs w:val="14"/>
                <w:color w:val="0000EE"/>
              </w:rPr>
            </w:pPr>
            <w:hyperlink r:id="rId129">
              <w:r>
                <w:rPr>
                  <w:rFonts w:ascii="Times New Roman" w:cs="Times New Roman" w:eastAsia="Times New Roman" w:hAnsi="Times New Roman"/>
                  <w:sz w:val="14"/>
                  <w:szCs w:val="14"/>
                  <w:color w:val="0000EE"/>
                </w:rPr>
                <w:t>Col Midco, LLC, dated as of</w:t>
              </w:r>
            </w:hyperlink>
          </w:p>
        </w:tc>
        <w:tc>
          <w:tcPr>
            <w:tcW w:w="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top w:val="single" w:sz="8" w:color="0000EE"/>
              <w:bottom w:val="single" w:sz="8" w:color="0000EE"/>
            </w:tcBorders>
          </w:tcPr>
          <w:p>
            <w:pPr>
              <w:spacing w:after="0" w:line="149" w:lineRule="exact"/>
              <w:rPr>
                <w:rFonts w:ascii="Times New Roman" w:cs="Times New Roman" w:eastAsia="Times New Roman" w:hAnsi="Times New Roman"/>
                <w:sz w:val="14"/>
                <w:szCs w:val="14"/>
                <w:color w:val="0000EE"/>
                <w:w w:val="99"/>
              </w:rPr>
            </w:pPr>
            <w:hyperlink r:id="rId129">
              <w:r>
                <w:rPr>
                  <w:rFonts w:ascii="Times New Roman" w:cs="Times New Roman" w:eastAsia="Times New Roman" w:hAnsi="Times New Roman"/>
                  <w:sz w:val="14"/>
                  <w:szCs w:val="14"/>
                  <w:color w:val="0000EE"/>
                  <w:w w:val="99"/>
                </w:rPr>
                <w:t>April 29, 2021</w:t>
              </w:r>
            </w:hyperlink>
          </w:p>
        </w:tc>
        <w:tc>
          <w:tcPr>
            <w:tcW w:w="820" w:type="dxa"/>
            <w:vAlign w:val="bottom"/>
            <w:tcBorders>
              <w:top w:val="single" w:sz="8" w:color="0000EE"/>
            </w:tcBorders>
            <w:gridSpan w:val="2"/>
          </w:tcPr>
          <w:p>
            <w:pPr>
              <w:spacing w:after="0"/>
              <w:rPr>
                <w:sz w:val="12"/>
                <w:szCs w:val="12"/>
                <w:color w:val="auto"/>
              </w:rPr>
            </w:pPr>
          </w:p>
        </w:tc>
        <w:tc>
          <w:tcPr>
            <w:tcW w:w="320" w:type="dxa"/>
            <w:vAlign w:val="bottom"/>
            <w:gridSpan w:val="6"/>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80"/>
        </w:trPr>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2.2* ​​CenterPoint</w:t>
            </w:r>
          </w:p>
        </w:tc>
        <w:tc>
          <w:tcPr>
            <w:tcW w:w="3860" w:type="dxa"/>
            <w:vAlign w:val="bottom"/>
            <w:gridSpan w:val="12"/>
          </w:tcPr>
          <w:p>
            <w:pPr>
              <w:jc w:val="right"/>
              <w:ind w:right="37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hyperlink r:id="rId130">
              <w:r>
                <w:rPr>
                  <w:rFonts w:ascii="Times New Roman" w:cs="Times New Roman" w:eastAsia="Times New Roman" w:hAnsi="Times New Roman"/>
                  <w:sz w:val="14"/>
                  <w:szCs w:val="14"/>
                  <w:color w:val="0000EE"/>
                </w:rPr>
                <w:t>Asset Purchase Agreement, dated</w:t>
              </w:r>
              <w:r>
                <w:rPr>
                  <w:rFonts w:ascii="Times New Roman" w:cs="Times New Roman" w:eastAsia="Times New Roman" w:hAnsi="Times New Roman"/>
                  <w:sz w:val="14"/>
                  <w:szCs w:val="14"/>
                  <w:color w:val="auto"/>
                </w:rPr>
                <w:t xml:space="preserve"> </w:t>
              </w:r>
            </w:hyperlink>
            <w:r>
              <w:rPr>
                <w:rFonts w:ascii="Times New Roman" w:cs="Times New Roman" w:eastAsia="Times New Roman" w:hAnsi="Times New Roman"/>
                <w:sz w:val="14"/>
                <w:szCs w:val="14"/>
                <w:color w:val="auto"/>
              </w:rPr>
              <w:t>​​CenterPoint Energy’s</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1-31447</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48"/>
        </w:trPr>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Energy</w:t>
            </w:r>
          </w:p>
        </w:tc>
        <w:tc>
          <w:tcPr>
            <w:tcW w:w="100" w:type="dxa"/>
            <w:vAlign w:val="bottom"/>
          </w:tcPr>
          <w:p>
            <w:pPr>
              <w:spacing w:after="0"/>
              <w:rPr>
                <w:sz w:val="12"/>
                <w:szCs w:val="12"/>
                <w:color w:val="auto"/>
              </w:rPr>
            </w:pPr>
          </w:p>
        </w:tc>
        <w:tc>
          <w:tcPr>
            <w:tcW w:w="1980" w:type="dxa"/>
            <w:vAlign w:val="bottom"/>
            <w:tcBorders>
              <w:top w:val="single" w:sz="8" w:color="0000EE"/>
            </w:tcBorders>
            <w:gridSpan w:val="9"/>
          </w:tcPr>
          <w:p>
            <w:pPr>
              <w:spacing w:after="0" w:line="149" w:lineRule="exact"/>
              <w:rPr>
                <w:rFonts w:ascii="Times New Roman" w:cs="Times New Roman" w:eastAsia="Times New Roman" w:hAnsi="Times New Roman"/>
                <w:sz w:val="14"/>
                <w:szCs w:val="14"/>
                <w:color w:val="0000EE"/>
              </w:rPr>
            </w:pPr>
            <w:hyperlink r:id="rId130">
              <w:r>
                <w:rPr>
                  <w:rFonts w:ascii="Times New Roman" w:cs="Times New Roman" w:eastAsia="Times New Roman" w:hAnsi="Times New Roman"/>
                  <w:sz w:val="14"/>
                  <w:szCs w:val="14"/>
                  <w:color w:val="0000EE"/>
                </w:rPr>
                <w:t>February 19, 2024, among</w:t>
              </w:r>
            </w:hyperlink>
          </w:p>
        </w:tc>
        <w:tc>
          <w:tcPr>
            <w:tcW w:w="8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Form 8-K dated</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0"/>
        </w:trPr>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8"/>
        </w:trPr>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Borders>
              <w:bottom w:val="single" w:sz="8" w:color="0000EE"/>
            </w:tcBorders>
            <w:gridSpan w:val="6"/>
          </w:tcPr>
          <w:p>
            <w:pPr>
              <w:spacing w:after="0" w:line="149" w:lineRule="exact"/>
              <w:rPr>
                <w:rFonts w:ascii="Times New Roman" w:cs="Times New Roman" w:eastAsia="Times New Roman" w:hAnsi="Times New Roman"/>
                <w:sz w:val="14"/>
                <w:szCs w:val="14"/>
                <w:color w:val="0000EE"/>
              </w:rPr>
            </w:pPr>
            <w:hyperlink r:id="rId130">
              <w:r>
                <w:rPr>
                  <w:rFonts w:ascii="Times New Roman" w:cs="Times New Roman" w:eastAsia="Times New Roman" w:hAnsi="Times New Roman"/>
                  <w:sz w:val="14"/>
                  <w:szCs w:val="14"/>
                  <w:color w:val="0000EE"/>
                </w:rPr>
                <w:t>CenterPoint Energy Resources</w:t>
              </w:r>
            </w:hyperlink>
          </w:p>
        </w:tc>
        <w:tc>
          <w:tcPr>
            <w:tcW w:w="20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February 19, 2024</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9"/>
          </w:tcPr>
          <w:p>
            <w:pPr>
              <w:spacing w:after="0" w:line="149" w:lineRule="exact"/>
              <w:rPr>
                <w:rFonts w:ascii="Times New Roman" w:cs="Times New Roman" w:eastAsia="Times New Roman" w:hAnsi="Times New Roman"/>
                <w:sz w:val="14"/>
                <w:szCs w:val="14"/>
                <w:color w:val="0000EE"/>
              </w:rPr>
            </w:pPr>
            <w:hyperlink r:id="rId130">
              <w:r>
                <w:rPr>
                  <w:rFonts w:ascii="Times New Roman" w:cs="Times New Roman" w:eastAsia="Times New Roman" w:hAnsi="Times New Roman"/>
                  <w:sz w:val="14"/>
                  <w:szCs w:val="14"/>
                  <w:color w:val="0000EE"/>
                </w:rPr>
                <w:t>Corp. and Delta Utilities No. LA,</w:t>
              </w:r>
            </w:hyperlink>
          </w:p>
        </w:tc>
        <w:tc>
          <w:tcPr>
            <w:tcW w:w="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Borders>
              <w:top w:val="single" w:sz="8" w:color="0000EE"/>
            </w:tcBorders>
            <w:gridSpan w:val="8"/>
          </w:tcPr>
          <w:p>
            <w:pPr>
              <w:spacing w:after="0" w:line="149" w:lineRule="exact"/>
              <w:rPr>
                <w:rFonts w:ascii="Times New Roman" w:cs="Times New Roman" w:eastAsia="Times New Roman" w:hAnsi="Times New Roman"/>
                <w:sz w:val="14"/>
                <w:szCs w:val="14"/>
                <w:color w:val="0000EE"/>
              </w:rPr>
            </w:pPr>
            <w:hyperlink r:id="rId130">
              <w:r>
                <w:rPr>
                  <w:rFonts w:ascii="Times New Roman" w:cs="Times New Roman" w:eastAsia="Times New Roman" w:hAnsi="Times New Roman"/>
                  <w:sz w:val="14"/>
                  <w:szCs w:val="14"/>
                  <w:color w:val="0000EE"/>
                </w:rPr>
                <w:t>LLC, Delta Utilities S. LA, LLC,</w:t>
              </w:r>
            </w:hyperlink>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0"/>
        </w:trPr>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6" w:lineRule="exact"/>
        <w:rPr>
          <w:sz w:val="20"/>
          <w:szCs w:val="20"/>
          <w:color w:val="auto"/>
        </w:rPr>
      </w:pPr>
    </w:p>
    <w:p>
      <w:pPr>
        <w:ind w:left="2700"/>
        <w:spacing w:after="0"/>
        <w:rPr>
          <w:rFonts w:ascii="Times New Roman" w:cs="Times New Roman" w:eastAsia="Times New Roman" w:hAnsi="Times New Roman"/>
          <w:sz w:val="14"/>
          <w:szCs w:val="14"/>
          <w:u w:val="single" w:color="auto"/>
          <w:color w:val="0000EE"/>
        </w:rPr>
      </w:pPr>
      <w:hyperlink r:id="rId130">
        <w:r>
          <w:rPr>
            <w:rFonts w:ascii="Times New Roman" w:cs="Times New Roman" w:eastAsia="Times New Roman" w:hAnsi="Times New Roman"/>
            <w:sz w:val="14"/>
            <w:szCs w:val="14"/>
            <w:u w:val="single" w:color="auto"/>
            <w:color w:val="0000EE"/>
          </w:rPr>
          <w:t>Delta Utilities MS, LLC, and</w:t>
        </w:r>
      </w:hyperlink>
    </w:p>
    <w:p>
      <w:pPr>
        <w:spacing w:after="0" w:line="22" w:lineRule="exact"/>
        <w:rPr>
          <w:sz w:val="20"/>
          <w:szCs w:val="20"/>
          <w:color w:val="auto"/>
        </w:rPr>
      </w:pPr>
    </w:p>
    <w:p>
      <w:pPr>
        <w:ind w:left="2700"/>
        <w:spacing w:after="0"/>
        <w:rPr>
          <w:rFonts w:ascii="Times New Roman" w:cs="Times New Roman" w:eastAsia="Times New Roman" w:hAnsi="Times New Roman"/>
          <w:sz w:val="14"/>
          <w:szCs w:val="14"/>
          <w:u w:val="single" w:color="auto"/>
          <w:color w:val="0000EE"/>
        </w:rPr>
      </w:pPr>
      <w:hyperlink r:id="rId130">
        <w:r>
          <w:rPr>
            <w:rFonts w:ascii="Times New Roman" w:cs="Times New Roman" w:eastAsia="Times New Roman" w:hAnsi="Times New Roman"/>
            <w:sz w:val="14"/>
            <w:szCs w:val="14"/>
            <w:u w:val="single" w:color="auto"/>
            <w:color w:val="0000EE"/>
          </w:rPr>
          <w:t>Delta Shared Services Co., LLC</w:t>
        </w:r>
      </w:hyperlink>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2.4</w:t>
        <w:tab/>
        <w: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1.1</w:t>
        <w:tab/>
        <w:t>​</w:t>
      </w:r>
    </w:p>
    <w:p>
      <w:pPr>
        <w:spacing w:after="0" w:line="1052" w:lineRule="exact"/>
        <w:rPr>
          <w:sz w:val="20"/>
          <w:szCs w:val="20"/>
          <w:color w:val="auto"/>
        </w:rPr>
      </w:pPr>
    </w:p>
    <w:p>
      <w:pPr>
        <w:sectPr>
          <w:pgSz w:w="11900" w:h="16838" w:orient="portrait"/>
          <w:cols w:equalWidth="0" w:num="2">
            <w:col w:w="7280" w:space="140"/>
            <w:col w:w="1599"/>
          </w:cols>
          <w:pgMar w:left="1440" w:top="107" w:right="1440" w:bottom="1440" w:gutter="0" w:footer="0" w:header="0"/>
          <w:type w:val="continuous"/>
        </w:sectPr>
      </w:pPr>
    </w:p>
    <w:p>
      <w:pPr>
        <w:ind w:left="1440" w:hanging="135"/>
        <w:spacing w:after="0"/>
        <w:tabs>
          <w:tab w:leader="none" w:pos="144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2.3* ​​CenterPoint ​​</w:t>
      </w:r>
      <w:hyperlink r:id="rId131">
        <w:r>
          <w:rPr>
            <w:rFonts w:ascii="Times New Roman" w:cs="Times New Roman" w:eastAsia="Times New Roman" w:hAnsi="Times New Roman"/>
            <w:sz w:val="14"/>
            <w:szCs w:val="14"/>
            <w:u w:val="single" w:color="auto"/>
            <w:color w:val="0000EE"/>
          </w:rPr>
          <w:t>Securities Purchase Agreement,</w:t>
        </w:r>
      </w:hyperlink>
    </w:p>
    <w:p>
      <w:pPr>
        <w:spacing w:after="0" w:line="1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Energy</w:t>
            </w:r>
          </w:p>
        </w:tc>
        <w:tc>
          <w:tcPr>
            <w:tcW w:w="1840" w:type="dxa"/>
            <w:vAlign w:val="bottom"/>
            <w:tcBorders>
              <w:bottom w:val="single" w:sz="8" w:color="0000EE"/>
            </w:tcBorders>
            <w:gridSpan w:val="4"/>
          </w:tcPr>
          <w:p>
            <w:pPr>
              <w:spacing w:after="0"/>
              <w:rPr>
                <w:rFonts w:ascii="Times New Roman" w:cs="Times New Roman" w:eastAsia="Times New Roman" w:hAnsi="Times New Roman"/>
                <w:sz w:val="14"/>
                <w:szCs w:val="14"/>
                <w:color w:val="0000EE"/>
              </w:rPr>
            </w:pPr>
            <w:hyperlink r:id="rId131">
              <w:r>
                <w:rPr>
                  <w:rFonts w:ascii="Times New Roman" w:cs="Times New Roman" w:eastAsia="Times New Roman" w:hAnsi="Times New Roman"/>
                  <w:sz w:val="14"/>
                  <w:szCs w:val="14"/>
                  <w:color w:val="0000EE"/>
                </w:rPr>
                <w:t>dated October 20, 2025, by and</w:t>
              </w:r>
            </w:hyperlink>
          </w:p>
        </w:tc>
      </w:tr>
      <w:tr>
        <w:trPr>
          <w:trHeight w:val="148"/>
        </w:trPr>
        <w:tc>
          <w:tcPr>
            <w:tcW w:w="860" w:type="dxa"/>
            <w:vAlign w:val="bottom"/>
          </w:tcPr>
          <w:p>
            <w:pPr>
              <w:spacing w:after="0"/>
              <w:rPr>
                <w:sz w:val="12"/>
                <w:szCs w:val="12"/>
                <w:color w:val="auto"/>
              </w:rPr>
            </w:pPr>
          </w:p>
        </w:tc>
        <w:tc>
          <w:tcPr>
            <w:tcW w:w="1680" w:type="dxa"/>
            <w:vAlign w:val="bottom"/>
            <w:tcBorders>
              <w:bottom w:val="single" w:sz="8" w:color="0000EE"/>
            </w:tcBorders>
            <w:gridSpan w:val="2"/>
          </w:tcPr>
          <w:p>
            <w:pPr>
              <w:spacing w:after="0" w:line="149" w:lineRule="exact"/>
              <w:rPr>
                <w:rFonts w:ascii="Times New Roman" w:cs="Times New Roman" w:eastAsia="Times New Roman" w:hAnsi="Times New Roman"/>
                <w:sz w:val="14"/>
                <w:szCs w:val="14"/>
                <w:color w:val="0000EE"/>
              </w:rPr>
            </w:pPr>
            <w:hyperlink r:id="rId131">
              <w:r>
                <w:rPr>
                  <w:rFonts w:ascii="Times New Roman" w:cs="Times New Roman" w:eastAsia="Times New Roman" w:hAnsi="Times New Roman"/>
                  <w:sz w:val="14"/>
                  <w:szCs w:val="14"/>
                  <w:color w:val="0000EE"/>
                </w:rPr>
                <w:t>between CenterPoint Energy</w:t>
              </w:r>
            </w:hyperlink>
          </w:p>
        </w:tc>
        <w:tc>
          <w:tcPr>
            <w:tcW w:w="160" w:type="dxa"/>
            <w:vAlign w:val="bottom"/>
            <w:gridSpan w:val="2"/>
          </w:tcPr>
          <w:p>
            <w:pPr>
              <w:spacing w:after="0"/>
              <w:rPr>
                <w:sz w:val="12"/>
                <w:szCs w:val="12"/>
                <w:color w:val="auto"/>
              </w:rPr>
            </w:pPr>
          </w:p>
        </w:tc>
      </w:tr>
      <w:tr>
        <w:trPr>
          <w:trHeight w:val="148"/>
        </w:trPr>
        <w:tc>
          <w:tcPr>
            <w:tcW w:w="860" w:type="dxa"/>
            <w:vAlign w:val="bottom"/>
          </w:tcPr>
          <w:p>
            <w:pPr>
              <w:spacing w:after="0"/>
              <w:rPr>
                <w:sz w:val="12"/>
                <w:szCs w:val="12"/>
                <w:color w:val="auto"/>
              </w:rPr>
            </w:pPr>
          </w:p>
        </w:tc>
        <w:tc>
          <w:tcPr>
            <w:tcW w:w="1760" w:type="dxa"/>
            <w:vAlign w:val="bottom"/>
            <w:tcBorders>
              <w:bottom w:val="single" w:sz="8" w:color="0000EE"/>
            </w:tcBorders>
            <w:gridSpan w:val="3"/>
          </w:tcPr>
          <w:p>
            <w:pPr>
              <w:spacing w:after="0" w:line="149" w:lineRule="exact"/>
              <w:rPr>
                <w:rFonts w:ascii="Times New Roman" w:cs="Times New Roman" w:eastAsia="Times New Roman" w:hAnsi="Times New Roman"/>
                <w:sz w:val="14"/>
                <w:szCs w:val="14"/>
                <w:color w:val="0000EE"/>
              </w:rPr>
            </w:pPr>
            <w:hyperlink r:id="rId131">
              <w:r>
                <w:rPr>
                  <w:rFonts w:ascii="Times New Roman" w:cs="Times New Roman" w:eastAsia="Times New Roman" w:hAnsi="Times New Roman"/>
                  <w:sz w:val="14"/>
                  <w:szCs w:val="14"/>
                  <w:color w:val="0000EE"/>
                </w:rPr>
                <w:t>Resources Corp. and National</w:t>
              </w:r>
            </w:hyperlink>
          </w:p>
        </w:tc>
        <w:tc>
          <w:tcPr>
            <w:tcW w:w="80" w:type="dxa"/>
            <w:vAlign w:val="bottom"/>
          </w:tcPr>
          <w:p>
            <w:pPr>
              <w:spacing w:after="0"/>
              <w:rPr>
                <w:sz w:val="12"/>
                <w:szCs w:val="12"/>
                <w:color w:val="auto"/>
              </w:rPr>
            </w:pPr>
          </w:p>
        </w:tc>
      </w:tr>
      <w:tr>
        <w:trPr>
          <w:trHeight w:val="148"/>
        </w:trPr>
        <w:tc>
          <w:tcPr>
            <w:tcW w:w="860" w:type="dxa"/>
            <w:vAlign w:val="bottom"/>
          </w:tcPr>
          <w:p>
            <w:pPr>
              <w:spacing w:after="0"/>
              <w:rPr>
                <w:sz w:val="12"/>
                <w:szCs w:val="12"/>
                <w:color w:val="auto"/>
              </w:rPr>
            </w:pPr>
          </w:p>
        </w:tc>
        <w:tc>
          <w:tcPr>
            <w:tcW w:w="1120" w:type="dxa"/>
            <w:vAlign w:val="bottom"/>
            <w:tcBorders>
              <w:bottom w:val="single" w:sz="8" w:color="0000EE"/>
            </w:tcBorders>
          </w:tcPr>
          <w:p>
            <w:pPr>
              <w:spacing w:after="0" w:line="149" w:lineRule="exact"/>
              <w:rPr>
                <w:rFonts w:ascii="Times New Roman" w:cs="Times New Roman" w:eastAsia="Times New Roman" w:hAnsi="Times New Roman"/>
                <w:sz w:val="14"/>
                <w:szCs w:val="14"/>
                <w:color w:val="0000EE"/>
              </w:rPr>
            </w:pPr>
            <w:hyperlink r:id="rId131">
              <w:r>
                <w:rPr>
                  <w:rFonts w:ascii="Times New Roman" w:cs="Times New Roman" w:eastAsia="Times New Roman" w:hAnsi="Times New Roman"/>
                  <w:sz w:val="14"/>
                  <w:szCs w:val="14"/>
                  <w:color w:val="0000EE"/>
                </w:rPr>
                <w:t>Fuel Gas Company</w:t>
              </w:r>
            </w:hyperlink>
          </w:p>
        </w:tc>
        <w:tc>
          <w:tcPr>
            <w:tcW w:w="720" w:type="dxa"/>
            <w:vAlign w:val="bottom"/>
            <w:gridSpan w:val="3"/>
          </w:tcPr>
          <w:p>
            <w:pPr>
              <w:spacing w:after="0"/>
              <w:rPr>
                <w:sz w:val="12"/>
                <w:szCs w:val="12"/>
                <w:color w:val="auto"/>
              </w:rPr>
            </w:pPr>
          </w:p>
        </w:tc>
      </w:tr>
    </w:tbl>
    <w:p>
      <w:pPr>
        <w:spacing w:after="0" w:line="17" w:lineRule="exact"/>
        <w:rPr>
          <w:sz w:val="20"/>
          <w:szCs w:val="20"/>
          <w:color w:val="auto"/>
        </w:rPr>
      </w:pPr>
    </w:p>
    <w:p>
      <w:pPr>
        <w:ind w:left="13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4.1* ​​CenterPoint ​​</w:t>
      </w:r>
      <w:hyperlink r:id="rId132">
        <w:r>
          <w:rPr>
            <w:rFonts w:ascii="Times New Roman" w:cs="Times New Roman" w:eastAsia="Times New Roman" w:hAnsi="Times New Roman"/>
            <w:sz w:val="14"/>
            <w:szCs w:val="14"/>
            <w:u w:val="single" w:color="auto"/>
            <w:color w:val="0000EE"/>
          </w:rPr>
          <w:t>Amended and Restated</w:t>
        </w:r>
      </w:hyperlink>
    </w:p>
    <w:p>
      <w:pPr>
        <w:spacing w:after="0" w:line="43" w:lineRule="exact"/>
        <w:rPr>
          <w:sz w:val="20"/>
          <w:szCs w:val="20"/>
          <w:color w:val="auto"/>
        </w:rPr>
      </w:pPr>
    </w:p>
    <w:p>
      <w:pPr>
        <w:ind w:left="2700" w:right="280" w:hanging="859"/>
        <w:spacing w:after="0" w:line="250" w:lineRule="auto"/>
        <w:tabs>
          <w:tab w:leader="none" w:pos="268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Energy</w:t>
      </w:r>
      <w:r>
        <w:rPr>
          <w:sz w:val="20"/>
          <w:szCs w:val="20"/>
          <w:color w:val="auto"/>
        </w:rPr>
        <w:tab/>
      </w:r>
      <w:hyperlink r:id="rId132">
        <w:r>
          <w:rPr>
            <w:rFonts w:ascii="Times New Roman" w:cs="Times New Roman" w:eastAsia="Times New Roman" w:hAnsi="Times New Roman"/>
            <w:sz w:val="14"/>
            <w:szCs w:val="14"/>
            <w:u w:val="single" w:color="auto"/>
            <w:color w:val="0000EE"/>
          </w:rPr>
          <w:t>Certificate of Formation of</w:t>
        </w:r>
      </w:hyperlink>
      <w:r>
        <w:rPr>
          <w:rFonts w:ascii="Times New Roman" w:cs="Times New Roman" w:eastAsia="Times New Roman" w:hAnsi="Times New Roman"/>
          <w:sz w:val="14"/>
          <w:szCs w:val="14"/>
          <w:u w:val="single" w:color="auto"/>
          <w:color w:val="0000EE"/>
        </w:rPr>
        <w:t xml:space="preserve"> </w:t>
      </w:r>
      <w:hyperlink r:id="rId132">
        <w:r>
          <w:rPr>
            <w:rFonts w:ascii="Times New Roman" w:cs="Times New Roman" w:eastAsia="Times New Roman" w:hAnsi="Times New Roman"/>
            <w:sz w:val="14"/>
            <w:szCs w:val="14"/>
            <w:u w:val="single" w:color="auto"/>
            <w:color w:val="0000EE"/>
          </w:rPr>
          <w:t>CenterPoint Energy, Inc.</w:t>
        </w:r>
      </w:hyperlink>
    </w:p>
    <w:p>
      <w:pPr>
        <w:spacing w:after="0" w:line="1" w:lineRule="exact"/>
        <w:rPr>
          <w:sz w:val="20"/>
          <w:szCs w:val="20"/>
          <w:color w:val="auto"/>
        </w:rPr>
      </w:pPr>
    </w:p>
    <w:p>
      <w:pPr>
        <w:ind w:left="1440" w:hanging="135"/>
        <w:spacing w:after="0"/>
        <w:tabs>
          <w:tab w:leader="none" w:pos="144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4.2* ​​CenterPoint ​​</w:t>
      </w:r>
      <w:hyperlink r:id="rId133">
        <w:r>
          <w:rPr>
            <w:rFonts w:ascii="Times New Roman" w:cs="Times New Roman" w:eastAsia="Times New Roman" w:hAnsi="Times New Roman"/>
            <w:sz w:val="14"/>
            <w:szCs w:val="14"/>
            <w:u w:val="single" w:color="auto"/>
            <w:color w:val="0000EE"/>
          </w:rPr>
          <w:t>Fifth Amended and Restated</w:t>
        </w:r>
      </w:hyperlink>
    </w:p>
    <w:p>
      <w:pPr>
        <w:spacing w:after="0" w:line="39" w:lineRule="exact"/>
        <w:rPr>
          <w:sz w:val="20"/>
          <w:szCs w:val="20"/>
          <w:color w:val="auto"/>
        </w:rPr>
      </w:pPr>
    </w:p>
    <w:p>
      <w:pPr>
        <w:ind w:left="1840"/>
        <w:spacing w:after="0"/>
        <w:tabs>
          <w:tab w:leader="none" w:pos="268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Energy</w:t>
      </w:r>
      <w:r>
        <w:rPr>
          <w:sz w:val="20"/>
          <w:szCs w:val="20"/>
          <w:color w:val="auto"/>
        </w:rPr>
        <w:tab/>
      </w:r>
      <w:hyperlink r:id="rId133">
        <w:r>
          <w:rPr>
            <w:rFonts w:ascii="Times New Roman" w:cs="Times New Roman" w:eastAsia="Times New Roman" w:hAnsi="Times New Roman"/>
            <w:sz w:val="14"/>
            <w:szCs w:val="14"/>
            <w:u w:val="single" w:color="auto"/>
            <w:color w:val="0000EE"/>
          </w:rPr>
          <w:t>Bylaws of CenterPoint Energy</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Energy’s</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1-31447</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17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Form 8-K dated October 20,</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3"/>
        </w:trPr>
        <w:tc>
          <w:tcPr>
            <w:tcW w:w="17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2025</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522"/>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​​Form 8-K of CenterPoint</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1-31447</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17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Energy, Inc. dated April 16,</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9"/>
        </w:trPr>
        <w:tc>
          <w:tcPr>
            <w:tcW w:w="17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2026</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Energy’s</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1-31447</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17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Form 8-K dated</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3"/>
        </w:trPr>
        <w:tc>
          <w:tcPr>
            <w:tcW w:w="17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September 26, 2025</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2.1</w:t>
        <w:tab/>
        <w: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3.1</w:t>
        <w:tab/>
        <w:t>​</w:t>
      </w:r>
    </w:p>
    <w:p>
      <w:pPr>
        <w:spacing w:after="0" w:line="37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3.1</w:t>
        <w:tab/>
        <w:t>​</w:t>
      </w:r>
    </w:p>
    <w:p>
      <w:pPr>
        <w:spacing w:after="0" w:line="380" w:lineRule="exact"/>
        <w:rPr>
          <w:sz w:val="20"/>
          <w:szCs w:val="20"/>
          <w:color w:val="auto"/>
        </w:rPr>
      </w:pPr>
    </w:p>
    <w:p>
      <w:pPr>
        <w:sectPr>
          <w:pgSz w:w="11900" w:h="16838" w:orient="portrait"/>
          <w:cols w:equalWidth="0" w:num="3">
            <w:col w:w="4560" w:space="140"/>
            <w:col w:w="2580" w:space="140"/>
            <w:col w:w="1599"/>
          </w:cols>
          <w:pgMar w:left="1440" w:top="107" w:right="1440" w:bottom="1440" w:gutter="0" w:footer="0" w:header="0"/>
          <w:type w:val="continuous"/>
        </w:sectPr>
      </w:pPr>
    </w:p>
    <w:tbl>
      <w:tblPr>
        <w:tblLayout w:type="fixed"/>
        <w:tblInd w:w="1300" w:type="dxa"/>
        <w:tblCellMar>
          <w:top w:w="0" w:type="dxa"/>
          <w:left w:w="0" w:type="dxa"/>
          <w:bottom w:w="0" w:type="dxa"/>
          <w:right w:w="0" w:type="dxa"/>
        </w:tblCellMar>
      </w:tblPr>
      <w:tr>
        <w:trPr>
          <w:trHeight w:val="168"/>
        </w:trPr>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​​CenterPoint</w:t>
            </w:r>
          </w:p>
        </w:tc>
        <w:tc>
          <w:tcPr>
            <w:tcW w:w="1760" w:type="dxa"/>
            <w:vAlign w:val="bottom"/>
            <w:gridSpan w:val="6"/>
          </w:tcPr>
          <w:p>
            <w:pPr>
              <w:ind w:left="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hyperlink r:id="rId134">
              <w:r>
                <w:rPr>
                  <w:rFonts w:ascii="Times New Roman" w:cs="Times New Roman" w:eastAsia="Times New Roman" w:hAnsi="Times New Roman"/>
                  <w:sz w:val="14"/>
                  <w:szCs w:val="14"/>
                  <w:color w:val="0000EE"/>
                </w:rPr>
                <w:t>Statement of Resolutions</w:t>
              </w:r>
            </w:hyperlink>
          </w:p>
        </w:tc>
        <w:tc>
          <w:tcPr>
            <w:tcW w:w="340" w:type="dxa"/>
            <w:vAlign w:val="bottom"/>
          </w:tcPr>
          <w:p>
            <w:pPr>
              <w:spacing w:after="0"/>
              <w:rPr>
                <w:sz w:val="14"/>
                <w:szCs w:val="14"/>
                <w:color w:val="auto"/>
              </w:rPr>
            </w:pPr>
          </w:p>
        </w:tc>
        <w:tc>
          <w:tcPr>
            <w:tcW w:w="16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​​Form 10-K of CenterPoint</w:t>
            </w:r>
          </w:p>
        </w:tc>
      </w:tr>
      <w:tr>
        <w:trPr>
          <w:trHeight w:val="20"/>
        </w:trPr>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48"/>
        </w:trPr>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Energy</w:t>
            </w:r>
          </w:p>
        </w:tc>
        <w:tc>
          <w:tcPr>
            <w:tcW w:w="140" w:type="dxa"/>
            <w:vAlign w:val="bottom"/>
          </w:tcPr>
          <w:p>
            <w:pPr>
              <w:spacing w:after="0"/>
              <w:rPr>
                <w:sz w:val="12"/>
                <w:szCs w:val="12"/>
                <w:color w:val="auto"/>
              </w:rPr>
            </w:pPr>
          </w:p>
        </w:tc>
        <w:tc>
          <w:tcPr>
            <w:tcW w:w="1620" w:type="dxa"/>
            <w:vAlign w:val="bottom"/>
            <w:tcBorders>
              <w:bottom w:val="single" w:sz="8" w:color="0000EE"/>
            </w:tcBorders>
            <w:gridSpan w:val="5"/>
          </w:tcPr>
          <w:p>
            <w:pPr>
              <w:spacing w:after="0" w:line="149" w:lineRule="exact"/>
              <w:rPr>
                <w:rFonts w:ascii="Times New Roman" w:cs="Times New Roman" w:eastAsia="Times New Roman" w:hAnsi="Times New Roman"/>
                <w:sz w:val="14"/>
                <w:szCs w:val="14"/>
                <w:color w:val="0000EE"/>
              </w:rPr>
            </w:pPr>
            <w:hyperlink r:id="rId134">
              <w:r>
                <w:rPr>
                  <w:rFonts w:ascii="Times New Roman" w:cs="Times New Roman" w:eastAsia="Times New Roman" w:hAnsi="Times New Roman"/>
                  <w:sz w:val="14"/>
                  <w:szCs w:val="14"/>
                  <w:color w:val="0000EE"/>
                </w:rPr>
                <w:t>Deleting Shares Designated</w:t>
              </w:r>
            </w:hyperlink>
          </w:p>
        </w:tc>
        <w:tc>
          <w:tcPr>
            <w:tcW w:w="340" w:type="dxa"/>
            <w:vAlign w:val="bottom"/>
          </w:tcPr>
          <w:p>
            <w:pPr>
              <w:spacing w:after="0"/>
              <w:rPr>
                <w:sz w:val="12"/>
                <w:szCs w:val="12"/>
                <w:color w:val="auto"/>
              </w:rPr>
            </w:pPr>
          </w:p>
        </w:tc>
        <w:tc>
          <w:tcPr>
            <w:tcW w:w="16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Energy, Inc. for the year</w:t>
            </w:r>
          </w:p>
        </w:tc>
      </w:tr>
      <w:tr>
        <w:trPr>
          <w:trHeight w:val="148"/>
        </w:trPr>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5"/>
          </w:tcPr>
          <w:p>
            <w:pPr>
              <w:spacing w:after="0" w:line="149" w:lineRule="exact"/>
              <w:rPr>
                <w:rFonts w:ascii="Times New Roman" w:cs="Times New Roman" w:eastAsia="Times New Roman" w:hAnsi="Times New Roman"/>
                <w:sz w:val="14"/>
                <w:szCs w:val="14"/>
                <w:color w:val="0000EE"/>
              </w:rPr>
            </w:pPr>
            <w:hyperlink r:id="rId134">
              <w:r>
                <w:rPr>
                  <w:rFonts w:ascii="Times New Roman" w:cs="Times New Roman" w:eastAsia="Times New Roman" w:hAnsi="Times New Roman"/>
                  <w:sz w:val="14"/>
                  <w:szCs w:val="14"/>
                  <w:color w:val="0000EE"/>
                </w:rPr>
                <w:t>Series A Preferred Stock of</w:t>
              </w:r>
            </w:hyperlink>
          </w:p>
        </w:tc>
        <w:tc>
          <w:tcPr>
            <w:tcW w:w="340" w:type="dxa"/>
            <w:vAlign w:val="bottom"/>
          </w:tcPr>
          <w:p>
            <w:pPr>
              <w:spacing w:after="0"/>
              <w:rPr>
                <w:sz w:val="12"/>
                <w:szCs w:val="12"/>
                <w:color w:val="auto"/>
              </w:rPr>
            </w:pPr>
          </w:p>
        </w:tc>
        <w:tc>
          <w:tcPr>
            <w:tcW w:w="16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ended December 31, 2011</w:t>
            </w:r>
          </w:p>
        </w:tc>
      </w:tr>
      <w:tr>
        <w:trPr>
          <w:trHeight w:val="148"/>
        </w:trPr>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Borders>
              <w:top w:val="single" w:sz="8" w:color="0000EE"/>
              <w:bottom w:val="single" w:sz="8" w:color="0000EE"/>
            </w:tcBorders>
            <w:gridSpan w:val="2"/>
          </w:tcPr>
          <w:p>
            <w:pPr>
              <w:spacing w:after="0" w:line="149" w:lineRule="exact"/>
              <w:rPr>
                <w:rFonts w:ascii="Times New Roman" w:cs="Times New Roman" w:eastAsia="Times New Roman" w:hAnsi="Times New Roman"/>
                <w:sz w:val="14"/>
                <w:szCs w:val="14"/>
                <w:color w:val="0000EE"/>
              </w:rPr>
            </w:pPr>
            <w:hyperlink r:id="rId134">
              <w:r>
                <w:rPr>
                  <w:rFonts w:ascii="Times New Roman" w:cs="Times New Roman" w:eastAsia="Times New Roman" w:hAnsi="Times New Roman"/>
                  <w:sz w:val="14"/>
                  <w:szCs w:val="14"/>
                  <w:color w:val="0000EE"/>
                </w:rPr>
                <w:t>CenterPoint Energy</w:t>
              </w:r>
            </w:hyperlink>
          </w:p>
        </w:tc>
        <w:tc>
          <w:tcPr>
            <w:tcW w:w="440" w:type="dxa"/>
            <w:vAlign w:val="bottom"/>
            <w:tcBorders>
              <w:top w:val="single" w:sz="8" w:color="0000EE"/>
            </w:tcBorders>
            <w:gridSpan w:val="2"/>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80"/>
        </w:trPr>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​​CenterPoint</w:t>
            </w:r>
          </w:p>
        </w:tc>
        <w:tc>
          <w:tcPr>
            <w:tcW w:w="3780" w:type="dxa"/>
            <w:vAlign w:val="bottom"/>
            <w:gridSpan w:val="8"/>
          </w:tcPr>
          <w:p>
            <w:pPr>
              <w:ind w:left="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hyperlink r:id="rId135">
              <w:r>
                <w:rPr>
                  <w:rFonts w:ascii="Times New Roman" w:cs="Times New Roman" w:eastAsia="Times New Roman" w:hAnsi="Times New Roman"/>
                  <w:sz w:val="14"/>
                  <w:szCs w:val="14"/>
                  <w:color w:val="0000EE"/>
                </w:rPr>
                <w:t>Form of CenterPoint Energy, Inc.</w:t>
              </w:r>
              <w:r>
                <w:rPr>
                  <w:rFonts w:ascii="Times New Roman" w:cs="Times New Roman" w:eastAsia="Times New Roman" w:hAnsi="Times New Roman"/>
                  <w:sz w:val="14"/>
                  <w:szCs w:val="14"/>
                  <w:color w:val="auto"/>
                </w:rPr>
                <w:t xml:space="preserve"> </w:t>
              </w:r>
            </w:hyperlink>
            <w:r>
              <w:rPr>
                <w:rFonts w:ascii="Times New Roman" w:cs="Times New Roman" w:eastAsia="Times New Roman" w:hAnsi="Times New Roman"/>
                <w:sz w:val="14"/>
                <w:szCs w:val="14"/>
                <w:color w:val="auto"/>
              </w:rPr>
              <w:t>​​Registration Statement on</w:t>
            </w:r>
          </w:p>
        </w:tc>
      </w:tr>
      <w:tr>
        <w:trPr>
          <w:trHeight w:val="148"/>
        </w:trPr>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Energy</w:t>
            </w:r>
          </w:p>
        </w:tc>
        <w:tc>
          <w:tcPr>
            <w:tcW w:w="140" w:type="dxa"/>
            <w:vAlign w:val="bottom"/>
          </w:tcPr>
          <w:p>
            <w:pPr>
              <w:spacing w:after="0"/>
              <w:rPr>
                <w:sz w:val="12"/>
                <w:szCs w:val="12"/>
                <w:color w:val="auto"/>
              </w:rPr>
            </w:pPr>
          </w:p>
        </w:tc>
        <w:tc>
          <w:tcPr>
            <w:tcW w:w="1620" w:type="dxa"/>
            <w:vAlign w:val="bottom"/>
            <w:tcBorders>
              <w:top w:val="single" w:sz="8" w:color="0000EE"/>
            </w:tcBorders>
            <w:gridSpan w:val="5"/>
          </w:tcPr>
          <w:p>
            <w:pPr>
              <w:spacing w:after="0" w:line="149" w:lineRule="exact"/>
              <w:rPr>
                <w:rFonts w:ascii="Times New Roman" w:cs="Times New Roman" w:eastAsia="Times New Roman" w:hAnsi="Times New Roman"/>
                <w:sz w:val="14"/>
                <w:szCs w:val="14"/>
                <w:color w:val="0000EE"/>
              </w:rPr>
            </w:pPr>
            <w:hyperlink r:id="rId135">
              <w:r>
                <w:rPr>
                  <w:rFonts w:ascii="Times New Roman" w:cs="Times New Roman" w:eastAsia="Times New Roman" w:hAnsi="Times New Roman"/>
                  <w:sz w:val="14"/>
                  <w:szCs w:val="14"/>
                  <w:color w:val="0000EE"/>
                </w:rPr>
                <w:t>Stock Certificate</w:t>
              </w:r>
            </w:hyperlink>
          </w:p>
        </w:tc>
        <w:tc>
          <w:tcPr>
            <w:tcW w:w="340" w:type="dxa"/>
            <w:vAlign w:val="bottom"/>
            <w:tcBorders>
              <w:top w:val="single" w:sz="8" w:color="0000EE"/>
            </w:tcBorders>
          </w:tcPr>
          <w:p>
            <w:pPr>
              <w:spacing w:after="0"/>
              <w:rPr>
                <w:sz w:val="12"/>
                <w:szCs w:val="12"/>
                <w:color w:val="auto"/>
              </w:rPr>
            </w:pPr>
          </w:p>
        </w:tc>
        <w:tc>
          <w:tcPr>
            <w:tcW w:w="16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Form S-4 of CenterPoint</w:t>
            </w:r>
          </w:p>
        </w:tc>
      </w:tr>
      <w:tr>
        <w:trPr>
          <w:trHeight w:val="180"/>
        </w:trPr>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Energy, Inc.</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4"/>
          <w:szCs w:val="14"/>
          <w:color w:val="auto"/>
        </w:rPr>
        <w:t>​​ 1-31447 ​​</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​​333-69502​​</w:t>
      </w:r>
    </w:p>
    <w:p>
      <w:pPr>
        <w:spacing w:after="0" w:line="20" w:lineRule="exact"/>
        <w:rPr>
          <w:sz w:val="20"/>
          <w:szCs w:val="20"/>
          <w:color w:val="auto"/>
        </w:rPr>
      </w:pPr>
      <w:r>
        <w:rPr>
          <w:sz w:val="20"/>
          <w:szCs w:val="20"/>
          <w:color w:val="auto"/>
        </w:rPr>
        <w:br w:type="column"/>
      </w:r>
    </w:p>
    <w:p>
      <w:pPr>
        <w:spacing w:after="0"/>
        <w:tabs>
          <w:tab w:leader="none" w:pos="340" w:val="left"/>
        </w:tabs>
        <w:rPr>
          <w:sz w:val="20"/>
          <w:szCs w:val="20"/>
          <w:color w:val="auto"/>
        </w:rPr>
      </w:pPr>
      <w:r>
        <w:rPr>
          <w:rFonts w:ascii="Times New Roman" w:cs="Times New Roman" w:eastAsia="Times New Roman" w:hAnsi="Times New Roman"/>
          <w:sz w:val="14"/>
          <w:szCs w:val="14"/>
          <w:color w:val="auto"/>
        </w:rPr>
        <w:t>3(c)</w:t>
        <w:tab/>
        <w:t>​</w:t>
      </w: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340" w:val="left"/>
        </w:tabs>
        <w:rPr>
          <w:sz w:val="20"/>
          <w:szCs w:val="20"/>
          <w:color w:val="auto"/>
        </w:rPr>
      </w:pPr>
      <w:r>
        <w:rPr>
          <w:rFonts w:ascii="Times New Roman" w:cs="Times New Roman" w:eastAsia="Times New Roman" w:hAnsi="Times New Roman"/>
          <w:sz w:val="14"/>
          <w:szCs w:val="14"/>
          <w:color w:val="auto"/>
        </w:rPr>
        <w:t>4.1</w:t>
        <w:tab/>
        <w:t>​</w:t>
      </w:r>
    </w:p>
    <w:p>
      <w:pPr>
        <w:spacing w:after="0" w:line="380" w:lineRule="exact"/>
        <w:rPr>
          <w:sz w:val="20"/>
          <w:szCs w:val="20"/>
          <w:color w:val="auto"/>
        </w:rPr>
      </w:pPr>
    </w:p>
    <w:p>
      <w:pPr>
        <w:sectPr>
          <w:pgSz w:w="11900" w:h="16838" w:orient="portrait"/>
          <w:cols w:equalWidth="0" w:num="3">
            <w:col w:w="6340" w:space="140"/>
            <w:col w:w="800" w:space="120"/>
            <w:col w:w="1619"/>
          </w:cols>
          <w:pgMar w:left="1440" w:top="107" w:right="1440" w:bottom="1440" w:gutter="0" w:footer="0" w:header="0"/>
          <w:type w:val="continuous"/>
        </w:sectPr>
      </w:pPr>
    </w:p>
    <w:p>
      <w:pPr>
        <w:ind w:left="1440" w:hanging="135"/>
        <w:spacing w:after="0"/>
        <w:tabs>
          <w:tab w:leader="none" w:pos="144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4.5* ​​CenterPoint ​​</w:t>
      </w:r>
      <w:hyperlink r:id="rId136">
        <w:r>
          <w:rPr>
            <w:rFonts w:ascii="Times New Roman" w:cs="Times New Roman" w:eastAsia="Times New Roman" w:hAnsi="Times New Roman"/>
            <w:sz w:val="14"/>
            <w:szCs w:val="14"/>
            <w:u w:val="single" w:color="auto"/>
            <w:color w:val="0000EE"/>
          </w:rPr>
          <w:t>Indenture, dated as of May 19,</w:t>
        </w:r>
      </w:hyperlink>
    </w:p>
    <w:p>
      <w:pPr>
        <w:spacing w:after="0" w:line="1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Energy</w:t>
            </w:r>
          </w:p>
        </w:tc>
        <w:tc>
          <w:tcPr>
            <w:tcW w:w="1980" w:type="dxa"/>
            <w:vAlign w:val="bottom"/>
            <w:gridSpan w:val="3"/>
          </w:tcPr>
          <w:p>
            <w:pPr>
              <w:spacing w:after="0"/>
              <w:rPr>
                <w:rFonts w:ascii="Times New Roman" w:cs="Times New Roman" w:eastAsia="Times New Roman" w:hAnsi="Times New Roman"/>
                <w:sz w:val="14"/>
                <w:szCs w:val="14"/>
                <w:color w:val="0000EE"/>
              </w:rPr>
            </w:pPr>
            <w:hyperlink r:id="rId136">
              <w:r>
                <w:rPr>
                  <w:rFonts w:ascii="Times New Roman" w:cs="Times New Roman" w:eastAsia="Times New Roman" w:hAnsi="Times New Roman"/>
                  <w:sz w:val="14"/>
                  <w:szCs w:val="14"/>
                  <w:color w:val="0000EE"/>
                </w:rPr>
                <w:t>2003, between CenterPoint</w:t>
              </w:r>
            </w:hyperlink>
          </w:p>
        </w:tc>
      </w:tr>
      <w:tr>
        <w:trPr>
          <w:trHeight w:val="20"/>
        </w:trPr>
        <w:tc>
          <w:tcPr>
            <w:tcW w:w="8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48"/>
        </w:trPr>
        <w:tc>
          <w:tcPr>
            <w:tcW w:w="860" w:type="dxa"/>
            <w:vAlign w:val="bottom"/>
          </w:tcPr>
          <w:p>
            <w:pPr>
              <w:spacing w:after="0"/>
              <w:rPr>
                <w:sz w:val="12"/>
                <w:szCs w:val="12"/>
                <w:color w:val="auto"/>
              </w:rPr>
            </w:pPr>
          </w:p>
        </w:tc>
        <w:tc>
          <w:tcPr>
            <w:tcW w:w="1980" w:type="dxa"/>
            <w:vAlign w:val="bottom"/>
            <w:tcBorders>
              <w:bottom w:val="single" w:sz="8" w:color="0000EE"/>
            </w:tcBorders>
            <w:gridSpan w:val="3"/>
          </w:tcPr>
          <w:p>
            <w:pPr>
              <w:spacing w:after="0" w:line="149" w:lineRule="exact"/>
              <w:rPr>
                <w:rFonts w:ascii="Times New Roman" w:cs="Times New Roman" w:eastAsia="Times New Roman" w:hAnsi="Times New Roman"/>
                <w:sz w:val="14"/>
                <w:szCs w:val="14"/>
                <w:color w:val="0000EE"/>
              </w:rPr>
            </w:pPr>
            <w:hyperlink r:id="rId136">
              <w:r>
                <w:rPr>
                  <w:rFonts w:ascii="Times New Roman" w:cs="Times New Roman" w:eastAsia="Times New Roman" w:hAnsi="Times New Roman"/>
                  <w:sz w:val="14"/>
                  <w:szCs w:val="14"/>
                  <w:color w:val="0000EE"/>
                </w:rPr>
                <w:t>Energy, Inc. and JPMorgan Chase</w:t>
              </w:r>
            </w:hyperlink>
          </w:p>
        </w:tc>
      </w:tr>
      <w:tr>
        <w:trPr>
          <w:trHeight w:val="148"/>
        </w:trPr>
        <w:tc>
          <w:tcPr>
            <w:tcW w:w="860" w:type="dxa"/>
            <w:vAlign w:val="bottom"/>
          </w:tcPr>
          <w:p>
            <w:pPr>
              <w:spacing w:after="0"/>
              <w:rPr>
                <w:sz w:val="12"/>
                <w:szCs w:val="12"/>
                <w:color w:val="auto"/>
              </w:rPr>
            </w:pPr>
          </w:p>
        </w:tc>
        <w:tc>
          <w:tcPr>
            <w:tcW w:w="940" w:type="dxa"/>
            <w:vAlign w:val="bottom"/>
            <w:tcBorders>
              <w:bottom w:val="single" w:sz="8" w:color="0000EE"/>
            </w:tcBorders>
          </w:tcPr>
          <w:p>
            <w:pPr>
              <w:spacing w:after="0" w:line="149" w:lineRule="exact"/>
              <w:rPr>
                <w:rFonts w:ascii="Times New Roman" w:cs="Times New Roman" w:eastAsia="Times New Roman" w:hAnsi="Times New Roman"/>
                <w:sz w:val="14"/>
                <w:szCs w:val="14"/>
                <w:color w:val="0000EE"/>
              </w:rPr>
            </w:pPr>
            <w:hyperlink r:id="rId136">
              <w:r>
                <w:rPr>
                  <w:rFonts w:ascii="Times New Roman" w:cs="Times New Roman" w:eastAsia="Times New Roman" w:hAnsi="Times New Roman"/>
                  <w:sz w:val="14"/>
                  <w:szCs w:val="14"/>
                  <w:color w:val="0000EE"/>
                </w:rPr>
                <w:t>Bank, as trustee</w:t>
              </w:r>
            </w:hyperlink>
          </w:p>
        </w:tc>
        <w:tc>
          <w:tcPr>
            <w:tcW w:w="1040" w:type="dxa"/>
            <w:vAlign w:val="bottom"/>
            <w:gridSpan w:val="2"/>
          </w:tcPr>
          <w:p>
            <w:pPr>
              <w:spacing w:after="0"/>
              <w:rPr>
                <w:sz w:val="12"/>
                <w:szCs w:val="12"/>
                <w:color w:val="auto"/>
              </w:rPr>
            </w:pPr>
          </w:p>
        </w:tc>
      </w:tr>
    </w:tbl>
    <w:p>
      <w:pPr>
        <w:spacing w:after="0" w:line="17" w:lineRule="exact"/>
        <w:rPr>
          <w:sz w:val="20"/>
          <w:szCs w:val="20"/>
          <w:color w:val="auto"/>
        </w:rPr>
      </w:pPr>
    </w:p>
    <w:p>
      <w:pPr>
        <w:ind w:left="1440" w:hanging="135"/>
        <w:spacing w:after="0"/>
        <w:tabs>
          <w:tab w:leader="none" w:pos="144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4.6* ​​CenterPoint ​​</w:t>
      </w:r>
      <w:hyperlink r:id="rId137">
        <w:r>
          <w:rPr>
            <w:rFonts w:ascii="Times New Roman" w:cs="Times New Roman" w:eastAsia="Times New Roman" w:hAnsi="Times New Roman"/>
            <w:sz w:val="14"/>
            <w:szCs w:val="14"/>
            <w:u w:val="single" w:color="auto"/>
            <w:color w:val="0000EE"/>
          </w:rPr>
          <w:t>Subordinated Indenture dated as</w:t>
        </w:r>
      </w:hyperlink>
    </w:p>
    <w:p>
      <w:pPr>
        <w:spacing w:after="0" w:line="43" w:lineRule="exact"/>
        <w:rPr>
          <w:sz w:val="20"/>
          <w:szCs w:val="20"/>
          <w:color w:val="auto"/>
        </w:rPr>
      </w:pPr>
    </w:p>
    <w:p>
      <w:pPr>
        <w:ind w:left="1840"/>
        <w:spacing w:after="0"/>
        <w:tabs>
          <w:tab w:leader="none" w:pos="268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Energy</w:t>
      </w:r>
      <w:r>
        <w:rPr>
          <w:sz w:val="20"/>
          <w:szCs w:val="20"/>
          <w:color w:val="auto"/>
        </w:rPr>
        <w:tab/>
      </w:r>
      <w:hyperlink r:id="rId137">
        <w:r>
          <w:rPr>
            <w:rFonts w:ascii="Times New Roman" w:cs="Times New Roman" w:eastAsia="Times New Roman" w:hAnsi="Times New Roman"/>
            <w:sz w:val="14"/>
            <w:szCs w:val="14"/>
            <w:u w:val="single" w:color="auto"/>
            <w:color w:val="0000EE"/>
          </w:rPr>
          <w:t>of September 1, 1999</w:t>
        </w:r>
      </w:hyperlink>
    </w:p>
    <w:p>
      <w:pPr>
        <w:spacing w:after="0" w:line="20" w:lineRule="exact"/>
        <w:rPr>
          <w:sz w:val="20"/>
          <w:szCs w:val="20"/>
          <w:color w:val="auto"/>
        </w:rPr>
      </w:pPr>
      <w:r>
        <w:rPr>
          <w:sz w:val="20"/>
          <w:szCs w:val="20"/>
          <w:color w:val="auto"/>
        </w:rPr>
        <w:br w:type="column"/>
      </w:r>
    </w:p>
    <w:p>
      <w:pPr>
        <w:ind w:left="76" w:hanging="83"/>
        <w:spacing w:after="0" w:line="280" w:lineRule="auto"/>
        <w:rPr>
          <w:sz w:val="20"/>
          <w:szCs w:val="20"/>
          <w:color w:val="auto"/>
        </w:rPr>
      </w:pPr>
      <w:r>
        <w:rPr>
          <w:rFonts w:ascii="Times New Roman" w:cs="Times New Roman" w:eastAsia="Times New Roman" w:hAnsi="Times New Roman"/>
          <w:sz w:val="14"/>
          <w:szCs w:val="14"/>
          <w:color w:val="auto"/>
        </w:rPr>
        <w:t>​​Form 8-K of CenterPoint Energy, Inc. dated May 19, 2003</w:t>
      </w:r>
    </w:p>
    <w:p>
      <w:pPr>
        <w:spacing w:after="0" w:line="158" w:lineRule="exact"/>
        <w:rPr>
          <w:sz w:val="20"/>
          <w:szCs w:val="20"/>
          <w:color w:val="auto"/>
        </w:rPr>
      </w:pPr>
    </w:p>
    <w:p>
      <w:pPr>
        <w:ind w:left="76" w:hanging="76"/>
        <w:spacing w:after="0" w:line="283" w:lineRule="auto"/>
        <w:tabs>
          <w:tab w:leader="none" w:pos="76"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Reliant Energy’s Form 8-K dated September 1, 1999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 1-31447 ​​</w:t>
      </w:r>
    </w:p>
    <w:p>
      <w:pPr>
        <w:spacing w:after="0" w:line="200" w:lineRule="exact"/>
        <w:rPr>
          <w:sz w:val="20"/>
          <w:szCs w:val="20"/>
          <w:color w:val="auto"/>
        </w:rPr>
      </w:pPr>
    </w:p>
    <w:p>
      <w:pPr>
        <w:spacing w:after="0" w:line="340" w:lineRule="exact"/>
        <w:rPr>
          <w:sz w:val="20"/>
          <w:szCs w:val="20"/>
          <w:color w:val="auto"/>
        </w:rPr>
      </w:pPr>
    </w:p>
    <w:p>
      <w:pPr>
        <w:spacing w:after="0"/>
        <w:tabs>
          <w:tab w:leader="none" w:pos="160" w:val="left"/>
          <w:tab w:leader="none" w:pos="700" w:val="left"/>
        </w:tabs>
        <w:rPr>
          <w:sz w:val="20"/>
          <w:szCs w:val="20"/>
          <w:color w:val="auto"/>
        </w:rPr>
      </w:pPr>
      <w:r>
        <w:rPr>
          <w:rFonts w:ascii="Times New Roman" w:cs="Times New Roman" w:eastAsia="Times New Roman" w:hAnsi="Times New Roman"/>
          <w:sz w:val="14"/>
          <w:szCs w:val="14"/>
          <w:color w:val="auto"/>
        </w:rPr>
        <w:t>​​</w:t>
        <w:tab/>
        <w:t>1-3187</w:t>
        <w:tab/>
        <w:t>​​</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4.1</w:t>
        <w:tab/>
        <w:t>​</w:t>
      </w:r>
    </w:p>
    <w:p>
      <w:pPr>
        <w:spacing w:after="0" w:line="200" w:lineRule="exact"/>
        <w:rPr>
          <w:sz w:val="20"/>
          <w:szCs w:val="20"/>
          <w:color w:val="auto"/>
        </w:rPr>
      </w:pPr>
    </w:p>
    <w:p>
      <w:pPr>
        <w:spacing w:after="0" w:line="34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4"/>
          <w:szCs w:val="14"/>
          <w:color w:val="auto"/>
        </w:rPr>
        <w:t>4.1</w:t>
        <w:tab/>
        <w:t>​</w:t>
      </w:r>
    </w:p>
    <w:p>
      <w:pPr>
        <w:spacing w:after="0" w:line="439" w:lineRule="exact"/>
        <w:rPr>
          <w:sz w:val="20"/>
          <w:szCs w:val="20"/>
          <w:color w:val="auto"/>
        </w:rPr>
      </w:pPr>
    </w:p>
    <w:p>
      <w:pPr>
        <w:sectPr>
          <w:pgSz w:w="11900" w:h="16838" w:orient="portrait"/>
          <w:cols w:equalWidth="0" w:num="4">
            <w:col w:w="4680" w:space="24"/>
            <w:col w:w="1676" w:space="100"/>
            <w:col w:w="800" w:space="140"/>
            <w:col w:w="1599"/>
          </w:cols>
          <w:pgMar w:left="1440" w:top="107" w:right="1440" w:bottom="1440" w:gutter="0" w:footer="0" w:header="0"/>
          <w:type w:val="continuous"/>
        </w:sect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8">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87" w:name="page88"/>
    <w:bookmarkEnd w:id="87"/>
    <w:p>
      <w:pPr>
        <w:ind w:left="320"/>
        <w:spacing w:after="0"/>
        <w:rPr>
          <w:sz w:val="20"/>
          <w:szCs w:val="20"/>
          <w:color w:val="auto"/>
        </w:rPr>
      </w:pPr>
      <w:r>
        <w:rPr>
          <w:rFonts w:ascii="Calibri" w:cs="Calibri" w:eastAsia="Calibri" w:hAnsi="Calibri"/>
          <w:sz w:val="11"/>
          <w:szCs w:val="11"/>
          <w:color w:val="003366"/>
        </w:rPr>
        <w:t>TABLE OF CONTENTS</w:t>
      </w:r>
    </w:p>
    <w:p>
      <w:pPr>
        <w:sectPr>
          <w:pgSz w:w="11900" w:h="16838" w:orient="portrait"/>
          <w:cols w:equalWidth="0" w:num="1">
            <w:col w:w="9019"/>
          </w:cols>
          <w:pgMar w:left="1440" w:top="10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300" w:type="dxa"/>
        <w:tblCellMar>
          <w:top w:w="0" w:type="dxa"/>
          <w:left w:w="0" w:type="dxa"/>
          <w:bottom w:w="0" w:type="dxa"/>
          <w:right w:w="0" w:type="dxa"/>
        </w:tblCellMar>
      </w:tblPr>
      <w:tr>
        <w:trPr>
          <w:trHeight w:val="126"/>
        </w:trPr>
        <w:tc>
          <w:tcPr>
            <w:tcW w:w="40" w:type="dxa"/>
            <w:vAlign w:val="bottom"/>
          </w:tcPr>
          <w:p>
            <w:pPr>
              <w:spacing w:after="0"/>
              <w:rPr>
                <w:sz w:val="11"/>
                <w:szCs w:val="11"/>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tcPr>
          <w:p>
            <w:pPr>
              <w:jc w:val="center"/>
              <w:ind w:right="124"/>
              <w:spacing w:after="0"/>
              <w:rPr>
                <w:sz w:val="20"/>
                <w:szCs w:val="20"/>
                <w:color w:val="auto"/>
              </w:rPr>
            </w:pPr>
            <w:r>
              <w:rPr>
                <w:rFonts w:ascii="Times New Roman" w:cs="Times New Roman" w:eastAsia="Times New Roman" w:hAnsi="Times New Roman"/>
                <w:sz w:val="11"/>
                <w:szCs w:val="11"/>
                <w:b w:val="1"/>
                <w:bCs w:val="1"/>
                <w:color w:val="auto"/>
                <w:w w:val="97"/>
              </w:rPr>
              <w:t>Report or Registration</w:t>
            </w:r>
          </w:p>
        </w:tc>
      </w:tr>
      <w:tr>
        <w:trPr>
          <w:trHeight w:val="167"/>
        </w:trPr>
        <w:tc>
          <w:tcPr>
            <w:tcW w:w="1340" w:type="dxa"/>
            <w:vAlign w:val="bottom"/>
            <w:gridSpan w:val="4"/>
          </w:tcPr>
          <w:p>
            <w:pPr>
              <w:spacing w:after="0" w:line="166"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Number </w:t>
            </w: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Registrant</w:t>
            </w: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1760" w:type="dxa"/>
            <w:vAlign w:val="bottom"/>
            <w:gridSpan w:val="16"/>
          </w:tcPr>
          <w:p>
            <w:pPr>
              <w:ind w:left="240"/>
              <w:spacing w:after="0"/>
              <w:rPr>
                <w:sz w:val="20"/>
                <w:szCs w:val="20"/>
                <w:color w:val="auto"/>
              </w:rPr>
            </w:pPr>
            <w:r>
              <w:rPr>
                <w:rFonts w:ascii="Times New Roman" w:cs="Times New Roman" w:eastAsia="Times New Roman" w:hAnsi="Times New Roman"/>
                <w:sz w:val="11"/>
                <w:szCs w:val="11"/>
                <w:b w:val="1"/>
                <w:bCs w:val="1"/>
                <w:color w:val="auto"/>
              </w:rPr>
              <w:t>Document Description</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1540" w:type="dxa"/>
            <w:vAlign w:val="bottom"/>
          </w:tcPr>
          <w:p>
            <w:pPr>
              <w:jc w:val="center"/>
              <w:ind w:right="104"/>
              <w:spacing w:after="0"/>
              <w:rPr>
                <w:sz w:val="20"/>
                <w:szCs w:val="20"/>
                <w:color w:val="auto"/>
              </w:rPr>
            </w:pPr>
            <w:r>
              <w:rPr>
                <w:rFonts w:ascii="Times New Roman" w:cs="Times New Roman" w:eastAsia="Times New Roman" w:hAnsi="Times New Roman"/>
                <w:sz w:val="11"/>
                <w:szCs w:val="11"/>
                <w:b w:val="1"/>
                <w:bCs w:val="1"/>
                <w:color w:val="auto"/>
                <w:w w:val="96"/>
              </w:rPr>
              <w:t>Statement</w:t>
            </w:r>
          </w:p>
        </w:tc>
      </w:tr>
      <w:tr>
        <w:trPr>
          <w:trHeight w:val="148"/>
        </w:trPr>
        <w:tc>
          <w:tcPr>
            <w:tcW w:w="40" w:type="dxa"/>
            <w:vAlign w:val="bottom"/>
            <w:tcBorders>
              <w:top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CenterPoint</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tcBorders>
          </w:tcPr>
          <w:p>
            <w:pPr>
              <w:spacing w:after="0"/>
              <w:rPr>
                <w:sz w:val="12"/>
                <w:szCs w:val="12"/>
                <w:color w:val="auto"/>
              </w:rPr>
            </w:pPr>
          </w:p>
        </w:tc>
        <w:tc>
          <w:tcPr>
            <w:tcW w:w="1800" w:type="dxa"/>
            <w:vAlign w:val="bottom"/>
            <w:tcBorders>
              <w:top w:val="single" w:sz="8" w:color="auto"/>
              <w:bottom w:val="single" w:sz="8" w:color="0000EE"/>
            </w:tcBorders>
            <w:gridSpan w:val="10"/>
          </w:tcPr>
          <w:p>
            <w:pPr>
              <w:spacing w:after="0" w:line="149" w:lineRule="exact"/>
              <w:rPr>
                <w:rFonts w:ascii="Times New Roman" w:cs="Times New Roman" w:eastAsia="Times New Roman" w:hAnsi="Times New Roman"/>
                <w:sz w:val="14"/>
                <w:szCs w:val="14"/>
                <w:color w:val="0000EE"/>
              </w:rPr>
            </w:pPr>
            <w:hyperlink r:id="rId139">
              <w:r>
                <w:rPr>
                  <w:rFonts w:ascii="Times New Roman" w:cs="Times New Roman" w:eastAsia="Times New Roman" w:hAnsi="Times New Roman"/>
                  <w:sz w:val="14"/>
                  <w:szCs w:val="14"/>
                  <w:color w:val="0000EE"/>
                </w:rPr>
                <w:t>Junior Subordinated Indenture,</w:t>
              </w:r>
            </w:hyperlink>
          </w:p>
        </w:tc>
        <w:tc>
          <w:tcPr>
            <w:tcW w:w="180" w:type="dxa"/>
            <w:vAlign w:val="bottom"/>
            <w:tcBorders>
              <w:top w:val="single" w:sz="8" w:color="auto"/>
            </w:tcBorders>
            <w:gridSpan w:val="7"/>
          </w:tcPr>
          <w:p>
            <w:pPr>
              <w:spacing w:after="0"/>
              <w:rPr>
                <w:sz w:val="12"/>
                <w:szCs w:val="12"/>
                <w:color w:val="auto"/>
              </w:rPr>
            </w:pP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top w:val="single" w:sz="8" w:color="auto"/>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CenterPoint Energy’s</w:t>
            </w:r>
          </w:p>
        </w:tc>
      </w:tr>
      <w:tr>
        <w:trPr>
          <w:trHeight w:val="148"/>
        </w:trPr>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Energy</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tcBorders>
              <w:bottom w:val="single" w:sz="8" w:color="0000EE"/>
            </w:tcBorders>
            <w:gridSpan w:val="7"/>
          </w:tcPr>
          <w:p>
            <w:pPr>
              <w:spacing w:after="0" w:line="149" w:lineRule="exact"/>
              <w:rPr>
                <w:rFonts w:ascii="Times New Roman" w:cs="Times New Roman" w:eastAsia="Times New Roman" w:hAnsi="Times New Roman"/>
                <w:sz w:val="14"/>
                <w:szCs w:val="14"/>
                <w:color w:val="0000EE"/>
              </w:rPr>
            </w:pPr>
            <w:hyperlink r:id="rId139">
              <w:r>
                <w:rPr>
                  <w:rFonts w:ascii="Times New Roman" w:cs="Times New Roman" w:eastAsia="Times New Roman" w:hAnsi="Times New Roman"/>
                  <w:sz w:val="14"/>
                  <w:szCs w:val="14"/>
                  <w:color w:val="0000EE"/>
                </w:rPr>
                <w:t>dated as of August 14, 2024,</w:t>
              </w:r>
            </w:hyperlink>
          </w:p>
        </w:tc>
        <w:tc>
          <w:tcPr>
            <w:tcW w:w="300" w:type="dxa"/>
            <w:vAlign w:val="bottom"/>
            <w:gridSpan w:val="10"/>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Form 10-Q for the quarter</w:t>
            </w:r>
          </w:p>
        </w:tc>
      </w:tr>
      <w:tr>
        <w:trPr>
          <w:trHeight w:val="148"/>
        </w:trPr>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17"/>
          </w:tcPr>
          <w:p>
            <w:pPr>
              <w:spacing w:after="0" w:line="149" w:lineRule="exact"/>
              <w:rPr>
                <w:rFonts w:ascii="Times New Roman" w:cs="Times New Roman" w:eastAsia="Times New Roman" w:hAnsi="Times New Roman"/>
                <w:sz w:val="14"/>
                <w:szCs w:val="14"/>
                <w:color w:val="0000EE"/>
              </w:rPr>
            </w:pPr>
            <w:hyperlink r:id="rId139">
              <w:r>
                <w:rPr>
                  <w:rFonts w:ascii="Times New Roman" w:cs="Times New Roman" w:eastAsia="Times New Roman" w:hAnsi="Times New Roman"/>
                  <w:sz w:val="14"/>
                  <w:szCs w:val="14"/>
                  <w:color w:val="0000EE"/>
                </w:rPr>
                <w:t>between CenterPoint Energy, Inc.</w:t>
              </w:r>
            </w:hyperlink>
          </w:p>
        </w:tc>
        <w:tc>
          <w:tcPr>
            <w:tcW w:w="8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ended September 30, 2024</w:t>
            </w:r>
          </w:p>
        </w:tc>
      </w:tr>
      <w:tr>
        <w:trPr>
          <w:trHeight w:val="148"/>
        </w:trPr>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Borders>
              <w:top w:val="single" w:sz="8" w:color="0000EE"/>
              <w:bottom w:val="single" w:sz="8" w:color="0000EE"/>
            </w:tcBorders>
            <w:gridSpan w:val="6"/>
          </w:tcPr>
          <w:p>
            <w:pPr>
              <w:spacing w:after="0" w:line="149" w:lineRule="exact"/>
              <w:rPr>
                <w:rFonts w:ascii="Times New Roman" w:cs="Times New Roman" w:eastAsia="Times New Roman" w:hAnsi="Times New Roman"/>
                <w:sz w:val="14"/>
                <w:szCs w:val="14"/>
                <w:color w:val="0000EE"/>
              </w:rPr>
            </w:pPr>
            <w:hyperlink r:id="rId139">
              <w:r>
                <w:rPr>
                  <w:rFonts w:ascii="Times New Roman" w:cs="Times New Roman" w:eastAsia="Times New Roman" w:hAnsi="Times New Roman"/>
                  <w:sz w:val="14"/>
                  <w:szCs w:val="14"/>
                  <w:color w:val="0000EE"/>
                </w:rPr>
                <w:t>and The Bank of New York</w:t>
              </w:r>
            </w:hyperlink>
          </w:p>
        </w:tc>
        <w:tc>
          <w:tcPr>
            <w:tcW w:w="340" w:type="dxa"/>
            <w:vAlign w:val="bottom"/>
            <w:tcBorders>
              <w:top w:val="single" w:sz="8" w:color="0000EE"/>
            </w:tcBorders>
            <w:gridSpan w:val="10"/>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48"/>
        </w:trPr>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20" w:type="dxa"/>
            <w:vAlign w:val="bottom"/>
            <w:tcBorders>
              <w:bottom w:val="single" w:sz="8" w:color="0000EE"/>
            </w:tcBorders>
            <w:gridSpan w:val="14"/>
          </w:tcPr>
          <w:p>
            <w:pPr>
              <w:spacing w:after="0" w:line="149" w:lineRule="exact"/>
              <w:rPr>
                <w:rFonts w:ascii="Times New Roman" w:cs="Times New Roman" w:eastAsia="Times New Roman" w:hAnsi="Times New Roman"/>
                <w:sz w:val="14"/>
                <w:szCs w:val="14"/>
                <w:color w:val="0000EE"/>
              </w:rPr>
            </w:pPr>
            <w:hyperlink r:id="rId139">
              <w:r>
                <w:rPr>
                  <w:rFonts w:ascii="Times New Roman" w:cs="Times New Roman" w:eastAsia="Times New Roman" w:hAnsi="Times New Roman"/>
                  <w:sz w:val="14"/>
                  <w:szCs w:val="14"/>
                  <w:color w:val="0000EE"/>
                </w:rPr>
                <w:t>Mellon Trust Company, National</w:t>
              </w:r>
            </w:hyperlink>
          </w:p>
        </w:tc>
        <w:tc>
          <w:tcPr>
            <w:tcW w:w="6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48"/>
        </w:trPr>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tcBorders>
              <w:bottom w:val="single" w:sz="8" w:color="0000EE"/>
            </w:tcBorders>
            <w:gridSpan w:val="4"/>
          </w:tcPr>
          <w:p>
            <w:pPr>
              <w:spacing w:after="0" w:line="149" w:lineRule="exact"/>
              <w:rPr>
                <w:rFonts w:ascii="Times New Roman" w:cs="Times New Roman" w:eastAsia="Times New Roman" w:hAnsi="Times New Roman"/>
                <w:sz w:val="14"/>
                <w:szCs w:val="14"/>
                <w:color w:val="0000EE"/>
              </w:rPr>
            </w:pPr>
            <w:hyperlink r:id="rId139">
              <w:r>
                <w:rPr>
                  <w:rFonts w:ascii="Times New Roman" w:cs="Times New Roman" w:eastAsia="Times New Roman" w:hAnsi="Times New Roman"/>
                  <w:sz w:val="14"/>
                  <w:szCs w:val="14"/>
                  <w:color w:val="0000EE"/>
                </w:rPr>
                <w:t>Association, as trustee</w:t>
              </w:r>
            </w:hyperlink>
          </w:p>
        </w:tc>
        <w:tc>
          <w:tcPr>
            <w:tcW w:w="680" w:type="dxa"/>
            <w:vAlign w:val="bottom"/>
            <w:gridSpan w:val="13"/>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80"/>
        </w:trPr>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4.8*</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​​Houston</w:t>
            </w:r>
          </w:p>
        </w:tc>
        <w:tc>
          <w:tcPr>
            <w:tcW w:w="3860" w:type="dxa"/>
            <w:vAlign w:val="bottom"/>
            <w:gridSpan w:val="22"/>
          </w:tcPr>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hyperlink r:id="rId140">
              <w:r>
                <w:rPr>
                  <w:rFonts w:ascii="Times New Roman" w:cs="Times New Roman" w:eastAsia="Times New Roman" w:hAnsi="Times New Roman"/>
                  <w:sz w:val="14"/>
                  <w:szCs w:val="14"/>
                  <w:color w:val="0000EE"/>
                </w:rPr>
                <w:t>Restated Certificate of Formation</w:t>
              </w:r>
              <w:r>
                <w:rPr>
                  <w:rFonts w:ascii="Times New Roman" w:cs="Times New Roman" w:eastAsia="Times New Roman" w:hAnsi="Times New Roman"/>
                  <w:sz w:val="14"/>
                  <w:szCs w:val="14"/>
                  <w:color w:val="auto"/>
                </w:rPr>
                <w:t xml:space="preserve"> </w:t>
              </w:r>
            </w:hyperlink>
            <w:r>
              <w:rPr>
                <w:rFonts w:ascii="Times New Roman" w:cs="Times New Roman" w:eastAsia="Times New Roman" w:hAnsi="Times New Roman"/>
                <w:sz w:val="14"/>
                <w:szCs w:val="14"/>
                <w:color w:val="auto"/>
              </w:rPr>
              <w:t>​​Form 10-Q of CenterPoint</w:t>
            </w:r>
          </w:p>
        </w:tc>
      </w:tr>
      <w:tr>
        <w:trPr>
          <w:trHeight w:val="148"/>
        </w:trPr>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Electric</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40" w:type="dxa"/>
            <w:vAlign w:val="bottom"/>
            <w:tcBorders>
              <w:top w:val="single" w:sz="8" w:color="0000EE"/>
            </w:tcBorders>
            <w:gridSpan w:val="16"/>
          </w:tcPr>
          <w:p>
            <w:pPr>
              <w:spacing w:after="0" w:line="149" w:lineRule="exact"/>
              <w:rPr>
                <w:rFonts w:ascii="Times New Roman" w:cs="Times New Roman" w:eastAsia="Times New Roman" w:hAnsi="Times New Roman"/>
                <w:sz w:val="14"/>
                <w:szCs w:val="14"/>
                <w:color w:val="0000EE"/>
              </w:rPr>
            </w:pPr>
            <w:hyperlink r:id="rId140">
              <w:r>
                <w:rPr>
                  <w:rFonts w:ascii="Times New Roman" w:cs="Times New Roman" w:eastAsia="Times New Roman" w:hAnsi="Times New Roman"/>
                  <w:sz w:val="14"/>
                  <w:szCs w:val="14"/>
                  <w:color w:val="0000EE"/>
                </w:rPr>
                <w:t>of CenterPoint Energy Houston</w:t>
              </w:r>
            </w:hyperlink>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Energy Houston Electric,</w:t>
            </w:r>
          </w:p>
        </w:tc>
      </w:tr>
      <w:tr>
        <w:trPr>
          <w:trHeight w:val="148"/>
        </w:trPr>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20" w:type="dxa"/>
            <w:vAlign w:val="bottom"/>
            <w:tcBorders>
              <w:top w:val="single" w:sz="8" w:color="0000EE"/>
            </w:tcBorders>
            <w:gridSpan w:val="11"/>
          </w:tcPr>
          <w:p>
            <w:pPr>
              <w:spacing w:after="0" w:line="149" w:lineRule="exact"/>
              <w:rPr>
                <w:rFonts w:ascii="Times New Roman" w:cs="Times New Roman" w:eastAsia="Times New Roman" w:hAnsi="Times New Roman"/>
                <w:sz w:val="14"/>
                <w:szCs w:val="14"/>
                <w:color w:val="0000EE"/>
              </w:rPr>
            </w:pPr>
            <w:hyperlink r:id="rId140">
              <w:r>
                <w:rPr>
                  <w:rFonts w:ascii="Times New Roman" w:cs="Times New Roman" w:eastAsia="Times New Roman" w:hAnsi="Times New Roman"/>
                  <w:sz w:val="14"/>
                  <w:szCs w:val="14"/>
                  <w:color w:val="0000EE"/>
                </w:rPr>
                <w:t>Electric, LLC</w:t>
              </w:r>
            </w:hyperlink>
          </w:p>
        </w:tc>
        <w:tc>
          <w:tcPr>
            <w:tcW w:w="160" w:type="dxa"/>
            <w:vAlign w:val="bottom"/>
            <w:gridSpan w:val="6"/>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LLC for the quarter ended</w:t>
            </w:r>
          </w:p>
        </w:tc>
      </w:tr>
      <w:tr>
        <w:trPr>
          <w:trHeight w:val="176"/>
        </w:trPr>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June 30, 2011</w:t>
            </w:r>
          </w:p>
        </w:tc>
      </w:tr>
      <w:tr>
        <w:trPr>
          <w:trHeight w:val="173"/>
        </w:trPr>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4.9*</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​​Houston</w:t>
            </w:r>
          </w:p>
        </w:tc>
        <w:tc>
          <w:tcPr>
            <w:tcW w:w="2080" w:type="dxa"/>
            <w:vAlign w:val="bottom"/>
            <w:gridSpan w:val="19"/>
          </w:tcPr>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hyperlink r:id="rId141">
              <w:r>
                <w:rPr>
                  <w:rFonts w:ascii="Times New Roman" w:cs="Times New Roman" w:eastAsia="Times New Roman" w:hAnsi="Times New Roman"/>
                  <w:sz w:val="14"/>
                  <w:szCs w:val="14"/>
                  <w:color w:val="0000EE"/>
                </w:rPr>
                <w:t>Amended and Restated Limited</w:t>
              </w:r>
            </w:hyperlink>
          </w:p>
        </w:tc>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​​Form 10-Q of CenterPoint</w:t>
            </w: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r>
      <w:tr>
        <w:trPr>
          <w:trHeight w:val="148"/>
        </w:trPr>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Electric</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40" w:type="dxa"/>
            <w:vAlign w:val="bottom"/>
            <w:tcBorders>
              <w:bottom w:val="single" w:sz="8" w:color="0000EE"/>
            </w:tcBorders>
            <w:gridSpan w:val="15"/>
          </w:tcPr>
          <w:p>
            <w:pPr>
              <w:spacing w:after="0" w:line="149" w:lineRule="exact"/>
              <w:rPr>
                <w:rFonts w:ascii="Times New Roman" w:cs="Times New Roman" w:eastAsia="Times New Roman" w:hAnsi="Times New Roman"/>
                <w:sz w:val="14"/>
                <w:szCs w:val="14"/>
                <w:color w:val="0000EE"/>
              </w:rPr>
            </w:pPr>
            <w:hyperlink r:id="rId141">
              <w:r>
                <w:rPr>
                  <w:rFonts w:ascii="Times New Roman" w:cs="Times New Roman" w:eastAsia="Times New Roman" w:hAnsi="Times New Roman"/>
                  <w:sz w:val="14"/>
                  <w:szCs w:val="14"/>
                  <w:color w:val="0000EE"/>
                </w:rPr>
                <w:t>Liability Company Agreement of</w:t>
              </w:r>
            </w:hyperlink>
          </w:p>
        </w:tc>
        <w:tc>
          <w:tcPr>
            <w:tcW w:w="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Energy Houston Electric,</w:t>
            </w:r>
          </w:p>
        </w:tc>
      </w:tr>
      <w:tr>
        <w:trPr>
          <w:trHeight w:val="148"/>
        </w:trPr>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17"/>
          </w:tcPr>
          <w:p>
            <w:pPr>
              <w:spacing w:after="0" w:line="149" w:lineRule="exact"/>
              <w:rPr>
                <w:rFonts w:ascii="Times New Roman" w:cs="Times New Roman" w:eastAsia="Times New Roman" w:hAnsi="Times New Roman"/>
                <w:sz w:val="14"/>
                <w:szCs w:val="14"/>
                <w:color w:val="0000EE"/>
              </w:rPr>
            </w:pPr>
            <w:hyperlink r:id="rId141">
              <w:r>
                <w:rPr>
                  <w:rFonts w:ascii="Times New Roman" w:cs="Times New Roman" w:eastAsia="Times New Roman" w:hAnsi="Times New Roman"/>
                  <w:sz w:val="14"/>
                  <w:szCs w:val="14"/>
                  <w:color w:val="0000EE"/>
                </w:rPr>
                <w:t>Houston Electric</w:t>
              </w:r>
            </w:hyperlink>
          </w:p>
        </w:tc>
        <w:tc>
          <w:tcPr>
            <w:tcW w:w="8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LLC for the quarter ended</w:t>
            </w:r>
          </w:p>
        </w:tc>
      </w:tr>
      <w:tr>
        <w:trPr>
          <w:trHeight w:val="176"/>
        </w:trPr>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June 30, 2011</w:t>
            </w:r>
          </w:p>
        </w:tc>
      </w:tr>
      <w:tr>
        <w:trPr>
          <w:trHeight w:val="173"/>
        </w:trPr>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4.10*​​Houston</w:t>
            </w:r>
          </w:p>
        </w:tc>
        <w:tc>
          <w:tcPr>
            <w:tcW w:w="2080" w:type="dxa"/>
            <w:vAlign w:val="bottom"/>
            <w:gridSpan w:val="19"/>
          </w:tcPr>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hyperlink r:id="rId142">
              <w:r>
                <w:rPr>
                  <w:rFonts w:ascii="Times New Roman" w:cs="Times New Roman" w:eastAsia="Times New Roman" w:hAnsi="Times New Roman"/>
                  <w:sz w:val="14"/>
                  <w:szCs w:val="14"/>
                  <w:color w:val="0000EE"/>
                </w:rPr>
                <w:t>General Mortgage Indenture,</w:t>
              </w:r>
            </w:hyperlink>
          </w:p>
        </w:tc>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​​Form 10-Q for the quarter</w:t>
            </w: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r>
      <w:tr>
        <w:trPr>
          <w:trHeight w:val="148"/>
        </w:trPr>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Electric</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Borders>
              <w:bottom w:val="single" w:sz="8" w:color="0000EE"/>
            </w:tcBorders>
            <w:gridSpan w:val="8"/>
          </w:tcPr>
          <w:p>
            <w:pPr>
              <w:spacing w:after="0" w:line="149" w:lineRule="exact"/>
              <w:rPr>
                <w:rFonts w:ascii="Times New Roman" w:cs="Times New Roman" w:eastAsia="Times New Roman" w:hAnsi="Times New Roman"/>
                <w:sz w:val="14"/>
                <w:szCs w:val="14"/>
                <w:color w:val="0000EE"/>
              </w:rPr>
            </w:pPr>
            <w:hyperlink r:id="rId142">
              <w:r>
                <w:rPr>
                  <w:rFonts w:ascii="Times New Roman" w:cs="Times New Roman" w:eastAsia="Times New Roman" w:hAnsi="Times New Roman"/>
                  <w:sz w:val="14"/>
                  <w:szCs w:val="14"/>
                  <w:color w:val="0000EE"/>
                </w:rPr>
                <w:t>dated as of October 10, 2002,</w:t>
              </w:r>
            </w:hyperlink>
          </w:p>
        </w:tc>
        <w:tc>
          <w:tcPr>
            <w:tcW w:w="260" w:type="dxa"/>
            <w:vAlign w:val="bottom"/>
            <w:gridSpan w:val="9"/>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ended September 30, 2002</w:t>
            </w:r>
          </w:p>
        </w:tc>
      </w:tr>
      <w:tr>
        <w:trPr>
          <w:trHeight w:val="148"/>
        </w:trPr>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tcBorders>
              <w:bottom w:val="single" w:sz="8" w:color="0000EE"/>
            </w:tcBorders>
            <w:gridSpan w:val="7"/>
          </w:tcPr>
          <w:p>
            <w:pPr>
              <w:spacing w:after="0" w:line="149" w:lineRule="exact"/>
              <w:rPr>
                <w:rFonts w:ascii="Times New Roman" w:cs="Times New Roman" w:eastAsia="Times New Roman" w:hAnsi="Times New Roman"/>
                <w:sz w:val="14"/>
                <w:szCs w:val="14"/>
                <w:color w:val="0000EE"/>
              </w:rPr>
            </w:pPr>
            <w:hyperlink r:id="rId142">
              <w:r>
                <w:rPr>
                  <w:rFonts w:ascii="Times New Roman" w:cs="Times New Roman" w:eastAsia="Times New Roman" w:hAnsi="Times New Roman"/>
                  <w:sz w:val="14"/>
                  <w:szCs w:val="14"/>
                  <w:color w:val="0000EE"/>
                </w:rPr>
                <w:t>between CenterPoint Energy</w:t>
              </w:r>
            </w:hyperlink>
          </w:p>
        </w:tc>
        <w:tc>
          <w:tcPr>
            <w:tcW w:w="300" w:type="dxa"/>
            <w:vAlign w:val="bottom"/>
            <w:gridSpan w:val="10"/>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48"/>
        </w:trPr>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17"/>
          </w:tcPr>
          <w:p>
            <w:pPr>
              <w:spacing w:after="0" w:line="149" w:lineRule="exact"/>
              <w:rPr>
                <w:rFonts w:ascii="Times New Roman" w:cs="Times New Roman" w:eastAsia="Times New Roman" w:hAnsi="Times New Roman"/>
                <w:sz w:val="14"/>
                <w:szCs w:val="14"/>
                <w:color w:val="0000EE"/>
              </w:rPr>
            </w:pPr>
            <w:hyperlink r:id="rId142">
              <w:r>
                <w:rPr>
                  <w:rFonts w:ascii="Times New Roman" w:cs="Times New Roman" w:eastAsia="Times New Roman" w:hAnsi="Times New Roman"/>
                  <w:sz w:val="14"/>
                  <w:szCs w:val="14"/>
                  <w:color w:val="0000EE"/>
                </w:rPr>
                <w:t>Houston Electric, LLC and</w:t>
              </w:r>
            </w:hyperlink>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48"/>
        </w:trPr>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17"/>
          </w:tcPr>
          <w:p>
            <w:pPr>
              <w:spacing w:after="0" w:line="149" w:lineRule="exact"/>
              <w:rPr>
                <w:rFonts w:ascii="Times New Roman" w:cs="Times New Roman" w:eastAsia="Times New Roman" w:hAnsi="Times New Roman"/>
                <w:sz w:val="14"/>
                <w:szCs w:val="14"/>
                <w:color w:val="0000EE"/>
              </w:rPr>
            </w:pPr>
            <w:hyperlink r:id="rId142">
              <w:r>
                <w:rPr>
                  <w:rFonts w:ascii="Times New Roman" w:cs="Times New Roman" w:eastAsia="Times New Roman" w:hAnsi="Times New Roman"/>
                  <w:sz w:val="14"/>
                  <w:szCs w:val="14"/>
                  <w:color w:val="0000EE"/>
                </w:rPr>
                <w:t>JPMorgan Chase Bank as trustee</w:t>
              </w:r>
            </w:hyperlink>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780" w:type="dxa"/>
            <w:vAlign w:val="bottom"/>
            <w:gridSpan w:val="9"/>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r>
      <w:tr>
        <w:trPr>
          <w:trHeight w:val="180"/>
        </w:trPr>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4.11*​​Houston</w:t>
            </w:r>
          </w:p>
        </w:tc>
        <w:tc>
          <w:tcPr>
            <w:tcW w:w="2080" w:type="dxa"/>
            <w:vAlign w:val="bottom"/>
            <w:gridSpan w:val="19"/>
          </w:tcPr>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hyperlink r:id="rId143">
              <w:r>
                <w:rPr>
                  <w:rFonts w:ascii="Times New Roman" w:cs="Times New Roman" w:eastAsia="Times New Roman" w:hAnsi="Times New Roman"/>
                  <w:sz w:val="14"/>
                  <w:szCs w:val="14"/>
                  <w:color w:val="0000EE"/>
                </w:rPr>
                <w:t>Ninth Supplemental Indenture,</w:t>
              </w:r>
            </w:hyperlink>
          </w:p>
        </w:tc>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​​Form 10-K for the year</w:t>
            </w: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9"/>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r>
      <w:tr>
        <w:trPr>
          <w:trHeight w:val="148"/>
        </w:trPr>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Electric</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80" w:type="dxa"/>
            <w:vAlign w:val="bottom"/>
            <w:gridSpan w:val="17"/>
          </w:tcPr>
          <w:p>
            <w:pPr>
              <w:spacing w:after="0" w:line="149" w:lineRule="exact"/>
              <w:rPr>
                <w:rFonts w:ascii="Times New Roman" w:cs="Times New Roman" w:eastAsia="Times New Roman" w:hAnsi="Times New Roman"/>
                <w:sz w:val="14"/>
                <w:szCs w:val="14"/>
                <w:color w:val="0000EE"/>
              </w:rPr>
            </w:pPr>
            <w:hyperlink r:id="rId143">
              <w:r>
                <w:rPr>
                  <w:rFonts w:ascii="Times New Roman" w:cs="Times New Roman" w:eastAsia="Times New Roman" w:hAnsi="Times New Roman"/>
                  <w:sz w:val="14"/>
                  <w:szCs w:val="14"/>
                  <w:color w:val="0000EE"/>
                </w:rPr>
                <w:t>dated November 12, 2002, to the</w:t>
              </w:r>
            </w:hyperlink>
          </w:p>
        </w:tc>
        <w:tc>
          <w:tcPr>
            <w:tcW w:w="8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ended December 31, 2002</w:t>
            </w:r>
          </w:p>
        </w:tc>
      </w:tr>
      <w:tr>
        <w:trPr>
          <w:trHeight w:val="148"/>
        </w:trPr>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tcBorders>
              <w:top w:val="single" w:sz="8" w:color="0000EE"/>
              <w:bottom w:val="single" w:sz="8" w:color="0000EE"/>
            </w:tcBorders>
            <w:gridSpan w:val="7"/>
          </w:tcPr>
          <w:p>
            <w:pPr>
              <w:spacing w:after="0" w:line="149" w:lineRule="exact"/>
              <w:rPr>
                <w:rFonts w:ascii="Times New Roman" w:cs="Times New Roman" w:eastAsia="Times New Roman" w:hAnsi="Times New Roman"/>
                <w:sz w:val="14"/>
                <w:szCs w:val="14"/>
                <w:color w:val="0000EE"/>
              </w:rPr>
            </w:pPr>
            <w:hyperlink r:id="rId143">
              <w:r>
                <w:rPr>
                  <w:rFonts w:ascii="Times New Roman" w:cs="Times New Roman" w:eastAsia="Times New Roman" w:hAnsi="Times New Roman"/>
                  <w:sz w:val="14"/>
                  <w:szCs w:val="14"/>
                  <w:color w:val="0000EE"/>
                </w:rPr>
                <w:t>General Mortgage Indenture,</w:t>
              </w:r>
            </w:hyperlink>
          </w:p>
        </w:tc>
        <w:tc>
          <w:tcPr>
            <w:tcW w:w="220" w:type="dxa"/>
            <w:vAlign w:val="bottom"/>
            <w:tcBorders>
              <w:top w:val="single" w:sz="8" w:color="0000EE"/>
            </w:tcBorders>
            <w:gridSpan w:val="6"/>
          </w:tcPr>
          <w:p>
            <w:pPr>
              <w:spacing w:after="0"/>
              <w:rPr>
                <w:sz w:val="12"/>
                <w:szCs w:val="12"/>
                <w:color w:val="auto"/>
              </w:rPr>
            </w:pPr>
          </w:p>
        </w:tc>
        <w:tc>
          <w:tcPr>
            <w:tcW w:w="80" w:type="dxa"/>
            <w:vAlign w:val="bottom"/>
            <w:gridSpan w:val="4"/>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48"/>
        </w:trPr>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Borders>
              <w:bottom w:val="single" w:sz="8" w:color="0000EE"/>
            </w:tcBorders>
            <w:gridSpan w:val="8"/>
          </w:tcPr>
          <w:p>
            <w:pPr>
              <w:spacing w:after="0" w:line="149" w:lineRule="exact"/>
              <w:rPr>
                <w:rFonts w:ascii="Times New Roman" w:cs="Times New Roman" w:eastAsia="Times New Roman" w:hAnsi="Times New Roman"/>
                <w:sz w:val="14"/>
                <w:szCs w:val="14"/>
                <w:color w:val="0000EE"/>
              </w:rPr>
            </w:pPr>
            <w:hyperlink r:id="rId143">
              <w:r>
                <w:rPr>
                  <w:rFonts w:ascii="Times New Roman" w:cs="Times New Roman" w:eastAsia="Times New Roman" w:hAnsi="Times New Roman"/>
                  <w:sz w:val="14"/>
                  <w:szCs w:val="14"/>
                  <w:color w:val="0000EE"/>
                </w:rPr>
                <w:t>dated as of October 10, 2002,</w:t>
              </w:r>
            </w:hyperlink>
          </w:p>
        </w:tc>
        <w:tc>
          <w:tcPr>
            <w:tcW w:w="260" w:type="dxa"/>
            <w:vAlign w:val="bottom"/>
            <w:gridSpan w:val="9"/>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48"/>
        </w:trPr>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80" w:type="dxa"/>
            <w:vAlign w:val="bottom"/>
            <w:tcBorders>
              <w:bottom w:val="single" w:sz="8" w:color="0000EE"/>
            </w:tcBorders>
            <w:gridSpan w:val="7"/>
          </w:tcPr>
          <w:p>
            <w:pPr>
              <w:spacing w:after="0" w:line="149" w:lineRule="exact"/>
              <w:rPr>
                <w:rFonts w:ascii="Times New Roman" w:cs="Times New Roman" w:eastAsia="Times New Roman" w:hAnsi="Times New Roman"/>
                <w:sz w:val="14"/>
                <w:szCs w:val="14"/>
                <w:color w:val="0000EE"/>
              </w:rPr>
            </w:pPr>
            <w:hyperlink r:id="rId143">
              <w:r>
                <w:rPr>
                  <w:rFonts w:ascii="Times New Roman" w:cs="Times New Roman" w:eastAsia="Times New Roman" w:hAnsi="Times New Roman"/>
                  <w:sz w:val="14"/>
                  <w:szCs w:val="14"/>
                  <w:color w:val="0000EE"/>
                </w:rPr>
                <w:t>between CenterPoint Energy</w:t>
              </w:r>
            </w:hyperlink>
          </w:p>
        </w:tc>
        <w:tc>
          <w:tcPr>
            <w:tcW w:w="300" w:type="dxa"/>
            <w:vAlign w:val="bottom"/>
            <w:gridSpan w:val="10"/>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r>
    </w:tbl>
    <w:p>
      <w:pPr>
        <w:spacing w:after="0" w:line="6" w:lineRule="exact"/>
        <w:rPr>
          <w:sz w:val="20"/>
          <w:szCs w:val="20"/>
          <w:color w:val="auto"/>
        </w:rPr>
      </w:pPr>
    </w:p>
    <w:p>
      <w:pPr>
        <w:ind w:left="2720"/>
        <w:spacing w:after="0"/>
        <w:rPr>
          <w:rFonts w:ascii="Times New Roman" w:cs="Times New Roman" w:eastAsia="Times New Roman" w:hAnsi="Times New Roman"/>
          <w:sz w:val="14"/>
          <w:szCs w:val="14"/>
          <w:u w:val="single" w:color="auto"/>
          <w:color w:val="0000EE"/>
        </w:rPr>
      </w:pPr>
      <w:hyperlink r:id="rId143">
        <w:r>
          <w:rPr>
            <w:rFonts w:ascii="Times New Roman" w:cs="Times New Roman" w:eastAsia="Times New Roman" w:hAnsi="Times New Roman"/>
            <w:sz w:val="14"/>
            <w:szCs w:val="14"/>
            <w:u w:val="single" w:color="auto"/>
            <w:color w:val="0000EE"/>
          </w:rPr>
          <w:t>Houston Electric, LLC and</w:t>
        </w:r>
      </w:hyperlink>
    </w:p>
    <w:p>
      <w:pPr>
        <w:spacing w:after="0" w:line="22" w:lineRule="exact"/>
        <w:rPr>
          <w:sz w:val="20"/>
          <w:szCs w:val="20"/>
          <w:color w:val="auto"/>
        </w:rPr>
      </w:pPr>
    </w:p>
    <w:p>
      <w:pPr>
        <w:ind w:left="2720"/>
        <w:spacing w:after="0"/>
        <w:rPr>
          <w:rFonts w:ascii="Times New Roman" w:cs="Times New Roman" w:eastAsia="Times New Roman" w:hAnsi="Times New Roman"/>
          <w:sz w:val="14"/>
          <w:szCs w:val="14"/>
          <w:u w:val="single" w:color="auto"/>
          <w:color w:val="0000EE"/>
        </w:rPr>
      </w:pPr>
      <w:hyperlink r:id="rId143">
        <w:r>
          <w:rPr>
            <w:rFonts w:ascii="Times New Roman" w:cs="Times New Roman" w:eastAsia="Times New Roman" w:hAnsi="Times New Roman"/>
            <w:sz w:val="14"/>
            <w:szCs w:val="14"/>
            <w:u w:val="single" w:color="auto"/>
            <w:color w:val="0000EE"/>
          </w:rPr>
          <w:t>JPMorgan Chase Bank as trustee</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87"/>
        <w:spacing w:after="0"/>
        <w:tabs>
          <w:tab w:leader="none" w:pos="807" w:val="left"/>
        </w:tabs>
        <w:rPr>
          <w:sz w:val="20"/>
          <w:szCs w:val="20"/>
          <w:color w:val="auto"/>
        </w:rPr>
      </w:pPr>
      <w:r>
        <w:rPr>
          <w:rFonts w:ascii="Times New Roman" w:cs="Times New Roman" w:eastAsia="Times New Roman" w:hAnsi="Times New Roman"/>
          <w:sz w:val="11"/>
          <w:szCs w:val="11"/>
          <w:b w:val="1"/>
          <w:bCs w:val="1"/>
          <w:color w:val="auto"/>
        </w:rPr>
        <w:t>Registration</w:t>
        <w:tab/>
        <w:t>Exhibit</w:t>
      </w:r>
    </w:p>
    <w:p>
      <w:pPr>
        <w:ind w:left="27"/>
        <w:spacing w:after="0"/>
        <w:tabs>
          <w:tab w:leader="none" w:pos="167" w:val="left"/>
          <w:tab w:leader="none" w:pos="687" w:val="left"/>
        </w:tabs>
        <w:rPr>
          <w:sz w:val="20"/>
          <w:szCs w:val="20"/>
          <w:color w:val="auto"/>
        </w:rPr>
      </w:pPr>
      <w:r>
        <w:rPr>
          <w:rFonts w:ascii="Times New Roman" w:cs="Times New Roman" w:eastAsia="Times New Roman" w:hAnsi="Times New Roman"/>
          <w:sz w:val="19"/>
          <w:szCs w:val="19"/>
          <w:b w:val="1"/>
          <w:bCs w:val="1"/>
          <w:color w:val="auto"/>
          <w:vertAlign w:val="subscript"/>
        </w:rPr>
        <w:t>​​</w:t>
      </w:r>
      <w:r>
        <w:rPr>
          <w:sz w:val="20"/>
          <w:szCs w:val="20"/>
          <w:color w:val="auto"/>
        </w:rPr>
        <w:tab/>
      </w:r>
      <w:r>
        <w:rPr>
          <w:rFonts w:ascii="Times New Roman" w:cs="Times New Roman" w:eastAsia="Times New Roman" w:hAnsi="Times New Roman"/>
          <w:sz w:val="11"/>
          <w:szCs w:val="11"/>
          <w:b w:val="1"/>
          <w:bCs w:val="1"/>
          <w:color w:val="auto"/>
        </w:rPr>
        <w:t>Number</w:t>
      </w:r>
      <w:r>
        <w:rPr>
          <w:sz w:val="20"/>
          <w:szCs w:val="20"/>
          <w:color w:val="auto"/>
        </w:rPr>
        <w:tab/>
      </w:r>
      <w:r>
        <w:rPr>
          <w:rFonts w:ascii="Times New Roman" w:cs="Times New Roman" w:eastAsia="Times New Roman" w:hAnsi="Times New Roman"/>
          <w:sz w:val="12"/>
          <w:szCs w:val="12"/>
          <w:b w:val="1"/>
          <w:bCs w:val="1"/>
          <w:color w:val="auto"/>
          <w:vertAlign w:val="subscript"/>
        </w:rPr>
        <w:t>​​</w:t>
      </w:r>
      <w:r>
        <w:rPr>
          <w:rFonts w:ascii="Times New Roman" w:cs="Times New Roman" w:eastAsia="Times New Roman" w:hAnsi="Times New Roman"/>
          <w:sz w:val="12"/>
          <w:szCs w:val="12"/>
          <w:b w:val="1"/>
          <w:bCs w:val="1"/>
          <w:color w:val="auto"/>
        </w:rPr>
        <w:t xml:space="preserve">Reference </w:t>
      </w:r>
      <w:r>
        <w:rPr>
          <w:rFonts w:ascii="Times New Roman" w:cs="Times New Roman" w:eastAsia="Times New Roman" w:hAnsi="Times New Roman"/>
          <w:sz w:val="12"/>
          <w:szCs w:val="12"/>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-635</wp:posOffset>
            </wp:positionV>
            <wp:extent cx="74803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4">
                      <a:extLst>
                        <a:ext uri="{28A0092B-C50C-407E-A947-70E740481C1C}"/>
                      </a:extLst>
                    </a:blip>
                    <a:srcRect/>
                    <a:stretch>
                      <a:fillRect/>
                    </a:stretch>
                  </pic:blipFill>
                  <pic:spPr bwMode="auto">
                    <a:xfrm>
                      <a:off x="0" y="0"/>
                      <a:ext cx="748030" cy="6985"/>
                    </a:xfrm>
                    <a:prstGeom prst="rect">
                      <a:avLst/>
                    </a:prstGeom>
                    <a:noFill/>
                  </pic:spPr>
                </pic:pic>
              </a:graphicData>
            </a:graphic>
          </wp:anchor>
        </w:drawing>
      </w:r>
    </w:p>
    <w:p>
      <w:pPr>
        <w:ind w:left="7"/>
        <w:spacing w:after="0"/>
        <w:tabs>
          <w:tab w:leader="none" w:pos="907" w:val="left"/>
          <w:tab w:leader="none" w:pos="1247" w:val="left"/>
        </w:tabs>
        <w:rPr>
          <w:sz w:val="20"/>
          <w:szCs w:val="20"/>
          <w:color w:val="auto"/>
        </w:rPr>
      </w:pPr>
      <w:r>
        <w:rPr>
          <w:rFonts w:ascii="Times New Roman" w:cs="Times New Roman" w:eastAsia="Times New Roman" w:hAnsi="Times New Roman"/>
          <w:sz w:val="14"/>
          <w:szCs w:val="14"/>
          <w:color w:val="auto"/>
        </w:rPr>
        <w:t>​​ 1-31447 ​​</w:t>
        <w:tab/>
        <w:t>4.1</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
        <w:spacing w:after="0"/>
        <w:tabs>
          <w:tab w:leader="none" w:pos="907" w:val="left"/>
          <w:tab w:leader="none" w:pos="1247" w:val="left"/>
        </w:tabs>
        <w:rPr>
          <w:sz w:val="20"/>
          <w:szCs w:val="20"/>
          <w:color w:val="auto"/>
        </w:rPr>
      </w:pPr>
      <w:r>
        <w:rPr>
          <w:rFonts w:ascii="Times New Roman" w:cs="Times New Roman" w:eastAsia="Times New Roman" w:hAnsi="Times New Roman"/>
          <w:sz w:val="14"/>
          <w:szCs w:val="14"/>
          <w:color w:val="auto"/>
        </w:rPr>
        <w:t>​​  1-3187  ​​</w:t>
        <w:tab/>
        <w:t>3.1</w:t>
        <w:tab/>
        <w:t>​</w:t>
      </w:r>
    </w:p>
    <w:p>
      <w:pPr>
        <w:spacing w:after="0" w:line="200" w:lineRule="exact"/>
        <w:rPr>
          <w:sz w:val="20"/>
          <w:szCs w:val="20"/>
          <w:color w:val="auto"/>
        </w:rPr>
      </w:pPr>
    </w:p>
    <w:p>
      <w:pPr>
        <w:spacing w:after="0" w:line="344" w:lineRule="exact"/>
        <w:rPr>
          <w:sz w:val="20"/>
          <w:szCs w:val="20"/>
          <w:color w:val="auto"/>
        </w:rPr>
      </w:pPr>
    </w:p>
    <w:p>
      <w:pPr>
        <w:ind w:left="7"/>
        <w:spacing w:after="0"/>
        <w:tabs>
          <w:tab w:leader="none" w:pos="907" w:val="left"/>
          <w:tab w:leader="none" w:pos="1247" w:val="left"/>
        </w:tabs>
        <w:rPr>
          <w:sz w:val="20"/>
          <w:szCs w:val="20"/>
          <w:color w:val="auto"/>
        </w:rPr>
      </w:pPr>
      <w:r>
        <w:rPr>
          <w:rFonts w:ascii="Times New Roman" w:cs="Times New Roman" w:eastAsia="Times New Roman" w:hAnsi="Times New Roman"/>
          <w:sz w:val="14"/>
          <w:szCs w:val="14"/>
          <w:color w:val="auto"/>
        </w:rPr>
        <w:t>​​  1-3187  ​​</w:t>
        <w:tab/>
        <w:t>3.2</w:t>
        <w:tab/>
        <w:t>​</w:t>
      </w:r>
    </w:p>
    <w:p>
      <w:pPr>
        <w:spacing w:after="0" w:line="200" w:lineRule="exact"/>
        <w:rPr>
          <w:sz w:val="20"/>
          <w:szCs w:val="20"/>
          <w:color w:val="auto"/>
        </w:rPr>
      </w:pPr>
    </w:p>
    <w:p>
      <w:pPr>
        <w:spacing w:after="0" w:line="344" w:lineRule="exact"/>
        <w:rPr>
          <w:sz w:val="20"/>
          <w:szCs w:val="20"/>
          <w:color w:val="auto"/>
        </w:rPr>
      </w:pPr>
    </w:p>
    <w:p>
      <w:pPr>
        <w:ind w:left="167" w:hanging="167"/>
        <w:spacing w:after="0"/>
        <w:tabs>
          <w:tab w:leader="none" w:pos="167"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1-3187  ​​ 4(j)(1) ​</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12" w:lineRule="exact"/>
        <w:rPr>
          <w:rFonts w:ascii="Times New Roman" w:cs="Times New Roman" w:eastAsia="Times New Roman" w:hAnsi="Times New Roman"/>
          <w:sz w:val="14"/>
          <w:szCs w:val="14"/>
          <w:color w:val="auto"/>
        </w:rPr>
      </w:pPr>
    </w:p>
    <w:p>
      <w:pPr>
        <w:ind w:left="167" w:hanging="167"/>
        <w:spacing w:after="0"/>
        <w:tabs>
          <w:tab w:leader="none" w:pos="167"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1-3187  ​​4(k)(10)​</w:t>
      </w:r>
    </w:p>
    <w:p>
      <w:pPr>
        <w:spacing w:after="0" w:line="1052" w:lineRule="exact"/>
        <w:rPr>
          <w:sz w:val="20"/>
          <w:szCs w:val="20"/>
          <w:color w:val="auto"/>
        </w:rPr>
      </w:pPr>
    </w:p>
    <w:p>
      <w:pPr>
        <w:sectPr>
          <w:pgSz w:w="11900" w:h="16838" w:orient="portrait"/>
          <w:cols w:equalWidth="0" w:num="2">
            <w:col w:w="6500" w:space="4294967290"/>
            <w:col w:w="2526"/>
          </w:cols>
          <w:pgMar w:left="1440" w:top="107" w:right="1440" w:bottom="1440" w:gutter="0" w:footer="0" w:header="0"/>
          <w:type w:val="continuous"/>
        </w:sectPr>
      </w:pPr>
    </w:p>
    <w:tbl>
      <w:tblPr>
        <w:tblLayout w:type="fixed"/>
        <w:tblInd w:w="1300" w:type="dxa"/>
        <w:tblCellMar>
          <w:top w:w="0" w:type="dxa"/>
          <w:left w:w="0" w:type="dxa"/>
          <w:bottom w:w="0" w:type="dxa"/>
          <w:right w:w="0" w:type="dxa"/>
        </w:tblCellMar>
      </w:tblPr>
      <w:tr>
        <w:trPr>
          <w:trHeight w:val="168"/>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  4.12*​​Houston</w:t>
            </w:r>
          </w:p>
        </w:tc>
        <w:tc>
          <w:tcPr>
            <w:tcW w:w="2240" w:type="dxa"/>
            <w:vAlign w:val="bottom"/>
            <w:gridSpan w:val="8"/>
          </w:tcPr>
          <w:p>
            <w:pPr>
              <w:ind w:left="1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hyperlink r:id="rId145">
              <w:r>
                <w:rPr>
                  <w:rFonts w:ascii="Times New Roman" w:cs="Times New Roman" w:eastAsia="Times New Roman" w:hAnsi="Times New Roman"/>
                  <w:sz w:val="14"/>
                  <w:szCs w:val="14"/>
                  <w:color w:val="0000EE"/>
                </w:rPr>
                <w:t>Twentieth Supplemental</w:t>
              </w:r>
            </w:hyperlink>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8"/>
        </w:trPr>
        <w:tc>
          <w:tcPr>
            <w:tcW w:w="118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color w:val="auto"/>
              </w:rPr>
              <w:t>Electric</w:t>
            </w:r>
          </w:p>
        </w:tc>
        <w:tc>
          <w:tcPr>
            <w:tcW w:w="240" w:type="dxa"/>
            <w:vAlign w:val="bottom"/>
          </w:tcPr>
          <w:p>
            <w:pPr>
              <w:spacing w:after="0"/>
              <w:rPr>
                <w:sz w:val="12"/>
                <w:szCs w:val="12"/>
                <w:color w:val="auto"/>
              </w:rPr>
            </w:pPr>
          </w:p>
        </w:tc>
        <w:tc>
          <w:tcPr>
            <w:tcW w:w="1740" w:type="dxa"/>
            <w:vAlign w:val="bottom"/>
            <w:tcBorders>
              <w:bottom w:val="single" w:sz="8" w:color="0000EE"/>
            </w:tcBorders>
            <w:gridSpan w:val="4"/>
          </w:tcPr>
          <w:p>
            <w:pPr>
              <w:spacing w:after="0" w:line="149" w:lineRule="exact"/>
              <w:rPr>
                <w:rFonts w:ascii="Times New Roman" w:cs="Times New Roman" w:eastAsia="Times New Roman" w:hAnsi="Times New Roman"/>
                <w:sz w:val="14"/>
                <w:szCs w:val="14"/>
                <w:color w:val="0000EE"/>
              </w:rPr>
            </w:pPr>
            <w:hyperlink r:id="rId145">
              <w:r>
                <w:rPr>
                  <w:rFonts w:ascii="Times New Roman" w:cs="Times New Roman" w:eastAsia="Times New Roman" w:hAnsi="Times New Roman"/>
                  <w:sz w:val="14"/>
                  <w:szCs w:val="14"/>
                  <w:color w:val="0000EE"/>
                </w:rPr>
                <w:t>Indenture, dated December 9,</w:t>
              </w:r>
            </w:hyperlink>
          </w:p>
        </w:tc>
        <w:tc>
          <w:tcPr>
            <w:tcW w:w="260" w:type="dxa"/>
            <w:vAlign w:val="bottom"/>
            <w:gridSpan w:val="3"/>
          </w:tcPr>
          <w:p>
            <w:pPr>
              <w:spacing w:after="0"/>
              <w:rPr>
                <w:sz w:val="12"/>
                <w:szCs w:val="12"/>
                <w:color w:val="auto"/>
              </w:rPr>
            </w:pPr>
          </w:p>
        </w:tc>
      </w:tr>
      <w:tr>
        <w:trPr>
          <w:trHeight w:val="148"/>
        </w:trPr>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tcBorders>
              <w:bottom w:val="single" w:sz="8" w:color="0000EE"/>
            </w:tcBorders>
            <w:gridSpan w:val="6"/>
          </w:tcPr>
          <w:p>
            <w:pPr>
              <w:spacing w:after="0" w:line="149" w:lineRule="exact"/>
              <w:rPr>
                <w:rFonts w:ascii="Times New Roman" w:cs="Times New Roman" w:eastAsia="Times New Roman" w:hAnsi="Times New Roman"/>
                <w:sz w:val="14"/>
                <w:szCs w:val="14"/>
                <w:color w:val="0000EE"/>
              </w:rPr>
            </w:pPr>
            <w:hyperlink r:id="rId145">
              <w:r>
                <w:rPr>
                  <w:rFonts w:ascii="Times New Roman" w:cs="Times New Roman" w:eastAsia="Times New Roman" w:hAnsi="Times New Roman"/>
                  <w:sz w:val="14"/>
                  <w:szCs w:val="14"/>
                  <w:color w:val="0000EE"/>
                </w:rPr>
                <w:t>2008, to the General Mortgage</w:t>
              </w:r>
            </w:hyperlink>
          </w:p>
        </w:tc>
        <w:tc>
          <w:tcPr>
            <w:tcW w:w="180" w:type="dxa"/>
            <w:vAlign w:val="bottom"/>
          </w:tcPr>
          <w:p>
            <w:pPr>
              <w:spacing w:after="0"/>
              <w:rPr>
                <w:sz w:val="12"/>
                <w:szCs w:val="12"/>
                <w:color w:val="auto"/>
              </w:rPr>
            </w:pPr>
          </w:p>
        </w:tc>
      </w:tr>
      <w:tr>
        <w:trPr>
          <w:trHeight w:val="148"/>
        </w:trPr>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tcBorders>
              <w:bottom w:val="single" w:sz="8" w:color="0000EE"/>
            </w:tcBorders>
            <w:gridSpan w:val="7"/>
          </w:tcPr>
          <w:p>
            <w:pPr>
              <w:spacing w:after="0" w:line="149" w:lineRule="exact"/>
              <w:rPr>
                <w:rFonts w:ascii="Times New Roman" w:cs="Times New Roman" w:eastAsia="Times New Roman" w:hAnsi="Times New Roman"/>
                <w:sz w:val="14"/>
                <w:szCs w:val="14"/>
                <w:color w:val="0000EE"/>
              </w:rPr>
            </w:pPr>
            <w:hyperlink r:id="rId145">
              <w:r>
                <w:rPr>
                  <w:rFonts w:ascii="Times New Roman" w:cs="Times New Roman" w:eastAsia="Times New Roman" w:hAnsi="Times New Roman"/>
                  <w:sz w:val="14"/>
                  <w:szCs w:val="14"/>
                  <w:color w:val="0000EE"/>
                </w:rPr>
                <w:t>Indenture, dated as of October 10,</w:t>
              </w:r>
            </w:hyperlink>
          </w:p>
        </w:tc>
      </w:tr>
      <w:tr>
        <w:trPr>
          <w:trHeight w:val="148"/>
        </w:trPr>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gridSpan w:val="7"/>
          </w:tcPr>
          <w:p>
            <w:pPr>
              <w:spacing w:after="0" w:line="149" w:lineRule="exact"/>
              <w:rPr>
                <w:rFonts w:ascii="Times New Roman" w:cs="Times New Roman" w:eastAsia="Times New Roman" w:hAnsi="Times New Roman"/>
                <w:sz w:val="14"/>
                <w:szCs w:val="14"/>
                <w:color w:val="0000EE"/>
              </w:rPr>
            </w:pPr>
            <w:hyperlink r:id="rId145">
              <w:r>
                <w:rPr>
                  <w:rFonts w:ascii="Times New Roman" w:cs="Times New Roman" w:eastAsia="Times New Roman" w:hAnsi="Times New Roman"/>
                  <w:sz w:val="14"/>
                  <w:szCs w:val="14"/>
                  <w:color w:val="0000EE"/>
                </w:rPr>
                <w:t>2002, between CenterPoint</w:t>
              </w:r>
            </w:hyperlink>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48"/>
        </w:trPr>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tcBorders>
              <w:bottom w:val="single" w:sz="8" w:color="0000EE"/>
            </w:tcBorders>
            <w:gridSpan w:val="5"/>
          </w:tcPr>
          <w:p>
            <w:pPr>
              <w:spacing w:after="0" w:line="149" w:lineRule="exact"/>
              <w:rPr>
                <w:rFonts w:ascii="Times New Roman" w:cs="Times New Roman" w:eastAsia="Times New Roman" w:hAnsi="Times New Roman"/>
                <w:sz w:val="14"/>
                <w:szCs w:val="14"/>
                <w:color w:val="0000EE"/>
              </w:rPr>
            </w:pPr>
            <w:hyperlink r:id="rId145">
              <w:r>
                <w:rPr>
                  <w:rFonts w:ascii="Times New Roman" w:cs="Times New Roman" w:eastAsia="Times New Roman" w:hAnsi="Times New Roman"/>
                  <w:sz w:val="14"/>
                  <w:szCs w:val="14"/>
                  <w:color w:val="0000EE"/>
                </w:rPr>
                <w:t>Energy Houston Electric, LLC</w:t>
              </w:r>
            </w:hyperlink>
          </w:p>
        </w:tc>
        <w:tc>
          <w:tcPr>
            <w:tcW w:w="200" w:type="dxa"/>
            <w:vAlign w:val="bottom"/>
            <w:gridSpan w:val="2"/>
          </w:tcPr>
          <w:p>
            <w:pPr>
              <w:spacing w:after="0"/>
              <w:rPr>
                <w:sz w:val="12"/>
                <w:szCs w:val="12"/>
                <w:color w:val="auto"/>
              </w:rPr>
            </w:pPr>
          </w:p>
        </w:tc>
      </w:tr>
      <w:tr>
        <w:trPr>
          <w:trHeight w:val="148"/>
        </w:trPr>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tcBorders>
              <w:bottom w:val="single" w:sz="8" w:color="0000EE"/>
            </w:tcBorders>
            <w:gridSpan w:val="4"/>
          </w:tcPr>
          <w:p>
            <w:pPr>
              <w:spacing w:after="0" w:line="149" w:lineRule="exact"/>
              <w:rPr>
                <w:rFonts w:ascii="Times New Roman" w:cs="Times New Roman" w:eastAsia="Times New Roman" w:hAnsi="Times New Roman"/>
                <w:sz w:val="14"/>
                <w:szCs w:val="14"/>
                <w:color w:val="0000EE"/>
              </w:rPr>
            </w:pPr>
            <w:hyperlink r:id="rId145">
              <w:r>
                <w:rPr>
                  <w:rFonts w:ascii="Times New Roman" w:cs="Times New Roman" w:eastAsia="Times New Roman" w:hAnsi="Times New Roman"/>
                  <w:sz w:val="14"/>
                  <w:szCs w:val="14"/>
                  <w:color w:val="0000EE"/>
                </w:rPr>
                <w:t>and JPMorgan Chase Bank as</w:t>
              </w:r>
            </w:hyperlink>
          </w:p>
        </w:tc>
        <w:tc>
          <w:tcPr>
            <w:tcW w:w="260" w:type="dxa"/>
            <w:vAlign w:val="bottom"/>
            <w:gridSpan w:val="3"/>
          </w:tcPr>
          <w:p>
            <w:pPr>
              <w:spacing w:after="0"/>
              <w:rPr>
                <w:sz w:val="12"/>
                <w:szCs w:val="12"/>
                <w:color w:val="auto"/>
              </w:rPr>
            </w:pPr>
          </w:p>
        </w:tc>
      </w:tr>
      <w:tr>
        <w:trPr>
          <w:trHeight w:val="148"/>
        </w:trPr>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gridSpan w:val="7"/>
          </w:tcPr>
          <w:p>
            <w:pPr>
              <w:spacing w:after="0" w:line="149" w:lineRule="exact"/>
              <w:rPr>
                <w:rFonts w:ascii="Times New Roman" w:cs="Times New Roman" w:eastAsia="Times New Roman" w:hAnsi="Times New Roman"/>
                <w:sz w:val="14"/>
                <w:szCs w:val="14"/>
                <w:color w:val="0000EE"/>
              </w:rPr>
            </w:pPr>
            <w:hyperlink r:id="rId145">
              <w:r>
                <w:rPr>
                  <w:rFonts w:ascii="Times New Roman" w:cs="Times New Roman" w:eastAsia="Times New Roman" w:hAnsi="Times New Roman"/>
                  <w:sz w:val="14"/>
                  <w:szCs w:val="14"/>
                  <w:color w:val="0000EE"/>
                </w:rPr>
                <w:t>trustee</w:t>
              </w:r>
            </w:hyperlink>
          </w:p>
        </w:tc>
      </w:tr>
      <w:tr>
        <w:trPr>
          <w:trHeight w:val="20"/>
        </w:trPr>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hanging="83"/>
        <w:spacing w:after="0" w:line="280" w:lineRule="auto"/>
        <w:rPr>
          <w:sz w:val="20"/>
          <w:szCs w:val="20"/>
          <w:color w:val="auto"/>
        </w:rPr>
      </w:pPr>
      <w:r>
        <w:rPr>
          <w:rFonts w:ascii="Times New Roman" w:cs="Times New Roman" w:eastAsia="Times New Roman" w:hAnsi="Times New Roman"/>
          <w:sz w:val="14"/>
          <w:szCs w:val="14"/>
          <w:color w:val="auto"/>
        </w:rPr>
        <w:t>​​Form 8-K of CenterPoint Energy Houston Electric, LLC dated January 6, 2009</w:t>
      </w:r>
    </w:p>
    <w:p>
      <w:pPr>
        <w:spacing w:after="0" w:line="20" w:lineRule="exact"/>
        <w:rPr>
          <w:sz w:val="20"/>
          <w:szCs w:val="20"/>
          <w:color w:val="auto"/>
        </w:rPr>
      </w:pPr>
      <w:r>
        <w:rPr>
          <w:sz w:val="20"/>
          <w:szCs w:val="20"/>
          <w:color w:val="auto"/>
        </w:rPr>
        <w:br w:type="column"/>
      </w:r>
    </w:p>
    <w:p>
      <w:pPr>
        <w:spacing w:after="0"/>
        <w:tabs>
          <w:tab w:leader="none" w:pos="900" w:val="left"/>
          <w:tab w:leader="none" w:pos="1240" w:val="left"/>
        </w:tabs>
        <w:rPr>
          <w:sz w:val="20"/>
          <w:szCs w:val="20"/>
          <w:color w:val="auto"/>
        </w:rPr>
      </w:pPr>
      <w:r>
        <w:rPr>
          <w:rFonts w:ascii="Times New Roman" w:cs="Times New Roman" w:eastAsia="Times New Roman" w:hAnsi="Times New Roman"/>
          <w:sz w:val="14"/>
          <w:szCs w:val="14"/>
          <w:color w:val="auto"/>
        </w:rPr>
        <w:t>​​  1-3187  ​​</w:t>
        <w:tab/>
        <w:t>4.2</w:t>
        <w:tab/>
        <w:t>​</w:t>
      </w:r>
    </w:p>
    <w:p>
      <w:pPr>
        <w:spacing w:after="0" w:line="1213" w:lineRule="exact"/>
        <w:rPr>
          <w:sz w:val="20"/>
          <w:szCs w:val="20"/>
          <w:color w:val="auto"/>
        </w:rPr>
      </w:pPr>
    </w:p>
    <w:p>
      <w:pPr>
        <w:sectPr>
          <w:pgSz w:w="11900" w:h="16838" w:orient="portrait"/>
          <w:cols w:equalWidth="0" w:num="3">
            <w:col w:w="4720" w:space="80"/>
            <w:col w:w="1600" w:space="100"/>
            <w:col w:w="2519"/>
          </w:cols>
          <w:pgMar w:left="1440" w:top="107" w:right="1440" w:bottom="1440" w:gutter="0" w:footer="0" w:header="0"/>
          <w:type w:val="continuous"/>
        </w:sectPr>
      </w:pPr>
    </w:p>
    <w:tbl>
      <w:tblPr>
        <w:tblLayout w:type="fixed"/>
        <w:tblInd w:w="1300" w:type="dxa"/>
        <w:tblCellMar>
          <w:top w:w="0" w:type="dxa"/>
          <w:left w:w="0" w:type="dxa"/>
          <w:bottom w:w="0" w:type="dxa"/>
          <w:right w:w="0" w:type="dxa"/>
        </w:tblCellMar>
      </w:tblPr>
      <w:tr>
        <w:trPr>
          <w:trHeight w:val="173"/>
        </w:trPr>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2820" w:type="dxa"/>
            <w:vAlign w:val="bottom"/>
            <w:gridSpan w:val="11"/>
          </w:tcPr>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​​CERC Corp. ​​</w:t>
            </w:r>
            <w:hyperlink r:id="rId146">
              <w:r>
                <w:rPr>
                  <w:rFonts w:ascii="Times New Roman" w:cs="Times New Roman" w:eastAsia="Times New Roman" w:hAnsi="Times New Roman"/>
                  <w:sz w:val="14"/>
                  <w:szCs w:val="14"/>
                  <w:color w:val="0000EE"/>
                </w:rPr>
                <w:t>Certificate of Incorporation of</w:t>
              </w:r>
            </w:hyperlink>
          </w:p>
        </w:tc>
        <w:tc>
          <w:tcPr>
            <w:tcW w:w="1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​​Form 10-K for the year</w:t>
            </w:r>
          </w:p>
        </w:tc>
      </w:tr>
      <w:tr>
        <w:trPr>
          <w:trHeight w:val="20"/>
        </w:trPr>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48"/>
        </w:trPr>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80" w:type="dxa"/>
            <w:vAlign w:val="bottom"/>
            <w:tcBorders>
              <w:bottom w:val="single" w:sz="8" w:color="0000EE"/>
            </w:tcBorders>
            <w:gridSpan w:val="10"/>
          </w:tcPr>
          <w:p>
            <w:pPr>
              <w:spacing w:after="0" w:line="149" w:lineRule="exact"/>
              <w:rPr>
                <w:rFonts w:ascii="Times New Roman" w:cs="Times New Roman" w:eastAsia="Times New Roman" w:hAnsi="Times New Roman"/>
                <w:sz w:val="14"/>
                <w:szCs w:val="14"/>
                <w:color w:val="0000EE"/>
              </w:rPr>
            </w:pPr>
            <w:hyperlink r:id="rId146">
              <w:r>
                <w:rPr>
                  <w:rFonts w:ascii="Times New Roman" w:cs="Times New Roman" w:eastAsia="Times New Roman" w:hAnsi="Times New Roman"/>
                  <w:sz w:val="14"/>
                  <w:szCs w:val="14"/>
                  <w:color w:val="0000EE"/>
                </w:rPr>
                <w:t>Reliant Energy Resources Corp.</w:t>
              </w:r>
            </w:hyperlink>
          </w:p>
        </w:tc>
        <w:tc>
          <w:tcPr>
            <w:tcW w:w="17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ended December 31, 1997</w:t>
            </w:r>
          </w:p>
        </w:tc>
      </w:tr>
      <w:tr>
        <w:trPr>
          <w:trHeight w:val="148"/>
        </w:trPr>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Borders>
              <w:bottom w:val="single" w:sz="8" w:color="0000EE"/>
            </w:tcBorders>
            <w:gridSpan w:val="3"/>
          </w:tcPr>
          <w:p>
            <w:pPr>
              <w:spacing w:after="0" w:line="149" w:lineRule="exact"/>
              <w:rPr>
                <w:rFonts w:ascii="Times New Roman" w:cs="Times New Roman" w:eastAsia="Times New Roman" w:hAnsi="Times New Roman"/>
                <w:sz w:val="14"/>
                <w:szCs w:val="14"/>
                <w:color w:val="0000EE"/>
              </w:rPr>
            </w:pPr>
            <w:hyperlink r:id="rId146">
              <w:r>
                <w:rPr>
                  <w:rFonts w:ascii="Times New Roman" w:cs="Times New Roman" w:eastAsia="Times New Roman" w:hAnsi="Times New Roman"/>
                  <w:sz w:val="14"/>
                  <w:szCs w:val="14"/>
                  <w:color w:val="0000EE"/>
                </w:rPr>
                <w:t>(“RERC Corp.”)</w:t>
              </w:r>
            </w:hyperlink>
          </w:p>
        </w:tc>
        <w:tc>
          <w:tcPr>
            <w:tcW w:w="900" w:type="dxa"/>
            <w:vAlign w:val="bottom"/>
            <w:gridSpan w:val="7"/>
          </w:tcPr>
          <w:p>
            <w:pPr>
              <w:spacing w:after="0"/>
              <w:rPr>
                <w:sz w:val="12"/>
                <w:szCs w:val="12"/>
                <w:color w:val="auto"/>
              </w:rPr>
            </w:pPr>
          </w:p>
        </w:tc>
        <w:tc>
          <w:tcPr>
            <w:tcW w:w="1740" w:type="dxa"/>
            <w:vAlign w:val="bottom"/>
          </w:tcPr>
          <w:p>
            <w:pPr>
              <w:spacing w:after="0"/>
              <w:rPr>
                <w:sz w:val="12"/>
                <w:szCs w:val="12"/>
                <w:color w:val="auto"/>
              </w:rPr>
            </w:pPr>
          </w:p>
        </w:tc>
      </w:tr>
      <w:tr>
        <w:trPr>
          <w:trHeight w:val="180"/>
        </w:trPr>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2820" w:type="dxa"/>
            <w:vAlign w:val="bottom"/>
            <w:gridSpan w:val="11"/>
          </w:tcPr>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​​CERC Corp. ​​</w:t>
            </w:r>
            <w:hyperlink r:id="rId147">
              <w:r>
                <w:rPr>
                  <w:rFonts w:ascii="Times New Roman" w:cs="Times New Roman" w:eastAsia="Times New Roman" w:hAnsi="Times New Roman"/>
                  <w:sz w:val="14"/>
                  <w:szCs w:val="14"/>
                  <w:color w:val="0000EE"/>
                </w:rPr>
                <w:t>Certificate of Amendment</w:t>
              </w:r>
            </w:hyperlink>
          </w:p>
        </w:tc>
        <w:tc>
          <w:tcPr>
            <w:tcW w:w="1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​​Form 10-K for the year</w:t>
            </w:r>
          </w:p>
        </w:tc>
      </w:tr>
      <w:tr>
        <w:trPr>
          <w:trHeight w:val="20"/>
        </w:trPr>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48"/>
        </w:trPr>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80" w:type="dxa"/>
            <w:vAlign w:val="bottom"/>
            <w:gridSpan w:val="10"/>
          </w:tcPr>
          <w:p>
            <w:pPr>
              <w:spacing w:after="0" w:line="149" w:lineRule="exact"/>
              <w:rPr>
                <w:rFonts w:ascii="Times New Roman" w:cs="Times New Roman" w:eastAsia="Times New Roman" w:hAnsi="Times New Roman"/>
                <w:sz w:val="14"/>
                <w:szCs w:val="14"/>
                <w:color w:val="0000EE"/>
              </w:rPr>
            </w:pPr>
            <w:hyperlink r:id="rId147">
              <w:r>
                <w:rPr>
                  <w:rFonts w:ascii="Times New Roman" w:cs="Times New Roman" w:eastAsia="Times New Roman" w:hAnsi="Times New Roman"/>
                  <w:sz w:val="14"/>
                  <w:szCs w:val="14"/>
                  <w:color w:val="0000EE"/>
                </w:rPr>
                <w:t>changing the name of NorAm</w:t>
              </w:r>
            </w:hyperlink>
          </w:p>
        </w:tc>
        <w:tc>
          <w:tcPr>
            <w:tcW w:w="17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ended December 31, 1998</w:t>
            </w:r>
          </w:p>
        </w:tc>
      </w:tr>
      <w:tr>
        <w:trPr>
          <w:trHeight w:val="20"/>
        </w:trPr>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48"/>
        </w:trPr>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60" w:type="dxa"/>
            <w:vAlign w:val="bottom"/>
            <w:tcBorders>
              <w:bottom w:val="single" w:sz="8" w:color="0000EE"/>
            </w:tcBorders>
            <w:gridSpan w:val="9"/>
          </w:tcPr>
          <w:p>
            <w:pPr>
              <w:spacing w:after="0" w:line="149" w:lineRule="exact"/>
              <w:rPr>
                <w:rFonts w:ascii="Times New Roman" w:cs="Times New Roman" w:eastAsia="Times New Roman" w:hAnsi="Times New Roman"/>
                <w:sz w:val="14"/>
                <w:szCs w:val="14"/>
                <w:color w:val="0000EE"/>
              </w:rPr>
            </w:pPr>
            <w:hyperlink r:id="rId147">
              <w:r>
                <w:rPr>
                  <w:rFonts w:ascii="Times New Roman" w:cs="Times New Roman" w:eastAsia="Times New Roman" w:hAnsi="Times New Roman"/>
                  <w:sz w:val="14"/>
                  <w:szCs w:val="14"/>
                  <w:color w:val="0000EE"/>
                </w:rPr>
                <w:t>Energy Corp. to Reliant Energy</w:t>
              </w:r>
            </w:hyperlink>
          </w:p>
        </w:tc>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r>
      <w:tr>
        <w:trPr>
          <w:trHeight w:val="148"/>
        </w:trPr>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80" w:type="dxa"/>
            <w:vAlign w:val="bottom"/>
            <w:gridSpan w:val="10"/>
          </w:tcPr>
          <w:p>
            <w:pPr>
              <w:spacing w:after="0" w:line="149" w:lineRule="exact"/>
              <w:rPr>
                <w:rFonts w:ascii="Times New Roman" w:cs="Times New Roman" w:eastAsia="Times New Roman" w:hAnsi="Times New Roman"/>
                <w:sz w:val="14"/>
                <w:szCs w:val="14"/>
                <w:color w:val="0000EE"/>
              </w:rPr>
            </w:pPr>
            <w:hyperlink r:id="rId147">
              <w:r>
                <w:rPr>
                  <w:rFonts w:ascii="Times New Roman" w:cs="Times New Roman" w:eastAsia="Times New Roman" w:hAnsi="Times New Roman"/>
                  <w:sz w:val="14"/>
                  <w:szCs w:val="14"/>
                  <w:color w:val="0000EE"/>
                </w:rPr>
                <w:t>Resources Corp.</w:t>
              </w:r>
            </w:hyperlink>
          </w:p>
        </w:tc>
        <w:tc>
          <w:tcPr>
            <w:tcW w:w="1740" w:type="dxa"/>
            <w:vAlign w:val="bottom"/>
          </w:tcPr>
          <w:p>
            <w:pPr>
              <w:spacing w:after="0"/>
              <w:rPr>
                <w:sz w:val="12"/>
                <w:szCs w:val="12"/>
                <w:color w:val="auto"/>
              </w:rPr>
            </w:pPr>
          </w:p>
        </w:tc>
      </w:tr>
      <w:tr>
        <w:trPr>
          <w:trHeight w:val="20"/>
        </w:trPr>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80"/>
        </w:trPr>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2820" w:type="dxa"/>
            <w:vAlign w:val="bottom"/>
            <w:gridSpan w:val="11"/>
          </w:tcPr>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​​CERC Corp. ​​</w:t>
            </w:r>
            <w:hyperlink r:id="rId148">
              <w:r>
                <w:rPr>
                  <w:rFonts w:ascii="Times New Roman" w:cs="Times New Roman" w:eastAsia="Times New Roman" w:hAnsi="Times New Roman"/>
                  <w:sz w:val="14"/>
                  <w:szCs w:val="14"/>
                  <w:color w:val="0000EE"/>
                </w:rPr>
                <w:t>Certificate of Amendment</w:t>
              </w:r>
            </w:hyperlink>
          </w:p>
        </w:tc>
        <w:tc>
          <w:tcPr>
            <w:tcW w:w="1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​​Form 10-Q for the quarter</w:t>
            </w:r>
          </w:p>
        </w:tc>
      </w:tr>
      <w:tr>
        <w:trPr>
          <w:trHeight w:val="20"/>
        </w:trPr>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48"/>
        </w:trPr>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80" w:type="dxa"/>
            <w:vAlign w:val="bottom"/>
            <w:gridSpan w:val="10"/>
          </w:tcPr>
          <w:p>
            <w:pPr>
              <w:spacing w:after="0" w:line="149" w:lineRule="exact"/>
              <w:rPr>
                <w:rFonts w:ascii="Times New Roman" w:cs="Times New Roman" w:eastAsia="Times New Roman" w:hAnsi="Times New Roman"/>
                <w:sz w:val="14"/>
                <w:szCs w:val="14"/>
                <w:color w:val="0000EE"/>
              </w:rPr>
            </w:pPr>
            <w:hyperlink r:id="rId148">
              <w:r>
                <w:rPr>
                  <w:rFonts w:ascii="Times New Roman" w:cs="Times New Roman" w:eastAsia="Times New Roman" w:hAnsi="Times New Roman"/>
                  <w:sz w:val="14"/>
                  <w:szCs w:val="14"/>
                  <w:color w:val="0000EE"/>
                </w:rPr>
                <w:t>changing the name of Reliant</w:t>
              </w:r>
            </w:hyperlink>
          </w:p>
        </w:tc>
        <w:tc>
          <w:tcPr>
            <w:tcW w:w="174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ended June 30, 2003</w:t>
            </w:r>
          </w:p>
        </w:tc>
      </w:tr>
      <w:tr>
        <w:trPr>
          <w:trHeight w:val="148"/>
        </w:trPr>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80" w:type="dxa"/>
            <w:vAlign w:val="bottom"/>
            <w:tcBorders>
              <w:top w:val="single" w:sz="8" w:color="0000EE"/>
              <w:bottom w:val="single" w:sz="8" w:color="0000EE"/>
            </w:tcBorders>
            <w:gridSpan w:val="6"/>
          </w:tcPr>
          <w:p>
            <w:pPr>
              <w:spacing w:after="0" w:line="149" w:lineRule="exact"/>
              <w:rPr>
                <w:rFonts w:ascii="Times New Roman" w:cs="Times New Roman" w:eastAsia="Times New Roman" w:hAnsi="Times New Roman"/>
                <w:sz w:val="14"/>
                <w:szCs w:val="14"/>
                <w:color w:val="0000EE"/>
              </w:rPr>
            </w:pPr>
            <w:hyperlink r:id="rId148">
              <w:r>
                <w:rPr>
                  <w:rFonts w:ascii="Times New Roman" w:cs="Times New Roman" w:eastAsia="Times New Roman" w:hAnsi="Times New Roman"/>
                  <w:sz w:val="14"/>
                  <w:szCs w:val="14"/>
                  <w:color w:val="0000EE"/>
                </w:rPr>
                <w:t>Energy Resources Corp. to</w:t>
              </w:r>
            </w:hyperlink>
          </w:p>
        </w:tc>
        <w:tc>
          <w:tcPr>
            <w:tcW w:w="160" w:type="dxa"/>
            <w:vAlign w:val="bottom"/>
            <w:tcBorders>
              <w:top w:val="single" w:sz="8" w:color="0000EE"/>
            </w:tcBorders>
          </w:tcPr>
          <w:p>
            <w:pPr>
              <w:spacing w:after="0"/>
              <w:rPr>
                <w:sz w:val="12"/>
                <w:szCs w:val="12"/>
                <w:color w:val="auto"/>
              </w:rPr>
            </w:pPr>
          </w:p>
        </w:tc>
        <w:tc>
          <w:tcPr>
            <w:tcW w:w="140" w:type="dxa"/>
            <w:vAlign w:val="bottom"/>
            <w:gridSpan w:val="3"/>
          </w:tcPr>
          <w:p>
            <w:pPr>
              <w:spacing w:after="0"/>
              <w:rPr>
                <w:sz w:val="12"/>
                <w:szCs w:val="12"/>
                <w:color w:val="auto"/>
              </w:rPr>
            </w:pPr>
          </w:p>
        </w:tc>
        <w:tc>
          <w:tcPr>
            <w:tcW w:w="1740" w:type="dxa"/>
            <w:vAlign w:val="bottom"/>
          </w:tcPr>
          <w:p>
            <w:pPr>
              <w:spacing w:after="0"/>
              <w:rPr>
                <w:sz w:val="12"/>
                <w:szCs w:val="12"/>
                <w:color w:val="auto"/>
              </w:rPr>
            </w:pPr>
          </w:p>
        </w:tc>
      </w:tr>
      <w:tr>
        <w:trPr>
          <w:trHeight w:val="148"/>
        </w:trPr>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0" w:type="dxa"/>
            <w:vAlign w:val="bottom"/>
            <w:tcBorders>
              <w:bottom w:val="single" w:sz="8" w:color="0000EE"/>
            </w:tcBorders>
            <w:gridSpan w:val="8"/>
          </w:tcPr>
          <w:p>
            <w:pPr>
              <w:spacing w:after="0" w:line="149" w:lineRule="exact"/>
              <w:rPr>
                <w:rFonts w:ascii="Times New Roman" w:cs="Times New Roman" w:eastAsia="Times New Roman" w:hAnsi="Times New Roman"/>
                <w:sz w:val="14"/>
                <w:szCs w:val="14"/>
                <w:color w:val="0000EE"/>
              </w:rPr>
            </w:pPr>
            <w:hyperlink r:id="rId148">
              <w:r>
                <w:rPr>
                  <w:rFonts w:ascii="Times New Roman" w:cs="Times New Roman" w:eastAsia="Times New Roman" w:hAnsi="Times New Roman"/>
                  <w:sz w:val="14"/>
                  <w:szCs w:val="14"/>
                  <w:color w:val="0000EE"/>
                </w:rPr>
                <w:t>CenterPoint Energy Resources</w:t>
              </w:r>
            </w:hyperlink>
          </w:p>
        </w:tc>
        <w:tc>
          <w:tcPr>
            <w:tcW w:w="80" w:type="dxa"/>
            <w:vAlign w:val="bottom"/>
            <w:gridSpan w:val="2"/>
          </w:tcPr>
          <w:p>
            <w:pPr>
              <w:spacing w:after="0"/>
              <w:rPr>
                <w:sz w:val="12"/>
                <w:szCs w:val="12"/>
                <w:color w:val="auto"/>
              </w:rPr>
            </w:pPr>
          </w:p>
        </w:tc>
        <w:tc>
          <w:tcPr>
            <w:tcW w:w="1740" w:type="dxa"/>
            <w:vAlign w:val="bottom"/>
          </w:tcPr>
          <w:p>
            <w:pPr>
              <w:spacing w:after="0"/>
              <w:rPr>
                <w:sz w:val="12"/>
                <w:szCs w:val="12"/>
                <w:color w:val="auto"/>
              </w:rPr>
            </w:pPr>
          </w:p>
        </w:tc>
      </w:tr>
      <w:tr>
        <w:trPr>
          <w:trHeight w:val="148"/>
        </w:trPr>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80" w:type="dxa"/>
            <w:vAlign w:val="bottom"/>
            <w:gridSpan w:val="10"/>
          </w:tcPr>
          <w:p>
            <w:pPr>
              <w:spacing w:after="0" w:line="149" w:lineRule="exact"/>
              <w:rPr>
                <w:rFonts w:ascii="Times New Roman" w:cs="Times New Roman" w:eastAsia="Times New Roman" w:hAnsi="Times New Roman"/>
                <w:sz w:val="14"/>
                <w:szCs w:val="14"/>
                <w:color w:val="0000EE"/>
              </w:rPr>
            </w:pPr>
            <w:hyperlink r:id="rId148">
              <w:r>
                <w:rPr>
                  <w:rFonts w:ascii="Times New Roman" w:cs="Times New Roman" w:eastAsia="Times New Roman" w:hAnsi="Times New Roman"/>
                  <w:sz w:val="14"/>
                  <w:szCs w:val="14"/>
                  <w:color w:val="0000EE"/>
                </w:rPr>
                <w:t>Corp.</w:t>
              </w:r>
            </w:hyperlink>
          </w:p>
        </w:tc>
        <w:tc>
          <w:tcPr>
            <w:tcW w:w="1740" w:type="dxa"/>
            <w:vAlign w:val="bottom"/>
          </w:tcPr>
          <w:p>
            <w:pPr>
              <w:spacing w:after="0"/>
              <w:rPr>
                <w:sz w:val="12"/>
                <w:szCs w:val="12"/>
                <w:color w:val="auto"/>
              </w:rPr>
            </w:pPr>
          </w:p>
        </w:tc>
      </w:tr>
      <w:tr>
        <w:trPr>
          <w:trHeight w:val="20"/>
        </w:trPr>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180"/>
        </w:trPr>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2820" w:type="dxa"/>
            <w:vAlign w:val="bottom"/>
            <w:gridSpan w:val="11"/>
          </w:tcPr>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​​CERC Corp. ​​</w:t>
            </w:r>
            <w:hyperlink r:id="rId146">
              <w:r>
                <w:rPr>
                  <w:rFonts w:ascii="Times New Roman" w:cs="Times New Roman" w:eastAsia="Times New Roman" w:hAnsi="Times New Roman"/>
                  <w:sz w:val="14"/>
                  <w:szCs w:val="14"/>
                  <w:color w:val="0000EE"/>
                </w:rPr>
                <w:t>Bylaws of RERC Corp.</w:t>
              </w:r>
            </w:hyperlink>
          </w:p>
        </w:tc>
        <w:tc>
          <w:tcPr>
            <w:tcW w:w="1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​​Form 10-K for the year</w:t>
            </w:r>
          </w:p>
        </w:tc>
      </w:tr>
      <w:tr>
        <w:trPr>
          <w:trHeight w:val="180"/>
        </w:trPr>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ended December 31, 1997</w:t>
            </w:r>
          </w:p>
        </w:tc>
      </w:tr>
    </w:tbl>
    <w:p>
      <w:pPr>
        <w:spacing w:after="0" w:line="31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9">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47" w:hanging="147"/>
        <w:spacing w:after="0"/>
        <w:tabs>
          <w:tab w:leader="none" w:pos="147"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1-13265 ​​ 3(a)(1) ​</w:t>
      </w:r>
    </w:p>
    <w:p>
      <w:pPr>
        <w:spacing w:after="0" w:line="375" w:lineRule="exact"/>
        <w:rPr>
          <w:rFonts w:ascii="Times New Roman" w:cs="Times New Roman" w:eastAsia="Times New Roman" w:hAnsi="Times New Roman"/>
          <w:sz w:val="14"/>
          <w:szCs w:val="14"/>
          <w:color w:val="auto"/>
        </w:rPr>
      </w:pPr>
    </w:p>
    <w:p>
      <w:pPr>
        <w:ind w:left="147" w:hanging="147"/>
        <w:spacing w:after="0"/>
        <w:tabs>
          <w:tab w:leader="none" w:pos="147"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1-13265 ​​ 3(a)(3) ​</w:t>
      </w:r>
    </w:p>
    <w:p>
      <w:pPr>
        <w:spacing w:after="0" w:line="200" w:lineRule="exact"/>
        <w:rPr>
          <w:rFonts w:ascii="Times New Roman" w:cs="Times New Roman" w:eastAsia="Times New Roman" w:hAnsi="Times New Roman"/>
          <w:sz w:val="14"/>
          <w:szCs w:val="14"/>
          <w:color w:val="auto"/>
        </w:rPr>
      </w:pPr>
    </w:p>
    <w:p>
      <w:pPr>
        <w:spacing w:after="0" w:line="343" w:lineRule="exact"/>
        <w:rPr>
          <w:rFonts w:ascii="Times New Roman" w:cs="Times New Roman" w:eastAsia="Times New Roman" w:hAnsi="Times New Roman"/>
          <w:sz w:val="14"/>
          <w:szCs w:val="14"/>
          <w:color w:val="auto"/>
        </w:rPr>
      </w:pPr>
    </w:p>
    <w:p>
      <w:pPr>
        <w:ind w:left="147" w:hanging="147"/>
        <w:spacing w:after="0"/>
        <w:tabs>
          <w:tab w:leader="none" w:pos="147"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1-13265 ​​ 3(a)(4) ​</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12" w:lineRule="exact"/>
        <w:rPr>
          <w:rFonts w:ascii="Times New Roman" w:cs="Times New Roman" w:eastAsia="Times New Roman" w:hAnsi="Times New Roman"/>
          <w:sz w:val="14"/>
          <w:szCs w:val="14"/>
          <w:color w:val="auto"/>
        </w:rPr>
      </w:pPr>
    </w:p>
    <w:p>
      <w:pPr>
        <w:ind w:left="147" w:hanging="147"/>
        <w:spacing w:after="0"/>
        <w:tabs>
          <w:tab w:leader="none" w:pos="147"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1-13265 ​​  3(b)  ​</w:t>
      </w:r>
    </w:p>
    <w:p>
      <w:pPr>
        <w:sectPr>
          <w:pgSz w:w="11900" w:h="16838" w:orient="portrait"/>
          <w:cols w:equalWidth="0" w:num="2">
            <w:col w:w="6340" w:space="153"/>
            <w:col w:w="2526"/>
          </w:cols>
          <w:pgMar w:left="1440" w:top="107" w:right="1440" w:bottom="1440" w:gutter="0" w:footer="0" w:header="0"/>
          <w:type w:val="continuous"/>
        </w:sectPr>
      </w:pPr>
    </w:p>
    <w:bookmarkStart w:id="88" w:name="page89"/>
    <w:bookmarkEnd w:id="88"/>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300" w:type="dxa"/>
        <w:tblCellMar>
          <w:top w:w="0" w:type="dxa"/>
          <w:left w:w="0" w:type="dxa"/>
          <w:bottom w:w="0" w:type="dxa"/>
          <w:right w:w="0" w:type="dxa"/>
        </w:tblCellMar>
      </w:tblPr>
      <w:tr>
        <w:trPr>
          <w:trHeight w:val="126"/>
        </w:trPr>
        <w:tc>
          <w:tcPr>
            <w:tcW w:w="40" w:type="dxa"/>
            <w:vAlign w:val="bottom"/>
          </w:tcPr>
          <w:p>
            <w:pPr>
              <w:spacing w:after="0"/>
              <w:rPr>
                <w:sz w:val="11"/>
                <w:szCs w:val="11"/>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tcPr>
          <w:p>
            <w:pPr>
              <w:jc w:val="center"/>
              <w:ind w:right="264"/>
              <w:spacing w:after="0"/>
              <w:rPr>
                <w:sz w:val="20"/>
                <w:szCs w:val="20"/>
                <w:color w:val="auto"/>
              </w:rPr>
            </w:pPr>
            <w:r>
              <w:rPr>
                <w:rFonts w:ascii="Times New Roman" w:cs="Times New Roman" w:eastAsia="Times New Roman" w:hAnsi="Times New Roman"/>
                <w:sz w:val="11"/>
                <w:szCs w:val="11"/>
                <w:b w:val="1"/>
                <w:bCs w:val="1"/>
                <w:color w:val="auto"/>
                <w:w w:val="97"/>
              </w:rPr>
              <w:t>Report or Registration</w:t>
            </w:r>
          </w:p>
        </w:tc>
        <w:tc>
          <w:tcPr>
            <w:tcW w:w="80" w:type="dxa"/>
            <w:vAlign w:val="bottom"/>
          </w:tcPr>
          <w:p>
            <w:pPr>
              <w:spacing w:after="0"/>
              <w:rPr>
                <w:sz w:val="11"/>
                <w:szCs w:val="1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w w:val="99"/>
              </w:rPr>
              <w:t>Registration</w:t>
            </w:r>
          </w:p>
        </w:tc>
        <w:tc>
          <w:tcPr>
            <w:tcW w:w="80" w:type="dxa"/>
            <w:vAlign w:val="bottom"/>
          </w:tcPr>
          <w:p>
            <w:pPr>
              <w:spacing w:after="0"/>
              <w:rPr>
                <w:sz w:val="11"/>
                <w:szCs w:val="11"/>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Exhibit</w:t>
            </w:r>
          </w:p>
        </w:tc>
        <w:tc>
          <w:tcPr>
            <w:tcW w:w="40" w:type="dxa"/>
            <w:vAlign w:val="bottom"/>
          </w:tcPr>
          <w:p>
            <w:pPr>
              <w:spacing w:after="0"/>
              <w:rPr>
                <w:sz w:val="11"/>
                <w:szCs w:val="11"/>
                <w:color w:val="auto"/>
              </w:rPr>
            </w:pPr>
          </w:p>
        </w:tc>
      </w:tr>
      <w:tr>
        <w:trPr>
          <w:trHeight w:val="167"/>
        </w:trPr>
        <w:tc>
          <w:tcPr>
            <w:tcW w:w="1340" w:type="dxa"/>
            <w:vAlign w:val="bottom"/>
            <w:gridSpan w:val="4"/>
          </w:tcPr>
          <w:p>
            <w:pPr>
              <w:spacing w:after="0" w:line="166"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Number </w:t>
            </w: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Registrant</w:t>
            </w: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1740" w:type="dxa"/>
            <w:vAlign w:val="bottom"/>
            <w:gridSpan w:val="6"/>
          </w:tcPr>
          <w:p>
            <w:pPr>
              <w:ind w:left="220"/>
              <w:spacing w:after="0"/>
              <w:rPr>
                <w:sz w:val="20"/>
                <w:szCs w:val="20"/>
                <w:color w:val="auto"/>
              </w:rPr>
            </w:pPr>
            <w:r>
              <w:rPr>
                <w:rFonts w:ascii="Times New Roman" w:cs="Times New Roman" w:eastAsia="Times New Roman" w:hAnsi="Times New Roman"/>
                <w:sz w:val="11"/>
                <w:szCs w:val="11"/>
                <w:b w:val="1"/>
                <w:bCs w:val="1"/>
                <w:color w:val="auto"/>
              </w:rPr>
              <w:t>Document Description</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1400" w:type="dxa"/>
            <w:vAlign w:val="bottom"/>
          </w:tcPr>
          <w:p>
            <w:pPr>
              <w:jc w:val="center"/>
              <w:ind w:right="244"/>
              <w:spacing w:after="0"/>
              <w:rPr>
                <w:sz w:val="20"/>
                <w:szCs w:val="20"/>
                <w:color w:val="auto"/>
              </w:rPr>
            </w:pPr>
            <w:r>
              <w:rPr>
                <w:rFonts w:ascii="Times New Roman" w:cs="Times New Roman" w:eastAsia="Times New Roman" w:hAnsi="Times New Roman"/>
                <w:sz w:val="11"/>
                <w:szCs w:val="11"/>
                <w:b w:val="1"/>
                <w:bCs w:val="1"/>
                <w:color w:val="auto"/>
                <w:w w:val="96"/>
              </w:rPr>
              <w:t>Statement</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600" w:type="dxa"/>
            <w:vAlign w:val="bottom"/>
            <w:gridSpan w:val="3"/>
          </w:tcPr>
          <w:p>
            <w:pPr>
              <w:jc w:val="center"/>
              <w:spacing w:after="0" w:line="166"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Reference</w:t>
            </w:r>
            <w:r>
              <w:rPr>
                <w:rFonts w:ascii="Times New Roman" w:cs="Times New Roman" w:eastAsia="Times New Roman" w:hAnsi="Times New Roman"/>
                <w:sz w:val="19"/>
                <w:szCs w:val="19"/>
                <w:b w:val="1"/>
                <w:bCs w:val="1"/>
                <w:color w:val="auto"/>
                <w:vertAlign w:val="subscript"/>
              </w:rPr>
              <w:t>​</w:t>
            </w:r>
          </w:p>
        </w:tc>
      </w:tr>
      <w:tr>
        <w:trPr>
          <w:trHeight w:val="148"/>
        </w:trPr>
        <w:tc>
          <w:tcPr>
            <w:tcW w:w="40" w:type="dxa"/>
            <w:vAlign w:val="bottom"/>
            <w:tcBorders>
              <w:top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4.17*</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CERC Corp.</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tcBorders>
          </w:tcPr>
          <w:p>
            <w:pPr>
              <w:spacing w:after="0"/>
              <w:rPr>
                <w:sz w:val="12"/>
                <w:szCs w:val="12"/>
                <w:color w:val="auto"/>
              </w:rPr>
            </w:pPr>
          </w:p>
        </w:tc>
        <w:tc>
          <w:tcPr>
            <w:tcW w:w="1980" w:type="dxa"/>
            <w:vAlign w:val="bottom"/>
            <w:tcBorders>
              <w:top w:val="single" w:sz="8" w:color="auto"/>
              <w:bottom w:val="single" w:sz="8" w:color="0000EE"/>
            </w:tcBorders>
            <w:gridSpan w:val="6"/>
          </w:tcPr>
          <w:p>
            <w:pPr>
              <w:spacing w:after="0" w:line="149" w:lineRule="exact"/>
              <w:rPr>
                <w:rFonts w:ascii="Times New Roman" w:cs="Times New Roman" w:eastAsia="Times New Roman" w:hAnsi="Times New Roman"/>
                <w:sz w:val="14"/>
                <w:szCs w:val="14"/>
                <w:color w:val="0000EE"/>
              </w:rPr>
            </w:pPr>
            <w:hyperlink r:id="rId150">
              <w:r>
                <w:rPr>
                  <w:rFonts w:ascii="Times New Roman" w:cs="Times New Roman" w:eastAsia="Times New Roman" w:hAnsi="Times New Roman"/>
                  <w:sz w:val="14"/>
                  <w:szCs w:val="14"/>
                  <w:color w:val="0000EE"/>
                </w:rPr>
                <w:t>Indenture, dated as of February 1,</w:t>
              </w:r>
            </w:hyperlink>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top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Form 8-K dated February 5,</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1-13265</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80" w:type="dxa"/>
            <w:vAlign w:val="bottom"/>
            <w:tcBorders>
              <w:bottom w:val="single" w:sz="8" w:color="0000EE"/>
            </w:tcBorders>
            <w:gridSpan w:val="3"/>
          </w:tcPr>
          <w:p>
            <w:pPr>
              <w:spacing w:after="0" w:line="149" w:lineRule="exact"/>
              <w:rPr>
                <w:rFonts w:ascii="Times New Roman" w:cs="Times New Roman" w:eastAsia="Times New Roman" w:hAnsi="Times New Roman"/>
                <w:sz w:val="14"/>
                <w:szCs w:val="14"/>
                <w:color w:val="0000EE"/>
              </w:rPr>
            </w:pPr>
            <w:hyperlink r:id="rId150">
              <w:r>
                <w:rPr>
                  <w:rFonts w:ascii="Times New Roman" w:cs="Times New Roman" w:eastAsia="Times New Roman" w:hAnsi="Times New Roman"/>
                  <w:sz w:val="14"/>
                  <w:szCs w:val="14"/>
                  <w:color w:val="0000EE"/>
                </w:rPr>
                <w:t>1998, between NorAm Energy</w:t>
              </w:r>
            </w:hyperlink>
          </w:p>
        </w:tc>
        <w:tc>
          <w:tcPr>
            <w:tcW w:w="220" w:type="dxa"/>
            <w:vAlign w:val="bottom"/>
            <w:gridSpan w:val="4"/>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1998</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80" w:type="dxa"/>
            <w:vAlign w:val="bottom"/>
            <w:tcBorders>
              <w:bottom w:val="single" w:sz="8" w:color="0000EE"/>
            </w:tcBorders>
            <w:gridSpan w:val="4"/>
          </w:tcPr>
          <w:p>
            <w:pPr>
              <w:spacing w:after="0" w:line="149" w:lineRule="exact"/>
              <w:rPr>
                <w:rFonts w:ascii="Times New Roman" w:cs="Times New Roman" w:eastAsia="Times New Roman" w:hAnsi="Times New Roman"/>
                <w:sz w:val="14"/>
                <w:szCs w:val="14"/>
                <w:color w:val="0000EE"/>
              </w:rPr>
            </w:pPr>
            <w:hyperlink r:id="rId150">
              <w:r>
                <w:rPr>
                  <w:rFonts w:ascii="Times New Roman" w:cs="Times New Roman" w:eastAsia="Times New Roman" w:hAnsi="Times New Roman"/>
                  <w:sz w:val="14"/>
                  <w:szCs w:val="14"/>
                  <w:color w:val="0000EE"/>
                </w:rPr>
                <w:t>Corp. and Chase Bank of Texas,</w:t>
              </w:r>
            </w:hyperlink>
          </w:p>
        </w:tc>
        <w:tc>
          <w:tcPr>
            <w:tcW w:w="120" w:type="dxa"/>
            <w:vAlign w:val="bottom"/>
            <w:gridSpan w:val="3"/>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900" w:type="dxa"/>
            <w:vAlign w:val="bottom"/>
            <w:tcBorders>
              <w:bottom w:val="single" w:sz="8" w:color="0000EE"/>
            </w:tcBorders>
            <w:gridSpan w:val="5"/>
          </w:tcPr>
          <w:p>
            <w:pPr>
              <w:spacing w:after="0" w:line="149" w:lineRule="exact"/>
              <w:rPr>
                <w:rFonts w:ascii="Times New Roman" w:cs="Times New Roman" w:eastAsia="Times New Roman" w:hAnsi="Times New Roman"/>
                <w:sz w:val="14"/>
                <w:szCs w:val="14"/>
                <w:color w:val="0000EE"/>
              </w:rPr>
            </w:pPr>
            <w:hyperlink r:id="rId150">
              <w:r>
                <w:rPr>
                  <w:rFonts w:ascii="Times New Roman" w:cs="Times New Roman" w:eastAsia="Times New Roman" w:hAnsi="Times New Roman"/>
                  <w:sz w:val="14"/>
                  <w:szCs w:val="14"/>
                  <w:color w:val="0000EE"/>
                </w:rPr>
                <w:t>National Association, as Trustee</w:t>
              </w:r>
            </w:hyperlink>
          </w:p>
        </w:tc>
        <w:tc>
          <w:tcPr>
            <w:tcW w:w="1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0"/>
        </w:trPr>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5.1  ​​CenterPoint</w:t>
            </w:r>
          </w:p>
        </w:tc>
        <w:tc>
          <w:tcPr>
            <w:tcW w:w="210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color w:val="0000EE"/>
              </w:rPr>
              <w:t>Opinion of Baker Botts L.L.P.</w:t>
            </w:r>
          </w:p>
        </w:tc>
        <w:tc>
          <w:tcPr>
            <w:tcW w:w="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spacing w:after="0"/>
              <w:rPr>
                <w:sz w:val="15"/>
                <w:szCs w:val="15"/>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Energy</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50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9"/>
        </w:trPr>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​​Houston</w:t>
            </w:r>
          </w:p>
        </w:tc>
        <w:tc>
          <w:tcPr>
            <w:tcW w:w="3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spacing w:after="0"/>
              <w:rPr>
                <w:sz w:val="16"/>
                <w:szCs w:val="16"/>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Electric</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1">
            <w:col w:w="9019"/>
          </w:cols>
          <w:pgMar w:left="1440" w:top="107" w:right="1440" w:bottom="1440" w:gutter="0" w:footer="0" w:header="0"/>
        </w:sectPr>
      </w:pPr>
    </w:p>
    <w:p>
      <w:pPr>
        <w:ind w:left="1780" w:hanging="475"/>
        <w:spacing w:after="0" w:line="184" w:lineRule="auto"/>
        <w:tabs>
          <w:tab w:leader="none" w:pos="1780" w:val="left"/>
        </w:tabs>
        <w:numPr>
          <w:ilvl w:val="0"/>
          <w:numId w:val="12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 xml:space="preserve">CERC Corp. </w:t>
      </w:r>
      <w:r>
        <w:rPr>
          <w:rFonts w:ascii="Times New Roman" w:cs="Times New Roman" w:eastAsia="Times New Roman" w:hAnsi="Times New Roman"/>
          <w:sz w:val="24"/>
          <w:szCs w:val="24"/>
          <w:color w:val="auto"/>
          <w:vertAlign w:val="superscript"/>
        </w:rPr>
        <w:t>​​​</w:t>
      </w:r>
    </w:p>
    <w:tbl>
      <w:tblPr>
        <w:tblLayout w:type="fixed"/>
        <w:tblInd w:w="1300" w:type="dxa"/>
        <w:tblCellMar>
          <w:top w:w="0" w:type="dxa"/>
          <w:left w:w="0" w:type="dxa"/>
          <w:bottom w:w="0" w:type="dxa"/>
          <w:right w:w="0" w:type="dxa"/>
        </w:tblCellMar>
      </w:tblPr>
      <w:tr>
        <w:trPr>
          <w:trHeight w:val="157"/>
        </w:trPr>
        <w:tc>
          <w:tcPr>
            <w:tcW w:w="40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 23.1</w:t>
            </w:r>
          </w:p>
        </w:tc>
        <w:tc>
          <w:tcPr>
            <w:tcW w:w="900" w:type="dxa"/>
            <w:vAlign w:val="bottom"/>
          </w:tcPr>
          <w:p>
            <w:pPr>
              <w:ind w:left="80"/>
              <w:spacing w:after="0" w:line="157" w:lineRule="exact"/>
              <w:rPr>
                <w:sz w:val="20"/>
                <w:szCs w:val="20"/>
                <w:color w:val="auto"/>
              </w:rPr>
            </w:pPr>
            <w:r>
              <w:rPr>
                <w:rFonts w:ascii="Times New Roman" w:cs="Times New Roman" w:eastAsia="Times New Roman" w:hAnsi="Times New Roman"/>
                <w:sz w:val="14"/>
                <w:szCs w:val="14"/>
                <w:color w:val="auto"/>
              </w:rPr>
              <w:t>​​CenterPoint</w:t>
            </w:r>
          </w:p>
        </w:tc>
        <w:tc>
          <w:tcPr>
            <w:tcW w:w="1900" w:type="dxa"/>
            <w:vAlign w:val="bottom"/>
            <w:gridSpan w:val="4"/>
          </w:tcPr>
          <w:p>
            <w:pPr>
              <w:ind w:left="40"/>
              <w:spacing w:after="0" w:line="157"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color w:val="0000EE"/>
              </w:rPr>
              <w:t>Consent of Deloitte &amp; Touche</w:t>
            </w:r>
          </w:p>
        </w:tc>
      </w:tr>
      <w:tr>
        <w:trPr>
          <w:trHeight w:val="148"/>
        </w:trPr>
        <w:tc>
          <w:tcPr>
            <w:tcW w:w="400" w:type="dxa"/>
            <w:vAlign w:val="bottom"/>
          </w:tcPr>
          <w:p>
            <w:pPr>
              <w:spacing w:after="0"/>
              <w:rPr>
                <w:sz w:val="12"/>
                <w:szCs w:val="12"/>
                <w:color w:val="auto"/>
              </w:rPr>
            </w:pPr>
          </w:p>
        </w:tc>
        <w:tc>
          <w:tcPr>
            <w:tcW w:w="9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Energy</w:t>
            </w:r>
          </w:p>
        </w:tc>
        <w:tc>
          <w:tcPr>
            <w:tcW w:w="120" w:type="dxa"/>
            <w:vAlign w:val="bottom"/>
          </w:tcPr>
          <w:p>
            <w:pPr>
              <w:spacing w:after="0"/>
              <w:rPr>
                <w:sz w:val="12"/>
                <w:szCs w:val="12"/>
                <w:color w:val="auto"/>
              </w:rPr>
            </w:pPr>
          </w:p>
        </w:tc>
        <w:tc>
          <w:tcPr>
            <w:tcW w:w="1780" w:type="dxa"/>
            <w:vAlign w:val="bottom"/>
            <w:tcBorders>
              <w:top w:val="single" w:sz="8" w:color="0000EE"/>
            </w:tcBorders>
            <w:gridSpan w:val="3"/>
          </w:tcPr>
          <w:p>
            <w:pPr>
              <w:spacing w:after="0" w:line="149" w:lineRule="exact"/>
              <w:rPr>
                <w:sz w:val="20"/>
                <w:szCs w:val="20"/>
                <w:color w:val="auto"/>
              </w:rPr>
            </w:pPr>
            <w:r>
              <w:rPr>
                <w:rFonts w:ascii="Times New Roman" w:cs="Times New Roman" w:eastAsia="Times New Roman" w:hAnsi="Times New Roman"/>
                <w:sz w:val="14"/>
                <w:szCs w:val="14"/>
                <w:color w:val="0000EE"/>
              </w:rPr>
              <w:t>LLP</w:t>
            </w:r>
          </w:p>
        </w:tc>
      </w:tr>
      <w:tr>
        <w:trPr>
          <w:trHeight w:val="20"/>
        </w:trPr>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 23.2</w:t>
            </w:r>
          </w:p>
        </w:tc>
        <w:tc>
          <w:tcPr>
            <w:tcW w:w="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​​Houston</w:t>
            </w:r>
          </w:p>
        </w:tc>
        <w:tc>
          <w:tcPr>
            <w:tcW w:w="190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color w:val="0000EE"/>
              </w:rPr>
              <w:t>Consent of Deloitte &amp; Touche</w:t>
            </w:r>
          </w:p>
        </w:tc>
      </w:tr>
      <w:tr>
        <w:trPr>
          <w:trHeight w:val="148"/>
        </w:trPr>
        <w:tc>
          <w:tcPr>
            <w:tcW w:w="400" w:type="dxa"/>
            <w:vAlign w:val="bottom"/>
          </w:tcPr>
          <w:p>
            <w:pPr>
              <w:spacing w:after="0"/>
              <w:rPr>
                <w:sz w:val="12"/>
                <w:szCs w:val="12"/>
                <w:color w:val="auto"/>
              </w:rPr>
            </w:pPr>
          </w:p>
        </w:tc>
        <w:tc>
          <w:tcPr>
            <w:tcW w:w="9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Electric</w:t>
            </w:r>
          </w:p>
        </w:tc>
        <w:tc>
          <w:tcPr>
            <w:tcW w:w="120" w:type="dxa"/>
            <w:vAlign w:val="bottom"/>
          </w:tcPr>
          <w:p>
            <w:pPr>
              <w:spacing w:after="0"/>
              <w:rPr>
                <w:sz w:val="12"/>
                <w:szCs w:val="12"/>
                <w:color w:val="auto"/>
              </w:rPr>
            </w:pPr>
          </w:p>
        </w:tc>
        <w:tc>
          <w:tcPr>
            <w:tcW w:w="1780" w:type="dxa"/>
            <w:vAlign w:val="bottom"/>
            <w:tcBorders>
              <w:top w:val="single" w:sz="8" w:color="0000EE"/>
            </w:tcBorders>
            <w:gridSpan w:val="3"/>
          </w:tcPr>
          <w:p>
            <w:pPr>
              <w:spacing w:after="0" w:line="149" w:lineRule="exact"/>
              <w:rPr>
                <w:sz w:val="20"/>
                <w:szCs w:val="20"/>
                <w:color w:val="auto"/>
              </w:rPr>
            </w:pPr>
            <w:r>
              <w:rPr>
                <w:rFonts w:ascii="Times New Roman" w:cs="Times New Roman" w:eastAsia="Times New Roman" w:hAnsi="Times New Roman"/>
                <w:sz w:val="14"/>
                <w:szCs w:val="14"/>
                <w:color w:val="0000EE"/>
              </w:rPr>
              <w:t>LLP</w:t>
            </w:r>
          </w:p>
        </w:tc>
      </w:tr>
      <w:tr>
        <w:trPr>
          <w:trHeight w:val="20"/>
        </w:trPr>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 23.3</w:t>
            </w:r>
          </w:p>
        </w:tc>
        <w:tc>
          <w:tcPr>
            <w:tcW w:w="2800" w:type="dxa"/>
            <w:vAlign w:val="bottom"/>
            <w:gridSpan w:val="5"/>
          </w:tcPr>
          <w:p>
            <w:pPr>
              <w:ind w:left="80"/>
              <w:spacing w:after="0"/>
              <w:rPr>
                <w:sz w:val="20"/>
                <w:szCs w:val="20"/>
                <w:color w:val="auto"/>
              </w:rPr>
            </w:pPr>
            <w:r>
              <w:rPr>
                <w:rFonts w:ascii="Times New Roman" w:cs="Times New Roman" w:eastAsia="Times New Roman" w:hAnsi="Times New Roman"/>
                <w:sz w:val="14"/>
                <w:szCs w:val="14"/>
                <w:color w:val="auto"/>
              </w:rPr>
              <w:t>​​CERC Corp. ​​</w:t>
            </w:r>
            <w:r>
              <w:rPr>
                <w:rFonts w:ascii="Times New Roman" w:cs="Times New Roman" w:eastAsia="Times New Roman" w:hAnsi="Times New Roman"/>
                <w:sz w:val="14"/>
                <w:szCs w:val="14"/>
                <w:color w:val="0000EE"/>
              </w:rPr>
              <w:t>Consent of Deloitte &amp; Touche</w:t>
            </w:r>
          </w:p>
        </w:tc>
      </w:tr>
      <w:tr>
        <w:trPr>
          <w:trHeight w:val="148"/>
        </w:trPr>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tcBorders>
              <w:top w:val="single" w:sz="8" w:color="0000EE"/>
            </w:tcBorders>
            <w:gridSpan w:val="3"/>
          </w:tcPr>
          <w:p>
            <w:pPr>
              <w:spacing w:after="0" w:line="149" w:lineRule="exact"/>
              <w:rPr>
                <w:sz w:val="20"/>
                <w:szCs w:val="20"/>
                <w:color w:val="auto"/>
              </w:rPr>
            </w:pPr>
            <w:r>
              <w:rPr>
                <w:rFonts w:ascii="Times New Roman" w:cs="Times New Roman" w:eastAsia="Times New Roman" w:hAnsi="Times New Roman"/>
                <w:sz w:val="14"/>
                <w:szCs w:val="14"/>
                <w:color w:val="0000EE"/>
              </w:rPr>
              <w:t>LLP</w:t>
            </w:r>
          </w:p>
        </w:tc>
      </w:tr>
      <w:tr>
        <w:trPr>
          <w:trHeight w:val="20"/>
        </w:trPr>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 23.4</w:t>
            </w:r>
          </w:p>
        </w:tc>
        <w:tc>
          <w:tcPr>
            <w:tcW w:w="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​​CenterPoint</w:t>
            </w:r>
          </w:p>
        </w:tc>
        <w:tc>
          <w:tcPr>
            <w:tcW w:w="190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color w:val="0000EE"/>
              </w:rPr>
              <w:t>Consent of Baker Botts L.L.P.</w:t>
            </w:r>
          </w:p>
        </w:tc>
      </w:tr>
      <w:tr>
        <w:trPr>
          <w:trHeight w:val="148"/>
        </w:trPr>
        <w:tc>
          <w:tcPr>
            <w:tcW w:w="400" w:type="dxa"/>
            <w:vAlign w:val="bottom"/>
          </w:tcPr>
          <w:p>
            <w:pPr>
              <w:spacing w:after="0"/>
              <w:rPr>
                <w:sz w:val="12"/>
                <w:szCs w:val="12"/>
                <w:color w:val="auto"/>
              </w:rPr>
            </w:pPr>
          </w:p>
        </w:tc>
        <w:tc>
          <w:tcPr>
            <w:tcW w:w="9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Energy</w:t>
            </w:r>
          </w:p>
        </w:tc>
        <w:tc>
          <w:tcPr>
            <w:tcW w:w="120" w:type="dxa"/>
            <w:vAlign w:val="bottom"/>
          </w:tcPr>
          <w:p>
            <w:pPr>
              <w:spacing w:after="0"/>
              <w:rPr>
                <w:sz w:val="12"/>
                <w:szCs w:val="12"/>
                <w:color w:val="auto"/>
              </w:rPr>
            </w:pPr>
          </w:p>
        </w:tc>
        <w:tc>
          <w:tcPr>
            <w:tcW w:w="1460" w:type="dxa"/>
            <w:vAlign w:val="bottom"/>
            <w:tcBorders>
              <w:top w:val="single" w:sz="8" w:color="0000EE"/>
              <w:bottom w:val="single" w:sz="8" w:color="0000EE"/>
            </w:tcBorders>
            <w:gridSpan w:val="2"/>
          </w:tcPr>
          <w:p>
            <w:pPr>
              <w:spacing w:after="0" w:line="149" w:lineRule="exact"/>
              <w:rPr>
                <w:sz w:val="20"/>
                <w:szCs w:val="20"/>
                <w:color w:val="auto"/>
              </w:rPr>
            </w:pPr>
            <w:r>
              <w:rPr>
                <w:rFonts w:ascii="Times New Roman" w:cs="Times New Roman" w:eastAsia="Times New Roman" w:hAnsi="Times New Roman"/>
                <w:sz w:val="14"/>
                <w:szCs w:val="14"/>
                <w:color w:val="0000EE"/>
              </w:rPr>
              <w:t>(included in Exhibit 5.1)</w:t>
            </w:r>
          </w:p>
        </w:tc>
        <w:tc>
          <w:tcPr>
            <w:tcW w:w="320" w:type="dxa"/>
            <w:vAlign w:val="bottom"/>
            <w:tcBorders>
              <w:top w:val="single" w:sz="8" w:color="0000EE"/>
            </w:tcBorders>
          </w:tcPr>
          <w:p>
            <w:pPr>
              <w:spacing w:after="0"/>
              <w:rPr>
                <w:sz w:val="12"/>
                <w:szCs w:val="12"/>
                <w:color w:val="auto"/>
              </w:rPr>
            </w:pPr>
          </w:p>
        </w:tc>
      </w:tr>
    </w:tbl>
    <w:p>
      <w:pPr>
        <w:spacing w:after="0" w:line="17" w:lineRule="exact"/>
        <w:rPr>
          <w:sz w:val="20"/>
          <w:szCs w:val="20"/>
          <w:color w:val="auto"/>
        </w:rPr>
      </w:pPr>
    </w:p>
    <w:p>
      <w:pPr>
        <w:ind w:left="1780" w:hanging="475"/>
        <w:spacing w:after="0"/>
        <w:tabs>
          <w:tab w:leader="none" w:pos="178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​​Houston​​​</w:t>
      </w:r>
    </w:p>
    <w:p>
      <w:pPr>
        <w:spacing w:after="0" w:line="43" w:lineRule="exact"/>
        <w:rPr>
          <w:rFonts w:ascii="Times New Roman" w:cs="Times New Roman" w:eastAsia="Times New Roman" w:hAnsi="Times New Roman"/>
          <w:sz w:val="14"/>
          <w:szCs w:val="14"/>
          <w:color w:val="auto"/>
        </w:rPr>
      </w:pPr>
    </w:p>
    <w:p>
      <w:pPr>
        <w:ind w:left="18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Electric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r>
      <w:tr>
        <w:trPr>
          <w:trHeight w:val="368"/>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r>
      <w:tr>
        <w:trPr>
          <w:trHeight w:val="368"/>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r>
      <w:tr>
        <w:trPr>
          <w:trHeight w:val="368"/>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r>
      <w:tr>
        <w:trPr>
          <w:trHeight w:val="368"/>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r>
    </w:tbl>
    <w:p>
      <w:pPr>
        <w:spacing w:after="0" w:line="183" w:lineRule="exact"/>
        <w:rPr>
          <w:sz w:val="20"/>
          <w:szCs w:val="20"/>
          <w:color w:val="auto"/>
        </w:rPr>
      </w:pPr>
    </w:p>
    <w:p>
      <w:pPr>
        <w:sectPr>
          <w:pgSz w:w="11900" w:h="16838" w:orient="portrait"/>
          <w:cols w:equalWidth="0" w:num="2">
            <w:col w:w="4500" w:space="240"/>
            <w:col w:w="4279"/>
          </w:cols>
          <w:pgMar w:left="1440" w:top="107" w:right="1440" w:bottom="1440" w:gutter="0" w:footer="0" w:header="0"/>
          <w:type w:val="continuous"/>
        </w:sectPr>
      </w:pPr>
    </w:p>
    <w:p>
      <w:pPr>
        <w:ind w:left="1780" w:hanging="475"/>
        <w:spacing w:after="0" w:line="182" w:lineRule="auto"/>
        <w:tabs>
          <w:tab w:leader="none" w:pos="1780" w:val="left"/>
        </w:tabs>
        <w:numPr>
          <w:ilvl w:val="0"/>
          <w:numId w:val="12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3"/>
          <w:szCs w:val="13"/>
          <w:color w:val="auto"/>
        </w:rPr>
        <w:t xml:space="preserve">CERC Corp. </w:t>
      </w:r>
      <w:r>
        <w:rPr>
          <w:rFonts w:ascii="Times New Roman" w:cs="Times New Roman" w:eastAsia="Times New Roman" w:hAnsi="Times New Roman"/>
          <w:sz w:val="25"/>
          <w:szCs w:val="25"/>
          <w:color w:val="auto"/>
          <w:vertAlign w:val="superscript"/>
        </w:rPr>
        <w:t>​​​</w:t>
      </w:r>
    </w:p>
    <w:tbl>
      <w:tblPr>
        <w:tblLayout w:type="fixed"/>
        <w:tblInd w:w="1300" w:type="dxa"/>
        <w:tblCellMar>
          <w:top w:w="0" w:type="dxa"/>
          <w:left w:w="0" w:type="dxa"/>
          <w:bottom w:w="0" w:type="dxa"/>
          <w:right w:w="0" w:type="dxa"/>
        </w:tblCellMar>
      </w:tblPr>
      <w:tr>
        <w:trPr>
          <w:trHeight w:val="158"/>
        </w:trPr>
        <w:tc>
          <w:tcPr>
            <w:tcW w:w="40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 24.1</w:t>
            </w:r>
          </w:p>
        </w:tc>
        <w:tc>
          <w:tcPr>
            <w:tcW w:w="900" w:type="dxa"/>
            <w:vAlign w:val="bottom"/>
          </w:tcPr>
          <w:p>
            <w:pPr>
              <w:ind w:left="80"/>
              <w:spacing w:after="0" w:line="158" w:lineRule="exact"/>
              <w:rPr>
                <w:sz w:val="20"/>
                <w:szCs w:val="20"/>
                <w:color w:val="auto"/>
              </w:rPr>
            </w:pPr>
            <w:r>
              <w:rPr>
                <w:rFonts w:ascii="Times New Roman" w:cs="Times New Roman" w:eastAsia="Times New Roman" w:hAnsi="Times New Roman"/>
                <w:sz w:val="14"/>
                <w:szCs w:val="14"/>
                <w:color w:val="auto"/>
              </w:rPr>
              <w:t>​​CenterPoint</w:t>
            </w:r>
          </w:p>
        </w:tc>
        <w:tc>
          <w:tcPr>
            <w:tcW w:w="2140" w:type="dxa"/>
            <w:vAlign w:val="bottom"/>
            <w:gridSpan w:val="11"/>
          </w:tcPr>
          <w:p>
            <w:pPr>
              <w:ind w:left="40"/>
              <w:spacing w:after="0" w:line="158"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color w:val="0000EE"/>
              </w:rPr>
              <w:t>Powers of Attorney (included on</w:t>
            </w:r>
          </w:p>
        </w:tc>
      </w:tr>
      <w:tr>
        <w:trPr>
          <w:trHeight w:val="148"/>
        </w:trPr>
        <w:tc>
          <w:tcPr>
            <w:tcW w:w="400" w:type="dxa"/>
            <w:vAlign w:val="bottom"/>
          </w:tcPr>
          <w:p>
            <w:pPr>
              <w:spacing w:after="0"/>
              <w:rPr>
                <w:sz w:val="12"/>
                <w:szCs w:val="12"/>
                <w:color w:val="auto"/>
              </w:rPr>
            </w:pPr>
          </w:p>
        </w:tc>
        <w:tc>
          <w:tcPr>
            <w:tcW w:w="9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Energy</w:t>
            </w:r>
          </w:p>
        </w:tc>
        <w:tc>
          <w:tcPr>
            <w:tcW w:w="120" w:type="dxa"/>
            <w:vAlign w:val="bottom"/>
          </w:tcPr>
          <w:p>
            <w:pPr>
              <w:spacing w:after="0"/>
              <w:rPr>
                <w:sz w:val="12"/>
                <w:szCs w:val="12"/>
                <w:color w:val="auto"/>
              </w:rPr>
            </w:pPr>
          </w:p>
        </w:tc>
        <w:tc>
          <w:tcPr>
            <w:tcW w:w="1960" w:type="dxa"/>
            <w:vAlign w:val="bottom"/>
            <w:tcBorders>
              <w:top w:val="single" w:sz="8" w:color="0000EE"/>
            </w:tcBorders>
            <w:gridSpan w:val="9"/>
          </w:tcPr>
          <w:p>
            <w:pPr>
              <w:spacing w:after="0" w:line="149" w:lineRule="exact"/>
              <w:rPr>
                <w:sz w:val="20"/>
                <w:szCs w:val="20"/>
                <w:color w:val="auto"/>
              </w:rPr>
            </w:pPr>
            <w:r>
              <w:rPr>
                <w:rFonts w:ascii="Times New Roman" w:cs="Times New Roman" w:eastAsia="Times New Roman" w:hAnsi="Times New Roman"/>
                <w:sz w:val="14"/>
                <w:szCs w:val="14"/>
                <w:color w:val="0000EE"/>
              </w:rPr>
              <w:t>the signature page of this</w:t>
            </w:r>
          </w:p>
        </w:tc>
        <w:tc>
          <w:tcPr>
            <w:tcW w:w="60" w:type="dxa"/>
            <w:vAlign w:val="bottom"/>
          </w:tcPr>
          <w:p>
            <w:pPr>
              <w:spacing w:after="0"/>
              <w:rPr>
                <w:sz w:val="12"/>
                <w:szCs w:val="12"/>
                <w:color w:val="auto"/>
              </w:rPr>
            </w:pPr>
          </w:p>
        </w:tc>
      </w:tr>
      <w:tr>
        <w:trPr>
          <w:trHeight w:val="148"/>
        </w:trPr>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Borders>
              <w:top w:val="single" w:sz="8" w:color="0000EE"/>
            </w:tcBorders>
            <w:gridSpan w:val="4"/>
          </w:tcPr>
          <w:p>
            <w:pPr>
              <w:spacing w:after="0" w:line="149" w:lineRule="exact"/>
              <w:rPr>
                <w:sz w:val="20"/>
                <w:szCs w:val="20"/>
                <w:color w:val="auto"/>
              </w:rPr>
            </w:pPr>
            <w:r>
              <w:rPr>
                <w:rFonts w:ascii="Times New Roman" w:cs="Times New Roman" w:eastAsia="Times New Roman" w:hAnsi="Times New Roman"/>
                <w:sz w:val="14"/>
                <w:szCs w:val="14"/>
                <w:color w:val="0000EE"/>
              </w:rPr>
              <w:t>registration statement)</w:t>
            </w:r>
          </w:p>
        </w:tc>
        <w:tc>
          <w:tcPr>
            <w:tcW w:w="540" w:type="dxa"/>
            <w:vAlign w:val="bottom"/>
            <w:gridSpan w:val="6"/>
          </w:tcPr>
          <w:p>
            <w:pPr>
              <w:spacing w:after="0"/>
              <w:rPr>
                <w:sz w:val="12"/>
                <w:szCs w:val="12"/>
                <w:color w:val="auto"/>
              </w:rPr>
            </w:pPr>
          </w:p>
        </w:tc>
      </w:tr>
      <w:tr>
        <w:trPr>
          <w:trHeight w:val="20"/>
        </w:trPr>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 24.2</w:t>
            </w:r>
          </w:p>
        </w:tc>
        <w:tc>
          <w:tcPr>
            <w:tcW w:w="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​​Houston</w:t>
            </w:r>
          </w:p>
        </w:tc>
        <w:tc>
          <w:tcPr>
            <w:tcW w:w="2140" w:type="dxa"/>
            <w:vAlign w:val="bottom"/>
            <w:gridSpan w:val="11"/>
          </w:tcPr>
          <w:p>
            <w:pPr>
              <w:ind w:lef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color w:val="0000EE"/>
              </w:rPr>
              <w:t>Powers of Attorney (included on</w:t>
            </w:r>
          </w:p>
        </w:tc>
      </w:tr>
      <w:tr>
        <w:trPr>
          <w:trHeight w:val="148"/>
        </w:trPr>
        <w:tc>
          <w:tcPr>
            <w:tcW w:w="400" w:type="dxa"/>
            <w:vAlign w:val="bottom"/>
          </w:tcPr>
          <w:p>
            <w:pPr>
              <w:spacing w:after="0"/>
              <w:rPr>
                <w:sz w:val="12"/>
                <w:szCs w:val="12"/>
                <w:color w:val="auto"/>
              </w:rPr>
            </w:pPr>
          </w:p>
        </w:tc>
        <w:tc>
          <w:tcPr>
            <w:tcW w:w="9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Electric</w:t>
            </w:r>
          </w:p>
        </w:tc>
        <w:tc>
          <w:tcPr>
            <w:tcW w:w="120" w:type="dxa"/>
            <w:vAlign w:val="bottom"/>
          </w:tcPr>
          <w:p>
            <w:pPr>
              <w:spacing w:after="0"/>
              <w:rPr>
                <w:sz w:val="12"/>
                <w:szCs w:val="12"/>
                <w:color w:val="auto"/>
              </w:rPr>
            </w:pPr>
          </w:p>
        </w:tc>
        <w:tc>
          <w:tcPr>
            <w:tcW w:w="1960" w:type="dxa"/>
            <w:vAlign w:val="bottom"/>
            <w:tcBorders>
              <w:top w:val="single" w:sz="8" w:color="0000EE"/>
            </w:tcBorders>
            <w:gridSpan w:val="9"/>
          </w:tcPr>
          <w:p>
            <w:pPr>
              <w:spacing w:after="0" w:line="149" w:lineRule="exact"/>
              <w:rPr>
                <w:sz w:val="20"/>
                <w:szCs w:val="20"/>
                <w:color w:val="auto"/>
              </w:rPr>
            </w:pPr>
            <w:r>
              <w:rPr>
                <w:rFonts w:ascii="Times New Roman" w:cs="Times New Roman" w:eastAsia="Times New Roman" w:hAnsi="Times New Roman"/>
                <w:sz w:val="14"/>
                <w:szCs w:val="14"/>
                <w:color w:val="0000EE"/>
              </w:rPr>
              <w:t>the signature page of this</w:t>
            </w:r>
          </w:p>
        </w:tc>
        <w:tc>
          <w:tcPr>
            <w:tcW w:w="60" w:type="dxa"/>
            <w:vAlign w:val="bottom"/>
          </w:tcPr>
          <w:p>
            <w:pPr>
              <w:spacing w:after="0"/>
              <w:rPr>
                <w:sz w:val="12"/>
                <w:szCs w:val="12"/>
                <w:color w:val="auto"/>
              </w:rPr>
            </w:pPr>
          </w:p>
        </w:tc>
      </w:tr>
      <w:tr>
        <w:trPr>
          <w:trHeight w:val="148"/>
        </w:trPr>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Borders>
              <w:top w:val="single" w:sz="8" w:color="0000EE"/>
            </w:tcBorders>
            <w:gridSpan w:val="4"/>
          </w:tcPr>
          <w:p>
            <w:pPr>
              <w:spacing w:after="0" w:line="149" w:lineRule="exact"/>
              <w:rPr>
                <w:sz w:val="20"/>
                <w:szCs w:val="20"/>
                <w:color w:val="auto"/>
              </w:rPr>
            </w:pPr>
            <w:r>
              <w:rPr>
                <w:rFonts w:ascii="Times New Roman" w:cs="Times New Roman" w:eastAsia="Times New Roman" w:hAnsi="Times New Roman"/>
                <w:sz w:val="14"/>
                <w:szCs w:val="14"/>
                <w:color w:val="0000EE"/>
              </w:rPr>
              <w:t>registration statement)</w:t>
            </w:r>
          </w:p>
        </w:tc>
        <w:tc>
          <w:tcPr>
            <w:tcW w:w="540" w:type="dxa"/>
            <w:vAlign w:val="bottom"/>
            <w:gridSpan w:val="6"/>
          </w:tcPr>
          <w:p>
            <w:pPr>
              <w:spacing w:after="0"/>
              <w:rPr>
                <w:sz w:val="12"/>
                <w:szCs w:val="12"/>
                <w:color w:val="auto"/>
              </w:rPr>
            </w:pPr>
          </w:p>
        </w:tc>
      </w:tr>
      <w:tr>
        <w:trPr>
          <w:trHeight w:val="20"/>
        </w:trPr>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 24.3</w:t>
            </w:r>
          </w:p>
        </w:tc>
        <w:tc>
          <w:tcPr>
            <w:tcW w:w="3040" w:type="dxa"/>
            <w:vAlign w:val="bottom"/>
            <w:gridSpan w:val="12"/>
          </w:tcPr>
          <w:p>
            <w:pPr>
              <w:ind w:left="80"/>
              <w:spacing w:after="0"/>
              <w:rPr>
                <w:sz w:val="20"/>
                <w:szCs w:val="20"/>
                <w:color w:val="auto"/>
              </w:rPr>
            </w:pPr>
            <w:r>
              <w:rPr>
                <w:rFonts w:ascii="Times New Roman" w:cs="Times New Roman" w:eastAsia="Times New Roman" w:hAnsi="Times New Roman"/>
                <w:sz w:val="14"/>
                <w:szCs w:val="14"/>
                <w:color w:val="auto"/>
              </w:rPr>
              <w:t>​​CERC Corp. ​​</w:t>
            </w:r>
            <w:r>
              <w:rPr>
                <w:rFonts w:ascii="Times New Roman" w:cs="Times New Roman" w:eastAsia="Times New Roman" w:hAnsi="Times New Roman"/>
                <w:sz w:val="14"/>
                <w:szCs w:val="14"/>
                <w:color w:val="0000EE"/>
              </w:rPr>
              <w:t>Powers of Attorney (included on</w:t>
            </w:r>
          </w:p>
        </w:tc>
      </w:tr>
      <w:tr>
        <w:trPr>
          <w:trHeight w:val="148"/>
        </w:trPr>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tcBorders>
              <w:top w:val="single" w:sz="8" w:color="0000EE"/>
            </w:tcBorders>
            <w:gridSpan w:val="9"/>
          </w:tcPr>
          <w:p>
            <w:pPr>
              <w:spacing w:after="0" w:line="149" w:lineRule="exact"/>
              <w:rPr>
                <w:sz w:val="20"/>
                <w:szCs w:val="20"/>
                <w:color w:val="auto"/>
              </w:rPr>
            </w:pPr>
            <w:r>
              <w:rPr>
                <w:rFonts w:ascii="Times New Roman" w:cs="Times New Roman" w:eastAsia="Times New Roman" w:hAnsi="Times New Roman"/>
                <w:sz w:val="14"/>
                <w:szCs w:val="14"/>
                <w:color w:val="0000EE"/>
              </w:rPr>
              <w:t>the signature page of this</w:t>
            </w:r>
          </w:p>
        </w:tc>
        <w:tc>
          <w:tcPr>
            <w:tcW w:w="60" w:type="dxa"/>
            <w:vAlign w:val="bottom"/>
          </w:tcPr>
          <w:p>
            <w:pPr>
              <w:spacing w:after="0"/>
              <w:rPr>
                <w:sz w:val="12"/>
                <w:szCs w:val="12"/>
                <w:color w:val="auto"/>
              </w:rPr>
            </w:pPr>
          </w:p>
        </w:tc>
      </w:tr>
      <w:tr>
        <w:trPr>
          <w:trHeight w:val="148"/>
        </w:trPr>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Borders>
              <w:top w:val="single" w:sz="8" w:color="0000EE"/>
            </w:tcBorders>
            <w:gridSpan w:val="4"/>
          </w:tcPr>
          <w:p>
            <w:pPr>
              <w:spacing w:after="0" w:line="149" w:lineRule="exact"/>
              <w:rPr>
                <w:sz w:val="20"/>
                <w:szCs w:val="20"/>
                <w:color w:val="auto"/>
              </w:rPr>
            </w:pPr>
            <w:r>
              <w:rPr>
                <w:rFonts w:ascii="Times New Roman" w:cs="Times New Roman" w:eastAsia="Times New Roman" w:hAnsi="Times New Roman"/>
                <w:sz w:val="14"/>
                <w:szCs w:val="14"/>
                <w:color w:val="0000EE"/>
              </w:rPr>
              <w:t>registration statement)</w:t>
            </w:r>
          </w:p>
        </w:tc>
        <w:tc>
          <w:tcPr>
            <w:tcW w:w="540" w:type="dxa"/>
            <w:vAlign w:val="bottom"/>
            <w:gridSpan w:val="6"/>
          </w:tcPr>
          <w:p>
            <w:pPr>
              <w:spacing w:after="0"/>
              <w:rPr>
                <w:sz w:val="12"/>
                <w:szCs w:val="12"/>
                <w:color w:val="auto"/>
              </w:rPr>
            </w:pPr>
          </w:p>
        </w:tc>
      </w:tr>
      <w:tr>
        <w:trPr>
          <w:trHeight w:val="20"/>
        </w:trPr>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 25.1</w:t>
            </w:r>
          </w:p>
        </w:tc>
        <w:tc>
          <w:tcPr>
            <w:tcW w:w="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​​CenterPoint</w:t>
            </w:r>
          </w:p>
        </w:tc>
        <w:tc>
          <w:tcPr>
            <w:tcW w:w="2140" w:type="dxa"/>
            <w:vAlign w:val="bottom"/>
            <w:gridSpan w:val="11"/>
          </w:tcPr>
          <w:p>
            <w:pPr>
              <w:ind w:lef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color w:val="0000EE"/>
              </w:rPr>
              <w:t>Statement of Eligibility of The</w:t>
            </w:r>
          </w:p>
        </w:tc>
      </w:tr>
      <w:tr>
        <w:trPr>
          <w:trHeight w:val="20"/>
        </w:trPr>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8"/>
        </w:trPr>
        <w:tc>
          <w:tcPr>
            <w:tcW w:w="400" w:type="dxa"/>
            <w:vAlign w:val="bottom"/>
          </w:tcPr>
          <w:p>
            <w:pPr>
              <w:spacing w:after="0"/>
              <w:rPr>
                <w:sz w:val="12"/>
                <w:szCs w:val="12"/>
                <w:color w:val="auto"/>
              </w:rPr>
            </w:pPr>
          </w:p>
        </w:tc>
        <w:tc>
          <w:tcPr>
            <w:tcW w:w="9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Energy</w:t>
            </w:r>
          </w:p>
        </w:tc>
        <w:tc>
          <w:tcPr>
            <w:tcW w:w="120" w:type="dxa"/>
            <w:vAlign w:val="bottom"/>
          </w:tcPr>
          <w:p>
            <w:pPr>
              <w:spacing w:after="0"/>
              <w:rPr>
                <w:sz w:val="12"/>
                <w:szCs w:val="12"/>
                <w:color w:val="auto"/>
              </w:rPr>
            </w:pPr>
          </w:p>
        </w:tc>
        <w:tc>
          <w:tcPr>
            <w:tcW w:w="1920" w:type="dxa"/>
            <w:vAlign w:val="bottom"/>
            <w:tcBorders>
              <w:bottom w:val="single" w:sz="8" w:color="0000EE"/>
            </w:tcBorders>
            <w:gridSpan w:val="7"/>
          </w:tcPr>
          <w:p>
            <w:pPr>
              <w:spacing w:after="0" w:line="149" w:lineRule="exact"/>
              <w:rPr>
                <w:sz w:val="20"/>
                <w:szCs w:val="20"/>
                <w:color w:val="auto"/>
              </w:rPr>
            </w:pPr>
            <w:r>
              <w:rPr>
                <w:rFonts w:ascii="Times New Roman" w:cs="Times New Roman" w:eastAsia="Times New Roman" w:hAnsi="Times New Roman"/>
                <w:sz w:val="14"/>
                <w:szCs w:val="14"/>
                <w:color w:val="0000EE"/>
              </w:rPr>
              <w:t>Bank of New York Mellon Trust</w:t>
            </w:r>
          </w:p>
        </w:tc>
        <w:tc>
          <w:tcPr>
            <w:tcW w:w="100" w:type="dxa"/>
            <w:vAlign w:val="bottom"/>
            <w:gridSpan w:val="3"/>
          </w:tcPr>
          <w:p>
            <w:pPr>
              <w:spacing w:after="0"/>
              <w:rPr>
                <w:sz w:val="12"/>
                <w:szCs w:val="12"/>
                <w:color w:val="auto"/>
              </w:rPr>
            </w:pPr>
          </w:p>
        </w:tc>
      </w:tr>
      <w:tr>
        <w:trPr>
          <w:trHeight w:val="148"/>
        </w:trPr>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Borders>
              <w:bottom w:val="single" w:sz="8" w:color="0000EE"/>
            </w:tcBorders>
            <w:gridSpan w:val="8"/>
          </w:tcPr>
          <w:p>
            <w:pPr>
              <w:spacing w:after="0" w:line="149" w:lineRule="exact"/>
              <w:rPr>
                <w:sz w:val="20"/>
                <w:szCs w:val="20"/>
                <w:color w:val="auto"/>
              </w:rPr>
            </w:pPr>
            <w:r>
              <w:rPr>
                <w:rFonts w:ascii="Times New Roman" w:cs="Times New Roman" w:eastAsia="Times New Roman" w:hAnsi="Times New Roman"/>
                <w:sz w:val="14"/>
                <w:szCs w:val="14"/>
                <w:color w:val="0000EE"/>
              </w:rPr>
              <w:t>Company, N.A., as Trustee, with</w:t>
            </w:r>
          </w:p>
        </w:tc>
        <w:tc>
          <w:tcPr>
            <w:tcW w:w="80" w:type="dxa"/>
            <w:vAlign w:val="bottom"/>
            <w:gridSpan w:val="2"/>
          </w:tcPr>
          <w:p>
            <w:pPr>
              <w:spacing w:after="0"/>
              <w:rPr>
                <w:sz w:val="12"/>
                <w:szCs w:val="12"/>
                <w:color w:val="auto"/>
              </w:rPr>
            </w:pPr>
          </w:p>
        </w:tc>
      </w:tr>
      <w:tr>
        <w:trPr>
          <w:trHeight w:val="148"/>
        </w:trPr>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tcBorders>
              <w:bottom w:val="single" w:sz="8" w:color="0000EE"/>
            </w:tcBorders>
            <w:gridSpan w:val="9"/>
          </w:tcPr>
          <w:p>
            <w:pPr>
              <w:spacing w:after="0" w:line="149" w:lineRule="exact"/>
              <w:rPr>
                <w:sz w:val="20"/>
                <w:szCs w:val="20"/>
                <w:color w:val="auto"/>
              </w:rPr>
            </w:pPr>
            <w:r>
              <w:rPr>
                <w:rFonts w:ascii="Times New Roman" w:cs="Times New Roman" w:eastAsia="Times New Roman" w:hAnsi="Times New Roman"/>
                <w:sz w:val="14"/>
                <w:szCs w:val="14"/>
                <w:color w:val="0000EE"/>
              </w:rPr>
              <w:t>respect to the Indenture, dated as</w:t>
            </w:r>
          </w:p>
        </w:tc>
        <w:tc>
          <w:tcPr>
            <w:tcW w:w="60" w:type="dxa"/>
            <w:vAlign w:val="bottom"/>
          </w:tcPr>
          <w:p>
            <w:pPr>
              <w:spacing w:after="0"/>
              <w:rPr>
                <w:sz w:val="12"/>
                <w:szCs w:val="12"/>
                <w:color w:val="auto"/>
              </w:rPr>
            </w:pPr>
          </w:p>
        </w:tc>
      </w:tr>
      <w:tr>
        <w:trPr>
          <w:trHeight w:val="148"/>
        </w:trPr>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Borders>
              <w:bottom w:val="single" w:sz="8" w:color="0000EE"/>
            </w:tcBorders>
            <w:gridSpan w:val="2"/>
          </w:tcPr>
          <w:p>
            <w:pPr>
              <w:spacing w:after="0" w:line="149" w:lineRule="exact"/>
              <w:rPr>
                <w:sz w:val="20"/>
                <w:szCs w:val="20"/>
                <w:color w:val="auto"/>
              </w:rPr>
            </w:pPr>
            <w:r>
              <w:rPr>
                <w:rFonts w:ascii="Times New Roman" w:cs="Times New Roman" w:eastAsia="Times New Roman" w:hAnsi="Times New Roman"/>
                <w:sz w:val="14"/>
                <w:szCs w:val="14"/>
                <w:color w:val="0000EE"/>
              </w:rPr>
              <w:t>of May 19, 2003</w:t>
            </w:r>
          </w:p>
        </w:tc>
        <w:tc>
          <w:tcPr>
            <w:tcW w:w="1040" w:type="dxa"/>
            <w:vAlign w:val="bottom"/>
            <w:gridSpan w:val="8"/>
          </w:tcPr>
          <w:p>
            <w:pPr>
              <w:spacing w:after="0"/>
              <w:rPr>
                <w:sz w:val="12"/>
                <w:szCs w:val="12"/>
                <w:color w:val="auto"/>
              </w:rPr>
            </w:pPr>
          </w:p>
        </w:tc>
      </w:tr>
      <w:tr>
        <w:trPr>
          <w:trHeight w:val="18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 25.2</w:t>
            </w:r>
          </w:p>
        </w:tc>
        <w:tc>
          <w:tcPr>
            <w:tcW w:w="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​​CenterPoint</w:t>
            </w:r>
          </w:p>
        </w:tc>
        <w:tc>
          <w:tcPr>
            <w:tcW w:w="2140" w:type="dxa"/>
            <w:vAlign w:val="bottom"/>
            <w:gridSpan w:val="11"/>
          </w:tcPr>
          <w:p>
            <w:pPr>
              <w:ind w:lef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color w:val="0000EE"/>
              </w:rPr>
              <w:t>Statement of Eligibility of The</w:t>
            </w:r>
          </w:p>
        </w:tc>
      </w:tr>
      <w:tr>
        <w:trPr>
          <w:trHeight w:val="20"/>
        </w:trPr>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8"/>
        </w:trPr>
        <w:tc>
          <w:tcPr>
            <w:tcW w:w="400" w:type="dxa"/>
            <w:vAlign w:val="bottom"/>
          </w:tcPr>
          <w:p>
            <w:pPr>
              <w:spacing w:after="0"/>
              <w:rPr>
                <w:sz w:val="12"/>
                <w:szCs w:val="12"/>
                <w:color w:val="auto"/>
              </w:rPr>
            </w:pPr>
          </w:p>
        </w:tc>
        <w:tc>
          <w:tcPr>
            <w:tcW w:w="9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Energy</w:t>
            </w:r>
          </w:p>
        </w:tc>
        <w:tc>
          <w:tcPr>
            <w:tcW w:w="120" w:type="dxa"/>
            <w:vAlign w:val="bottom"/>
          </w:tcPr>
          <w:p>
            <w:pPr>
              <w:spacing w:after="0"/>
              <w:rPr>
                <w:sz w:val="12"/>
                <w:szCs w:val="12"/>
                <w:color w:val="auto"/>
              </w:rPr>
            </w:pPr>
          </w:p>
        </w:tc>
        <w:tc>
          <w:tcPr>
            <w:tcW w:w="1920" w:type="dxa"/>
            <w:vAlign w:val="bottom"/>
            <w:tcBorders>
              <w:bottom w:val="single" w:sz="8" w:color="0000EE"/>
            </w:tcBorders>
            <w:gridSpan w:val="7"/>
          </w:tcPr>
          <w:p>
            <w:pPr>
              <w:spacing w:after="0" w:line="149" w:lineRule="exact"/>
              <w:rPr>
                <w:sz w:val="20"/>
                <w:szCs w:val="20"/>
                <w:color w:val="auto"/>
              </w:rPr>
            </w:pPr>
            <w:r>
              <w:rPr>
                <w:rFonts w:ascii="Times New Roman" w:cs="Times New Roman" w:eastAsia="Times New Roman" w:hAnsi="Times New Roman"/>
                <w:sz w:val="14"/>
                <w:szCs w:val="14"/>
                <w:color w:val="0000EE"/>
              </w:rPr>
              <w:t>Bank of New York Mellon Trust</w:t>
            </w:r>
          </w:p>
        </w:tc>
        <w:tc>
          <w:tcPr>
            <w:tcW w:w="100" w:type="dxa"/>
            <w:vAlign w:val="bottom"/>
            <w:gridSpan w:val="3"/>
          </w:tcPr>
          <w:p>
            <w:pPr>
              <w:spacing w:after="0"/>
              <w:rPr>
                <w:sz w:val="12"/>
                <w:szCs w:val="12"/>
                <w:color w:val="auto"/>
              </w:rPr>
            </w:pPr>
          </w:p>
        </w:tc>
      </w:tr>
      <w:tr>
        <w:trPr>
          <w:trHeight w:val="148"/>
        </w:trPr>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Borders>
              <w:bottom w:val="single" w:sz="8" w:color="0000EE"/>
            </w:tcBorders>
            <w:gridSpan w:val="8"/>
          </w:tcPr>
          <w:p>
            <w:pPr>
              <w:spacing w:after="0" w:line="149" w:lineRule="exact"/>
              <w:rPr>
                <w:sz w:val="20"/>
                <w:szCs w:val="20"/>
                <w:color w:val="auto"/>
              </w:rPr>
            </w:pPr>
            <w:r>
              <w:rPr>
                <w:rFonts w:ascii="Times New Roman" w:cs="Times New Roman" w:eastAsia="Times New Roman" w:hAnsi="Times New Roman"/>
                <w:sz w:val="14"/>
                <w:szCs w:val="14"/>
                <w:color w:val="0000EE"/>
              </w:rPr>
              <w:t>Company, N.A., as Trustee, with</w:t>
            </w:r>
          </w:p>
        </w:tc>
        <w:tc>
          <w:tcPr>
            <w:tcW w:w="80" w:type="dxa"/>
            <w:vAlign w:val="bottom"/>
            <w:gridSpan w:val="2"/>
          </w:tcPr>
          <w:p>
            <w:pPr>
              <w:spacing w:after="0"/>
              <w:rPr>
                <w:sz w:val="12"/>
                <w:szCs w:val="12"/>
                <w:color w:val="auto"/>
              </w:rPr>
            </w:pPr>
          </w:p>
        </w:tc>
      </w:tr>
      <w:tr>
        <w:trPr>
          <w:trHeight w:val="148"/>
        </w:trPr>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tcBorders>
              <w:bottom w:val="single" w:sz="8" w:color="0000EE"/>
            </w:tcBorders>
            <w:gridSpan w:val="10"/>
          </w:tcPr>
          <w:p>
            <w:pPr>
              <w:spacing w:after="0" w:line="149" w:lineRule="exact"/>
              <w:rPr>
                <w:sz w:val="20"/>
                <w:szCs w:val="20"/>
                <w:color w:val="auto"/>
              </w:rPr>
            </w:pPr>
            <w:r>
              <w:rPr>
                <w:rFonts w:ascii="Times New Roman" w:cs="Times New Roman" w:eastAsia="Times New Roman" w:hAnsi="Times New Roman"/>
                <w:sz w:val="14"/>
                <w:szCs w:val="14"/>
                <w:color w:val="0000EE"/>
              </w:rPr>
              <w:t>respect to the Junior Subordinated</w:t>
            </w:r>
          </w:p>
        </w:tc>
      </w:tr>
      <w:tr>
        <w:trPr>
          <w:trHeight w:val="148"/>
        </w:trPr>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20" w:type="dxa"/>
            <w:vAlign w:val="bottom"/>
            <w:gridSpan w:val="10"/>
          </w:tcPr>
          <w:p>
            <w:pPr>
              <w:spacing w:after="0" w:line="149" w:lineRule="exact"/>
              <w:rPr>
                <w:sz w:val="20"/>
                <w:szCs w:val="20"/>
                <w:color w:val="auto"/>
              </w:rPr>
            </w:pPr>
            <w:r>
              <w:rPr>
                <w:rFonts w:ascii="Times New Roman" w:cs="Times New Roman" w:eastAsia="Times New Roman" w:hAnsi="Times New Roman"/>
                <w:sz w:val="14"/>
                <w:szCs w:val="14"/>
                <w:color w:val="0000EE"/>
              </w:rPr>
              <w:t>Indenture, dated as of August 14,</w:t>
            </w:r>
          </w:p>
        </w:tc>
      </w:tr>
      <w:tr>
        <w:trPr>
          <w:trHeight w:val="148"/>
        </w:trPr>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top w:val="single" w:sz="8" w:color="0000EE"/>
              <w:bottom w:val="single" w:sz="8" w:color="0000EE"/>
            </w:tcBorders>
          </w:tcPr>
          <w:p>
            <w:pPr>
              <w:spacing w:after="0" w:line="149" w:lineRule="exact"/>
              <w:rPr>
                <w:sz w:val="20"/>
                <w:szCs w:val="20"/>
                <w:color w:val="auto"/>
              </w:rPr>
            </w:pPr>
            <w:r>
              <w:rPr>
                <w:rFonts w:ascii="Times New Roman" w:cs="Times New Roman" w:eastAsia="Times New Roman" w:hAnsi="Times New Roman"/>
                <w:sz w:val="14"/>
                <w:szCs w:val="14"/>
                <w:color w:val="0000EE"/>
                <w:w w:val="99"/>
              </w:rPr>
              <w:t>2024</w:t>
            </w:r>
          </w:p>
        </w:tc>
        <w:tc>
          <w:tcPr>
            <w:tcW w:w="680" w:type="dxa"/>
            <w:vAlign w:val="bottom"/>
            <w:tcBorders>
              <w:top w:val="single" w:sz="8" w:color="0000EE"/>
            </w:tcBorders>
          </w:tcPr>
          <w:p>
            <w:pPr>
              <w:spacing w:after="0"/>
              <w:rPr>
                <w:sz w:val="12"/>
                <w:szCs w:val="12"/>
                <w:color w:val="auto"/>
              </w:rPr>
            </w:pPr>
          </w:p>
        </w:tc>
        <w:tc>
          <w:tcPr>
            <w:tcW w:w="34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3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60" w:type="dxa"/>
            <w:vAlign w:val="bottom"/>
          </w:tcPr>
          <w:p>
            <w:pPr>
              <w:spacing w:after="0"/>
              <w:rPr>
                <w:sz w:val="12"/>
                <w:szCs w:val="12"/>
                <w:color w:val="auto"/>
              </w:rPr>
            </w:pPr>
          </w:p>
        </w:tc>
      </w:tr>
      <w:tr>
        <w:trPr>
          <w:trHeight w:val="180"/>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 25.3</w:t>
            </w:r>
          </w:p>
        </w:tc>
        <w:tc>
          <w:tcPr>
            <w:tcW w:w="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​​Houston</w:t>
            </w:r>
          </w:p>
        </w:tc>
        <w:tc>
          <w:tcPr>
            <w:tcW w:w="2140" w:type="dxa"/>
            <w:vAlign w:val="bottom"/>
            <w:gridSpan w:val="11"/>
          </w:tcPr>
          <w:p>
            <w:pPr>
              <w:ind w:lef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color w:val="0000EE"/>
              </w:rPr>
              <w:t>Statement of Eligibility of The</w:t>
            </w:r>
          </w:p>
        </w:tc>
      </w:tr>
      <w:tr>
        <w:trPr>
          <w:trHeight w:val="20"/>
        </w:trPr>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148"/>
        </w:trPr>
        <w:tc>
          <w:tcPr>
            <w:tcW w:w="400" w:type="dxa"/>
            <w:vAlign w:val="bottom"/>
          </w:tcPr>
          <w:p>
            <w:pPr>
              <w:spacing w:after="0"/>
              <w:rPr>
                <w:sz w:val="12"/>
                <w:szCs w:val="12"/>
                <w:color w:val="auto"/>
              </w:rPr>
            </w:pPr>
          </w:p>
        </w:tc>
        <w:tc>
          <w:tcPr>
            <w:tcW w:w="9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Electric</w:t>
            </w:r>
          </w:p>
        </w:tc>
        <w:tc>
          <w:tcPr>
            <w:tcW w:w="120" w:type="dxa"/>
            <w:vAlign w:val="bottom"/>
          </w:tcPr>
          <w:p>
            <w:pPr>
              <w:spacing w:after="0"/>
              <w:rPr>
                <w:sz w:val="12"/>
                <w:szCs w:val="12"/>
                <w:color w:val="auto"/>
              </w:rPr>
            </w:pPr>
          </w:p>
        </w:tc>
        <w:tc>
          <w:tcPr>
            <w:tcW w:w="1920" w:type="dxa"/>
            <w:vAlign w:val="bottom"/>
            <w:tcBorders>
              <w:bottom w:val="single" w:sz="8" w:color="0000EE"/>
            </w:tcBorders>
            <w:gridSpan w:val="7"/>
          </w:tcPr>
          <w:p>
            <w:pPr>
              <w:spacing w:after="0" w:line="149" w:lineRule="exact"/>
              <w:rPr>
                <w:sz w:val="20"/>
                <w:szCs w:val="20"/>
                <w:color w:val="auto"/>
              </w:rPr>
            </w:pPr>
            <w:r>
              <w:rPr>
                <w:rFonts w:ascii="Times New Roman" w:cs="Times New Roman" w:eastAsia="Times New Roman" w:hAnsi="Times New Roman"/>
                <w:sz w:val="14"/>
                <w:szCs w:val="14"/>
                <w:color w:val="0000EE"/>
              </w:rPr>
              <w:t>Bank of New York Mellon Trust</w:t>
            </w:r>
          </w:p>
        </w:tc>
        <w:tc>
          <w:tcPr>
            <w:tcW w:w="100" w:type="dxa"/>
            <w:vAlign w:val="bottom"/>
            <w:gridSpan w:val="3"/>
          </w:tcPr>
          <w:p>
            <w:pPr>
              <w:spacing w:after="0"/>
              <w:rPr>
                <w:sz w:val="12"/>
                <w:szCs w:val="12"/>
                <w:color w:val="auto"/>
              </w:rPr>
            </w:pPr>
          </w:p>
        </w:tc>
      </w:tr>
      <w:tr>
        <w:trPr>
          <w:trHeight w:val="148"/>
        </w:trPr>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Borders>
              <w:bottom w:val="single" w:sz="8" w:color="0000EE"/>
            </w:tcBorders>
            <w:gridSpan w:val="8"/>
          </w:tcPr>
          <w:p>
            <w:pPr>
              <w:spacing w:after="0" w:line="149" w:lineRule="exact"/>
              <w:rPr>
                <w:sz w:val="20"/>
                <w:szCs w:val="20"/>
                <w:color w:val="auto"/>
              </w:rPr>
            </w:pPr>
            <w:r>
              <w:rPr>
                <w:rFonts w:ascii="Times New Roman" w:cs="Times New Roman" w:eastAsia="Times New Roman" w:hAnsi="Times New Roman"/>
                <w:sz w:val="14"/>
                <w:szCs w:val="14"/>
                <w:color w:val="0000EE"/>
              </w:rPr>
              <w:t>Company, N.A., as Trustee, with</w:t>
            </w:r>
          </w:p>
        </w:tc>
        <w:tc>
          <w:tcPr>
            <w:tcW w:w="80" w:type="dxa"/>
            <w:vAlign w:val="bottom"/>
            <w:gridSpan w:val="2"/>
          </w:tcPr>
          <w:p>
            <w:pPr>
              <w:spacing w:after="0"/>
              <w:rPr>
                <w:sz w:val="12"/>
                <w:szCs w:val="12"/>
                <w:color w:val="auto"/>
              </w:rPr>
            </w:pPr>
          </w:p>
        </w:tc>
      </w:tr>
      <w:tr>
        <w:trPr>
          <w:trHeight w:val="148"/>
        </w:trPr>
        <w:tc>
          <w:tcPr>
            <w:tcW w:w="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tcBorders>
              <w:bottom w:val="single" w:sz="8" w:color="0000EE"/>
            </w:tcBorders>
            <w:gridSpan w:val="6"/>
          </w:tcPr>
          <w:p>
            <w:pPr>
              <w:spacing w:after="0" w:line="149" w:lineRule="exact"/>
              <w:rPr>
                <w:sz w:val="20"/>
                <w:szCs w:val="20"/>
                <w:color w:val="auto"/>
              </w:rPr>
            </w:pPr>
            <w:r>
              <w:rPr>
                <w:rFonts w:ascii="Times New Roman" w:cs="Times New Roman" w:eastAsia="Times New Roman" w:hAnsi="Times New Roman"/>
                <w:sz w:val="14"/>
                <w:szCs w:val="14"/>
                <w:color w:val="0000EE"/>
              </w:rPr>
              <w:t>respect to the General Mortgage</w:t>
            </w:r>
          </w:p>
        </w:tc>
        <w:tc>
          <w:tcPr>
            <w:tcW w:w="120" w:type="dxa"/>
            <w:vAlign w:val="bottom"/>
            <w:gridSpan w:val="4"/>
          </w:tcPr>
          <w:p>
            <w:pPr>
              <w:spacing w:after="0"/>
              <w:rPr>
                <w:sz w:val="12"/>
                <w:szCs w:val="12"/>
                <w:color w:val="auto"/>
              </w:rPr>
            </w:pPr>
          </w:p>
        </w:tc>
      </w:tr>
    </w:tbl>
    <w:p>
      <w:pPr>
        <w:spacing w:after="0" w:line="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u w:val="single" w:color="auto"/>
          <w:color w:val="0000EE"/>
        </w:rPr>
        <w:t>Indenture, dated as of October 10,</w:t>
      </w:r>
    </w:p>
    <w:p>
      <w:pPr>
        <w:spacing w:after="0" w:line="2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u w:val="single" w:color="auto"/>
          <w:color w:val="0000EE"/>
        </w:rPr>
        <w:t>2002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r>
      <w:tr>
        <w:trPr>
          <w:trHeight w:val="537"/>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r>
      <w:tr>
        <w:trPr>
          <w:trHeight w:val="537"/>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r>
      <w:tr>
        <w:trPr>
          <w:trHeight w:val="537"/>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r>
      <w:tr>
        <w:trPr>
          <w:trHeight w:val="873"/>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r>
      <w:tr>
        <w:trPr>
          <w:trHeight w:val="1042"/>
        </w:trPr>
        <w:tc>
          <w:tcPr>
            <w:tcW w:w="9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r>
    </w:tbl>
    <w:p>
      <w:pPr>
        <w:spacing w:after="0" w:line="1055" w:lineRule="exact"/>
        <w:rPr>
          <w:sz w:val="20"/>
          <w:szCs w:val="20"/>
          <w:color w:val="auto"/>
        </w:rPr>
      </w:pPr>
    </w:p>
    <w:p>
      <w:pPr>
        <w:sectPr>
          <w:pgSz w:w="11900" w:h="16838" w:orient="portrait"/>
          <w:cols w:equalWidth="0" w:num="2">
            <w:col w:w="4740" w:space="0"/>
            <w:col w:w="4279"/>
          </w:cols>
          <w:pgMar w:left="1440" w:top="107" w:right="1440" w:bottom="1440" w:gutter="0" w:footer="0" w:header="0"/>
          <w:type w:val="continuous"/>
        </w:sectPr>
      </w:pP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1">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89" w:name="page90"/>
    <w:bookmarkEnd w:id="89"/>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360"/>
        <w:spacing w:after="0"/>
        <w:tabs>
          <w:tab w:leader="none" w:pos="5100" w:val="left"/>
          <w:tab w:leader="none" w:pos="6580" w:val="left"/>
          <w:tab w:leader="none" w:pos="7300" w:val="left"/>
        </w:tabs>
        <w:rPr>
          <w:sz w:val="20"/>
          <w:szCs w:val="20"/>
          <w:color w:val="auto"/>
        </w:rPr>
      </w:pPr>
      <w:r>
        <w:rPr>
          <w:rFonts w:ascii="Times New Roman" w:cs="Times New Roman" w:eastAsia="Times New Roman" w:hAnsi="Times New Roman"/>
          <w:sz w:val="11"/>
          <w:szCs w:val="11"/>
          <w:b w:val="1"/>
          <w:bCs w:val="1"/>
          <w:color w:val="auto"/>
        </w:rPr>
        <w:t>Exhibit</w:t>
      </w:r>
      <w:r>
        <w:rPr>
          <w:sz w:val="20"/>
          <w:szCs w:val="20"/>
          <w:color w:val="auto"/>
        </w:rPr>
        <w:tab/>
      </w:r>
      <w:r>
        <w:rPr>
          <w:rFonts w:ascii="Times New Roman" w:cs="Times New Roman" w:eastAsia="Times New Roman" w:hAnsi="Times New Roman"/>
          <w:sz w:val="11"/>
          <w:szCs w:val="11"/>
          <w:b w:val="1"/>
          <w:bCs w:val="1"/>
          <w:color w:val="auto"/>
        </w:rPr>
        <w:t>Report or Registration</w:t>
      </w:r>
      <w:r>
        <w:rPr>
          <w:sz w:val="20"/>
          <w:szCs w:val="20"/>
          <w:color w:val="auto"/>
        </w:rPr>
        <w:tab/>
      </w:r>
      <w:r>
        <w:rPr>
          <w:rFonts w:ascii="Times New Roman" w:cs="Times New Roman" w:eastAsia="Times New Roman" w:hAnsi="Times New Roman"/>
          <w:sz w:val="11"/>
          <w:szCs w:val="11"/>
          <w:b w:val="1"/>
          <w:bCs w:val="1"/>
          <w:color w:val="auto"/>
        </w:rPr>
        <w:t>Registration</w:t>
      </w:r>
      <w:r>
        <w:rPr>
          <w:sz w:val="20"/>
          <w:szCs w:val="20"/>
          <w:color w:val="auto"/>
        </w:rPr>
        <w:tab/>
      </w:r>
      <w:r>
        <w:rPr>
          <w:rFonts w:ascii="Times New Roman" w:cs="Times New Roman" w:eastAsia="Times New Roman" w:hAnsi="Times New Roman"/>
          <w:sz w:val="10"/>
          <w:szCs w:val="10"/>
          <w:b w:val="1"/>
          <w:bCs w:val="1"/>
          <w:color w:val="auto"/>
        </w:rPr>
        <w:t>Exhibit</w:t>
      </w:r>
    </w:p>
    <w:p>
      <w:pPr>
        <w:jc w:val="right"/>
        <w:ind w:right="1239"/>
        <w:spacing w:after="0"/>
        <w:tabs>
          <w:tab w:leader="none" w:pos="5760" w:val="left"/>
          <w:tab w:leader="none" w:pos="5100" w:val="left"/>
          <w:tab w:leader="none" w:pos="4540" w:val="left"/>
          <w:tab w:leader="none" w:pos="3000" w:val="left"/>
          <w:tab w:leader="none" w:pos="2340" w:val="left"/>
          <w:tab w:leader="none" w:pos="1240" w:val="left"/>
          <w:tab w:leader="none" w:pos="1060" w:val="left"/>
          <w:tab w:leader="none" w:pos="560" w:val="left"/>
        </w:tabs>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Number </w:t>
      </w:r>
      <w:r>
        <w:rPr>
          <w:rFonts w:ascii="Times New Roman" w:cs="Times New Roman" w:eastAsia="Times New Roman" w:hAnsi="Times New Roman"/>
          <w:sz w:val="19"/>
          <w:szCs w:val="19"/>
          <w:b w:val="1"/>
          <w:bCs w:val="1"/>
          <w:color w:val="auto"/>
          <w:vertAlign w:val="subscript"/>
        </w:rPr>
        <w:t>​​</w:t>
      </w:r>
      <w:r>
        <w:rPr>
          <w:sz w:val="20"/>
          <w:szCs w:val="20"/>
          <w:color w:val="auto"/>
        </w:rPr>
        <w:tab/>
      </w:r>
      <w:r>
        <w:rPr>
          <w:rFonts w:ascii="Times New Roman" w:cs="Times New Roman" w:eastAsia="Times New Roman" w:hAnsi="Times New Roman"/>
          <w:sz w:val="11"/>
          <w:szCs w:val="11"/>
          <w:b w:val="1"/>
          <w:bCs w:val="1"/>
          <w:color w:val="auto"/>
        </w:rPr>
        <w:t>Registrant</w:t>
      </w:r>
      <w:r>
        <w:rPr>
          <w:sz w:val="20"/>
          <w:szCs w:val="20"/>
          <w:color w:val="auto"/>
        </w:rPr>
        <w:tab/>
      </w:r>
      <w:r>
        <w:rPr>
          <w:rFonts w:ascii="Times New Roman" w:cs="Times New Roman" w:eastAsia="Times New Roman" w:hAnsi="Times New Roman"/>
          <w:sz w:val="19"/>
          <w:szCs w:val="19"/>
          <w:b w:val="1"/>
          <w:bCs w:val="1"/>
          <w:color w:val="auto"/>
          <w:vertAlign w:val="subscript"/>
        </w:rPr>
        <w:t>​​</w:t>
      </w:r>
      <w:r>
        <w:rPr>
          <w:sz w:val="20"/>
          <w:szCs w:val="20"/>
          <w:color w:val="auto"/>
        </w:rPr>
        <w:tab/>
      </w:r>
      <w:r>
        <w:rPr>
          <w:rFonts w:ascii="Times New Roman" w:cs="Times New Roman" w:eastAsia="Times New Roman" w:hAnsi="Times New Roman"/>
          <w:sz w:val="11"/>
          <w:szCs w:val="11"/>
          <w:b w:val="1"/>
          <w:bCs w:val="1"/>
          <w:color w:val="auto"/>
        </w:rPr>
        <w:t>Document Description</w:t>
      </w:r>
      <w:r>
        <w:rPr>
          <w:sz w:val="20"/>
          <w:szCs w:val="20"/>
          <w:color w:val="auto"/>
        </w:rPr>
        <w:tab/>
      </w:r>
      <w:r>
        <w:rPr>
          <w:rFonts w:ascii="Times New Roman" w:cs="Times New Roman" w:eastAsia="Times New Roman" w:hAnsi="Times New Roman"/>
          <w:sz w:val="19"/>
          <w:szCs w:val="19"/>
          <w:b w:val="1"/>
          <w:bCs w:val="1"/>
          <w:color w:val="auto"/>
          <w:vertAlign w:val="subscript"/>
        </w:rPr>
        <w:t>​​</w:t>
      </w:r>
      <w:r>
        <w:rPr>
          <w:sz w:val="20"/>
          <w:szCs w:val="20"/>
          <w:color w:val="auto"/>
        </w:rPr>
        <w:tab/>
      </w:r>
      <w:r>
        <w:rPr>
          <w:rFonts w:ascii="Times New Roman" w:cs="Times New Roman" w:eastAsia="Times New Roman" w:hAnsi="Times New Roman"/>
          <w:sz w:val="11"/>
          <w:szCs w:val="11"/>
          <w:b w:val="1"/>
          <w:bCs w:val="1"/>
          <w:color w:val="auto"/>
        </w:rPr>
        <w:t>Statement</w:t>
      </w:r>
      <w:r>
        <w:rPr>
          <w:sz w:val="20"/>
          <w:szCs w:val="20"/>
          <w:color w:val="auto"/>
        </w:rPr>
        <w:tab/>
      </w:r>
      <w:r>
        <w:rPr>
          <w:rFonts w:ascii="Times New Roman" w:cs="Times New Roman" w:eastAsia="Times New Roman" w:hAnsi="Times New Roman"/>
          <w:sz w:val="19"/>
          <w:szCs w:val="19"/>
          <w:b w:val="1"/>
          <w:bCs w:val="1"/>
          <w:color w:val="auto"/>
          <w:vertAlign w:val="subscript"/>
        </w:rPr>
        <w:t>​​</w:t>
      </w:r>
      <w:r>
        <w:rPr>
          <w:sz w:val="20"/>
          <w:szCs w:val="20"/>
          <w:color w:val="auto"/>
        </w:rPr>
        <w:tab/>
      </w:r>
      <w:r>
        <w:rPr>
          <w:rFonts w:ascii="Times New Roman" w:cs="Times New Roman" w:eastAsia="Times New Roman" w:hAnsi="Times New Roman"/>
          <w:sz w:val="11"/>
          <w:szCs w:val="11"/>
          <w:b w:val="1"/>
          <w:bCs w:val="1"/>
          <w:color w:val="auto"/>
        </w:rPr>
        <w:t>Number</w:t>
      </w:r>
      <w:r>
        <w:rPr>
          <w:sz w:val="20"/>
          <w:szCs w:val="20"/>
          <w:color w:val="auto"/>
        </w:rPr>
        <w:tab/>
      </w:r>
      <w:r>
        <w:rPr>
          <w:rFonts w:ascii="Times New Roman" w:cs="Times New Roman" w:eastAsia="Times New Roman" w:hAnsi="Times New Roman"/>
          <w:sz w:val="13"/>
          <w:szCs w:val="13"/>
          <w:b w:val="1"/>
          <w:bCs w:val="1"/>
          <w:color w:val="auto"/>
          <w:vertAlign w:val="subscript"/>
        </w:rPr>
        <w:t>​​</w:t>
      </w:r>
      <w:r>
        <w:rPr>
          <w:rFonts w:ascii="Times New Roman" w:cs="Times New Roman" w:eastAsia="Times New Roman" w:hAnsi="Times New Roman"/>
          <w:sz w:val="13"/>
          <w:szCs w:val="13"/>
          <w:b w:val="1"/>
          <w:bCs w:val="1"/>
          <w:color w:val="auto"/>
        </w:rPr>
        <w:t>Reference</w:t>
      </w:r>
      <w:r>
        <w:rPr>
          <w:rFonts w:ascii="Times New Roman" w:cs="Times New Roman" w:eastAsia="Times New Roman" w:hAnsi="Times New Roman"/>
          <w:sz w:val="13"/>
          <w:szCs w:val="13"/>
          <w:b w:val="1"/>
          <w:bCs w:val="1"/>
          <w:color w:val="auto"/>
          <w:vertAlign w:val="subscript"/>
        </w:rPr>
        <w:t>​</w:t>
      </w:r>
    </w:p>
    <w:p>
      <w:pPr>
        <w:sectPr>
          <w:pgSz w:w="11900" w:h="16838" w:orient="portrait"/>
          <w:cols w:equalWidth="0" w:num="1">
            <w:col w:w="9019"/>
          </w:cols>
          <w:pgMar w:left="1440" w:top="107" w:right="1440" w:bottom="1440" w:gutter="0" w:footer="0" w:header="0"/>
        </w:sectPr>
      </w:pPr>
    </w:p>
    <w:p>
      <w:pPr>
        <w:spacing w:after="0" w:line="21" w:lineRule="exact"/>
        <w:rPr>
          <w:sz w:val="20"/>
          <w:szCs w:val="20"/>
          <w:color w:val="auto"/>
        </w:rPr>
      </w:pPr>
    </w:p>
    <w:tbl>
      <w:tblPr>
        <w:tblLayout w:type="fixed"/>
        <w:tblInd w:w="130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128"/>
        </w:trPr>
        <w:tc>
          <w:tcPr>
            <w:tcW w:w="46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 25.4</w:t>
            </w:r>
          </w:p>
        </w:tc>
        <w:tc>
          <w:tcPr>
            <w:tcW w:w="2980" w:type="dxa"/>
            <w:vAlign w:val="bottom"/>
            <w:gridSpan w:val="10"/>
          </w:tcPr>
          <w:p>
            <w:pPr>
              <w:spacing w:after="0" w:line="129" w:lineRule="exact"/>
              <w:rPr>
                <w:sz w:val="20"/>
                <w:szCs w:val="20"/>
                <w:color w:val="auto"/>
              </w:rPr>
            </w:pPr>
            <w:r>
              <w:rPr>
                <w:rFonts w:ascii="Times New Roman" w:cs="Times New Roman" w:eastAsia="Times New Roman" w:hAnsi="Times New Roman"/>
                <w:sz w:val="14"/>
                <w:szCs w:val="14"/>
                <w:color w:val="auto"/>
              </w:rPr>
              <w:t>​​CERC Corp. ​​</w:t>
            </w:r>
            <w:r>
              <w:rPr>
                <w:rFonts w:ascii="Times New Roman" w:cs="Times New Roman" w:eastAsia="Times New Roman" w:hAnsi="Times New Roman"/>
                <w:sz w:val="14"/>
                <w:szCs w:val="14"/>
                <w:color w:val="0000EE"/>
              </w:rPr>
              <w:t>Statement of Eligibility of The</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tcBorders>
              <w:bottom w:val="single" w:sz="8" w:color="0000EE"/>
            </w:tcBorders>
            <w:gridSpan w:val="4"/>
          </w:tcPr>
          <w:p>
            <w:pPr>
              <w:spacing w:after="0" w:line="149" w:lineRule="exact"/>
              <w:rPr>
                <w:sz w:val="20"/>
                <w:szCs w:val="20"/>
                <w:color w:val="auto"/>
              </w:rPr>
            </w:pPr>
            <w:r>
              <w:rPr>
                <w:rFonts w:ascii="Times New Roman" w:cs="Times New Roman" w:eastAsia="Times New Roman" w:hAnsi="Times New Roman"/>
                <w:sz w:val="14"/>
                <w:szCs w:val="14"/>
                <w:color w:val="0000EE"/>
              </w:rPr>
              <w:t>Bank of New York Mellon Trust</w:t>
            </w:r>
          </w:p>
        </w:tc>
        <w:tc>
          <w:tcPr>
            <w:tcW w:w="120" w:type="dxa"/>
            <w:vAlign w:val="bottom"/>
            <w:gridSpan w:val="3"/>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tcBorders>
              <w:bottom w:val="single" w:sz="8" w:color="0000EE"/>
            </w:tcBorders>
            <w:gridSpan w:val="5"/>
          </w:tcPr>
          <w:p>
            <w:pPr>
              <w:spacing w:after="0" w:line="149" w:lineRule="exact"/>
              <w:rPr>
                <w:sz w:val="20"/>
                <w:szCs w:val="20"/>
                <w:color w:val="auto"/>
              </w:rPr>
            </w:pPr>
            <w:r>
              <w:rPr>
                <w:rFonts w:ascii="Times New Roman" w:cs="Times New Roman" w:eastAsia="Times New Roman" w:hAnsi="Times New Roman"/>
                <w:sz w:val="14"/>
                <w:szCs w:val="14"/>
                <w:color w:val="0000EE"/>
              </w:rPr>
              <w:t>Company, N.A., as Trustee, with</w:t>
            </w:r>
          </w:p>
        </w:tc>
        <w:tc>
          <w:tcPr>
            <w:tcW w:w="100" w:type="dxa"/>
            <w:vAlign w:val="bottom"/>
            <w:gridSpan w:val="2"/>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tcBorders>
              <w:bottom w:val="single" w:sz="8" w:color="0000EE"/>
            </w:tcBorders>
            <w:gridSpan w:val="6"/>
          </w:tcPr>
          <w:p>
            <w:pPr>
              <w:spacing w:after="0" w:line="149" w:lineRule="exact"/>
              <w:rPr>
                <w:sz w:val="20"/>
                <w:szCs w:val="20"/>
                <w:color w:val="auto"/>
              </w:rPr>
            </w:pPr>
            <w:r>
              <w:rPr>
                <w:rFonts w:ascii="Times New Roman" w:cs="Times New Roman" w:eastAsia="Times New Roman" w:hAnsi="Times New Roman"/>
                <w:sz w:val="14"/>
                <w:szCs w:val="14"/>
                <w:color w:val="0000EE"/>
              </w:rPr>
              <w:t>respect to the Indenture, dated as</w:t>
            </w:r>
          </w:p>
        </w:tc>
        <w:tc>
          <w:tcPr>
            <w:tcW w:w="8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Borders>
              <w:bottom w:val="single" w:sz="8" w:color="0000EE"/>
            </w:tcBorders>
            <w:gridSpan w:val="2"/>
          </w:tcPr>
          <w:p>
            <w:pPr>
              <w:spacing w:after="0" w:line="149" w:lineRule="exact"/>
              <w:rPr>
                <w:sz w:val="20"/>
                <w:szCs w:val="20"/>
                <w:color w:val="auto"/>
              </w:rPr>
            </w:pPr>
            <w:r>
              <w:rPr>
                <w:rFonts w:ascii="Times New Roman" w:cs="Times New Roman" w:eastAsia="Times New Roman" w:hAnsi="Times New Roman"/>
                <w:sz w:val="14"/>
                <w:szCs w:val="14"/>
                <w:color w:val="0000EE"/>
                <w:w w:val="98"/>
              </w:rPr>
              <w:t>of February 1, 1998</w:t>
            </w:r>
          </w:p>
        </w:tc>
        <w:tc>
          <w:tcPr>
            <w:tcW w:w="860" w:type="dxa"/>
            <w:vAlign w:val="bottom"/>
            <w:gridSpan w:val="5"/>
          </w:tcPr>
          <w:p>
            <w:pPr>
              <w:spacing w:after="0"/>
              <w:rPr>
                <w:sz w:val="12"/>
                <w:szCs w:val="12"/>
                <w:color w:val="auto"/>
              </w:rPr>
            </w:pPr>
          </w:p>
        </w:tc>
      </w:tr>
      <w:tr>
        <w:trPr>
          <w:trHeight w:val="180"/>
        </w:trPr>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​107</w:t>
            </w:r>
          </w:p>
        </w:tc>
        <w:tc>
          <w:tcPr>
            <w:tcW w:w="298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​​CenterPoint ​​</w:t>
            </w:r>
            <w:r>
              <w:rPr>
                <w:rFonts w:ascii="Times New Roman" w:cs="Times New Roman" w:eastAsia="Times New Roman" w:hAnsi="Times New Roman"/>
                <w:sz w:val="14"/>
                <w:szCs w:val="14"/>
                <w:color w:val="0000EE"/>
              </w:rPr>
              <w:t>Filing Fee Table</w:t>
            </w:r>
          </w:p>
        </w:tc>
      </w:tr>
      <w:tr>
        <w:trPr>
          <w:trHeight w:val="180"/>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Energy</w:t>
            </w:r>
          </w:p>
        </w:tc>
        <w:tc>
          <w:tcPr>
            <w:tcW w:w="920" w:type="dxa"/>
            <w:vAlign w:val="bottom"/>
            <w:tcBorders>
              <w:top w:val="single" w:sz="8" w:color="0000EE"/>
            </w:tcBorders>
          </w:tcPr>
          <w:p>
            <w:pPr>
              <w:spacing w:after="0"/>
              <w:rPr>
                <w:sz w:val="15"/>
                <w:szCs w:val="15"/>
                <w:color w:val="auto"/>
              </w:rPr>
            </w:pPr>
          </w:p>
        </w:tc>
        <w:tc>
          <w:tcPr>
            <w:tcW w:w="1060" w:type="dxa"/>
            <w:vAlign w:val="bottom"/>
            <w:gridSpan w:val="6"/>
          </w:tcPr>
          <w:p>
            <w:pPr>
              <w:spacing w:after="0"/>
              <w:rPr>
                <w:sz w:val="15"/>
                <w:szCs w:val="15"/>
                <w:color w:val="auto"/>
              </w:rPr>
            </w:pPr>
          </w:p>
        </w:tc>
      </w:tr>
    </w:tbl>
    <w:p>
      <w:pPr>
        <w:spacing w:after="0" w:line="7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Houston</w:t>
      </w:r>
    </w:p>
    <w:p>
      <w:pPr>
        <w:spacing w:after="0" w:line="2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Electric</w:t>
      </w:r>
    </w:p>
    <w:p>
      <w:pPr>
        <w:spacing w:after="0" w:line="77"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CERC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133985</wp:posOffset>
            </wp:positionV>
            <wp:extent cx="96202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2">
                      <a:extLst>
                        <a:ext uri="{28A0092B-C50C-407E-A947-70E740481C1C}"/>
                      </a:extLst>
                    </a:blip>
                    <a:srcRect/>
                    <a:stretch>
                      <a:fillRect/>
                    </a:stretch>
                  </pic:blipFill>
                  <pic:spPr bwMode="auto">
                    <a:xfrm>
                      <a:off x="0" y="0"/>
                      <a:ext cx="962025" cy="6985"/>
                    </a:xfrm>
                    <a:prstGeom prst="rect">
                      <a:avLst/>
                    </a:prstGeom>
                    <a:noFill/>
                  </pic:spPr>
                </pic:pic>
              </a:graphicData>
            </a:graphic>
          </wp:anchor>
        </w:drawing>
      </w:r>
    </w:p>
    <w:p>
      <w:pPr>
        <w:spacing w:after="0" w:line="303" w:lineRule="exact"/>
        <w:rPr>
          <w:sz w:val="20"/>
          <w:szCs w:val="20"/>
          <w:color w:val="auto"/>
        </w:rPr>
      </w:pPr>
    </w:p>
    <w:p>
      <w:pPr>
        <w:ind w:left="1580" w:hanging="275"/>
        <w:spacing w:after="0"/>
        <w:tabs>
          <w:tab w:leader="none" w:pos="158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Incorporated herein by reference as indicated.</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3"/>
        </w:trPr>
        <w:tc>
          <w:tcPr>
            <w:tcW w:w="1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849"/>
        </w:trPr>
        <w:tc>
          <w:tcPr>
            <w:tcW w:w="1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bl>
    <w:p>
      <w:pPr>
        <w:spacing w:after="0" w:line="1498" w:lineRule="exact"/>
        <w:rPr>
          <w:sz w:val="20"/>
          <w:szCs w:val="20"/>
          <w:color w:val="auto"/>
        </w:rPr>
      </w:pPr>
    </w:p>
    <w:p>
      <w:pPr>
        <w:sectPr>
          <w:pgSz w:w="11900" w:h="16838" w:orient="portrait"/>
          <w:cols w:equalWidth="0" w:num="2">
            <w:col w:w="4740" w:space="0"/>
            <w:col w:w="4279"/>
          </w:cols>
          <w:pgMar w:left="1440" w:top="107" w:right="1440"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4"/>
          <w:szCs w:val="14"/>
          <w:b w:val="1"/>
          <w:bCs w:val="1"/>
          <w:color w:val="auto"/>
        </w:rPr>
        <w:t xml:space="preserve">Item 17. </w:t>
      </w:r>
      <w:r>
        <w:rPr>
          <w:rFonts w:ascii="Times New Roman" w:cs="Times New Roman" w:eastAsia="Times New Roman" w:hAnsi="Times New Roman"/>
          <w:sz w:val="14"/>
          <w:szCs w:val="14"/>
          <w:b w:val="1"/>
          <w:bCs w:val="1"/>
          <w:i w:val="1"/>
          <w:iCs w:val="1"/>
          <w:color w:val="auto"/>
        </w:rPr>
        <w:t>Undertakings.</w:t>
      </w:r>
    </w:p>
    <w:p>
      <w:pPr>
        <w:spacing w:after="0" w:line="11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4"/>
          <w:szCs w:val="14"/>
          <w:color w:val="auto"/>
        </w:rPr>
        <w:t>Each of the undersigned registrants hereby undertakes:</w:t>
      </w:r>
    </w:p>
    <w:p>
      <w:pPr>
        <w:spacing w:after="0" w:line="123" w:lineRule="exact"/>
        <w:rPr>
          <w:sz w:val="20"/>
          <w:szCs w:val="20"/>
          <w:color w:val="auto"/>
        </w:rPr>
      </w:pPr>
    </w:p>
    <w:p>
      <w:pPr>
        <w:ind w:left="1580" w:right="2039" w:firstLine="286"/>
        <w:spacing w:after="0" w:line="268" w:lineRule="auto"/>
        <w:tabs>
          <w:tab w:leader="none" w:pos="2143"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71" w:lineRule="exact"/>
        <w:rPr>
          <w:rFonts w:ascii="Times New Roman" w:cs="Times New Roman" w:eastAsia="Times New Roman" w:hAnsi="Times New Roman"/>
          <w:sz w:val="14"/>
          <w:szCs w:val="14"/>
          <w:color w:val="auto"/>
        </w:rPr>
      </w:pPr>
    </w:p>
    <w:p>
      <w:pPr>
        <w:ind w:left="1860" w:right="1459" w:firstLine="287"/>
        <w:spacing w:after="0" w:line="283" w:lineRule="auto"/>
        <w:tabs>
          <w:tab w:leader="none" w:pos="2392" w:val="left"/>
        </w:tabs>
        <w:numPr>
          <w:ilvl w:val="1"/>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 as amended (the “Securities Act”);</w:t>
      </w:r>
    </w:p>
    <w:p>
      <w:pPr>
        <w:spacing w:after="0" w:line="62" w:lineRule="exact"/>
        <w:rPr>
          <w:rFonts w:ascii="Times New Roman" w:cs="Times New Roman" w:eastAsia="Times New Roman" w:hAnsi="Times New Roman"/>
          <w:sz w:val="14"/>
          <w:szCs w:val="14"/>
          <w:color w:val="auto"/>
        </w:rPr>
      </w:pPr>
    </w:p>
    <w:p>
      <w:pPr>
        <w:ind w:left="1860" w:right="1319" w:firstLine="287"/>
        <w:spacing w:after="0" w:line="242" w:lineRule="auto"/>
        <w:tabs>
          <w:tab w:leader="none" w:pos="2361" w:val="left"/>
        </w:tabs>
        <w:numPr>
          <w:ilvl w:val="1"/>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254" w:lineRule="exact"/>
        <w:rPr>
          <w:rFonts w:ascii="Times New Roman" w:cs="Times New Roman" w:eastAsia="Times New Roman" w:hAnsi="Times New Roman"/>
          <w:sz w:val="14"/>
          <w:szCs w:val="14"/>
          <w:color w:val="auto"/>
        </w:rPr>
      </w:pPr>
    </w:p>
    <w:p>
      <w:pPr>
        <w:ind w:left="1860" w:right="1319" w:firstLine="287"/>
        <w:spacing w:after="0" w:line="259" w:lineRule="auto"/>
        <w:tabs>
          <w:tab w:leader="none" w:pos="2476" w:val="left"/>
        </w:tabs>
        <w:numPr>
          <w:ilvl w:val="1"/>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77" w:lineRule="exact"/>
        <w:rPr>
          <w:sz w:val="20"/>
          <w:szCs w:val="20"/>
          <w:color w:val="auto"/>
        </w:rPr>
      </w:pPr>
    </w:p>
    <w:p>
      <w:pPr>
        <w:ind w:left="1580" w:right="1499"/>
        <w:spacing w:after="0" w:line="248" w:lineRule="auto"/>
        <w:rPr>
          <w:sz w:val="20"/>
          <w:szCs w:val="20"/>
          <w:color w:val="auto"/>
        </w:rPr>
      </w:pPr>
      <w:r>
        <w:rPr>
          <w:rFonts w:ascii="Times New Roman" w:cs="Times New Roman" w:eastAsia="Times New Roman" w:hAnsi="Times New Roman"/>
          <w:sz w:val="14"/>
          <w:szCs w:val="14"/>
          <w:i w:val="1"/>
          <w:iCs w:val="1"/>
          <w:color w:val="auto"/>
        </w:rPr>
        <w:t xml:space="preserve">provided, however </w:t>
      </w:r>
      <w:r>
        <w:rPr>
          <w:rFonts w:ascii="Times New Roman" w:cs="Times New Roman" w:eastAsia="Times New Roman" w:hAnsi="Times New Roman"/>
          <w:sz w:val="14"/>
          <w:szCs w:val="14"/>
          <w:color w:val="auto"/>
        </w:rPr>
        <w:t>, that the undertakings set forth in paragraphs (a)(1)(i), (a)(1)(ii) and (a)(1)(iii)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this section do not apply if the information required to be included in a post-effective amendment by those paragraphs is contained in reports filed with or furnished to the Commission by the registrant pursuant to section 13 or section 15(d) of the Securities Exchange Act of 1934, as amended (the “Exchange Act”), that are incorporated by reference in the registration statement, or is contained in a form of prospectus filed pursuant to Rule 424(b) that is part of the registration statement.</w:t>
      </w:r>
    </w:p>
    <w:p>
      <w:pPr>
        <w:spacing w:after="0" w:line="88" w:lineRule="exact"/>
        <w:rPr>
          <w:sz w:val="20"/>
          <w:szCs w:val="20"/>
          <w:color w:val="auto"/>
        </w:rPr>
      </w:pPr>
    </w:p>
    <w:p>
      <w:pPr>
        <w:ind w:left="1580" w:right="1539" w:firstLine="286"/>
        <w:spacing w:after="0" w:line="251" w:lineRule="auto"/>
        <w:tabs>
          <w:tab w:leader="none" w:pos="2143"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4" w:lineRule="exact"/>
        <w:rPr>
          <w:rFonts w:ascii="Times New Roman" w:cs="Times New Roman" w:eastAsia="Times New Roman" w:hAnsi="Times New Roman"/>
          <w:sz w:val="14"/>
          <w:szCs w:val="14"/>
          <w:color w:val="auto"/>
        </w:rPr>
      </w:pPr>
    </w:p>
    <w:p>
      <w:pPr>
        <w:ind w:left="1580" w:right="1579" w:firstLine="286"/>
        <w:spacing w:after="0" w:line="268" w:lineRule="auto"/>
        <w:tabs>
          <w:tab w:leader="none" w:pos="2143"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71" w:lineRule="exact"/>
        <w:rPr>
          <w:rFonts w:ascii="Times New Roman" w:cs="Times New Roman" w:eastAsia="Times New Roman" w:hAnsi="Times New Roman"/>
          <w:sz w:val="14"/>
          <w:szCs w:val="14"/>
          <w:color w:val="auto"/>
        </w:rPr>
      </w:pPr>
    </w:p>
    <w:p>
      <w:pPr>
        <w:ind w:left="1580" w:right="1399" w:firstLine="286"/>
        <w:spacing w:after="0" w:line="268" w:lineRule="auto"/>
        <w:tabs>
          <w:tab w:leader="none" w:pos="2143"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3">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type w:val="continuous"/>
        </w:sectPr>
      </w:pPr>
    </w:p>
    <w:bookmarkStart w:id="90" w:name="page91"/>
    <w:bookmarkEnd w:id="90"/>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860" w:right="1439" w:firstLine="287"/>
        <w:spacing w:after="0" w:line="259" w:lineRule="auto"/>
        <w:tabs>
          <w:tab w:leader="none" w:pos="2395" w:val="left"/>
        </w:tabs>
        <w:numPr>
          <w:ilvl w:val="1"/>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8" w:lineRule="exact"/>
        <w:rPr>
          <w:rFonts w:ascii="Times New Roman" w:cs="Times New Roman" w:eastAsia="Times New Roman" w:hAnsi="Times New Roman"/>
          <w:sz w:val="14"/>
          <w:szCs w:val="14"/>
          <w:color w:val="auto"/>
        </w:rPr>
      </w:pPr>
    </w:p>
    <w:p>
      <w:pPr>
        <w:ind w:left="1860" w:right="1339" w:firstLine="287"/>
        <w:spacing w:after="0" w:line="242" w:lineRule="auto"/>
        <w:tabs>
          <w:tab w:leader="none" w:pos="2437" w:val="left"/>
        </w:tabs>
        <w:numPr>
          <w:ilvl w:val="1"/>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96" w:lineRule="exact"/>
        <w:rPr>
          <w:rFonts w:ascii="Times New Roman" w:cs="Times New Roman" w:eastAsia="Times New Roman" w:hAnsi="Times New Roman"/>
          <w:sz w:val="14"/>
          <w:szCs w:val="14"/>
          <w:color w:val="auto"/>
        </w:rPr>
      </w:pPr>
    </w:p>
    <w:p>
      <w:pPr>
        <w:ind w:left="1580" w:right="1399" w:firstLine="286"/>
        <w:spacing w:after="0" w:line="248" w:lineRule="auto"/>
        <w:tabs>
          <w:tab w:leader="none" w:pos="2143"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5" w:lineRule="exact"/>
        <w:rPr>
          <w:rFonts w:ascii="Times New Roman" w:cs="Times New Roman" w:eastAsia="Times New Roman" w:hAnsi="Times New Roman"/>
          <w:sz w:val="14"/>
          <w:szCs w:val="14"/>
          <w:color w:val="auto"/>
        </w:rPr>
      </w:pPr>
    </w:p>
    <w:p>
      <w:pPr>
        <w:ind w:left="1860" w:right="1579" w:firstLine="287"/>
        <w:spacing w:after="0" w:line="283" w:lineRule="auto"/>
        <w:tabs>
          <w:tab w:leader="none" w:pos="2387" w:val="left"/>
        </w:tabs>
        <w:numPr>
          <w:ilvl w:val="1"/>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62" w:lineRule="exact"/>
        <w:rPr>
          <w:rFonts w:ascii="Times New Roman" w:cs="Times New Roman" w:eastAsia="Times New Roman" w:hAnsi="Times New Roman"/>
          <w:sz w:val="14"/>
          <w:szCs w:val="14"/>
          <w:color w:val="auto"/>
        </w:rPr>
      </w:pPr>
    </w:p>
    <w:p>
      <w:pPr>
        <w:ind w:left="1860" w:right="1719" w:firstLine="287"/>
        <w:spacing w:after="0" w:line="268" w:lineRule="auto"/>
        <w:tabs>
          <w:tab w:leader="none" w:pos="2429" w:val="left"/>
        </w:tabs>
        <w:numPr>
          <w:ilvl w:val="1"/>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71" w:lineRule="exact"/>
        <w:rPr>
          <w:rFonts w:ascii="Times New Roman" w:cs="Times New Roman" w:eastAsia="Times New Roman" w:hAnsi="Times New Roman"/>
          <w:sz w:val="14"/>
          <w:szCs w:val="14"/>
          <w:color w:val="auto"/>
        </w:rPr>
      </w:pPr>
    </w:p>
    <w:p>
      <w:pPr>
        <w:ind w:left="1860" w:right="1419" w:firstLine="287"/>
        <w:spacing w:after="0" w:line="259" w:lineRule="auto"/>
        <w:tabs>
          <w:tab w:leader="none" w:pos="2476" w:val="left"/>
        </w:tabs>
        <w:numPr>
          <w:ilvl w:val="1"/>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78" w:lineRule="exact"/>
        <w:rPr>
          <w:rFonts w:ascii="Times New Roman" w:cs="Times New Roman" w:eastAsia="Times New Roman" w:hAnsi="Times New Roman"/>
          <w:sz w:val="14"/>
          <w:szCs w:val="14"/>
          <w:color w:val="auto"/>
        </w:rPr>
      </w:pPr>
    </w:p>
    <w:p>
      <w:pPr>
        <w:ind w:left="1860" w:right="1739" w:firstLine="287"/>
        <w:spacing w:after="0" w:line="268" w:lineRule="auto"/>
        <w:tabs>
          <w:tab w:leader="none" w:pos="2460" w:val="left"/>
        </w:tabs>
        <w:numPr>
          <w:ilvl w:val="1"/>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71" w:lineRule="exact"/>
        <w:rPr>
          <w:rFonts w:ascii="Times New Roman" w:cs="Times New Roman" w:eastAsia="Times New Roman" w:hAnsi="Times New Roman"/>
          <w:sz w:val="14"/>
          <w:szCs w:val="14"/>
          <w:color w:val="auto"/>
        </w:rPr>
      </w:pPr>
    </w:p>
    <w:p>
      <w:pPr>
        <w:ind w:left="1580" w:right="1439" w:firstLine="286"/>
        <w:spacing w:after="0" w:line="248" w:lineRule="auto"/>
        <w:tabs>
          <w:tab w:leader="none" w:pos="2143"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5" w:lineRule="exact"/>
        <w:rPr>
          <w:rFonts w:ascii="Times New Roman" w:cs="Times New Roman" w:eastAsia="Times New Roman" w:hAnsi="Times New Roman"/>
          <w:sz w:val="14"/>
          <w:szCs w:val="14"/>
          <w:color w:val="auto"/>
        </w:rPr>
      </w:pPr>
    </w:p>
    <w:p>
      <w:pPr>
        <w:ind w:left="1580" w:right="1339" w:firstLine="286"/>
        <w:spacing w:after="0" w:line="243" w:lineRule="auto"/>
        <w:tabs>
          <w:tab w:leader="none" w:pos="2146"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4">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91" w:name="page92"/>
    <w:bookmarkEnd w:id="91"/>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5" w:lineRule="exact"/>
        <w:rPr>
          <w:sz w:val="20"/>
          <w:szCs w:val="20"/>
          <w:color w:val="auto"/>
        </w:rPr>
      </w:pPr>
    </w:p>
    <w:p>
      <w:pPr>
        <w:ind w:left="1300" w:right="1359" w:firstLine="281"/>
        <w:spacing w:after="0" w:line="27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May 15, 2026.</w:t>
      </w:r>
    </w:p>
    <w:p>
      <w:pPr>
        <w:spacing w:after="0" w:line="7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CENTERPOINT ENERGY, INC.</w:t>
      </w:r>
    </w:p>
    <w:p>
      <w:pPr>
        <w:spacing w:after="0" w:line="2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(Registrant)</w:t>
      </w:r>
    </w:p>
    <w:p>
      <w:pPr>
        <w:spacing w:after="0" w:line="18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2966720</wp:posOffset>
            </wp:positionH>
            <wp:positionV relativeFrom="paragraph">
              <wp:posOffset>47625</wp:posOffset>
            </wp:positionV>
            <wp:extent cx="192405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5">
                      <a:extLst>
                        <a:ext uri="{28A0092B-C50C-407E-A947-70E740481C1C}"/>
                      </a:extLst>
                    </a:blip>
                    <a:srcRect/>
                    <a:stretch>
                      <a:fillRect/>
                    </a:stretch>
                  </pic:blipFill>
                  <pic:spPr bwMode="auto">
                    <a:xfrm>
                      <a:off x="0" y="0"/>
                      <a:ext cx="1924050" cy="6985"/>
                    </a:xfrm>
                    <a:prstGeom prst="rect">
                      <a:avLst/>
                    </a:prstGeom>
                    <a:noFill/>
                  </pic:spPr>
                </pic:pic>
              </a:graphicData>
            </a:graphic>
          </wp:anchor>
        </w:drawing>
      </w:r>
    </w:p>
    <w:p>
      <w:pPr>
        <w:spacing w:after="0" w:line="8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Name: Jason P. Wells</w:t>
      </w:r>
    </w:p>
    <w:p>
      <w:pPr>
        <w:spacing w:after="0" w:line="22" w:lineRule="exact"/>
        <w:rPr>
          <w:sz w:val="20"/>
          <w:szCs w:val="20"/>
          <w:color w:val="auto"/>
        </w:rPr>
      </w:pPr>
    </w:p>
    <w:p>
      <w:pPr>
        <w:ind w:left="4680"/>
        <w:spacing w:after="0"/>
        <w:tabs>
          <w:tab w:leader="none" w:pos="5100" w:val="left"/>
        </w:tabs>
        <w:rPr>
          <w:sz w:val="20"/>
          <w:szCs w:val="20"/>
          <w:color w:val="auto"/>
        </w:rPr>
      </w:pPr>
      <w:r>
        <w:rPr>
          <w:rFonts w:ascii="Times New Roman" w:cs="Times New Roman" w:eastAsia="Times New Roman" w:hAnsi="Times New Roman"/>
          <w:sz w:val="14"/>
          <w:szCs w:val="14"/>
          <w:color w:val="auto"/>
        </w:rPr>
        <w:t>Title:</w:t>
        <w:tab/>
        <w:t>Chair of the Board, President and Chief</w:t>
      </w:r>
    </w:p>
    <w:p>
      <w:pPr>
        <w:spacing w:after="0" w:line="1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color w:val="auto"/>
        </w:rPr>
        <w:t>Executive Officer</w:t>
      </w:r>
    </w:p>
    <w:p>
      <w:pPr>
        <w:spacing w:after="0" w:line="106" w:lineRule="exact"/>
        <w:rPr>
          <w:sz w:val="20"/>
          <w:szCs w:val="20"/>
          <w:color w:val="auto"/>
        </w:rPr>
      </w:pPr>
    </w:p>
    <w:p>
      <w:pPr>
        <w:ind w:left="1300" w:right="1339" w:firstLine="281"/>
        <w:spacing w:after="0" w:line="264" w:lineRule="auto"/>
        <w:rPr>
          <w:sz w:val="20"/>
          <w:szCs w:val="20"/>
          <w:color w:val="auto"/>
        </w:rPr>
      </w:pPr>
      <w:r>
        <w:rPr>
          <w:rFonts w:ascii="Times New Roman" w:cs="Times New Roman" w:eastAsia="Times New Roman" w:hAnsi="Times New Roman"/>
          <w:sz w:val="14"/>
          <w:szCs w:val="14"/>
          <w:b w:val="1"/>
          <w:bCs w:val="1"/>
          <w:color w:val="auto"/>
        </w:rPr>
        <w:t>KNOW ALL PERSONS BY THESE PRESENTS</w:t>
      </w:r>
      <w:r>
        <w:rPr>
          <w:rFonts w:ascii="Times New Roman" w:cs="Times New Roman" w:eastAsia="Times New Roman" w:hAnsi="Times New Roman"/>
          <w:sz w:val="14"/>
          <w:szCs w:val="14"/>
          <w:color w:val="auto"/>
        </w:rPr>
        <w:t>, that each person whose signature appears below</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constitutes and appoints Jason P. Wells, Christopher A. Foster, Jesus Soto, Jr., and Monica Karuturi, and each of them severally, his or her true and lawful attorney or attorneys-in-fact and agents, with full power to act with or without the others and with full power of substitution and resubstitution, to execute in his or her name, place and stead, in any and all capacities, any or all amendments (including pre-effective and post-effective amendments) to this Registration Statement and any registration statement for the same offering filed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in the name and on behalf of the undersigned, in any and all capacities, each and every act and thing necessary or desirable to be done in and about the premises, to all intents and purposes and as fully as they might or could do in person, hereby ratifying, approving and confirming all that said attorneys-in-fact and agents or their substitutes may lawfully do or cause to be done by virtue hereof.</w:t>
      </w:r>
    </w:p>
    <w:p>
      <w:pPr>
        <w:spacing w:after="0" w:line="88" w:lineRule="exact"/>
        <w:rPr>
          <w:sz w:val="20"/>
          <w:szCs w:val="20"/>
          <w:color w:val="auto"/>
        </w:rPr>
      </w:pPr>
    </w:p>
    <w:p>
      <w:pPr>
        <w:ind w:left="1300" w:right="1439" w:firstLine="281"/>
        <w:spacing w:after="0" w:line="299"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78" w:lineRule="exact"/>
        <w:rPr>
          <w:sz w:val="20"/>
          <w:szCs w:val="20"/>
          <w:color w:val="auto"/>
        </w:rPr>
      </w:pPr>
    </w:p>
    <w:tbl>
      <w:tblPr>
        <w:tblLayout w:type="fixed"/>
        <w:tblInd w:w="1300" w:type="dxa"/>
        <w:tblCellMar>
          <w:top w:w="0" w:type="dxa"/>
          <w:left w:w="0" w:type="dxa"/>
          <w:bottom w:w="0" w:type="dxa"/>
          <w:right w:w="0" w:type="dxa"/>
        </w:tblCellMar>
      </w:tblPr>
      <w:tr>
        <w:trPr>
          <w:trHeight w:val="177"/>
        </w:trPr>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38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w:t>
            </w:r>
          </w:p>
        </w:tc>
        <w:tc>
          <w:tcPr>
            <w:tcW w:w="274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8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1"/>
                <w:szCs w:val="11"/>
                <w:b w:val="1"/>
                <w:bCs w:val="1"/>
                <w:color w:val="auto"/>
              </w:rPr>
              <w:t>Date</w:t>
            </w: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334"/>
        </w:trPr>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38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rPr>
              <w:t>/s/ Jason P. Wells</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Chair of the Board, President and Chief</w:t>
            </w:r>
          </w:p>
        </w:tc>
        <w:tc>
          <w:tcPr>
            <w:tcW w:w="1020" w:type="dxa"/>
            <w:vAlign w:val="bottom"/>
            <w:gridSpan w:val="3"/>
            <w:vMerge w:val="restart"/>
          </w:tcPr>
          <w:p>
            <w:pPr>
              <w:ind w:left="40"/>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May 15, 2026</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46"/>
        </w:trPr>
        <w:tc>
          <w:tcPr>
            <w:tcW w:w="160" w:type="dxa"/>
            <w:vAlign w:val="bottom"/>
            <w:tcBorders>
              <w:bottom w:val="single" w:sz="8" w:color="auto"/>
            </w:tcBorders>
            <w:vMerge w:val="continue"/>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140" w:type="dxa"/>
            <w:vAlign w:val="bottom"/>
            <w:vMerge w:val="continue"/>
          </w:tcPr>
          <w:p>
            <w:pPr>
              <w:spacing w:after="0"/>
              <w:rPr>
                <w:sz w:val="4"/>
                <w:szCs w:val="4"/>
                <w:color w:val="auto"/>
              </w:rPr>
            </w:pPr>
          </w:p>
        </w:tc>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Executive Officer</w:t>
            </w:r>
          </w:p>
        </w:tc>
        <w:tc>
          <w:tcPr>
            <w:tcW w:w="10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160" w:type="dxa"/>
            <w:vAlign w:val="bottom"/>
          </w:tcPr>
          <w:p>
            <w:pPr>
              <w:spacing w:after="0"/>
              <w:rPr>
                <w:sz w:val="8"/>
                <w:szCs w:val="8"/>
                <w:color w:val="auto"/>
              </w:rPr>
            </w:pPr>
          </w:p>
        </w:tc>
        <w:tc>
          <w:tcPr>
            <w:tcW w:w="2380" w:type="dxa"/>
            <w:vAlign w:val="bottom"/>
            <w:vMerge w:val="restart"/>
          </w:tcPr>
          <w:p>
            <w:pPr>
              <w:jc w:val="center"/>
              <w:ind w:right="91"/>
              <w:spacing w:after="0"/>
              <w:rPr>
                <w:sz w:val="20"/>
                <w:szCs w:val="20"/>
                <w:color w:val="auto"/>
              </w:rPr>
            </w:pPr>
            <w:r>
              <w:rPr>
                <w:rFonts w:ascii="Times New Roman" w:cs="Times New Roman" w:eastAsia="Times New Roman" w:hAnsi="Times New Roman"/>
                <w:sz w:val="14"/>
                <w:szCs w:val="14"/>
                <w:color w:val="auto"/>
                <w:w w:val="99"/>
              </w:rPr>
              <w:t>Jason P. Wells</w:t>
            </w:r>
          </w:p>
        </w:tc>
        <w:tc>
          <w:tcPr>
            <w:tcW w:w="140" w:type="dxa"/>
            <w:vAlign w:val="bottom"/>
            <w:vMerge w:val="continue"/>
          </w:tcPr>
          <w:p>
            <w:pPr>
              <w:spacing w:after="0"/>
              <w:rPr>
                <w:sz w:val="8"/>
                <w:szCs w:val="8"/>
                <w:color w:val="auto"/>
              </w:rPr>
            </w:pPr>
          </w:p>
        </w:tc>
        <w:tc>
          <w:tcPr>
            <w:tcW w:w="2740" w:type="dxa"/>
            <w:vAlign w:val="bottom"/>
            <w:vMerge w:val="continue"/>
          </w:tcPr>
          <w:p>
            <w:pPr>
              <w:spacing w:after="0"/>
              <w:rPr>
                <w:sz w:val="8"/>
                <w:szCs w:val="8"/>
                <w:color w:val="auto"/>
              </w:rPr>
            </w:pPr>
          </w:p>
        </w:tc>
        <w:tc>
          <w:tcPr>
            <w:tcW w:w="10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60" w:type="dxa"/>
            <w:vAlign w:val="bottom"/>
          </w:tcPr>
          <w:p>
            <w:pPr>
              <w:spacing w:after="0"/>
              <w:rPr>
                <w:sz w:val="7"/>
                <w:szCs w:val="7"/>
                <w:color w:val="auto"/>
              </w:rPr>
            </w:pPr>
          </w:p>
        </w:tc>
        <w:tc>
          <w:tcPr>
            <w:tcW w:w="23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 and Director)</w:t>
            </w: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7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4"/>
        </w:trPr>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38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rPr>
              <w:t>/s/ Christopher A. Foster</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Executive Vice President and Chief Financial</w:t>
            </w:r>
          </w:p>
        </w:tc>
        <w:tc>
          <w:tcPr>
            <w:tcW w:w="1020" w:type="dxa"/>
            <w:vAlign w:val="bottom"/>
            <w:gridSpan w:val="3"/>
            <w:vMerge w:val="restart"/>
          </w:tcPr>
          <w:p>
            <w:pPr>
              <w:ind w:left="40"/>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May 15, 2026</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46"/>
        </w:trPr>
        <w:tc>
          <w:tcPr>
            <w:tcW w:w="160" w:type="dxa"/>
            <w:vAlign w:val="bottom"/>
            <w:tcBorders>
              <w:bottom w:val="single" w:sz="8" w:color="auto"/>
            </w:tcBorders>
            <w:vMerge w:val="continue"/>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140" w:type="dxa"/>
            <w:vAlign w:val="bottom"/>
            <w:vMerge w:val="continue"/>
          </w:tcPr>
          <w:p>
            <w:pPr>
              <w:spacing w:after="0"/>
              <w:rPr>
                <w:sz w:val="4"/>
                <w:szCs w:val="4"/>
                <w:color w:val="auto"/>
              </w:rPr>
            </w:pPr>
          </w:p>
        </w:tc>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Officer</w:t>
            </w:r>
          </w:p>
        </w:tc>
        <w:tc>
          <w:tcPr>
            <w:tcW w:w="10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160" w:type="dxa"/>
            <w:vAlign w:val="bottom"/>
          </w:tcPr>
          <w:p>
            <w:pPr>
              <w:spacing w:after="0"/>
              <w:rPr>
                <w:sz w:val="8"/>
                <w:szCs w:val="8"/>
                <w:color w:val="auto"/>
              </w:rPr>
            </w:pPr>
          </w:p>
        </w:tc>
        <w:tc>
          <w:tcPr>
            <w:tcW w:w="2380" w:type="dxa"/>
            <w:vAlign w:val="bottom"/>
            <w:vMerge w:val="restart"/>
          </w:tcPr>
          <w:p>
            <w:pPr>
              <w:jc w:val="center"/>
              <w:ind w:right="111"/>
              <w:spacing w:after="0"/>
              <w:rPr>
                <w:sz w:val="20"/>
                <w:szCs w:val="20"/>
                <w:color w:val="auto"/>
              </w:rPr>
            </w:pPr>
            <w:r>
              <w:rPr>
                <w:rFonts w:ascii="Times New Roman" w:cs="Times New Roman" w:eastAsia="Times New Roman" w:hAnsi="Times New Roman"/>
                <w:sz w:val="14"/>
                <w:szCs w:val="14"/>
                <w:color w:val="auto"/>
              </w:rPr>
              <w:t>Christopher A. Foster</w:t>
            </w:r>
          </w:p>
        </w:tc>
        <w:tc>
          <w:tcPr>
            <w:tcW w:w="140" w:type="dxa"/>
            <w:vAlign w:val="bottom"/>
            <w:vMerge w:val="continue"/>
          </w:tcPr>
          <w:p>
            <w:pPr>
              <w:spacing w:after="0"/>
              <w:rPr>
                <w:sz w:val="8"/>
                <w:szCs w:val="8"/>
                <w:color w:val="auto"/>
              </w:rPr>
            </w:pPr>
          </w:p>
        </w:tc>
        <w:tc>
          <w:tcPr>
            <w:tcW w:w="2740" w:type="dxa"/>
            <w:vAlign w:val="bottom"/>
            <w:vMerge w:val="continue"/>
          </w:tcPr>
          <w:p>
            <w:pPr>
              <w:spacing w:after="0"/>
              <w:rPr>
                <w:sz w:val="8"/>
                <w:szCs w:val="8"/>
                <w:color w:val="auto"/>
              </w:rPr>
            </w:pPr>
          </w:p>
        </w:tc>
        <w:tc>
          <w:tcPr>
            <w:tcW w:w="10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60" w:type="dxa"/>
            <w:vAlign w:val="bottom"/>
          </w:tcPr>
          <w:p>
            <w:pPr>
              <w:spacing w:after="0"/>
              <w:rPr>
                <w:sz w:val="7"/>
                <w:szCs w:val="7"/>
                <w:color w:val="auto"/>
              </w:rPr>
            </w:pPr>
          </w:p>
        </w:tc>
        <w:tc>
          <w:tcPr>
            <w:tcW w:w="23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6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7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9"/>
        </w:trPr>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380" w:type="dxa"/>
            <w:vAlign w:val="bottom"/>
          </w:tcPr>
          <w:p>
            <w:pPr>
              <w:jc w:val="center"/>
              <w:ind w:right="111"/>
              <w:spacing w:after="0"/>
              <w:rPr>
                <w:sz w:val="20"/>
                <w:szCs w:val="20"/>
                <w:color w:val="auto"/>
              </w:rPr>
            </w:pPr>
            <w:r>
              <w:rPr>
                <w:rFonts w:ascii="Times New Roman" w:cs="Times New Roman" w:eastAsia="Times New Roman" w:hAnsi="Times New Roman"/>
                <w:sz w:val="14"/>
                <w:szCs w:val="14"/>
                <w:color w:val="auto"/>
              </w:rPr>
              <w:t>/s/ Russell K. Wright</w:t>
            </w:r>
          </w:p>
        </w:tc>
        <w:tc>
          <w:tcPr>
            <w:tcW w:w="2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 Vice President and Chief Accounting Officer</w:t>
            </w:r>
          </w:p>
        </w:tc>
        <w:tc>
          <w:tcPr>
            <w:tcW w:w="1020" w:type="dxa"/>
            <w:vAlign w:val="bottom"/>
            <w:gridSpan w:val="3"/>
            <w:vMerge w:val="restart"/>
          </w:tcPr>
          <w:p>
            <w:pPr>
              <w:ind w:left="40"/>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May 15, 2026</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32"/>
        </w:trPr>
        <w:tc>
          <w:tcPr>
            <w:tcW w:w="160" w:type="dxa"/>
            <w:vAlign w:val="bottom"/>
            <w:tcBorders>
              <w:bottom w:val="single" w:sz="8" w:color="auto"/>
            </w:tcBorders>
            <w:vMerge w:val="continue"/>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880" w:type="dxa"/>
            <w:vAlign w:val="bottom"/>
            <w:gridSpan w:val="2"/>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60" w:type="dxa"/>
            <w:vAlign w:val="bottom"/>
          </w:tcPr>
          <w:p>
            <w:pPr>
              <w:spacing w:after="0"/>
              <w:rPr>
                <w:sz w:val="16"/>
                <w:szCs w:val="16"/>
                <w:color w:val="auto"/>
              </w:rPr>
            </w:pPr>
          </w:p>
        </w:tc>
        <w:tc>
          <w:tcPr>
            <w:tcW w:w="238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rPr>
              <w:t>Russell K. Wright</w:t>
            </w:r>
          </w:p>
        </w:tc>
        <w:tc>
          <w:tcPr>
            <w:tcW w:w="140" w:type="dxa"/>
            <w:vAlign w:val="bottom"/>
          </w:tcPr>
          <w:p>
            <w:pPr>
              <w:spacing w:after="0"/>
              <w:rPr>
                <w:sz w:val="16"/>
                <w:szCs w:val="16"/>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38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rPr>
              <w:t>/s/ Wendolynn Montoya Cloonan</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020" w:type="dxa"/>
            <w:vAlign w:val="bottom"/>
            <w:gridSpan w:val="3"/>
            <w:vMerge w:val="restart"/>
          </w:tcPr>
          <w:p>
            <w:pPr>
              <w:ind w:left="40"/>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May 15, 2026</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32"/>
        </w:trPr>
        <w:tc>
          <w:tcPr>
            <w:tcW w:w="160" w:type="dxa"/>
            <w:vAlign w:val="bottom"/>
            <w:tcBorders>
              <w:bottom w:val="single" w:sz="8" w:color="auto"/>
            </w:tcBorders>
            <w:vMerge w:val="continue"/>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40" w:type="dxa"/>
            <w:vAlign w:val="bottom"/>
            <w:vMerge w:val="continue"/>
          </w:tcPr>
          <w:p>
            <w:pPr>
              <w:spacing w:after="0"/>
              <w:rPr>
                <w:sz w:val="2"/>
                <w:szCs w:val="2"/>
                <w:color w:val="auto"/>
              </w:rPr>
            </w:pPr>
          </w:p>
        </w:tc>
        <w:tc>
          <w:tcPr>
            <w:tcW w:w="2740" w:type="dxa"/>
            <w:vAlign w:val="bottom"/>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2380" w:type="dxa"/>
            <w:vAlign w:val="bottom"/>
            <w:vMerge w:val="restart"/>
          </w:tcPr>
          <w:p>
            <w:pPr>
              <w:jc w:val="center"/>
              <w:ind w:right="111"/>
              <w:spacing w:after="0"/>
              <w:rPr>
                <w:sz w:val="20"/>
                <w:szCs w:val="20"/>
                <w:color w:val="auto"/>
              </w:rPr>
            </w:pPr>
            <w:r>
              <w:rPr>
                <w:rFonts w:ascii="Times New Roman" w:cs="Times New Roman" w:eastAsia="Times New Roman" w:hAnsi="Times New Roman"/>
                <w:sz w:val="14"/>
                <w:szCs w:val="14"/>
                <w:color w:val="auto"/>
              </w:rPr>
              <w:t>Wendolynn Montoya Cloonan</w:t>
            </w:r>
          </w:p>
        </w:tc>
        <w:tc>
          <w:tcPr>
            <w:tcW w:w="140" w:type="dxa"/>
            <w:vAlign w:val="bottom"/>
          </w:tcPr>
          <w:p>
            <w:pPr>
              <w:spacing w:after="0"/>
              <w:rPr>
                <w:sz w:val="12"/>
                <w:szCs w:val="12"/>
                <w:color w:val="auto"/>
              </w:rPr>
            </w:pPr>
          </w:p>
        </w:tc>
        <w:tc>
          <w:tcPr>
            <w:tcW w:w="2740" w:type="dxa"/>
            <w:vAlign w:val="bottom"/>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160" w:type="dxa"/>
            <w:vAlign w:val="bottom"/>
          </w:tcPr>
          <w:p>
            <w:pPr>
              <w:spacing w:after="0"/>
              <w:rPr>
                <w:sz w:val="3"/>
                <w:szCs w:val="3"/>
                <w:color w:val="auto"/>
              </w:rPr>
            </w:pPr>
          </w:p>
        </w:tc>
        <w:tc>
          <w:tcPr>
            <w:tcW w:w="23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380" w:type="dxa"/>
            <w:vAlign w:val="bottom"/>
          </w:tcPr>
          <w:p>
            <w:pPr>
              <w:jc w:val="center"/>
              <w:ind w:right="111"/>
              <w:spacing w:after="0"/>
              <w:rPr>
                <w:sz w:val="20"/>
                <w:szCs w:val="20"/>
                <w:color w:val="auto"/>
              </w:rPr>
            </w:pPr>
            <w:r>
              <w:rPr>
                <w:rFonts w:ascii="Times New Roman" w:cs="Times New Roman" w:eastAsia="Times New Roman" w:hAnsi="Times New Roman"/>
                <w:sz w:val="14"/>
                <w:szCs w:val="14"/>
                <w:color w:val="auto"/>
              </w:rPr>
              <w:t>/s/ Barbara J. Duganier</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020" w:type="dxa"/>
            <w:vAlign w:val="bottom"/>
            <w:gridSpan w:val="3"/>
            <w:vMerge w:val="restart"/>
          </w:tcPr>
          <w:p>
            <w:pPr>
              <w:ind w:left="40"/>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May 15, 2026</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32"/>
        </w:trPr>
        <w:tc>
          <w:tcPr>
            <w:tcW w:w="160" w:type="dxa"/>
            <w:vAlign w:val="bottom"/>
            <w:tcBorders>
              <w:bottom w:val="single" w:sz="8" w:color="auto"/>
            </w:tcBorders>
            <w:vMerge w:val="continue"/>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40" w:type="dxa"/>
            <w:vAlign w:val="bottom"/>
            <w:vMerge w:val="continue"/>
          </w:tcPr>
          <w:p>
            <w:pPr>
              <w:spacing w:after="0"/>
              <w:rPr>
                <w:sz w:val="2"/>
                <w:szCs w:val="2"/>
                <w:color w:val="auto"/>
              </w:rPr>
            </w:pPr>
          </w:p>
        </w:tc>
        <w:tc>
          <w:tcPr>
            <w:tcW w:w="2740" w:type="dxa"/>
            <w:vAlign w:val="bottom"/>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2380" w:type="dxa"/>
            <w:vAlign w:val="bottom"/>
            <w:vMerge w:val="restart"/>
          </w:tcPr>
          <w:p>
            <w:pPr>
              <w:jc w:val="center"/>
              <w:ind w:right="91"/>
              <w:spacing w:after="0"/>
              <w:rPr>
                <w:sz w:val="20"/>
                <w:szCs w:val="20"/>
                <w:color w:val="auto"/>
              </w:rPr>
            </w:pPr>
            <w:r>
              <w:rPr>
                <w:rFonts w:ascii="Times New Roman" w:cs="Times New Roman" w:eastAsia="Times New Roman" w:hAnsi="Times New Roman"/>
                <w:sz w:val="14"/>
                <w:szCs w:val="14"/>
                <w:color w:val="auto"/>
              </w:rPr>
              <w:t>Barbara J. Duganier</w:t>
            </w:r>
          </w:p>
        </w:tc>
        <w:tc>
          <w:tcPr>
            <w:tcW w:w="140" w:type="dxa"/>
            <w:vAlign w:val="bottom"/>
          </w:tcPr>
          <w:p>
            <w:pPr>
              <w:spacing w:after="0"/>
              <w:rPr>
                <w:sz w:val="12"/>
                <w:szCs w:val="12"/>
                <w:color w:val="auto"/>
              </w:rPr>
            </w:pPr>
          </w:p>
        </w:tc>
        <w:tc>
          <w:tcPr>
            <w:tcW w:w="2740" w:type="dxa"/>
            <w:vAlign w:val="bottom"/>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160" w:type="dxa"/>
            <w:vAlign w:val="bottom"/>
          </w:tcPr>
          <w:p>
            <w:pPr>
              <w:spacing w:after="0"/>
              <w:rPr>
                <w:sz w:val="3"/>
                <w:szCs w:val="3"/>
                <w:color w:val="auto"/>
              </w:rPr>
            </w:pPr>
          </w:p>
        </w:tc>
        <w:tc>
          <w:tcPr>
            <w:tcW w:w="23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38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rPr>
              <w:t>/s/ Laurie L. Fitch</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Director</w:t>
            </w:r>
          </w:p>
        </w:tc>
        <w:tc>
          <w:tcPr>
            <w:tcW w:w="1020" w:type="dxa"/>
            <w:vAlign w:val="bottom"/>
            <w:gridSpan w:val="3"/>
            <w:vMerge w:val="restart"/>
          </w:tcPr>
          <w:p>
            <w:pPr>
              <w:ind w:left="40"/>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May 15, 2026</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32"/>
        </w:trPr>
        <w:tc>
          <w:tcPr>
            <w:tcW w:w="160" w:type="dxa"/>
            <w:vAlign w:val="bottom"/>
            <w:tcBorders>
              <w:bottom w:val="single" w:sz="8" w:color="auto"/>
            </w:tcBorders>
            <w:vMerge w:val="continue"/>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40" w:type="dxa"/>
            <w:vAlign w:val="bottom"/>
            <w:vMerge w:val="continue"/>
          </w:tcPr>
          <w:p>
            <w:pPr>
              <w:spacing w:after="0"/>
              <w:rPr>
                <w:sz w:val="2"/>
                <w:szCs w:val="2"/>
                <w:color w:val="auto"/>
              </w:rPr>
            </w:pPr>
          </w:p>
        </w:tc>
        <w:tc>
          <w:tcPr>
            <w:tcW w:w="2740" w:type="dxa"/>
            <w:vAlign w:val="bottom"/>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
        </w:trPr>
        <w:tc>
          <w:tcPr>
            <w:tcW w:w="1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740" w:type="dxa"/>
            <w:vAlign w:val="bottom"/>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2120"/>
        <w:spacing w:after="0"/>
        <w:rPr>
          <w:sz w:val="20"/>
          <w:szCs w:val="20"/>
          <w:color w:val="auto"/>
        </w:rPr>
      </w:pPr>
      <w:r>
        <w:rPr>
          <w:rFonts w:ascii="Times New Roman" w:cs="Times New Roman" w:eastAsia="Times New Roman" w:hAnsi="Times New Roman"/>
          <w:sz w:val="14"/>
          <w:szCs w:val="14"/>
          <w:color w:val="auto"/>
        </w:rPr>
        <w:t>Laurie L. Fitch</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6">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92" w:name="page93"/>
    <w:bookmarkEnd w:id="92"/>
    <w:p>
      <w:pPr>
        <w:ind w:left="32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332" w:lineRule="exact"/>
        <w:rPr>
          <w:sz w:val="20"/>
          <w:szCs w:val="20"/>
          <w:color w:val="auto"/>
        </w:rPr>
      </w:pPr>
    </w:p>
    <w:p>
      <w:pPr>
        <w:ind w:left="2340" w:hanging="1035"/>
        <w:spacing w:after="0"/>
        <w:tabs>
          <w:tab w:leader="none" w:pos="2340" w:val="left"/>
        </w:tabs>
        <w:numPr>
          <w:ilvl w:val="0"/>
          <w:numId w:val="129"/>
        </w:numPr>
        <w:rPr>
          <w:rFonts w:ascii="Times New Roman" w:cs="Times New Roman" w:eastAsia="Times New Roman" w:hAnsi="Times New Roman"/>
          <w:sz w:val="22"/>
          <w:szCs w:val="22"/>
          <w:b w:val="1"/>
          <w:bCs w:val="1"/>
          <w:color w:val="auto"/>
          <w:vertAlign w:val="subscript"/>
        </w:rPr>
      </w:pPr>
      <w:r>
        <w:rPr>
          <w:rFonts w:ascii="Times New Roman" w:cs="Times New Roman" w:eastAsia="Times New Roman" w:hAnsi="Times New Roman"/>
          <w:sz w:val="11"/>
          <w:szCs w:val="11"/>
          <w:b w:val="1"/>
          <w:bCs w:val="1"/>
          <w:color w:val="auto"/>
        </w:rPr>
        <w:t>Signature</w:t>
      </w:r>
    </w:p>
    <w:p>
      <w:pPr>
        <w:spacing w:after="0" w:line="214" w:lineRule="exact"/>
        <w:rPr>
          <w:rFonts w:ascii="Times New Roman" w:cs="Times New Roman" w:eastAsia="Times New Roman" w:hAnsi="Times New Roman"/>
          <w:sz w:val="22"/>
          <w:szCs w:val="22"/>
          <w:b w:val="1"/>
          <w:bCs w:val="1"/>
          <w:color w:val="auto"/>
          <w:vertAlign w:val="subscript"/>
        </w:rPr>
      </w:pPr>
    </w:p>
    <w:p>
      <w:pPr>
        <w:ind w:left="1780" w:hanging="475"/>
        <w:spacing w:after="0"/>
        <w:tabs>
          <w:tab w:leader="none" w:pos="178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40640</wp:posOffset>
            </wp:positionV>
            <wp:extent cx="160337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7">
                      <a:extLst>
                        <a:ext uri="{28A0092B-C50C-407E-A947-70E740481C1C}"/>
                      </a:extLst>
                    </a:blip>
                    <a:srcRect/>
                    <a:stretch>
                      <a:fillRect/>
                    </a:stretch>
                  </pic:blipFill>
                  <pic:spPr bwMode="auto">
                    <a:xfrm>
                      <a:off x="0" y="0"/>
                      <a:ext cx="1603375" cy="698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-219075</wp:posOffset>
            </wp:positionV>
            <wp:extent cx="160337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8">
                      <a:extLst>
                        <a:ext uri="{28A0092B-C50C-407E-A947-70E740481C1C}"/>
                      </a:extLst>
                    </a:blip>
                    <a:srcRect/>
                    <a:stretch>
                      <a:fillRect/>
                    </a:stretch>
                  </pic:blipFill>
                  <pic:spPr bwMode="auto">
                    <a:xfrm>
                      <a:off x="0" y="0"/>
                      <a:ext cx="1603375" cy="6985"/>
                    </a:xfrm>
                    <a:prstGeom prst="rect">
                      <a:avLst/>
                    </a:prstGeom>
                    <a:noFill/>
                  </pic:spPr>
                </pic:pic>
              </a:graphicData>
            </a:graphic>
          </wp:anchor>
        </w:drawing>
      </w:r>
    </w:p>
    <w:p>
      <w:pPr>
        <w:spacing w:after="0" w:line="7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4"/>
          <w:szCs w:val="14"/>
          <w:color w:val="auto"/>
        </w:rPr>
        <w:t>Christopher H. Franklin</w:t>
      </w:r>
    </w:p>
    <w:p>
      <w:pPr>
        <w:spacing w:after="0" w:line="186" w:lineRule="exact"/>
        <w:rPr>
          <w:sz w:val="20"/>
          <w:szCs w:val="20"/>
          <w:color w:val="auto"/>
        </w:rPr>
      </w:pPr>
    </w:p>
    <w:p>
      <w:pPr>
        <w:ind w:left="1900" w:hanging="595"/>
        <w:spacing w:after="0"/>
        <w:tabs>
          <w:tab w:leader="none" w:pos="190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Michael A. Herman</w:t>
      </w:r>
    </w:p>
    <w:p>
      <w:pPr>
        <w:spacing w:after="0" w:line="91" w:lineRule="exact"/>
        <w:rPr>
          <w:rFonts w:ascii="Times New Roman" w:cs="Times New Roman" w:eastAsia="Times New Roman" w:hAnsi="Times New Roman"/>
          <w:sz w:val="14"/>
          <w:szCs w:val="14"/>
          <w:color w:val="auto"/>
        </w:rPr>
      </w:pPr>
    </w:p>
    <w:p>
      <w:pPr>
        <w:ind w:left="19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Michael A. Herman</w:t>
      </w:r>
    </w:p>
    <w:p>
      <w:pPr>
        <w:spacing w:after="0" w:line="186" w:lineRule="exact"/>
        <w:rPr>
          <w:rFonts w:ascii="Times New Roman" w:cs="Times New Roman" w:eastAsia="Times New Roman" w:hAnsi="Times New Roman"/>
          <w:sz w:val="14"/>
          <w:szCs w:val="14"/>
          <w:color w:val="auto"/>
        </w:rPr>
      </w:pPr>
    </w:p>
    <w:p>
      <w:pPr>
        <w:ind w:left="1920" w:hanging="615"/>
        <w:spacing w:after="0"/>
        <w:tabs>
          <w:tab w:leader="none" w:pos="192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Raquelle W. Lewis</w:t>
      </w:r>
    </w:p>
    <w:p>
      <w:pPr>
        <w:spacing w:after="0" w:line="91" w:lineRule="exact"/>
        <w:rPr>
          <w:rFonts w:ascii="Times New Roman" w:cs="Times New Roman" w:eastAsia="Times New Roman" w:hAnsi="Times New Roman"/>
          <w:sz w:val="14"/>
          <w:szCs w:val="14"/>
          <w:color w:val="auto"/>
        </w:rPr>
      </w:pPr>
    </w:p>
    <w:p>
      <w:pPr>
        <w:ind w:left="20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Raquelle W. Lewis</w:t>
      </w:r>
    </w:p>
    <w:p>
      <w:pPr>
        <w:spacing w:after="0" w:line="186" w:lineRule="exact"/>
        <w:rPr>
          <w:rFonts w:ascii="Times New Roman" w:cs="Times New Roman" w:eastAsia="Times New Roman" w:hAnsi="Times New Roman"/>
          <w:sz w:val="14"/>
          <w:szCs w:val="14"/>
          <w:color w:val="auto"/>
        </w:rPr>
      </w:pPr>
    </w:p>
    <w:p>
      <w:pPr>
        <w:ind w:left="1940" w:hanging="635"/>
        <w:spacing w:after="0"/>
        <w:tabs>
          <w:tab w:leader="none" w:pos="194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Thaddeus J. Malik</w:t>
      </w:r>
    </w:p>
    <w:p>
      <w:pPr>
        <w:spacing w:after="0" w:line="91" w:lineRule="exact"/>
        <w:rPr>
          <w:rFonts w:ascii="Times New Roman" w:cs="Times New Roman" w:eastAsia="Times New Roman" w:hAnsi="Times New Roman"/>
          <w:sz w:val="14"/>
          <w:szCs w:val="14"/>
          <w:color w:val="auto"/>
        </w:rPr>
      </w:pPr>
    </w:p>
    <w:p>
      <w:pPr>
        <w:ind w:left="20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Thaddeus J. Malik</w:t>
      </w:r>
    </w:p>
    <w:p>
      <w:pPr>
        <w:spacing w:after="0" w:line="186" w:lineRule="exact"/>
        <w:rPr>
          <w:rFonts w:ascii="Times New Roman" w:cs="Times New Roman" w:eastAsia="Times New Roman" w:hAnsi="Times New Roman"/>
          <w:sz w:val="14"/>
          <w:szCs w:val="14"/>
          <w:color w:val="auto"/>
        </w:rPr>
      </w:pPr>
    </w:p>
    <w:p>
      <w:pPr>
        <w:ind w:left="1900" w:hanging="595"/>
        <w:spacing w:after="0"/>
        <w:tabs>
          <w:tab w:leader="none" w:pos="190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Manuel B. Miranda</w:t>
      </w:r>
    </w:p>
    <w:p>
      <w:pPr>
        <w:spacing w:after="0" w:line="91" w:lineRule="exact"/>
        <w:rPr>
          <w:rFonts w:ascii="Times New Roman" w:cs="Times New Roman" w:eastAsia="Times New Roman" w:hAnsi="Times New Roman"/>
          <w:sz w:val="14"/>
          <w:szCs w:val="14"/>
          <w:color w:val="auto"/>
        </w:rPr>
      </w:pPr>
    </w:p>
    <w:p>
      <w:pPr>
        <w:ind w:left="20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Manuel B. Miranda</w:t>
      </w:r>
    </w:p>
    <w:p>
      <w:pPr>
        <w:spacing w:after="0" w:line="186" w:lineRule="exact"/>
        <w:rPr>
          <w:rFonts w:ascii="Times New Roman" w:cs="Times New Roman" w:eastAsia="Times New Roman" w:hAnsi="Times New Roman"/>
          <w:sz w:val="14"/>
          <w:szCs w:val="14"/>
          <w:color w:val="auto"/>
        </w:rPr>
      </w:pPr>
    </w:p>
    <w:p>
      <w:pPr>
        <w:ind w:left="1920" w:hanging="615"/>
        <w:spacing w:after="0"/>
        <w:tabs>
          <w:tab w:leader="none" w:pos="192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Theodore F. Pound</w:t>
      </w:r>
    </w:p>
    <w:p>
      <w:pPr>
        <w:spacing w:after="0" w:line="91" w:lineRule="exact"/>
        <w:rPr>
          <w:rFonts w:ascii="Times New Roman" w:cs="Times New Roman" w:eastAsia="Times New Roman" w:hAnsi="Times New Roman"/>
          <w:sz w:val="14"/>
          <w:szCs w:val="14"/>
          <w:color w:val="auto"/>
        </w:rPr>
      </w:pPr>
    </w:p>
    <w:p>
      <w:pPr>
        <w:ind w:left="20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Theodore F. Pound</w:t>
      </w:r>
    </w:p>
    <w:p>
      <w:pPr>
        <w:spacing w:after="0" w:line="186" w:lineRule="exact"/>
        <w:rPr>
          <w:rFonts w:ascii="Times New Roman" w:cs="Times New Roman" w:eastAsia="Times New Roman" w:hAnsi="Times New Roman"/>
          <w:sz w:val="14"/>
          <w:szCs w:val="14"/>
          <w:color w:val="auto"/>
        </w:rPr>
      </w:pPr>
    </w:p>
    <w:p>
      <w:pPr>
        <w:ind w:left="2000" w:hanging="695"/>
        <w:spacing w:after="0"/>
        <w:tabs>
          <w:tab w:leader="none" w:pos="200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Dean L. Seavers</w:t>
      </w:r>
    </w:p>
    <w:p>
      <w:pPr>
        <w:spacing w:after="0" w:line="91" w:lineRule="exact"/>
        <w:rPr>
          <w:rFonts w:ascii="Times New Roman" w:cs="Times New Roman" w:eastAsia="Times New Roman" w:hAnsi="Times New Roman"/>
          <w:sz w:val="14"/>
          <w:szCs w:val="14"/>
          <w:color w:val="auto"/>
        </w:rPr>
      </w:pPr>
    </w:p>
    <w:p>
      <w:pPr>
        <w:ind w:left="20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Dean L. Seavers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-2023110</wp:posOffset>
            </wp:positionV>
            <wp:extent cx="160337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9">
                      <a:extLst>
                        <a:ext uri="{28A0092B-C50C-407E-A947-70E740481C1C}"/>
                      </a:extLst>
                    </a:blip>
                    <a:srcRect/>
                    <a:stretch>
                      <a:fillRect/>
                    </a:stretch>
                  </pic:blipFill>
                  <pic:spPr bwMode="auto">
                    <a:xfrm>
                      <a:off x="0" y="0"/>
                      <a:ext cx="1603375" cy="698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-1642110</wp:posOffset>
            </wp:positionV>
            <wp:extent cx="160337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0">
                      <a:extLst>
                        <a:ext uri="{28A0092B-C50C-407E-A947-70E740481C1C}"/>
                      </a:extLst>
                    </a:blip>
                    <a:srcRect/>
                    <a:stretch>
                      <a:fillRect/>
                    </a:stretch>
                  </pic:blipFill>
                  <pic:spPr bwMode="auto">
                    <a:xfrm>
                      <a:off x="0" y="0"/>
                      <a:ext cx="1603375" cy="698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-1261745</wp:posOffset>
            </wp:positionV>
            <wp:extent cx="160337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1">
                      <a:extLst>
                        <a:ext uri="{28A0092B-C50C-407E-A947-70E740481C1C}"/>
                      </a:extLst>
                    </a:blip>
                    <a:srcRect/>
                    <a:stretch>
                      <a:fillRect/>
                    </a:stretch>
                  </pic:blipFill>
                  <pic:spPr bwMode="auto">
                    <a:xfrm>
                      <a:off x="0" y="0"/>
                      <a:ext cx="1603375" cy="698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-880745</wp:posOffset>
            </wp:positionV>
            <wp:extent cx="160337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2">
                      <a:extLst>
                        <a:ext uri="{28A0092B-C50C-407E-A947-70E740481C1C}"/>
                      </a:extLst>
                    </a:blip>
                    <a:srcRect/>
                    <a:stretch>
                      <a:fillRect/>
                    </a:stretch>
                  </pic:blipFill>
                  <pic:spPr bwMode="auto">
                    <a:xfrm>
                      <a:off x="0" y="0"/>
                      <a:ext cx="1603375" cy="698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-499745</wp:posOffset>
            </wp:positionV>
            <wp:extent cx="160337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3">
                      <a:extLst>
                        <a:ext uri="{28A0092B-C50C-407E-A947-70E740481C1C}"/>
                      </a:extLst>
                    </a:blip>
                    <a:srcRect/>
                    <a:stretch>
                      <a:fillRect/>
                    </a:stretch>
                  </pic:blipFill>
                  <pic:spPr bwMode="auto">
                    <a:xfrm>
                      <a:off x="0" y="0"/>
                      <a:ext cx="1603375" cy="698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-118745</wp:posOffset>
            </wp:positionV>
            <wp:extent cx="160337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4">
                      <a:extLst>
                        <a:ext uri="{28A0092B-C50C-407E-A947-70E740481C1C}"/>
                      </a:extLst>
                    </a:blip>
                    <a:srcRect/>
                    <a:stretch>
                      <a:fillRect/>
                    </a:stretch>
                  </pic:blipFill>
                  <pic:spPr bwMode="auto">
                    <a:xfrm>
                      <a:off x="0" y="0"/>
                      <a:ext cx="160337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left="-299"/>
        <w:spacing w:after="0"/>
        <w:rPr>
          <w:sz w:val="20"/>
          <w:szCs w:val="20"/>
          <w:color w:val="auto"/>
        </w:rPr>
      </w:pPr>
      <w:r>
        <w:rPr>
          <w:rFonts w:ascii="Times New Roman" w:cs="Times New Roman" w:eastAsia="Times New Roman" w:hAnsi="Times New Roman"/>
          <w:sz w:val="11"/>
          <w:szCs w:val="11"/>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32385</wp:posOffset>
            </wp:positionV>
            <wp:extent cx="173037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5">
                      <a:extLst>
                        <a:ext uri="{28A0092B-C50C-407E-A947-70E740481C1C}"/>
                      </a:extLst>
                    </a:blip>
                    <a:srcRect/>
                    <a:stretch>
                      <a:fillRect/>
                    </a:stretch>
                  </pic:blipFill>
                  <pic:spPr bwMode="auto">
                    <a:xfrm>
                      <a:off x="0" y="0"/>
                      <a:ext cx="1730375" cy="6985"/>
                    </a:xfrm>
                    <a:prstGeom prst="rect">
                      <a:avLst/>
                    </a:prstGeom>
                    <a:noFill/>
                  </pic:spPr>
                </pic:pic>
              </a:graphicData>
            </a:graphic>
          </wp:anchor>
        </w:drawing>
      </w:r>
    </w:p>
    <w:p>
      <w:pPr>
        <w:spacing w:after="0" w:line="332" w:lineRule="exact"/>
        <w:rPr>
          <w:sz w:val="20"/>
          <w:szCs w:val="20"/>
          <w:color w:val="auto"/>
        </w:rPr>
      </w:pPr>
    </w:p>
    <w:p>
      <w:pPr>
        <w:jc w:val="center"/>
        <w:ind w:left="-279"/>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39" w:lineRule="exact"/>
        <w:rPr>
          <w:sz w:val="20"/>
          <w:szCs w:val="20"/>
          <w:color w:val="auto"/>
        </w:rPr>
      </w:pPr>
    </w:p>
    <w:p>
      <w:pPr>
        <w:jc w:val="center"/>
        <w:ind w:left="-279"/>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39" w:lineRule="exact"/>
        <w:rPr>
          <w:sz w:val="20"/>
          <w:szCs w:val="20"/>
          <w:color w:val="auto"/>
        </w:rPr>
      </w:pPr>
    </w:p>
    <w:p>
      <w:pPr>
        <w:jc w:val="center"/>
        <w:ind w:left="-279"/>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39" w:lineRule="exact"/>
        <w:rPr>
          <w:sz w:val="20"/>
          <w:szCs w:val="20"/>
          <w:color w:val="auto"/>
        </w:rPr>
      </w:pPr>
    </w:p>
    <w:p>
      <w:pPr>
        <w:jc w:val="center"/>
        <w:ind w:left="-279"/>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39" w:lineRule="exact"/>
        <w:rPr>
          <w:sz w:val="20"/>
          <w:szCs w:val="20"/>
          <w:color w:val="auto"/>
        </w:rPr>
      </w:pPr>
    </w:p>
    <w:p>
      <w:pPr>
        <w:jc w:val="center"/>
        <w:ind w:left="-279"/>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39" w:lineRule="exact"/>
        <w:rPr>
          <w:sz w:val="20"/>
          <w:szCs w:val="20"/>
          <w:color w:val="auto"/>
        </w:rPr>
      </w:pPr>
    </w:p>
    <w:p>
      <w:pPr>
        <w:jc w:val="center"/>
        <w:ind w:left="-279"/>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39" w:lineRule="exact"/>
        <w:rPr>
          <w:sz w:val="20"/>
          <w:szCs w:val="20"/>
          <w:color w:val="auto"/>
        </w:rPr>
      </w:pPr>
    </w:p>
    <w:p>
      <w:pPr>
        <w:jc w:val="center"/>
        <w:ind w:left="-279"/>
        <w:spacing w:after="0"/>
        <w:rPr>
          <w:sz w:val="20"/>
          <w:szCs w:val="20"/>
          <w:color w:val="auto"/>
        </w:rPr>
      </w:pPr>
      <w:r>
        <w:rPr>
          <w:rFonts w:ascii="Times New Roman" w:cs="Times New Roman" w:eastAsia="Times New Roman" w:hAnsi="Times New Roman"/>
          <w:sz w:val="14"/>
          <w:szCs w:val="14"/>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-2585720</wp:posOffset>
            </wp:positionH>
            <wp:positionV relativeFrom="paragraph">
              <wp:posOffset>194945</wp:posOffset>
            </wp:positionV>
            <wp:extent cx="533082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6">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400" w:val="left"/>
          <w:tab w:leader="none" w:pos="920" w:val="left"/>
        </w:tabs>
        <w:rPr>
          <w:sz w:val="20"/>
          <w:szCs w:val="20"/>
          <w:color w:val="auto"/>
        </w:rPr>
      </w:pPr>
      <w:r>
        <w:rPr>
          <w:rFonts w:ascii="Times New Roman" w:cs="Times New Roman" w:eastAsia="Times New Roman" w:hAnsi="Times New Roman"/>
          <w:sz w:val="22"/>
          <w:szCs w:val="22"/>
          <w:b w:val="1"/>
          <w:bCs w:val="1"/>
          <w:color w:val="auto"/>
          <w:vertAlign w:val="subscript"/>
        </w:rPr>
        <w:t>​ ​</w:t>
      </w:r>
      <w:r>
        <w:rPr>
          <w:sz w:val="20"/>
          <w:szCs w:val="20"/>
          <w:color w:val="auto"/>
        </w:rPr>
        <w:tab/>
      </w:r>
      <w:r>
        <w:rPr>
          <w:rFonts w:ascii="Times New Roman" w:cs="Times New Roman" w:eastAsia="Times New Roman" w:hAnsi="Times New Roman"/>
          <w:sz w:val="11"/>
          <w:szCs w:val="11"/>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26670</wp:posOffset>
            </wp:positionV>
            <wp:extent cx="52133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7">
                      <a:extLst>
                        <a:ext uri="{28A0092B-C50C-407E-A947-70E740481C1C}"/>
                      </a:extLst>
                    </a:blip>
                    <a:srcRect/>
                    <a:stretch>
                      <a:fillRect/>
                    </a:stretch>
                  </pic:blipFill>
                  <pic:spPr bwMode="auto">
                    <a:xfrm>
                      <a:off x="0" y="0"/>
                      <a:ext cx="521335" cy="6985"/>
                    </a:xfrm>
                    <a:prstGeom prst="rect">
                      <a:avLst/>
                    </a:prstGeom>
                    <a:noFill/>
                  </pic:spPr>
                </pic:pic>
              </a:graphicData>
            </a:graphic>
          </wp:anchor>
        </w:drawing>
      </w:r>
    </w:p>
    <w:p>
      <w:pPr>
        <w:spacing w:after="0" w:line="229" w:lineRule="exact"/>
        <w:rPr>
          <w:sz w:val="20"/>
          <w:szCs w:val="20"/>
          <w:color w:val="auto"/>
        </w:rPr>
      </w:pPr>
    </w:p>
    <w:p>
      <w:pPr>
        <w:jc w:val="center"/>
        <w:ind w:right="1279"/>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May 15, 2026</w:t>
      </w:r>
      <w:r>
        <w:rPr>
          <w:rFonts w:ascii="Times New Roman" w:cs="Times New Roman" w:eastAsia="Times New Roman" w:hAnsi="Times New Roman"/>
          <w:sz w:val="28"/>
          <w:szCs w:val="28"/>
          <w:color w:val="auto"/>
          <w:vertAlign w:val="superscript"/>
        </w:rPr>
        <w:t>​</w:t>
      </w:r>
    </w:p>
    <w:p>
      <w:pPr>
        <w:spacing w:after="0" w:line="278" w:lineRule="exact"/>
        <w:rPr>
          <w:sz w:val="20"/>
          <w:szCs w:val="20"/>
          <w:color w:val="auto"/>
        </w:rPr>
      </w:pPr>
    </w:p>
    <w:p>
      <w:pPr>
        <w:jc w:val="center"/>
        <w:ind w:right="1279"/>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May 15, 2026</w:t>
      </w:r>
      <w:r>
        <w:rPr>
          <w:rFonts w:ascii="Times New Roman" w:cs="Times New Roman" w:eastAsia="Times New Roman" w:hAnsi="Times New Roman"/>
          <w:sz w:val="28"/>
          <w:szCs w:val="28"/>
          <w:color w:val="auto"/>
          <w:vertAlign w:val="superscript"/>
        </w:rPr>
        <w:t>​</w:t>
      </w:r>
    </w:p>
    <w:p>
      <w:pPr>
        <w:spacing w:after="0" w:line="278" w:lineRule="exact"/>
        <w:rPr>
          <w:sz w:val="20"/>
          <w:szCs w:val="20"/>
          <w:color w:val="auto"/>
        </w:rPr>
      </w:pPr>
    </w:p>
    <w:p>
      <w:pPr>
        <w:jc w:val="center"/>
        <w:ind w:right="1279"/>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May 15, 2026</w:t>
      </w:r>
      <w:r>
        <w:rPr>
          <w:rFonts w:ascii="Times New Roman" w:cs="Times New Roman" w:eastAsia="Times New Roman" w:hAnsi="Times New Roman"/>
          <w:sz w:val="28"/>
          <w:szCs w:val="28"/>
          <w:color w:val="auto"/>
          <w:vertAlign w:val="superscript"/>
        </w:rPr>
        <w:t>​</w:t>
      </w:r>
    </w:p>
    <w:p>
      <w:pPr>
        <w:spacing w:after="0" w:line="278" w:lineRule="exact"/>
        <w:rPr>
          <w:sz w:val="20"/>
          <w:szCs w:val="20"/>
          <w:color w:val="auto"/>
        </w:rPr>
      </w:pPr>
    </w:p>
    <w:p>
      <w:pPr>
        <w:jc w:val="center"/>
        <w:ind w:right="1279"/>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May 15, 2026</w:t>
      </w:r>
      <w:r>
        <w:rPr>
          <w:rFonts w:ascii="Times New Roman" w:cs="Times New Roman" w:eastAsia="Times New Roman" w:hAnsi="Times New Roman"/>
          <w:sz w:val="28"/>
          <w:szCs w:val="28"/>
          <w:color w:val="auto"/>
          <w:vertAlign w:val="superscript"/>
        </w:rPr>
        <w:t>​</w:t>
      </w:r>
    </w:p>
    <w:p>
      <w:pPr>
        <w:spacing w:after="0" w:line="278" w:lineRule="exact"/>
        <w:rPr>
          <w:sz w:val="20"/>
          <w:szCs w:val="20"/>
          <w:color w:val="auto"/>
        </w:rPr>
      </w:pPr>
    </w:p>
    <w:p>
      <w:pPr>
        <w:jc w:val="center"/>
        <w:ind w:right="1279"/>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May 15, 2026</w:t>
      </w:r>
      <w:r>
        <w:rPr>
          <w:rFonts w:ascii="Times New Roman" w:cs="Times New Roman" w:eastAsia="Times New Roman" w:hAnsi="Times New Roman"/>
          <w:sz w:val="28"/>
          <w:szCs w:val="28"/>
          <w:color w:val="auto"/>
          <w:vertAlign w:val="superscript"/>
        </w:rPr>
        <w:t>​</w:t>
      </w:r>
    </w:p>
    <w:p>
      <w:pPr>
        <w:spacing w:after="0" w:line="278" w:lineRule="exact"/>
        <w:rPr>
          <w:sz w:val="20"/>
          <w:szCs w:val="20"/>
          <w:color w:val="auto"/>
        </w:rPr>
      </w:pPr>
    </w:p>
    <w:p>
      <w:pPr>
        <w:jc w:val="center"/>
        <w:ind w:right="1279"/>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May 15, 2026</w:t>
      </w:r>
      <w:r>
        <w:rPr>
          <w:rFonts w:ascii="Times New Roman" w:cs="Times New Roman" w:eastAsia="Times New Roman" w:hAnsi="Times New Roman"/>
          <w:sz w:val="28"/>
          <w:szCs w:val="28"/>
          <w:color w:val="auto"/>
          <w:vertAlign w:val="superscript"/>
        </w:rPr>
        <w:t>​</w:t>
      </w:r>
    </w:p>
    <w:p>
      <w:pPr>
        <w:spacing w:after="0" w:line="278" w:lineRule="exact"/>
        <w:rPr>
          <w:sz w:val="20"/>
          <w:szCs w:val="20"/>
          <w:color w:val="auto"/>
        </w:rPr>
      </w:pPr>
    </w:p>
    <w:p>
      <w:pPr>
        <w:jc w:val="center"/>
        <w:ind w:right="1279"/>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May 15, 2026</w:t>
      </w:r>
      <w:r>
        <w:rPr>
          <w:rFonts w:ascii="Times New Roman" w:cs="Times New Roman" w:eastAsia="Times New Roman" w:hAnsi="Times New Roman"/>
          <w:sz w:val="28"/>
          <w:szCs w:val="28"/>
          <w:color w:val="auto"/>
          <w:vertAlign w:val="superscript"/>
        </w:rPr>
        <w:t>​</w:t>
      </w:r>
    </w:p>
    <w:p>
      <w:pPr>
        <w:sectPr>
          <w:pgSz w:w="11900" w:h="16838" w:orient="portrait"/>
          <w:cols w:equalWidth="0" w:num="4">
            <w:col w:w="3360" w:space="500"/>
            <w:col w:w="120" w:space="400"/>
            <w:col w:w="1660" w:space="720"/>
            <w:col w:w="2259"/>
          </w:cols>
          <w:pgMar w:left="1440" w:top="107" w:right="1440" w:bottom="1440" w:gutter="0" w:footer="0" w:header="0"/>
        </w:sectPr>
      </w:pPr>
    </w:p>
    <w:bookmarkStart w:id="93" w:name="page94"/>
    <w:bookmarkEnd w:id="93"/>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5" w:lineRule="exact"/>
        <w:rPr>
          <w:sz w:val="20"/>
          <w:szCs w:val="20"/>
          <w:color w:val="auto"/>
        </w:rPr>
      </w:pPr>
    </w:p>
    <w:p>
      <w:pPr>
        <w:ind w:left="1300" w:right="1359" w:firstLine="281"/>
        <w:spacing w:after="0" w:line="261"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May 15, 2026.</w:t>
      </w:r>
    </w:p>
    <w:p>
      <w:pPr>
        <w:spacing w:after="0" w:line="8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CENTERPOINT ENERGY HOUSTON ELECTRIC,</w:t>
      </w:r>
    </w:p>
    <w:p>
      <w:pPr>
        <w:spacing w:after="0" w:line="2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LLC</w:t>
      </w:r>
    </w:p>
    <w:p>
      <w:pPr>
        <w:spacing w:after="0" w:line="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(Registrant)</w:t>
      </w:r>
    </w:p>
    <w:p>
      <w:pPr>
        <w:spacing w:after="0" w:line="16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/s/ Jesus Soto,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2966720</wp:posOffset>
            </wp:positionH>
            <wp:positionV relativeFrom="paragraph">
              <wp:posOffset>34290</wp:posOffset>
            </wp:positionV>
            <wp:extent cx="192405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1924050" cy="6985"/>
                    </a:xfrm>
                    <a:prstGeom prst="rect">
                      <a:avLst/>
                    </a:prstGeom>
                    <a:noFill/>
                  </pic:spPr>
                </pic:pic>
              </a:graphicData>
            </a:graphic>
          </wp:anchor>
        </w:drawing>
      </w:r>
    </w:p>
    <w:p>
      <w:pPr>
        <w:spacing w:after="0" w:line="6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Name: Jesus Soto, Jr.</w:t>
      </w:r>
    </w:p>
    <w:p>
      <w:pPr>
        <w:spacing w:after="0" w:line="22" w:lineRule="exact"/>
        <w:rPr>
          <w:sz w:val="20"/>
          <w:szCs w:val="20"/>
          <w:color w:val="auto"/>
        </w:rPr>
      </w:pPr>
    </w:p>
    <w:p>
      <w:pPr>
        <w:ind w:left="4680"/>
        <w:spacing w:after="0"/>
        <w:tabs>
          <w:tab w:leader="none" w:pos="5100" w:val="left"/>
        </w:tabs>
        <w:rPr>
          <w:sz w:val="20"/>
          <w:szCs w:val="20"/>
          <w:color w:val="auto"/>
        </w:rPr>
      </w:pPr>
      <w:r>
        <w:rPr>
          <w:rFonts w:ascii="Times New Roman" w:cs="Times New Roman" w:eastAsia="Times New Roman" w:hAnsi="Times New Roman"/>
          <w:sz w:val="14"/>
          <w:szCs w:val="14"/>
          <w:color w:val="auto"/>
        </w:rPr>
        <w:t>Title:</w:t>
        <w:tab/>
        <w:t>President and Chief Executive Officer</w:t>
      </w:r>
    </w:p>
    <w:p>
      <w:pPr>
        <w:spacing w:after="0" w:line="106" w:lineRule="exact"/>
        <w:rPr>
          <w:sz w:val="20"/>
          <w:szCs w:val="20"/>
          <w:color w:val="auto"/>
        </w:rPr>
      </w:pPr>
    </w:p>
    <w:p>
      <w:pPr>
        <w:ind w:left="1300" w:right="1339" w:firstLine="281"/>
        <w:spacing w:after="0" w:line="253" w:lineRule="auto"/>
        <w:rPr>
          <w:sz w:val="20"/>
          <w:szCs w:val="20"/>
          <w:color w:val="auto"/>
        </w:rPr>
      </w:pPr>
      <w:r>
        <w:rPr>
          <w:rFonts w:ascii="Times New Roman" w:cs="Times New Roman" w:eastAsia="Times New Roman" w:hAnsi="Times New Roman"/>
          <w:sz w:val="14"/>
          <w:szCs w:val="14"/>
          <w:b w:val="1"/>
          <w:bCs w:val="1"/>
          <w:color w:val="auto"/>
        </w:rPr>
        <w:t>KNOW ALL PERSONS BY THESE PRESENTS</w:t>
      </w:r>
      <w:r>
        <w:rPr>
          <w:rFonts w:ascii="Times New Roman" w:cs="Times New Roman" w:eastAsia="Times New Roman" w:hAnsi="Times New Roman"/>
          <w:sz w:val="14"/>
          <w:szCs w:val="14"/>
          <w:color w:val="auto"/>
        </w:rPr>
        <w:t>, that each person whose signature appears below</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constitutes and appoints Jason P. Wells, Christopher A. Foster, Jesus Soto, Jr., and Monica Karuturi, and each of them severally, his or her true and lawful attorney or attorneys-in-fact and agents, with full power to act with or without the others and with full power of substitution and resubstitution, to execute in his or her name, place and stead, in any and all capacities, any or all amendments (including pre-effective and post-effective amendments) to this Registration Statement and any registration statement for the same offering filed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in the name and on behalf of the undersigned, in any and all capacities, each and every act and thing necessary or desirable to be done in and about the premises, to all intents and purposes and as fully as they might or could do in person, hereby ratifying, approving and confirming all that said attorneys-in-fact and agents or their substitutes may lawfully do or cause to be done by virtue hereof.</w:t>
      </w:r>
    </w:p>
    <w:p>
      <w:pPr>
        <w:spacing w:after="0" w:line="90" w:lineRule="exact"/>
        <w:rPr>
          <w:sz w:val="20"/>
          <w:szCs w:val="20"/>
          <w:color w:val="auto"/>
        </w:rPr>
      </w:pPr>
    </w:p>
    <w:p>
      <w:pPr>
        <w:ind w:left="1300" w:right="1439" w:firstLine="281"/>
        <w:spacing w:after="0" w:line="28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89" w:lineRule="exact"/>
        <w:rPr>
          <w:sz w:val="20"/>
          <w:szCs w:val="20"/>
          <w:color w:val="auto"/>
        </w:rPr>
      </w:pPr>
    </w:p>
    <w:tbl>
      <w:tblPr>
        <w:tblLayout w:type="fixed"/>
        <w:tblInd w:w="1300" w:type="dxa"/>
        <w:tblCellMar>
          <w:top w:w="0" w:type="dxa"/>
          <w:left w:w="0" w:type="dxa"/>
          <w:bottom w:w="0" w:type="dxa"/>
          <w:right w:w="0" w:type="dxa"/>
        </w:tblCellMar>
      </w:tblPr>
      <w:tr>
        <w:trPr>
          <w:trHeight w:val="177"/>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24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w:t>
            </w: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Date</w:t>
            </w:r>
          </w:p>
        </w:tc>
        <w:tc>
          <w:tcPr>
            <w:tcW w:w="300" w:type="dxa"/>
            <w:vAlign w:val="bottom"/>
            <w:tcBorders>
              <w:bottom w:val="single" w:sz="8" w:color="auto"/>
            </w:tcBorders>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350"/>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240" w:type="dxa"/>
            <w:vAlign w:val="bottom"/>
          </w:tcPr>
          <w:p>
            <w:pPr>
              <w:jc w:val="center"/>
              <w:ind w:right="252"/>
              <w:spacing w:after="0"/>
              <w:rPr>
                <w:sz w:val="20"/>
                <w:szCs w:val="20"/>
                <w:color w:val="auto"/>
              </w:rPr>
            </w:pPr>
            <w:r>
              <w:rPr>
                <w:rFonts w:ascii="Times New Roman" w:cs="Times New Roman" w:eastAsia="Times New Roman" w:hAnsi="Times New Roman"/>
                <w:sz w:val="14"/>
                <w:szCs w:val="14"/>
                <w:color w:val="auto"/>
              </w:rPr>
              <w:t>/s/ Jesus Soto, Jr.</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Sole Manager, President and Chief Executive</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0"/>
        </w:trPr>
        <w:tc>
          <w:tcPr>
            <w:tcW w:w="3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740" w:type="dxa"/>
            <w:vAlign w:val="bottom"/>
            <w:vMerge w:val="restart"/>
          </w:tcPr>
          <w:p>
            <w:pPr>
              <w:ind w:left="1140"/>
              <w:spacing w:after="0" w:line="153" w:lineRule="exact"/>
              <w:rPr>
                <w:sz w:val="20"/>
                <w:szCs w:val="20"/>
                <w:color w:val="auto"/>
              </w:rPr>
            </w:pPr>
            <w:r>
              <w:rPr>
                <w:rFonts w:ascii="Times New Roman" w:cs="Times New Roman" w:eastAsia="Times New Roman" w:hAnsi="Times New Roman"/>
                <w:sz w:val="14"/>
                <w:szCs w:val="14"/>
                <w:color w:val="auto"/>
              </w:rPr>
              <w:t>Officer</w:t>
            </w:r>
          </w:p>
        </w:tc>
        <w:tc>
          <w:tcPr>
            <w:tcW w:w="160" w:type="dxa"/>
            <w:vAlign w:val="bottom"/>
          </w:tcPr>
          <w:p>
            <w:pPr>
              <w:spacing w:after="0"/>
              <w:rPr>
                <w:sz w:val="2"/>
                <w:szCs w:val="2"/>
                <w:color w:val="auto"/>
              </w:rPr>
            </w:pPr>
          </w:p>
        </w:tc>
        <w:tc>
          <w:tcPr>
            <w:tcW w:w="520" w:type="dxa"/>
            <w:vAlign w:val="bottom"/>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w w:val="98"/>
              </w:rPr>
              <w:t>May 15,</w:t>
            </w:r>
          </w:p>
        </w:tc>
        <w:tc>
          <w:tcPr>
            <w:tcW w:w="300" w:type="dxa"/>
            <w:vAlign w:val="bottom"/>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w w:val="99"/>
              </w:rPr>
              <w:t>2026</w:t>
            </w: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2240" w:type="dxa"/>
            <w:vAlign w:val="bottom"/>
            <w:vMerge w:val="restart"/>
          </w:tcPr>
          <w:p>
            <w:pPr>
              <w:jc w:val="center"/>
              <w:ind w:right="232"/>
              <w:spacing w:after="0"/>
              <w:rPr>
                <w:sz w:val="20"/>
                <w:szCs w:val="20"/>
                <w:color w:val="auto"/>
              </w:rPr>
            </w:pPr>
            <w:r>
              <w:rPr>
                <w:rFonts w:ascii="Times New Roman" w:cs="Times New Roman" w:eastAsia="Times New Roman" w:hAnsi="Times New Roman"/>
                <w:sz w:val="14"/>
                <w:szCs w:val="14"/>
                <w:color w:val="auto"/>
              </w:rPr>
              <w:t>Jesus Soto, Jr.</w:t>
            </w:r>
          </w:p>
        </w:tc>
        <w:tc>
          <w:tcPr>
            <w:tcW w:w="140" w:type="dxa"/>
            <w:vAlign w:val="bottom"/>
          </w:tcPr>
          <w:p>
            <w:pPr>
              <w:spacing w:after="0"/>
              <w:rPr>
                <w:sz w:val="8"/>
                <w:szCs w:val="8"/>
                <w:color w:val="auto"/>
              </w:rPr>
            </w:pPr>
          </w:p>
        </w:tc>
        <w:tc>
          <w:tcPr>
            <w:tcW w:w="27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00" w:type="dxa"/>
            <w:vAlign w:val="bottom"/>
          </w:tcPr>
          <w:p>
            <w:pPr>
              <w:spacing w:after="0"/>
              <w:rPr>
                <w:sz w:val="7"/>
                <w:szCs w:val="7"/>
                <w:color w:val="auto"/>
              </w:rPr>
            </w:pPr>
          </w:p>
        </w:tc>
        <w:tc>
          <w:tcPr>
            <w:tcW w:w="22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7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4"/>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240" w:type="dxa"/>
            <w:vAlign w:val="bottom"/>
          </w:tcPr>
          <w:p>
            <w:pPr>
              <w:jc w:val="center"/>
              <w:ind w:right="232"/>
              <w:spacing w:after="0"/>
              <w:rPr>
                <w:sz w:val="20"/>
                <w:szCs w:val="20"/>
                <w:color w:val="auto"/>
              </w:rPr>
            </w:pPr>
            <w:r>
              <w:rPr>
                <w:rFonts w:ascii="Times New Roman" w:cs="Times New Roman" w:eastAsia="Times New Roman" w:hAnsi="Times New Roman"/>
                <w:sz w:val="14"/>
                <w:szCs w:val="14"/>
                <w:color w:val="auto"/>
              </w:rPr>
              <w:t>/s/ Christopher A. Foster</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Executive Vice President and Chief Financial</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May 15,</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2026</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46"/>
        </w:trPr>
        <w:tc>
          <w:tcPr>
            <w:tcW w:w="300" w:type="dxa"/>
            <w:vAlign w:val="bottom"/>
            <w:tcBorders>
              <w:bottom w:val="single" w:sz="8" w:color="auto"/>
            </w:tcBorders>
            <w:vMerge w:val="continue"/>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140" w:type="dxa"/>
            <w:vAlign w:val="bottom"/>
            <w:vMerge w:val="continue"/>
          </w:tcPr>
          <w:p>
            <w:pPr>
              <w:spacing w:after="0"/>
              <w:rPr>
                <w:sz w:val="4"/>
                <w:szCs w:val="4"/>
                <w:color w:val="auto"/>
              </w:rPr>
            </w:pPr>
          </w:p>
        </w:tc>
        <w:tc>
          <w:tcPr>
            <w:tcW w:w="2740" w:type="dxa"/>
            <w:vAlign w:val="bottom"/>
            <w:vMerge w:val="restart"/>
          </w:tcPr>
          <w:p>
            <w:pPr>
              <w:ind w:left="1140"/>
              <w:spacing w:after="0"/>
              <w:rPr>
                <w:sz w:val="20"/>
                <w:szCs w:val="20"/>
                <w:color w:val="auto"/>
              </w:rPr>
            </w:pPr>
            <w:r>
              <w:rPr>
                <w:rFonts w:ascii="Times New Roman" w:cs="Times New Roman" w:eastAsia="Times New Roman" w:hAnsi="Times New Roman"/>
                <w:sz w:val="14"/>
                <w:szCs w:val="14"/>
                <w:color w:val="auto"/>
              </w:rPr>
              <w:t>Officer</w:t>
            </w:r>
          </w:p>
        </w:tc>
        <w:tc>
          <w:tcPr>
            <w:tcW w:w="680" w:type="dxa"/>
            <w:vAlign w:val="bottom"/>
            <w:gridSpan w:val="2"/>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2240" w:type="dxa"/>
            <w:vAlign w:val="bottom"/>
            <w:vMerge w:val="restart"/>
          </w:tcPr>
          <w:p>
            <w:pPr>
              <w:jc w:val="center"/>
              <w:ind w:right="252"/>
              <w:spacing w:after="0"/>
              <w:rPr>
                <w:sz w:val="20"/>
                <w:szCs w:val="20"/>
                <w:color w:val="auto"/>
              </w:rPr>
            </w:pPr>
            <w:r>
              <w:rPr>
                <w:rFonts w:ascii="Times New Roman" w:cs="Times New Roman" w:eastAsia="Times New Roman" w:hAnsi="Times New Roman"/>
                <w:sz w:val="14"/>
                <w:szCs w:val="14"/>
                <w:color w:val="auto"/>
              </w:rPr>
              <w:t>Christopher A. Foster</w:t>
            </w:r>
          </w:p>
        </w:tc>
        <w:tc>
          <w:tcPr>
            <w:tcW w:w="140" w:type="dxa"/>
            <w:vAlign w:val="bottom"/>
            <w:vMerge w:val="continue"/>
          </w:tcPr>
          <w:p>
            <w:pPr>
              <w:spacing w:after="0"/>
              <w:rPr>
                <w:sz w:val="8"/>
                <w:szCs w:val="8"/>
                <w:color w:val="auto"/>
              </w:rPr>
            </w:pPr>
          </w:p>
        </w:tc>
        <w:tc>
          <w:tcPr>
            <w:tcW w:w="274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00" w:type="dxa"/>
            <w:vAlign w:val="bottom"/>
          </w:tcPr>
          <w:p>
            <w:pPr>
              <w:spacing w:after="0"/>
              <w:rPr>
                <w:sz w:val="7"/>
                <w:szCs w:val="7"/>
                <w:color w:val="auto"/>
              </w:rPr>
            </w:pPr>
          </w:p>
        </w:tc>
        <w:tc>
          <w:tcPr>
            <w:tcW w:w="22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7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9"/>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240" w:type="dxa"/>
            <w:vAlign w:val="bottom"/>
          </w:tcPr>
          <w:p>
            <w:pPr>
              <w:jc w:val="center"/>
              <w:ind w:right="252"/>
              <w:spacing w:after="0"/>
              <w:rPr>
                <w:sz w:val="20"/>
                <w:szCs w:val="20"/>
                <w:color w:val="auto"/>
              </w:rPr>
            </w:pPr>
            <w:r>
              <w:rPr>
                <w:rFonts w:ascii="Times New Roman" w:cs="Times New Roman" w:eastAsia="Times New Roman" w:hAnsi="Times New Roman"/>
                <w:sz w:val="14"/>
                <w:szCs w:val="14"/>
                <w:color w:val="auto"/>
              </w:rPr>
              <w:t>/s/ Russell K. Wright</w:t>
            </w:r>
          </w:p>
        </w:tc>
        <w:tc>
          <w:tcPr>
            <w:tcW w:w="2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 Vice President and Chief Accounting Officer</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May 15,</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2026</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32"/>
        </w:trPr>
        <w:tc>
          <w:tcPr>
            <w:tcW w:w="300" w:type="dxa"/>
            <w:vAlign w:val="bottom"/>
            <w:tcBorders>
              <w:bottom w:val="single" w:sz="8" w:color="auto"/>
            </w:tcBorders>
            <w:vMerge w:val="continue"/>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880" w:type="dxa"/>
            <w:vAlign w:val="bottom"/>
            <w:gridSpan w:val="2"/>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3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240" w:type="dxa"/>
            <w:vAlign w:val="bottom"/>
            <w:vMerge w:val="restart"/>
          </w:tcPr>
          <w:p>
            <w:pPr>
              <w:jc w:val="center"/>
              <w:ind w:right="232"/>
              <w:spacing w:after="0"/>
              <w:rPr>
                <w:sz w:val="20"/>
                <w:szCs w:val="20"/>
                <w:color w:val="auto"/>
              </w:rPr>
            </w:pPr>
            <w:r>
              <w:rPr>
                <w:rFonts w:ascii="Times New Roman" w:cs="Times New Roman" w:eastAsia="Times New Roman" w:hAnsi="Times New Roman"/>
                <w:sz w:val="14"/>
                <w:szCs w:val="14"/>
                <w:color w:val="auto"/>
              </w:rPr>
              <w:t>Russell K. Wright</w:t>
            </w:r>
          </w:p>
        </w:tc>
        <w:tc>
          <w:tcPr>
            <w:tcW w:w="140" w:type="dxa"/>
            <w:vAlign w:val="bottom"/>
          </w:tcPr>
          <w:p>
            <w:pPr>
              <w:spacing w:after="0"/>
              <w:rPr>
                <w:sz w:val="12"/>
                <w:szCs w:val="12"/>
                <w:color w:val="auto"/>
              </w:rPr>
            </w:pPr>
          </w:p>
        </w:tc>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680" w:type="dxa"/>
            <w:vAlign w:val="bottom"/>
            <w:gridSpan w:val="2"/>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300" w:type="dxa"/>
            <w:vAlign w:val="bottom"/>
          </w:tcPr>
          <w:p>
            <w:pPr>
              <w:spacing w:after="0"/>
              <w:rPr>
                <w:sz w:val="3"/>
                <w:szCs w:val="3"/>
                <w:color w:val="auto"/>
              </w:rPr>
            </w:pPr>
          </w:p>
        </w:tc>
        <w:tc>
          <w:tcPr>
            <w:tcW w:w="22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9">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94" w:name="page95"/>
    <w:bookmarkEnd w:id="94"/>
    <w:p>
      <w:pPr>
        <w:ind w:left="32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5" w:lineRule="exact"/>
        <w:rPr>
          <w:sz w:val="20"/>
          <w:szCs w:val="20"/>
          <w:color w:val="auto"/>
        </w:rPr>
      </w:pPr>
    </w:p>
    <w:p>
      <w:pPr>
        <w:ind w:left="1300" w:right="1359" w:firstLine="281"/>
        <w:spacing w:after="0" w:line="261"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May 15, 2026.</w:t>
      </w:r>
    </w:p>
    <w:p>
      <w:pPr>
        <w:spacing w:after="0" w:line="8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CENTERPOINT ENERGY RESOURCES CORP.</w:t>
      </w:r>
    </w:p>
    <w:p>
      <w:pPr>
        <w:spacing w:after="0" w:line="2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(Registrant)</w:t>
      </w:r>
    </w:p>
    <w:p>
      <w:pPr>
        <w:spacing w:after="0" w:line="16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/s/ Jesus Soto,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2966720</wp:posOffset>
            </wp:positionH>
            <wp:positionV relativeFrom="paragraph">
              <wp:posOffset>34290</wp:posOffset>
            </wp:positionV>
            <wp:extent cx="192405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0">
                      <a:extLst>
                        <a:ext uri="{28A0092B-C50C-407E-A947-70E740481C1C}"/>
                      </a:extLst>
                    </a:blip>
                    <a:srcRect/>
                    <a:stretch>
                      <a:fillRect/>
                    </a:stretch>
                  </pic:blipFill>
                  <pic:spPr bwMode="auto">
                    <a:xfrm>
                      <a:off x="0" y="0"/>
                      <a:ext cx="1924050" cy="6985"/>
                    </a:xfrm>
                    <a:prstGeom prst="rect">
                      <a:avLst/>
                    </a:prstGeom>
                    <a:noFill/>
                  </pic:spPr>
                </pic:pic>
              </a:graphicData>
            </a:graphic>
          </wp:anchor>
        </w:drawing>
      </w:r>
    </w:p>
    <w:p>
      <w:pPr>
        <w:spacing w:after="0" w:line="6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Name: Jesus Soto, Jr.</w:t>
      </w:r>
    </w:p>
    <w:p>
      <w:pPr>
        <w:spacing w:after="0" w:line="22" w:lineRule="exact"/>
        <w:rPr>
          <w:sz w:val="20"/>
          <w:szCs w:val="20"/>
          <w:color w:val="auto"/>
        </w:rPr>
      </w:pPr>
    </w:p>
    <w:p>
      <w:pPr>
        <w:ind w:left="4680"/>
        <w:spacing w:after="0"/>
        <w:tabs>
          <w:tab w:leader="none" w:pos="5100" w:val="left"/>
        </w:tabs>
        <w:rPr>
          <w:sz w:val="20"/>
          <w:szCs w:val="20"/>
          <w:color w:val="auto"/>
        </w:rPr>
      </w:pPr>
      <w:r>
        <w:rPr>
          <w:rFonts w:ascii="Times New Roman" w:cs="Times New Roman" w:eastAsia="Times New Roman" w:hAnsi="Times New Roman"/>
          <w:sz w:val="14"/>
          <w:szCs w:val="14"/>
          <w:color w:val="auto"/>
        </w:rPr>
        <w:t>Title:</w:t>
        <w:tab/>
        <w:t>President and Chief Executive Officer</w:t>
      </w:r>
    </w:p>
    <w:p>
      <w:pPr>
        <w:spacing w:after="0" w:line="106" w:lineRule="exact"/>
        <w:rPr>
          <w:sz w:val="20"/>
          <w:szCs w:val="20"/>
          <w:color w:val="auto"/>
        </w:rPr>
      </w:pPr>
    </w:p>
    <w:p>
      <w:pPr>
        <w:ind w:left="1300" w:right="1339" w:firstLine="281"/>
        <w:spacing w:after="0" w:line="253" w:lineRule="auto"/>
        <w:rPr>
          <w:sz w:val="20"/>
          <w:szCs w:val="20"/>
          <w:color w:val="auto"/>
        </w:rPr>
      </w:pPr>
      <w:r>
        <w:rPr>
          <w:rFonts w:ascii="Times New Roman" w:cs="Times New Roman" w:eastAsia="Times New Roman" w:hAnsi="Times New Roman"/>
          <w:sz w:val="14"/>
          <w:szCs w:val="14"/>
          <w:b w:val="1"/>
          <w:bCs w:val="1"/>
          <w:color w:val="auto"/>
        </w:rPr>
        <w:t>KNOW ALL PERSONS BY THESE PRESENTS</w:t>
      </w:r>
      <w:r>
        <w:rPr>
          <w:rFonts w:ascii="Times New Roman" w:cs="Times New Roman" w:eastAsia="Times New Roman" w:hAnsi="Times New Roman"/>
          <w:sz w:val="14"/>
          <w:szCs w:val="14"/>
          <w:color w:val="auto"/>
        </w:rPr>
        <w:t>, that each person whose signature appears below</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constitutes and appoints Jason P. Wells, Christopher A. Foster, Jesus Soto, Jr., and Monica Karuturi, and each of them severally, his or her true and lawful attorney or attorneys-in-fact and agents, with full power to act with or without the others and with full power of substitution and resubstitution, to execute in his or her name, place and stead, in any and all capacities, any or all amendments (including pre-effective and post-effective amendments) to this Registration Statement and any registration statement for the same offering filed pursuant to Rule 462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in the name and on behalf of the undersigned, in any and all capacities, each and every act and thing necessary or desirable to be done in and about the premises, to all intents and purposes and as fully as they might or could do in person, hereby ratifying, approving and confirming all that said attorneys-in-fact and agents or their substitutes may lawfully do or cause to be done by virtue hereof.</w:t>
      </w:r>
    </w:p>
    <w:p>
      <w:pPr>
        <w:spacing w:after="0" w:line="90" w:lineRule="exact"/>
        <w:rPr>
          <w:sz w:val="20"/>
          <w:szCs w:val="20"/>
          <w:color w:val="auto"/>
        </w:rPr>
      </w:pPr>
    </w:p>
    <w:p>
      <w:pPr>
        <w:ind w:left="1300" w:right="1439" w:firstLine="281"/>
        <w:spacing w:after="0" w:line="28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this registration statement has been signed by the following persons in the capacities and on the dates indicated.</w:t>
      </w:r>
    </w:p>
    <w:p>
      <w:pPr>
        <w:spacing w:after="0" w:line="89" w:lineRule="exact"/>
        <w:rPr>
          <w:sz w:val="20"/>
          <w:szCs w:val="20"/>
          <w:color w:val="auto"/>
        </w:rPr>
      </w:pPr>
    </w:p>
    <w:tbl>
      <w:tblPr>
        <w:tblLayout w:type="fixed"/>
        <w:tblInd w:w="1300" w:type="dxa"/>
        <w:tblCellMar>
          <w:top w:w="0" w:type="dxa"/>
          <w:left w:w="0" w:type="dxa"/>
          <w:bottom w:w="0" w:type="dxa"/>
          <w:right w:w="0" w:type="dxa"/>
        </w:tblCellMar>
      </w:tblPr>
      <w:tr>
        <w:trPr>
          <w:trHeight w:val="177"/>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24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w:t>
            </w: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Date</w:t>
            </w:r>
          </w:p>
        </w:tc>
        <w:tc>
          <w:tcPr>
            <w:tcW w:w="300" w:type="dxa"/>
            <w:vAlign w:val="bottom"/>
            <w:tcBorders>
              <w:bottom w:val="single" w:sz="8" w:color="auto"/>
            </w:tcBorders>
          </w:tcPr>
          <w:p>
            <w:pPr>
              <w:spacing w:after="0"/>
              <w:rPr>
                <w:sz w:val="15"/>
                <w:szCs w:val="15"/>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350"/>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240" w:type="dxa"/>
            <w:vAlign w:val="bottom"/>
          </w:tcPr>
          <w:p>
            <w:pPr>
              <w:jc w:val="center"/>
              <w:ind w:right="252"/>
              <w:spacing w:after="0"/>
              <w:rPr>
                <w:sz w:val="20"/>
                <w:szCs w:val="20"/>
                <w:color w:val="auto"/>
              </w:rPr>
            </w:pPr>
            <w:r>
              <w:rPr>
                <w:rFonts w:ascii="Times New Roman" w:cs="Times New Roman" w:eastAsia="Times New Roman" w:hAnsi="Times New Roman"/>
                <w:sz w:val="14"/>
                <w:szCs w:val="14"/>
                <w:color w:val="auto"/>
              </w:rPr>
              <w:t>/s/ Jesus Soto, Jr.</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Sole Director, President and Chief Executive</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0"/>
        </w:trPr>
        <w:tc>
          <w:tcPr>
            <w:tcW w:w="3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740" w:type="dxa"/>
            <w:vAlign w:val="bottom"/>
            <w:vMerge w:val="restart"/>
          </w:tcPr>
          <w:p>
            <w:pPr>
              <w:ind w:left="1140"/>
              <w:spacing w:after="0" w:line="153" w:lineRule="exact"/>
              <w:rPr>
                <w:sz w:val="20"/>
                <w:szCs w:val="20"/>
                <w:color w:val="auto"/>
              </w:rPr>
            </w:pPr>
            <w:r>
              <w:rPr>
                <w:rFonts w:ascii="Times New Roman" w:cs="Times New Roman" w:eastAsia="Times New Roman" w:hAnsi="Times New Roman"/>
                <w:sz w:val="14"/>
                <w:szCs w:val="14"/>
                <w:color w:val="auto"/>
              </w:rPr>
              <w:t>Officer</w:t>
            </w:r>
          </w:p>
        </w:tc>
        <w:tc>
          <w:tcPr>
            <w:tcW w:w="160" w:type="dxa"/>
            <w:vAlign w:val="bottom"/>
          </w:tcPr>
          <w:p>
            <w:pPr>
              <w:spacing w:after="0"/>
              <w:rPr>
                <w:sz w:val="2"/>
                <w:szCs w:val="2"/>
                <w:color w:val="auto"/>
              </w:rPr>
            </w:pPr>
          </w:p>
        </w:tc>
        <w:tc>
          <w:tcPr>
            <w:tcW w:w="520" w:type="dxa"/>
            <w:vAlign w:val="bottom"/>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w w:val="98"/>
              </w:rPr>
              <w:t>May 15,</w:t>
            </w:r>
          </w:p>
        </w:tc>
        <w:tc>
          <w:tcPr>
            <w:tcW w:w="300" w:type="dxa"/>
            <w:vAlign w:val="bottom"/>
            <w:vMerge w:val="restart"/>
          </w:tcPr>
          <w:p>
            <w:pPr>
              <w:jc w:val="right"/>
              <w:spacing w:after="0" w:line="153" w:lineRule="exact"/>
              <w:rPr>
                <w:sz w:val="20"/>
                <w:szCs w:val="20"/>
                <w:color w:val="auto"/>
              </w:rPr>
            </w:pPr>
            <w:r>
              <w:rPr>
                <w:rFonts w:ascii="Times New Roman" w:cs="Times New Roman" w:eastAsia="Times New Roman" w:hAnsi="Times New Roman"/>
                <w:sz w:val="14"/>
                <w:szCs w:val="14"/>
                <w:color w:val="auto"/>
                <w:w w:val="99"/>
              </w:rPr>
              <w:t>2026</w:t>
            </w: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2240" w:type="dxa"/>
            <w:vAlign w:val="bottom"/>
            <w:vMerge w:val="restart"/>
          </w:tcPr>
          <w:p>
            <w:pPr>
              <w:jc w:val="center"/>
              <w:ind w:right="232"/>
              <w:spacing w:after="0"/>
              <w:rPr>
                <w:sz w:val="20"/>
                <w:szCs w:val="20"/>
                <w:color w:val="auto"/>
              </w:rPr>
            </w:pPr>
            <w:r>
              <w:rPr>
                <w:rFonts w:ascii="Times New Roman" w:cs="Times New Roman" w:eastAsia="Times New Roman" w:hAnsi="Times New Roman"/>
                <w:sz w:val="14"/>
                <w:szCs w:val="14"/>
                <w:color w:val="auto"/>
              </w:rPr>
              <w:t>Jesus Soto, Jr.</w:t>
            </w:r>
          </w:p>
        </w:tc>
        <w:tc>
          <w:tcPr>
            <w:tcW w:w="140" w:type="dxa"/>
            <w:vAlign w:val="bottom"/>
          </w:tcPr>
          <w:p>
            <w:pPr>
              <w:spacing w:after="0"/>
              <w:rPr>
                <w:sz w:val="8"/>
                <w:szCs w:val="8"/>
                <w:color w:val="auto"/>
              </w:rPr>
            </w:pPr>
          </w:p>
        </w:tc>
        <w:tc>
          <w:tcPr>
            <w:tcW w:w="27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00" w:type="dxa"/>
            <w:vAlign w:val="bottom"/>
          </w:tcPr>
          <w:p>
            <w:pPr>
              <w:spacing w:after="0"/>
              <w:rPr>
                <w:sz w:val="7"/>
                <w:szCs w:val="7"/>
                <w:color w:val="auto"/>
              </w:rPr>
            </w:pPr>
          </w:p>
        </w:tc>
        <w:tc>
          <w:tcPr>
            <w:tcW w:w="22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 and Director)</w:t>
            </w: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7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4"/>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240" w:type="dxa"/>
            <w:vAlign w:val="bottom"/>
          </w:tcPr>
          <w:p>
            <w:pPr>
              <w:jc w:val="center"/>
              <w:ind w:right="232"/>
              <w:spacing w:after="0"/>
              <w:rPr>
                <w:sz w:val="20"/>
                <w:szCs w:val="20"/>
                <w:color w:val="auto"/>
              </w:rPr>
            </w:pPr>
            <w:r>
              <w:rPr>
                <w:rFonts w:ascii="Times New Roman" w:cs="Times New Roman" w:eastAsia="Times New Roman" w:hAnsi="Times New Roman"/>
                <w:sz w:val="14"/>
                <w:szCs w:val="14"/>
                <w:color w:val="auto"/>
              </w:rPr>
              <w:t>/s/ Christopher A. Foster</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2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Executive Vice President and Chief Financial</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May 15,</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2026</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46"/>
        </w:trPr>
        <w:tc>
          <w:tcPr>
            <w:tcW w:w="300" w:type="dxa"/>
            <w:vAlign w:val="bottom"/>
            <w:tcBorders>
              <w:bottom w:val="single" w:sz="8" w:color="auto"/>
            </w:tcBorders>
            <w:vMerge w:val="continue"/>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140" w:type="dxa"/>
            <w:vAlign w:val="bottom"/>
            <w:vMerge w:val="continue"/>
          </w:tcPr>
          <w:p>
            <w:pPr>
              <w:spacing w:after="0"/>
              <w:rPr>
                <w:sz w:val="4"/>
                <w:szCs w:val="4"/>
                <w:color w:val="auto"/>
              </w:rPr>
            </w:pPr>
          </w:p>
        </w:tc>
        <w:tc>
          <w:tcPr>
            <w:tcW w:w="2740" w:type="dxa"/>
            <w:vAlign w:val="bottom"/>
            <w:vMerge w:val="restart"/>
          </w:tcPr>
          <w:p>
            <w:pPr>
              <w:ind w:left="1140"/>
              <w:spacing w:after="0"/>
              <w:rPr>
                <w:sz w:val="20"/>
                <w:szCs w:val="20"/>
                <w:color w:val="auto"/>
              </w:rPr>
            </w:pPr>
            <w:r>
              <w:rPr>
                <w:rFonts w:ascii="Times New Roman" w:cs="Times New Roman" w:eastAsia="Times New Roman" w:hAnsi="Times New Roman"/>
                <w:sz w:val="14"/>
                <w:szCs w:val="14"/>
                <w:color w:val="auto"/>
              </w:rPr>
              <w:t>Officer</w:t>
            </w:r>
          </w:p>
        </w:tc>
        <w:tc>
          <w:tcPr>
            <w:tcW w:w="680" w:type="dxa"/>
            <w:vAlign w:val="bottom"/>
            <w:gridSpan w:val="2"/>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2240" w:type="dxa"/>
            <w:vAlign w:val="bottom"/>
            <w:vMerge w:val="restart"/>
          </w:tcPr>
          <w:p>
            <w:pPr>
              <w:jc w:val="center"/>
              <w:ind w:right="252"/>
              <w:spacing w:after="0"/>
              <w:rPr>
                <w:sz w:val="20"/>
                <w:szCs w:val="20"/>
                <w:color w:val="auto"/>
              </w:rPr>
            </w:pPr>
            <w:r>
              <w:rPr>
                <w:rFonts w:ascii="Times New Roman" w:cs="Times New Roman" w:eastAsia="Times New Roman" w:hAnsi="Times New Roman"/>
                <w:sz w:val="14"/>
                <w:szCs w:val="14"/>
                <w:color w:val="auto"/>
              </w:rPr>
              <w:t>Christopher A. Foster</w:t>
            </w:r>
          </w:p>
        </w:tc>
        <w:tc>
          <w:tcPr>
            <w:tcW w:w="140" w:type="dxa"/>
            <w:vAlign w:val="bottom"/>
            <w:vMerge w:val="continue"/>
          </w:tcPr>
          <w:p>
            <w:pPr>
              <w:spacing w:after="0"/>
              <w:rPr>
                <w:sz w:val="8"/>
                <w:szCs w:val="8"/>
                <w:color w:val="auto"/>
              </w:rPr>
            </w:pPr>
          </w:p>
        </w:tc>
        <w:tc>
          <w:tcPr>
            <w:tcW w:w="274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00" w:type="dxa"/>
            <w:vAlign w:val="bottom"/>
          </w:tcPr>
          <w:p>
            <w:pPr>
              <w:spacing w:after="0"/>
              <w:rPr>
                <w:sz w:val="7"/>
                <w:szCs w:val="7"/>
                <w:color w:val="auto"/>
              </w:rPr>
            </w:pPr>
          </w:p>
        </w:tc>
        <w:tc>
          <w:tcPr>
            <w:tcW w:w="22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7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79"/>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240" w:type="dxa"/>
            <w:vAlign w:val="bottom"/>
          </w:tcPr>
          <w:p>
            <w:pPr>
              <w:jc w:val="center"/>
              <w:ind w:right="252"/>
              <w:spacing w:after="0"/>
              <w:rPr>
                <w:sz w:val="20"/>
                <w:szCs w:val="20"/>
                <w:color w:val="auto"/>
              </w:rPr>
            </w:pPr>
            <w:r>
              <w:rPr>
                <w:rFonts w:ascii="Times New Roman" w:cs="Times New Roman" w:eastAsia="Times New Roman" w:hAnsi="Times New Roman"/>
                <w:sz w:val="14"/>
                <w:szCs w:val="14"/>
                <w:color w:val="auto"/>
              </w:rPr>
              <w:t>/s/ Russell K. Wright</w:t>
            </w:r>
          </w:p>
        </w:tc>
        <w:tc>
          <w:tcPr>
            <w:tcW w:w="2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 ​ Vice President and Chief Accounting Officer</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color w:val="auto"/>
              </w:rPr>
              <w:t>May 15,</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2026</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32"/>
        </w:trPr>
        <w:tc>
          <w:tcPr>
            <w:tcW w:w="300" w:type="dxa"/>
            <w:vAlign w:val="bottom"/>
            <w:tcBorders>
              <w:bottom w:val="single" w:sz="8" w:color="auto"/>
            </w:tcBorders>
            <w:vMerge w:val="continue"/>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880" w:type="dxa"/>
            <w:vAlign w:val="bottom"/>
            <w:gridSpan w:val="2"/>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34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240" w:type="dxa"/>
            <w:vAlign w:val="bottom"/>
            <w:vMerge w:val="restart"/>
          </w:tcPr>
          <w:p>
            <w:pPr>
              <w:jc w:val="center"/>
              <w:ind w:right="232"/>
              <w:spacing w:after="0"/>
              <w:rPr>
                <w:sz w:val="20"/>
                <w:szCs w:val="20"/>
                <w:color w:val="auto"/>
              </w:rPr>
            </w:pPr>
            <w:r>
              <w:rPr>
                <w:rFonts w:ascii="Times New Roman" w:cs="Times New Roman" w:eastAsia="Times New Roman" w:hAnsi="Times New Roman"/>
                <w:sz w:val="14"/>
                <w:szCs w:val="14"/>
                <w:color w:val="auto"/>
              </w:rPr>
              <w:t>Russell K. Wright</w:t>
            </w:r>
          </w:p>
        </w:tc>
        <w:tc>
          <w:tcPr>
            <w:tcW w:w="140" w:type="dxa"/>
            <w:vAlign w:val="bottom"/>
          </w:tcPr>
          <w:p>
            <w:pPr>
              <w:spacing w:after="0"/>
              <w:rPr>
                <w:sz w:val="12"/>
                <w:szCs w:val="12"/>
                <w:color w:val="auto"/>
              </w:rPr>
            </w:pPr>
          </w:p>
        </w:tc>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680" w:type="dxa"/>
            <w:vAlign w:val="bottom"/>
            <w:gridSpan w:val="2"/>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300" w:type="dxa"/>
            <w:vAlign w:val="bottom"/>
          </w:tcPr>
          <w:p>
            <w:pPr>
              <w:spacing w:after="0"/>
              <w:rPr>
                <w:sz w:val="3"/>
                <w:szCs w:val="3"/>
                <w:color w:val="auto"/>
              </w:rPr>
            </w:pPr>
          </w:p>
        </w:tc>
        <w:tc>
          <w:tcPr>
            <w:tcW w:w="224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194945</wp:posOffset>
            </wp:positionV>
            <wp:extent cx="533082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1">
                      <a:extLst>
                        <a:ext uri="{28A0092B-C50C-407E-A947-70E740481C1C}"/>
                      </a:extLst>
                    </a:blip>
                    <a:srcRect/>
                    <a:stretch>
                      <a:fillRect/>
                    </a:stretch>
                  </pic:blipFill>
                  <pic:spPr bwMode="auto">
                    <a:xfrm>
                      <a:off x="0" y="0"/>
                      <a:ext cx="5330825" cy="3873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95" w:name="page96"/>
    <w:bookmarkEnd w:id="95"/>
    <w:tbl>
      <w:tblPr>
        <w:tblLayout w:type="fixed"/>
        <w:tblInd w:w="5540" w:type="dxa"/>
        <w:tblCellMar>
          <w:top w:w="0" w:type="dxa"/>
          <w:left w:w="0" w:type="dxa"/>
          <w:bottom w:w="0" w:type="dxa"/>
          <w:right w:w="0" w:type="dxa"/>
        </w:tblCellMar>
      </w:tblPr>
      <w:tr>
        <w:trPr>
          <w:trHeight w:val="221"/>
        </w:trPr>
        <w:tc>
          <w:tcPr>
            <w:tcW w:w="2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00" w:type="dxa"/>
            <w:vAlign w:val="bottom"/>
          </w:tcPr>
          <w:p>
            <w:pPr>
              <w:ind w:left="1220"/>
              <w:spacing w:after="0"/>
              <w:rPr>
                <w:sz w:val="20"/>
                <w:szCs w:val="20"/>
                <w:color w:val="auto"/>
              </w:rPr>
            </w:pPr>
            <w:r>
              <w:rPr>
                <w:rFonts w:ascii="Times New Roman" w:cs="Times New Roman" w:eastAsia="Times New Roman" w:hAnsi="Times New Roman"/>
                <w:sz w:val="17"/>
                <w:szCs w:val="17"/>
                <w:b w:val="1"/>
                <w:bCs w:val="1"/>
                <w:color w:val="auto"/>
                <w:w w:val="95"/>
              </w:rPr>
              <w:t>Exhibit 5.1</w:t>
            </w:r>
          </w:p>
        </w:tc>
      </w:tr>
      <w:tr>
        <w:trPr>
          <w:trHeight w:val="314"/>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910 LOUISIANA STREET</w:t>
            </w:r>
          </w:p>
        </w:tc>
        <w:tc>
          <w:tcPr>
            <w:tcW w:w="16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AUSTIN</w:t>
            </w:r>
          </w:p>
        </w:tc>
        <w:tc>
          <w:tcPr>
            <w:tcW w:w="2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NEW YORK</w:t>
            </w:r>
          </w:p>
        </w:tc>
      </w:tr>
      <w:tr>
        <w:trPr>
          <w:trHeight w:val="168"/>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HOUSTON, TEXAS</w:t>
            </w:r>
          </w:p>
        </w:tc>
        <w:tc>
          <w:tcPr>
            <w:tcW w:w="16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BRUSSELS</w:t>
            </w:r>
          </w:p>
        </w:tc>
        <w:tc>
          <w:tcPr>
            <w:tcW w:w="2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PALO ALTO</w:t>
            </w:r>
          </w:p>
        </w:tc>
      </w:tr>
      <w:tr>
        <w:trPr>
          <w:trHeight w:val="168"/>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77002-4995</w:t>
            </w:r>
          </w:p>
        </w:tc>
        <w:tc>
          <w:tcPr>
            <w:tcW w:w="16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DALLAS</w:t>
            </w:r>
          </w:p>
        </w:tc>
        <w:tc>
          <w:tcPr>
            <w:tcW w:w="2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RIYADH</w:t>
            </w:r>
          </w:p>
        </w:tc>
      </w:tr>
      <w:tr>
        <w:trPr>
          <w:trHeight w:val="168"/>
        </w:trPr>
        <w:tc>
          <w:tcPr>
            <w:tcW w:w="2140" w:type="dxa"/>
            <w:vAlign w:val="bottom"/>
          </w:tcPr>
          <w:p>
            <w:pPr>
              <w:spacing w:after="0"/>
              <w:rPr>
                <w:sz w:val="14"/>
                <w:szCs w:val="14"/>
                <w:color w:val="auto"/>
              </w:rPr>
            </w:pPr>
          </w:p>
        </w:tc>
        <w:tc>
          <w:tcPr>
            <w:tcW w:w="16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DUBAI</w:t>
            </w:r>
          </w:p>
        </w:tc>
        <w:tc>
          <w:tcPr>
            <w:tcW w:w="2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SAN FRANCISCO</w:t>
            </w:r>
          </w:p>
        </w:tc>
      </w:tr>
      <w:tr>
        <w:trPr>
          <w:trHeight w:val="168"/>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TEL +1 713.229.1234</w:t>
            </w:r>
          </w:p>
        </w:tc>
        <w:tc>
          <w:tcPr>
            <w:tcW w:w="16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HOUSTON</w:t>
            </w:r>
          </w:p>
        </w:tc>
        <w:tc>
          <w:tcPr>
            <w:tcW w:w="2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SINGAPORE</w:t>
            </w:r>
          </w:p>
        </w:tc>
      </w:tr>
      <w:tr>
        <w:trPr>
          <w:trHeight w:val="168"/>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FAX +1 713.229.1522</w:t>
            </w:r>
          </w:p>
        </w:tc>
        <w:tc>
          <w:tcPr>
            <w:tcW w:w="16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LONDON</w:t>
            </w:r>
          </w:p>
        </w:tc>
        <w:tc>
          <w:tcPr>
            <w:tcW w:w="20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WASHINGTON</w:t>
            </w:r>
          </w:p>
        </w:tc>
      </w:tr>
      <w:tr>
        <w:trPr>
          <w:trHeight w:val="183"/>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BakerBotts.com</w:t>
            </w:r>
          </w:p>
        </w:tc>
        <w:tc>
          <w:tcPr>
            <w:tcW w:w="1600" w:type="dxa"/>
            <w:vAlign w:val="bottom"/>
          </w:tcPr>
          <w:p>
            <w:pPr>
              <w:spacing w:after="0"/>
              <w:rPr>
                <w:sz w:val="15"/>
                <w:szCs w:val="15"/>
                <w:color w:val="auto"/>
              </w:rPr>
            </w:pPr>
          </w:p>
        </w:tc>
        <w:tc>
          <w:tcPr>
            <w:tcW w:w="20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-747395</wp:posOffset>
            </wp:positionV>
            <wp:extent cx="1409700" cy="2406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2">
                      <a:extLst>
                        <a:ext uri="{28A0092B-C50C-407E-A947-70E740481C1C}"/>
                      </a:extLst>
                    </a:blip>
                    <a:srcRect/>
                    <a:stretch>
                      <a:fillRect/>
                    </a:stretch>
                  </pic:blipFill>
                  <pic:spPr bwMode="auto">
                    <a:xfrm>
                      <a:off x="0" y="0"/>
                      <a:ext cx="1409700" cy="240665"/>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15,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CenterPoint Energy,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1111 Louisiana Street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 77002</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CenterPoint Energy Houston Electric, LLC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1111 Louisiana Street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 77002</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CenterPoint Energy Resources Corp.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1111 Louisiana Street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 77002</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76" w:lineRule="exact"/>
        <w:rPr>
          <w:sz w:val="20"/>
          <w:szCs w:val="20"/>
          <w:color w:val="auto"/>
        </w:rPr>
      </w:pPr>
    </w:p>
    <w:p>
      <w:pPr>
        <w:jc w:val="both"/>
        <w:ind w:firstLine="1010"/>
        <w:spacing w:after="0" w:line="254" w:lineRule="auto"/>
        <w:rPr>
          <w:sz w:val="20"/>
          <w:szCs w:val="20"/>
          <w:color w:val="auto"/>
        </w:rPr>
      </w:pPr>
      <w:r>
        <w:rPr>
          <w:rFonts w:ascii="Times New Roman" w:cs="Times New Roman" w:eastAsia="Times New Roman" w:hAnsi="Times New Roman"/>
          <w:sz w:val="14"/>
          <w:szCs w:val="14"/>
          <w:color w:val="auto"/>
        </w:rPr>
        <w:t>As set forth in the Registration Statement on Form S-3 (the “Registration Statement”) to be filed on the date hereof by CenterPoint Energy, Inc., a Texas corporation (“CenterPoint Energy”), CenterPoint Energy Houston Electric, LLC, a Texas limited liability company (“CenterPoint Houston”), and CenterPoint Energy Resources Corp., a Delaware corporation (“CERC Corp.”), with the U.S. Securities and Exchange Commission (the “Commission”) under the Securities Act of 1933, as amended (the “Act”), relating to the offering of securities that may be issued and sold by CenterPoint Energy, CenterPoint Houston and CERC Corp. from time to time pursuant to Rule 415 under the Act, certain legal matters in connection with such securities are being passed upon for you by us. Such securities include (a) CenterPoint Energy’s senior debt securities (the “Senior Debt Securities”), (b) CenterPoint Energy’s junior subordinated debt securities (the “Junior Subordinated Debt Securities”), (c) shares of CenterPoint Energy’s common stock, par value $0.01 per share (the “Common Stock”), (d) shares of CenterPoint Energy’s preferred stock, par value $0.01 per share (the “Preferred Stock”), (e) stock purchase contracts of CenterPoint Energy (the “Stock Purchase Contracts”), (f) equity units of CenterPoint Energy (the “Equity Units”), (g) depositary shares representing a fractional share of shares of Preferred Stock (the “Depositary Shares”), (h) general mortgage bonds of CenterPoint Houston (the “Mortgage Bonds”) and (i) senior debt securities of CERC Corp. (the “CERC Debt Securities”). The Senior Debt Securities, Junior Subordinated Debt Securities, Common Stock, Preferred Stock, Stock Purchase Contracts, Equity Units, Depositary Shares, Mortgage Bonds and CERC Debt Securities are collectively referred to herein as the “Securities.” At your request, this opinion letter is being furnished to you for filing as Exhibit 5.1 to the Registration Statement.</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6280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3">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115" w:right="31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68"/>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Inc.</w:t>
            </w:r>
          </w:p>
        </w:tc>
        <w:tc>
          <w:tcPr>
            <w:tcW w:w="416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168"/>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Houston Electric, LLC</w:t>
            </w:r>
          </w:p>
        </w:tc>
        <w:tc>
          <w:tcPr>
            <w:tcW w:w="416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183"/>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Resources Corp.</w:t>
            </w:r>
          </w:p>
        </w:tc>
        <w:tc>
          <w:tcPr>
            <w:tcW w:w="4160" w:type="dxa"/>
            <w:vAlign w:val="bottom"/>
          </w:tcPr>
          <w:p>
            <w:pPr>
              <w:jc w:val="right"/>
              <w:ind w:right="2290"/>
              <w:spacing w:after="0"/>
              <w:rPr>
                <w:sz w:val="20"/>
                <w:szCs w:val="20"/>
                <w:color w:val="auto"/>
              </w:rPr>
            </w:pPr>
            <w:r>
              <w:rPr>
                <w:rFonts w:ascii="Times New Roman" w:cs="Times New Roman" w:eastAsia="Times New Roman" w:hAnsi="Times New Roman"/>
                <w:sz w:val="14"/>
                <w:szCs w:val="14"/>
                <w:color w:val="auto"/>
              </w:rPr>
              <w:t>- 2 -</w:t>
            </w:r>
          </w:p>
        </w:tc>
        <w:tc>
          <w:tcPr>
            <w:tcW w:w="3140" w:type="dxa"/>
            <w:vAlign w:val="bottom"/>
          </w:tcPr>
          <w:p>
            <w:pPr>
              <w:ind w:left="2360"/>
              <w:spacing w:after="0"/>
              <w:rPr>
                <w:sz w:val="20"/>
                <w:szCs w:val="20"/>
                <w:color w:val="auto"/>
              </w:rPr>
            </w:pPr>
            <w:r>
              <w:rPr>
                <w:rFonts w:ascii="Times New Roman" w:cs="Times New Roman" w:eastAsia="Times New Roman" w:hAnsi="Times New Roman"/>
                <w:sz w:val="14"/>
                <w:szCs w:val="14"/>
                <w:color w:val="auto"/>
                <w:w w:val="97"/>
              </w:rPr>
              <w:t>May 15, 2026</w:t>
            </w:r>
          </w:p>
        </w:tc>
      </w:tr>
    </w:tbl>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142240</wp:posOffset>
            </wp:positionV>
            <wp:extent cx="955675" cy="1270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955675" cy="127000"/>
                    </a:xfrm>
                    <a:prstGeom prst="rect">
                      <a:avLst/>
                    </a:prstGeom>
                    <a:noFill/>
                  </pic:spPr>
                </pic:pic>
              </a:graphicData>
            </a:graphic>
          </wp:anchor>
        </w:drawing>
      </w:r>
    </w:p>
    <w:p>
      <w:pPr>
        <w:jc w:val="both"/>
        <w:ind w:firstLine="1010"/>
        <w:spacing w:after="0" w:line="255" w:lineRule="auto"/>
        <w:rPr>
          <w:sz w:val="20"/>
          <w:szCs w:val="20"/>
          <w:color w:val="auto"/>
        </w:rPr>
      </w:pPr>
      <w:r>
        <w:rPr>
          <w:rFonts w:ascii="Times New Roman" w:cs="Times New Roman" w:eastAsia="Times New Roman" w:hAnsi="Times New Roman"/>
          <w:sz w:val="14"/>
          <w:szCs w:val="14"/>
          <w:color w:val="auto"/>
        </w:rPr>
        <w:t>Each series of Senior Debt Securities is to be issued pursuant to the Indenture, dated as of May 19, 2003 (the “Senior Indenture”), between CenterPoint Energy and The Bank of New York Mellon Trust Company, National Association (successor to JPMorgan Chase Bank), as trustee; each series of Junior Subordinated Debt Securities is to be issued pursuant to the Junior Subordinated Indenture, dated as of August 14, 2024 (the “Junior Subordinated Indenture”), between CenterPoint Energy and The Bank of New York Mellon Trust Company, National Association, as trustee; each series of Mortgage Bonds is to be issued pursuant to the General Mortgage Indenture, dated as of October 10, 2002 (the “Mortgage Indenture”), between CenterPoint Houston and The Bank of New York Mellon Trust Company, National Association (successor to JPMorgan Chase Bank), as trustee; and each series of CERC Debt Securities is to be issued pursuant to the Indenture, dated as of February 1, 1998 (the “CERC Indenture” and, together with the Senior Indenture, the Junior Subordinated Indenture and the Mortgage Indenture, the “Indentures”), between CERC Corp., formerly known as NorAm Energy Corp., and The Bank of New York Mellon Trust Company, National Association (successor to JPMorgan Chase Bank (formerly Chase Bank of Texas, National Association)), as trustee. Each Indenture will be supplemented, in connection with the issuance of each series of Senior Debt Securities, Junior Subordinated Debt Securities, Mortgage Bonds or CERC Debt Securities, as the case may be, by a supplemental indenture, officer’s certificate or other writing thereunder establishing the form and terms of such series.</w:t>
      </w:r>
    </w:p>
    <w:p>
      <w:pPr>
        <w:spacing w:after="0" w:line="144" w:lineRule="exact"/>
        <w:rPr>
          <w:sz w:val="20"/>
          <w:szCs w:val="20"/>
          <w:color w:val="auto"/>
        </w:rPr>
      </w:pPr>
    </w:p>
    <w:p>
      <w:pPr>
        <w:jc w:val="both"/>
        <w:ind w:firstLine="1010"/>
        <w:spacing w:after="0" w:line="255" w:lineRule="auto"/>
        <w:rPr>
          <w:sz w:val="20"/>
          <w:szCs w:val="20"/>
          <w:color w:val="auto"/>
        </w:rPr>
      </w:pPr>
      <w:r>
        <w:rPr>
          <w:rFonts w:ascii="Times New Roman" w:cs="Times New Roman" w:eastAsia="Times New Roman" w:hAnsi="Times New Roman"/>
          <w:sz w:val="14"/>
          <w:szCs w:val="14"/>
          <w:color w:val="auto"/>
        </w:rPr>
        <w:t>In our capacity as your counsel in the connection referred to above, we have examined originals, or copies certified or otherwise identified, of CenterPoint Energy’s amended and restated certificate of formation and fifth amended and restated bylaws, CenterPoint Houston’s restated certificate of formation and amended and restated limited liability company agreement and CERC Corp.’s certificate of incorporation and bylaws, each as amended to date (the “Charter Documents” of such entity), the Indentures, corporate records of CenterPoint Energy and CERC Corp. and the limited liability company records of CenterPoint Houston (including minute books as furnished to us by you), certificates of public officials and of representatives of CenterPoint Energy, CenterPoint Houston and CERC Corp., statutes and other instruments and documents as a basis for the opinions hereinafter expressed. In giving such opinions, we have relied, to the extent we deem appropriate without independent investigation or verification, upon certificates of officers of CenterPoint Energy, CenterPoint Houston and CERC Corp. and of public officials with respect to the accuracy of the material factual matters contained in such certificates. In giving the opinions below, we have assumed that the signatures on all documents examined by us are genuine, that all documents submitted to us as originals are accurate and complete, that all documents submitted to us as copies are true, correct and complete copies of the originals thereof and that all information submitted to us is accurate and complete. Further, we have assumed that:</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(a) the Registration Statement and any amendments thereto (including post-effective amendments) will have become effective under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347980</wp:posOffset>
            </wp:positionV>
            <wp:extent cx="716280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5">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68"/>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Inc.</w:t>
            </w:r>
          </w:p>
        </w:tc>
        <w:tc>
          <w:tcPr>
            <w:tcW w:w="416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168"/>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Houston Electric, LLC</w:t>
            </w:r>
          </w:p>
        </w:tc>
        <w:tc>
          <w:tcPr>
            <w:tcW w:w="416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183"/>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Resources Corp.</w:t>
            </w:r>
          </w:p>
        </w:tc>
        <w:tc>
          <w:tcPr>
            <w:tcW w:w="4160" w:type="dxa"/>
            <w:vAlign w:val="bottom"/>
          </w:tcPr>
          <w:p>
            <w:pPr>
              <w:jc w:val="right"/>
              <w:ind w:right="2290"/>
              <w:spacing w:after="0"/>
              <w:rPr>
                <w:sz w:val="20"/>
                <w:szCs w:val="20"/>
                <w:color w:val="auto"/>
              </w:rPr>
            </w:pPr>
            <w:r>
              <w:rPr>
                <w:rFonts w:ascii="Times New Roman" w:cs="Times New Roman" w:eastAsia="Times New Roman" w:hAnsi="Times New Roman"/>
                <w:sz w:val="14"/>
                <w:szCs w:val="14"/>
                <w:color w:val="auto"/>
              </w:rPr>
              <w:t>- 3 -</w:t>
            </w:r>
          </w:p>
        </w:tc>
        <w:tc>
          <w:tcPr>
            <w:tcW w:w="3140" w:type="dxa"/>
            <w:vAlign w:val="bottom"/>
          </w:tcPr>
          <w:p>
            <w:pPr>
              <w:ind w:left="2360"/>
              <w:spacing w:after="0"/>
              <w:rPr>
                <w:sz w:val="20"/>
                <w:szCs w:val="20"/>
                <w:color w:val="auto"/>
              </w:rPr>
            </w:pPr>
            <w:r>
              <w:rPr>
                <w:rFonts w:ascii="Times New Roman" w:cs="Times New Roman" w:eastAsia="Times New Roman" w:hAnsi="Times New Roman"/>
                <w:sz w:val="14"/>
                <w:szCs w:val="14"/>
                <w:color w:val="auto"/>
                <w:w w:val="97"/>
              </w:rPr>
              <w:t>May 15, 2026</w:t>
            </w:r>
          </w:p>
        </w:tc>
      </w:tr>
    </w:tbl>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142240</wp:posOffset>
            </wp:positionV>
            <wp:extent cx="955675" cy="1270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955675" cy="127000"/>
                    </a:xfrm>
                    <a:prstGeom prst="rect">
                      <a:avLst/>
                    </a:prstGeom>
                    <a:noFill/>
                  </pic:spPr>
                </pic:pic>
              </a:graphicData>
            </a:graphic>
          </wp:anchor>
        </w:drawing>
      </w:r>
    </w:p>
    <w:p>
      <w:pPr>
        <w:ind w:left="1220" w:hanging="206"/>
        <w:spacing w:after="0"/>
        <w:tabs>
          <w:tab w:leader="none" w:pos="122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prospectus supplement will have been prepared and filed with the Commission describing the Securities offered thereby;</w:t>
      </w:r>
    </w:p>
    <w:p>
      <w:pPr>
        <w:spacing w:after="0" w:line="175" w:lineRule="exact"/>
        <w:rPr>
          <w:rFonts w:ascii="Times New Roman" w:cs="Times New Roman" w:eastAsia="Times New Roman" w:hAnsi="Times New Roman"/>
          <w:sz w:val="14"/>
          <w:szCs w:val="14"/>
          <w:color w:val="auto"/>
        </w:rPr>
      </w:pPr>
    </w:p>
    <w:p>
      <w:pPr>
        <w:ind w:firstLine="1014"/>
        <w:spacing w:after="0" w:line="283" w:lineRule="auto"/>
        <w:tabs>
          <w:tab w:leader="none" w:pos="1219"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Securities will be offered, issued and sold in compliance with applicable federal and state securities laws and in the manner stated in the Registration Statement and the applicable prospectus supplement;</w:t>
      </w:r>
    </w:p>
    <w:p>
      <w:pPr>
        <w:spacing w:after="0" w:line="125" w:lineRule="exact"/>
        <w:rPr>
          <w:rFonts w:ascii="Times New Roman" w:cs="Times New Roman" w:eastAsia="Times New Roman" w:hAnsi="Times New Roman"/>
          <w:sz w:val="14"/>
          <w:szCs w:val="14"/>
          <w:color w:val="auto"/>
        </w:rPr>
      </w:pPr>
    </w:p>
    <w:p>
      <w:pPr>
        <w:jc w:val="both"/>
        <w:ind w:firstLine="1014"/>
        <w:spacing w:after="0" w:line="261" w:lineRule="auto"/>
        <w:tabs>
          <w:tab w:leader="none" w:pos="121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any Securities issued by CenterPoint Energy, the board of directors of CenterPoint Energy or, to the extent permitted by the Texas Business Organizations Code, and the Charter Documents of CenterPoint Energy, a duly constituted and acting committee thereof (such board or committee thereof being hereinafter referred to as the “Board”) will have taken all necessary corporate action to authorize the issuance of such Securities and any other securities issuable on the conversion, exchange, redemption or exercise thereof, and to authorize the terms of the offering and sale of such Securities and related matters;</w:t>
      </w:r>
    </w:p>
    <w:p>
      <w:pPr>
        <w:spacing w:after="0" w:line="141" w:lineRule="exact"/>
        <w:rPr>
          <w:rFonts w:ascii="Times New Roman" w:cs="Times New Roman" w:eastAsia="Times New Roman" w:hAnsi="Times New Roman"/>
          <w:sz w:val="14"/>
          <w:szCs w:val="14"/>
          <w:color w:val="auto"/>
        </w:rPr>
      </w:pPr>
    </w:p>
    <w:p>
      <w:pPr>
        <w:jc w:val="both"/>
        <w:ind w:firstLine="1014"/>
        <w:spacing w:after="0" w:line="267" w:lineRule="auto"/>
        <w:tabs>
          <w:tab w:leader="none" w:pos="122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Mortgage Bonds, the managers of CenterPoint Houston or, to the extent permitted by the Texas Business Organizations Code, and the Charter Documents of CenterPoint Houston, a duly constituted and acting committee thereof (such managers or committee thereof being hereinafter referred to as the “CenterPoint Houston Managers”) will have taken all necessary limited liability company action to authorize the issuance of the Mortgage Bonds, and to authorize the terms of the offering and sale of such Mortgage Bonds and related matters;</w:t>
      </w:r>
    </w:p>
    <w:p>
      <w:pPr>
        <w:spacing w:after="0" w:line="136" w:lineRule="exact"/>
        <w:rPr>
          <w:rFonts w:ascii="Times New Roman" w:cs="Times New Roman" w:eastAsia="Times New Roman" w:hAnsi="Times New Roman"/>
          <w:sz w:val="14"/>
          <w:szCs w:val="14"/>
          <w:color w:val="auto"/>
        </w:rPr>
      </w:pPr>
    </w:p>
    <w:p>
      <w:pPr>
        <w:jc w:val="both"/>
        <w:ind w:firstLine="1014"/>
        <w:spacing w:after="0" w:line="261" w:lineRule="auto"/>
        <w:tabs>
          <w:tab w:leader="none" w:pos="1192"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CERC Debt Securities, the board of directors of CERC Corp. or, to the extent permitted by the General Corporation Law of the State of Delaware, and the Charter Documents of CERC Corp., a duly constituted and acting committee thereof (such board or committee thereof being hereinafter referred to as the “CERC Corp. Board”) will have taken all necessary corporate action to authorize the issuance of the CERC Debt Securities and any other securities issuable on the conversion, exchange, redemption or exercise thereof, and to authorize the terms of the offering and sale of such CERC Debt Securities and related matters;</w:t>
      </w:r>
    </w:p>
    <w:p>
      <w:pPr>
        <w:spacing w:after="0" w:line="141" w:lineRule="exact"/>
        <w:rPr>
          <w:rFonts w:ascii="Times New Roman" w:cs="Times New Roman" w:eastAsia="Times New Roman" w:hAnsi="Times New Roman"/>
          <w:sz w:val="14"/>
          <w:szCs w:val="14"/>
          <w:color w:val="auto"/>
        </w:rPr>
      </w:pPr>
    </w:p>
    <w:p>
      <w:pPr>
        <w:ind w:firstLine="1014"/>
        <w:spacing w:after="0" w:line="283" w:lineRule="auto"/>
        <w:tabs>
          <w:tab w:leader="none" w:pos="1215"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definitive purchase, underwriting or similar agreement with respect to any Securities offered will have been duly authorized and validly executed and delivered by CenterPoint Energy, CenterPoint Houston or CERC Corp., as applicable, and the other parties thereto (the “Purchase Agreement”);</w:t>
      </w:r>
    </w:p>
    <w:p>
      <w:pPr>
        <w:spacing w:after="0" w:line="125" w:lineRule="exact"/>
        <w:rPr>
          <w:rFonts w:ascii="Times New Roman" w:cs="Times New Roman" w:eastAsia="Times New Roman" w:hAnsi="Times New Roman"/>
          <w:sz w:val="14"/>
          <w:szCs w:val="14"/>
          <w:color w:val="auto"/>
        </w:rPr>
      </w:pPr>
    </w:p>
    <w:p>
      <w:pPr>
        <w:ind w:firstLine="1014"/>
        <w:spacing w:after="0" w:line="283" w:lineRule="auto"/>
        <w:tabs>
          <w:tab w:leader="none" w:pos="1212"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securities issuable upon conversion, exchange, redemption or exercise of any Securities being offered will have been duly authorized, created and, if appropriate, reserved for issuance upon such conversion, exchange, redemption or exercise;</w:t>
      </w:r>
    </w:p>
    <w:p>
      <w:pPr>
        <w:spacing w:after="0" w:line="125" w:lineRule="exact"/>
        <w:rPr>
          <w:rFonts w:ascii="Times New Roman" w:cs="Times New Roman" w:eastAsia="Times New Roman" w:hAnsi="Times New Roman"/>
          <w:sz w:val="14"/>
          <w:szCs w:val="14"/>
          <w:color w:val="auto"/>
        </w:rPr>
      </w:pPr>
    </w:p>
    <w:p>
      <w:pPr>
        <w:jc w:val="both"/>
        <w:ind w:firstLine="1014"/>
        <w:spacing w:after="0" w:line="261" w:lineRule="auto"/>
        <w:tabs>
          <w:tab w:leader="none" w:pos="118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Securities will be delivered (i) in accordance with the provisions of the applicable Purchase Agreement approved by the Board, CenterPoint Houston Managers or CERC Corp. Board, as applicable, upon receipt of the consideration therein provided or (ii) upon conversion, exchange, redemption or exercise of any other security, in accordance with the terms of such security or the instrument governing such security providing for such conversion, exchange, redemption or exercise as approved by the Board, CenterPoint Houston Managers or CERC Corp. Board, as applicable, for the consideration approved by the Board, CenterPoint Houston Managers or CERC Corp. Board,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326390</wp:posOffset>
            </wp:positionV>
            <wp:extent cx="716280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7">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68"/>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Inc.</w:t>
            </w:r>
          </w:p>
        </w:tc>
        <w:tc>
          <w:tcPr>
            <w:tcW w:w="416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168"/>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Houston Electric, LLC</w:t>
            </w:r>
          </w:p>
        </w:tc>
        <w:tc>
          <w:tcPr>
            <w:tcW w:w="416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183"/>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Resources Corp.</w:t>
            </w:r>
          </w:p>
        </w:tc>
        <w:tc>
          <w:tcPr>
            <w:tcW w:w="4160" w:type="dxa"/>
            <w:vAlign w:val="bottom"/>
          </w:tcPr>
          <w:p>
            <w:pPr>
              <w:jc w:val="right"/>
              <w:ind w:right="2290"/>
              <w:spacing w:after="0"/>
              <w:rPr>
                <w:sz w:val="20"/>
                <w:szCs w:val="20"/>
                <w:color w:val="auto"/>
              </w:rPr>
            </w:pPr>
            <w:r>
              <w:rPr>
                <w:rFonts w:ascii="Times New Roman" w:cs="Times New Roman" w:eastAsia="Times New Roman" w:hAnsi="Times New Roman"/>
                <w:sz w:val="14"/>
                <w:szCs w:val="14"/>
                <w:color w:val="auto"/>
              </w:rPr>
              <w:t>- 4 -</w:t>
            </w:r>
          </w:p>
        </w:tc>
        <w:tc>
          <w:tcPr>
            <w:tcW w:w="3140" w:type="dxa"/>
            <w:vAlign w:val="bottom"/>
          </w:tcPr>
          <w:p>
            <w:pPr>
              <w:ind w:left="2360"/>
              <w:spacing w:after="0"/>
              <w:rPr>
                <w:sz w:val="20"/>
                <w:szCs w:val="20"/>
                <w:color w:val="auto"/>
              </w:rPr>
            </w:pPr>
            <w:r>
              <w:rPr>
                <w:rFonts w:ascii="Times New Roman" w:cs="Times New Roman" w:eastAsia="Times New Roman" w:hAnsi="Times New Roman"/>
                <w:sz w:val="14"/>
                <w:szCs w:val="14"/>
                <w:color w:val="auto"/>
                <w:w w:val="97"/>
              </w:rPr>
              <w:t>May 15, 2026</w:t>
            </w:r>
          </w:p>
        </w:tc>
      </w:tr>
    </w:tbl>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142240</wp:posOffset>
            </wp:positionV>
            <wp:extent cx="955675" cy="1270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955675" cy="127000"/>
                    </a:xfrm>
                    <a:prstGeom prst="rect">
                      <a:avLst/>
                    </a:prstGeom>
                    <a:noFill/>
                  </pic:spPr>
                </pic:pic>
              </a:graphicData>
            </a:graphic>
          </wp:anchor>
        </w:drawing>
      </w:r>
    </w:p>
    <w:p>
      <w:pPr>
        <w:ind w:left="1180" w:hanging="166"/>
        <w:spacing w:after="0"/>
        <w:tabs>
          <w:tab w:leader="none" w:pos="118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any series of Securities issuable under an Indenture:</w:t>
      </w:r>
    </w:p>
    <w:p>
      <w:pPr>
        <w:spacing w:after="0" w:line="175" w:lineRule="exact"/>
        <w:rPr>
          <w:rFonts w:ascii="Times New Roman" w:cs="Times New Roman" w:eastAsia="Times New Roman" w:hAnsi="Times New Roman"/>
          <w:sz w:val="14"/>
          <w:szCs w:val="14"/>
          <w:color w:val="auto"/>
        </w:rPr>
      </w:pPr>
    </w:p>
    <w:p>
      <w:pPr>
        <w:jc w:val="both"/>
        <w:ind w:left="1520" w:hanging="253"/>
        <w:spacing w:after="0" w:line="266" w:lineRule="auto"/>
        <w:tabs>
          <w:tab w:leader="none" w:pos="1520" w:val="left"/>
        </w:tabs>
        <w:numPr>
          <w:ilvl w:val="1"/>
          <w:numId w:val="13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Board, CenterPoint Houston Managers or CERC Corp. Board, as applicable, will have taken all necessary corporate or limited liability company action, as applicable, to designate and establish the terms of such series of Securities in accordance with the terms of the applicable Indenture, and such Securities will not include any provision that is unenforceable;</w:t>
      </w:r>
    </w:p>
    <w:p>
      <w:pPr>
        <w:spacing w:after="0" w:line="137" w:lineRule="exact"/>
        <w:rPr>
          <w:rFonts w:ascii="Arial" w:cs="Arial" w:eastAsia="Arial" w:hAnsi="Arial"/>
          <w:sz w:val="14"/>
          <w:szCs w:val="14"/>
          <w:b w:val="1"/>
          <w:bCs w:val="1"/>
          <w:color w:val="auto"/>
        </w:rPr>
      </w:pPr>
    </w:p>
    <w:p>
      <w:pPr>
        <w:ind w:left="1520" w:hanging="253"/>
        <w:spacing w:after="0"/>
        <w:tabs>
          <w:tab w:leader="none" w:pos="1520" w:val="left"/>
        </w:tabs>
        <w:numPr>
          <w:ilvl w:val="1"/>
          <w:numId w:val="13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applicable Indenture will have become qualified under the Trust Indenture Act of 1939, as amended; and</w:t>
      </w:r>
    </w:p>
    <w:p>
      <w:pPr>
        <w:spacing w:after="0" w:line="175" w:lineRule="exact"/>
        <w:rPr>
          <w:rFonts w:ascii="Arial" w:cs="Arial" w:eastAsia="Arial" w:hAnsi="Arial"/>
          <w:sz w:val="14"/>
          <w:szCs w:val="14"/>
          <w:b w:val="1"/>
          <w:bCs w:val="1"/>
          <w:color w:val="auto"/>
        </w:rPr>
      </w:pPr>
    </w:p>
    <w:p>
      <w:pPr>
        <w:ind w:left="1520" w:hanging="253"/>
        <w:spacing w:after="0" w:line="282" w:lineRule="auto"/>
        <w:tabs>
          <w:tab w:leader="none" w:pos="1520" w:val="left"/>
        </w:tabs>
        <w:numPr>
          <w:ilvl w:val="1"/>
          <w:numId w:val="132"/>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forms of Securities complying with the terms of the applicable Indenture and evidencing such Securities will have been duly executed, authenticated, issued and delivered in accordance with the provisions of such Indenture;</w:t>
      </w:r>
    </w:p>
    <w:p>
      <w:pPr>
        <w:spacing w:after="0" w:line="126" w:lineRule="exact"/>
        <w:rPr>
          <w:rFonts w:ascii="Arial" w:cs="Arial" w:eastAsia="Arial" w:hAnsi="Arial"/>
          <w:sz w:val="14"/>
          <w:szCs w:val="14"/>
          <w:b w:val="1"/>
          <w:bCs w:val="1"/>
          <w:color w:val="auto"/>
        </w:rPr>
      </w:pPr>
    </w:p>
    <w:p>
      <w:pPr>
        <w:jc w:val="both"/>
        <w:ind w:firstLine="1014"/>
        <w:spacing w:after="0" w:line="259" w:lineRule="auto"/>
        <w:tabs>
          <w:tab w:leader="none" w:pos="1209"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shares of Common Stock or Preferred Stock of any series, certificates representing such shares will have been duly executed, countersigned, registered and delivered, or if uncertificated, valid book-entry notations will have been made in the share register of CenterPoint Energy, in each case in accordance with the provisions of the Charter Documents of CenterPoint Energy; there will be sufficient shares of Common Stock or Preferred Stock authorized under such Charter Documents and not otherwise issued or reserved for issuance; and the purchase price therefor payable to CenterPoint Energy or, if such shares are issuable on the conversion, exchange, redemption or exercise of another Security, the consideration payable to CenterPoint Energy for such conversion, exchange, redemption or exercise will not be less than the par value of such shares;</w:t>
      </w:r>
    </w:p>
    <w:p>
      <w:pPr>
        <w:spacing w:after="0" w:line="141" w:lineRule="exact"/>
        <w:rPr>
          <w:rFonts w:ascii="Times New Roman" w:cs="Times New Roman" w:eastAsia="Times New Roman" w:hAnsi="Times New Roman"/>
          <w:sz w:val="14"/>
          <w:szCs w:val="14"/>
          <w:color w:val="auto"/>
        </w:rPr>
      </w:pPr>
    </w:p>
    <w:p>
      <w:pPr>
        <w:ind w:firstLine="1014"/>
        <w:spacing w:after="0" w:line="283" w:lineRule="auto"/>
        <w:tabs>
          <w:tab w:leader="none" w:pos="1188"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shares of Preferred Stock of any series, the Board will have taken all necessary corporate action to designate and establish the terms of such series and will have caused a statement of resolution respecting such series to be prepared and filed with the Secretary of State of the State of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316230</wp:posOffset>
            </wp:positionV>
            <wp:extent cx="7162800"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68"/>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Inc.</w:t>
            </w:r>
          </w:p>
        </w:tc>
        <w:tc>
          <w:tcPr>
            <w:tcW w:w="416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168"/>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Houston Electric, LLC</w:t>
            </w:r>
          </w:p>
        </w:tc>
        <w:tc>
          <w:tcPr>
            <w:tcW w:w="416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183"/>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Resources Corp.</w:t>
            </w:r>
          </w:p>
        </w:tc>
        <w:tc>
          <w:tcPr>
            <w:tcW w:w="4160" w:type="dxa"/>
            <w:vAlign w:val="bottom"/>
          </w:tcPr>
          <w:p>
            <w:pPr>
              <w:jc w:val="right"/>
              <w:ind w:right="2290"/>
              <w:spacing w:after="0"/>
              <w:rPr>
                <w:sz w:val="20"/>
                <w:szCs w:val="20"/>
                <w:color w:val="auto"/>
              </w:rPr>
            </w:pPr>
            <w:r>
              <w:rPr>
                <w:rFonts w:ascii="Times New Roman" w:cs="Times New Roman" w:eastAsia="Times New Roman" w:hAnsi="Times New Roman"/>
                <w:sz w:val="14"/>
                <w:szCs w:val="14"/>
                <w:color w:val="auto"/>
              </w:rPr>
              <w:t>- 5 -</w:t>
            </w:r>
          </w:p>
        </w:tc>
        <w:tc>
          <w:tcPr>
            <w:tcW w:w="3140" w:type="dxa"/>
            <w:vAlign w:val="bottom"/>
          </w:tcPr>
          <w:p>
            <w:pPr>
              <w:ind w:left="2360"/>
              <w:spacing w:after="0"/>
              <w:rPr>
                <w:sz w:val="20"/>
                <w:szCs w:val="20"/>
                <w:color w:val="auto"/>
              </w:rPr>
            </w:pPr>
            <w:r>
              <w:rPr>
                <w:rFonts w:ascii="Times New Roman" w:cs="Times New Roman" w:eastAsia="Times New Roman" w:hAnsi="Times New Roman"/>
                <w:sz w:val="14"/>
                <w:szCs w:val="14"/>
                <w:color w:val="auto"/>
                <w:w w:val="97"/>
              </w:rPr>
              <w:t>May 15, 2026</w:t>
            </w:r>
          </w:p>
        </w:tc>
      </w:tr>
    </w:tbl>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142240</wp:posOffset>
            </wp:positionV>
            <wp:extent cx="955675" cy="1270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955675" cy="127000"/>
                    </a:xfrm>
                    <a:prstGeom prst="rect">
                      <a:avLst/>
                    </a:prstGeom>
                    <a:noFill/>
                  </pic:spPr>
                </pic:pic>
              </a:graphicData>
            </a:graphic>
          </wp:anchor>
        </w:drawing>
      </w:r>
    </w:p>
    <w:p>
      <w:pPr>
        <w:jc w:val="both"/>
        <w:ind w:firstLine="1014"/>
        <w:spacing w:after="0" w:line="255" w:lineRule="auto"/>
        <w:tabs>
          <w:tab w:leader="none" w:pos="1251"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Depositary Shares, the Board will have taken all necessary corporate action to establish the terms of the Depositary Shares, including any action with respect to the Preferred Stock underlying such Depositary Shares; the applicable deposit agreement (the “Deposit Agreement”) will have been duly authorized and validly executed and delivered by CenterPoint Energy and the depositary thereunder appointed by CenterPoint Energy; the terms of such Depositary Shares and of their issuance and sale will be duly established in conformity with the Deposit Agreement; such Depositary Shares will be authorized, offered and sold in accordance with the Deposit Agreement; the Preferred Stock underlying such Depositary Shares will be duly issued and deposited with the depositary; the receipts evidencing such Depositary Shares, if any (the “Receipts”), will be duly issued against the deposit of such Preferred Stock in accordance with the Deposit Agreement; the Deposit Agreement and such Receipts will be governed by New York law and will not include any provision that is unenforceable; and the Receipts will by duly executed, countersigned and registered in accordance with the provisions of the applicable Deposit Agreement and duly delivered to the purchasers thereof upon payment of the agreed-upon consideration therefor;</w:t>
      </w:r>
    </w:p>
    <w:p>
      <w:pPr>
        <w:spacing w:after="0" w:line="146" w:lineRule="exact"/>
        <w:rPr>
          <w:rFonts w:ascii="Times New Roman" w:cs="Times New Roman" w:eastAsia="Times New Roman" w:hAnsi="Times New Roman"/>
          <w:sz w:val="14"/>
          <w:szCs w:val="14"/>
          <w:color w:val="auto"/>
        </w:rPr>
      </w:pPr>
    </w:p>
    <w:p>
      <w:pPr>
        <w:jc w:val="both"/>
        <w:ind w:firstLine="1014"/>
        <w:spacing w:after="0" w:line="267" w:lineRule="auto"/>
        <w:tabs>
          <w:tab w:leader="none" w:pos="1218"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Stock Purchase Contracts, the Board will have taken all necessary corporate action to establish the terms thereof and to approve the purchase contract agreement relating thereto; such Stock Purchase Contracts and purchase contract agreement will have been duly executed and delivered by the parties thereto; and neither such Stock Purchase Contracts nor such purchase contract agreement will include any provision that is unenforceable; and</w:t>
      </w:r>
    </w:p>
    <w:p>
      <w:pPr>
        <w:spacing w:after="0" w:line="136" w:lineRule="exact"/>
        <w:rPr>
          <w:rFonts w:ascii="Times New Roman" w:cs="Times New Roman" w:eastAsia="Times New Roman" w:hAnsi="Times New Roman"/>
          <w:sz w:val="14"/>
          <w:szCs w:val="14"/>
          <w:color w:val="auto"/>
        </w:rPr>
      </w:pPr>
    </w:p>
    <w:p>
      <w:pPr>
        <w:jc w:val="both"/>
        <w:ind w:firstLine="1014"/>
        <w:spacing w:after="0" w:line="259" w:lineRule="auto"/>
        <w:tabs>
          <w:tab w:leader="none" w:pos="1212"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Equity Units, the Board will have taken all necessary corporate action to establish the terms of such Equity Units and the terms of the Securities, if any, such Equity Units include; the actions referred to in paragraph (n) above will have been taken with respect to the Stock Purchase Contracts included in such Equity Units; if such Equity Units include securities other than Securities, such other securities will have been duly and validly executed, issued and delivered by the issuer thereof and will be legal, valid and binding obligations of such issuer, enforceable against such issuer in accordance with their respective terms; and no agreement or other instrument establishing such Equity Units or defining the rights of the holders of such Equity Units will contain any provision that is unenforceable.</w:t>
      </w:r>
    </w:p>
    <w:p>
      <w:pPr>
        <w:spacing w:after="0" w:line="14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On the basis of the foregoing, and subject to the assumptions, limitations and qualifications hereinafter set forth, we are of the opinion that:</w:t>
      </w:r>
    </w:p>
    <w:p>
      <w:pPr>
        <w:spacing w:after="0" w:line="176" w:lineRule="exact"/>
        <w:rPr>
          <w:sz w:val="20"/>
          <w:szCs w:val="20"/>
          <w:color w:val="auto"/>
        </w:rPr>
      </w:pPr>
    </w:p>
    <w:p>
      <w:pPr>
        <w:jc w:val="both"/>
        <w:ind w:firstLine="1014"/>
        <w:spacing w:after="0" w:line="261" w:lineRule="auto"/>
        <w:tabs>
          <w:tab w:leader="none" w:pos="1163"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Senior Debt Securities, the Junior Subordinated Debt Securities, the Stock Purchase Contracts and the Equity Units included in the Securities will, when issued, constitute legal, valid and binding obligations of CenterPoint Energy, enforceable against CenterPoint Energy in accordance with their terms, except as that enforcement is subject to (a) any applicable bankruptcy, insolvency, reorganization, moratorium, fraudulent transfer or conveyance or other laws relating to or affecting creditors’ rights generally, (b) general principles of equity (regardless of whether that enforceability is considered in a proceeding in equity or at law) and (c) any implied covenants of good faith and fair dealing.</w:t>
      </w:r>
    </w:p>
    <w:p>
      <w:pPr>
        <w:spacing w:after="0" w:line="141" w:lineRule="exact"/>
        <w:rPr>
          <w:rFonts w:ascii="Times New Roman" w:cs="Times New Roman" w:eastAsia="Times New Roman" w:hAnsi="Times New Roman"/>
          <w:sz w:val="14"/>
          <w:szCs w:val="14"/>
          <w:color w:val="auto"/>
        </w:rPr>
      </w:pPr>
    </w:p>
    <w:p>
      <w:pPr>
        <w:jc w:val="both"/>
        <w:ind w:firstLine="1014"/>
        <w:spacing w:after="0" w:line="261" w:lineRule="auto"/>
        <w:tabs>
          <w:tab w:leader="none" w:pos="1154"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Mortgage Bonds included in the Securities will, when issued, constitute legal, valid and binding obligations of CenterPoint Houston, enforceable against CenterPoint Houston in accordance with their terms, except as that enforcement is subject to (a) any applicable bankruptcy, insolvency, reorganization, moratorium, fraudulent transfer or conveyance or other laws relating to or affecting creditors’ rights generally, (b) general principles of equity (regardless of whether that enforceability is considered in a proceeding in equity or at law) and (c) any implied covenants of good faith and fair dealing.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326390</wp:posOffset>
            </wp:positionV>
            <wp:extent cx="716280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1">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68"/>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Inc.</w:t>
            </w:r>
          </w:p>
        </w:tc>
        <w:tc>
          <w:tcPr>
            <w:tcW w:w="416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168"/>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Houston Electric, LLC</w:t>
            </w:r>
          </w:p>
        </w:tc>
        <w:tc>
          <w:tcPr>
            <w:tcW w:w="4160" w:type="dxa"/>
            <w:vAlign w:val="bottom"/>
          </w:tcPr>
          <w:p>
            <w:pPr>
              <w:spacing w:after="0"/>
              <w:rPr>
                <w:sz w:val="14"/>
                <w:szCs w:val="14"/>
                <w:color w:val="auto"/>
              </w:rPr>
            </w:pPr>
          </w:p>
        </w:tc>
        <w:tc>
          <w:tcPr>
            <w:tcW w:w="3140" w:type="dxa"/>
            <w:vAlign w:val="bottom"/>
          </w:tcPr>
          <w:p>
            <w:pPr>
              <w:spacing w:after="0"/>
              <w:rPr>
                <w:sz w:val="14"/>
                <w:szCs w:val="14"/>
                <w:color w:val="auto"/>
              </w:rPr>
            </w:pPr>
          </w:p>
        </w:tc>
      </w:tr>
      <w:tr>
        <w:trPr>
          <w:trHeight w:val="183"/>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Resources Corp.</w:t>
            </w:r>
          </w:p>
        </w:tc>
        <w:tc>
          <w:tcPr>
            <w:tcW w:w="4160" w:type="dxa"/>
            <w:vAlign w:val="bottom"/>
          </w:tcPr>
          <w:p>
            <w:pPr>
              <w:jc w:val="right"/>
              <w:ind w:right="2290"/>
              <w:spacing w:after="0"/>
              <w:rPr>
                <w:sz w:val="20"/>
                <w:szCs w:val="20"/>
                <w:color w:val="auto"/>
              </w:rPr>
            </w:pPr>
            <w:r>
              <w:rPr>
                <w:rFonts w:ascii="Times New Roman" w:cs="Times New Roman" w:eastAsia="Times New Roman" w:hAnsi="Times New Roman"/>
                <w:sz w:val="14"/>
                <w:szCs w:val="14"/>
                <w:color w:val="auto"/>
              </w:rPr>
              <w:t>- 6 -</w:t>
            </w:r>
          </w:p>
        </w:tc>
        <w:tc>
          <w:tcPr>
            <w:tcW w:w="3140" w:type="dxa"/>
            <w:vAlign w:val="bottom"/>
          </w:tcPr>
          <w:p>
            <w:pPr>
              <w:ind w:left="2360"/>
              <w:spacing w:after="0"/>
              <w:rPr>
                <w:sz w:val="20"/>
                <w:szCs w:val="20"/>
                <w:color w:val="auto"/>
              </w:rPr>
            </w:pPr>
            <w:r>
              <w:rPr>
                <w:rFonts w:ascii="Times New Roman" w:cs="Times New Roman" w:eastAsia="Times New Roman" w:hAnsi="Times New Roman"/>
                <w:sz w:val="14"/>
                <w:szCs w:val="14"/>
                <w:color w:val="auto"/>
                <w:w w:val="97"/>
              </w:rPr>
              <w:t>May 15, 2026</w:t>
            </w:r>
          </w:p>
        </w:tc>
      </w:tr>
    </w:tbl>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142240</wp:posOffset>
            </wp:positionV>
            <wp:extent cx="955675" cy="1270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955675" cy="127000"/>
                    </a:xfrm>
                    <a:prstGeom prst="rect">
                      <a:avLst/>
                    </a:prstGeom>
                    <a:noFill/>
                  </pic:spPr>
                </pic:pic>
              </a:graphicData>
            </a:graphic>
          </wp:anchor>
        </w:drawing>
      </w:r>
    </w:p>
    <w:p>
      <w:pPr>
        <w:jc w:val="both"/>
        <w:ind w:firstLine="1014"/>
        <w:spacing w:after="0" w:line="261" w:lineRule="auto"/>
        <w:tabs>
          <w:tab w:leader="none" w:pos="1172"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CERC Debt Securities included in the Securities will, when issued, constitute legal, valid and binding obligations of CERC Corp., enforceable against CERC Corp. in accordance with their terms, except as that enforcement is subject to (a) any applicable bankruptcy, insolvency, reorganization, moratorium, fraudulent transfer or conveyance or other laws relating to or affecting creditors’ rights generally, (b) general principles of equity (regardless of whether that enforceability is considered in a proceeding in equity or at law) and (c) any implied covenants of good faith and fair dealing.</w:t>
      </w:r>
    </w:p>
    <w:p>
      <w:pPr>
        <w:spacing w:after="0" w:line="141" w:lineRule="exact"/>
        <w:rPr>
          <w:rFonts w:ascii="Times New Roman" w:cs="Times New Roman" w:eastAsia="Times New Roman" w:hAnsi="Times New Roman"/>
          <w:sz w:val="14"/>
          <w:szCs w:val="14"/>
          <w:color w:val="auto"/>
        </w:rPr>
      </w:pPr>
    </w:p>
    <w:p>
      <w:pPr>
        <w:ind w:left="1180" w:hanging="166"/>
        <w:spacing w:after="0"/>
        <w:tabs>
          <w:tab w:leader="none" w:pos="118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of Common Stock and Preferred Stock included in the Securities will, when issued, have been duly authorized and validly issued and will be fully paid and non-</w:t>
      </w:r>
    </w:p>
    <w:p>
      <w:pPr>
        <w:spacing w:after="0" w:line="21"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assessable.</w:t>
      </w:r>
    </w:p>
    <w:p>
      <w:pPr>
        <w:spacing w:after="0" w:line="161" w:lineRule="exact"/>
        <w:rPr>
          <w:rFonts w:ascii="Times New Roman" w:cs="Times New Roman" w:eastAsia="Times New Roman" w:hAnsi="Times New Roman"/>
          <w:sz w:val="14"/>
          <w:szCs w:val="14"/>
          <w:color w:val="auto"/>
        </w:rPr>
      </w:pPr>
    </w:p>
    <w:p>
      <w:pPr>
        <w:jc w:val="both"/>
        <w:ind w:firstLine="1014"/>
        <w:spacing w:after="0" w:line="259" w:lineRule="auto"/>
        <w:tabs>
          <w:tab w:leader="none" w:pos="1154"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Depositary Shares included in the Securities will, when issued, have been duly authorized and validly issued and constitute legal, valid and binding obligations of CenterPoint Energy and the Receipts representing Depositary Shares will entitle the holders thereof to the rights specified therein and in the Deposit Agreement pursuant to which they are issued, enforceable against CenterPoint Energy in accordance with their terms, except as that enforcement is subject to (a) any applicable bankruptcy, insolvency, reorganization, moratorium, fraudulent transfer or conveyance or other laws relating to or affecting creditors’ rights generally, (b) general principles of equity (regardless of whether that enforceability is considered in a proceeding in equity or at law) and (c) any implied covenants of good faith and fair dealing.</w:t>
      </w:r>
    </w:p>
    <w:p>
      <w:pPr>
        <w:spacing w:after="0" w:line="141" w:lineRule="exact"/>
        <w:rPr>
          <w:sz w:val="20"/>
          <w:szCs w:val="20"/>
          <w:color w:val="auto"/>
        </w:rPr>
      </w:pPr>
    </w:p>
    <w:p>
      <w:pPr>
        <w:jc w:val="both"/>
        <w:ind w:firstLine="1010"/>
        <w:spacing w:after="0" w:line="261" w:lineRule="auto"/>
        <w:rPr>
          <w:sz w:val="20"/>
          <w:szCs w:val="20"/>
          <w:color w:val="auto"/>
        </w:rPr>
      </w:pPr>
      <w:r>
        <w:rPr>
          <w:rFonts w:ascii="Times New Roman" w:cs="Times New Roman" w:eastAsia="Times New Roman" w:hAnsi="Times New Roman"/>
          <w:sz w:val="14"/>
          <w:szCs w:val="14"/>
          <w:color w:val="auto"/>
        </w:rPr>
        <w:t>The opinions set forth above in this opinion letter are limited in all respects to matters of the laws of the State of Texas, the General Corporation Law of the State of Delaware, applicable federal law and the contract law of the State of New York. We hereby consent to the filing of this opinion letter of counsel as Exhibit 5.1 to the Registration Statement. We also consent to the references to our Firm under the heading “Legal Matters” in the prospectuses forming a part of the Registration Statement. In giving this consent, we do not hereby admit that we are in the category of persons whose consent is required under Section 7 of the Act or the rules and regulations of the Commission thereunder.</w:t>
      </w:r>
    </w:p>
    <w:p>
      <w:pPr>
        <w:spacing w:after="0" w:line="1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Baker Botts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347980</wp:posOffset>
            </wp:positionV>
            <wp:extent cx="716280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3">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577" w:right="31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76"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4"/>
          <w:szCs w:val="14"/>
          <w:color w:val="auto"/>
        </w:rPr>
        <w:t>We consent to the incorporation by reference in this Registration Statement on Form S-3 of our reports dated February 19, 2026 relating to the financial statements of CenterPoint Energy, Inc. and the effectiveness of CenterPoint Energy, Inc.’s internal control over financial reporting, appearing in the Annual Report on Form 10-K of CenterPoint Energy, Inc. for the year ended December 31, 2025. We also consent to the reference to us under the heading “Experts” in such Registration Statement.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218440</wp:posOffset>
            </wp:positionV>
            <wp:extent cx="716280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4">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115" w:right="31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76"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4"/>
          <w:szCs w:val="14"/>
          <w:color w:val="auto"/>
        </w:rPr>
        <w:t>We consent to the incorporation by reference in this Registration Statement on Form S-3 of our report dated February 19, 2026 relating to the financial statements of CenterPoint Energy Houston Electric, LLC, appearing in the Annual Report on Form 10-K of CenterPoint Energy Houston Electric, LLC for the year ended December 31, 2025. We also consent to the reference to us under the heading “Experts” in such Registration Statement.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218440</wp:posOffset>
            </wp:positionV>
            <wp:extent cx="716280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5">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4"/>
          <w:szCs w:val="14"/>
          <w:b w:val="1"/>
          <w:bCs w:val="1"/>
          <w:color w:val="auto"/>
        </w:rPr>
        <w:t>Exhibit 23.3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CONSENT OF INDEPENDENT REGISTERED PUBLIC ACCOUNTING FIRM</w:t>
      </w:r>
    </w:p>
    <w:p>
      <w:pPr>
        <w:spacing w:after="0" w:line="176"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4"/>
          <w:szCs w:val="14"/>
          <w:color w:val="auto"/>
        </w:rPr>
        <w:t>We consent to the incorporation by reference in this Registration Statement on Form S-3 of our report dated February 19, 2026 relating to the financial statements of CenterPoint Energy Resources Corp., appearing in the Annual Report on Form 10-K of CenterPoint Energy Resources Corp. for the year ended December 31, 2025. We also consent to the reference to us under the heading “Experts” in such Registration Statement.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218440</wp:posOffset>
            </wp:positionV>
            <wp:extent cx="716280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4" w:name="page105"/>
    <w:bookmarkEnd w:id="104"/>
    <w:p>
      <w:pPr>
        <w:ind w:left="10420"/>
        <w:spacing w:after="0"/>
        <w:rPr>
          <w:sz w:val="20"/>
          <w:szCs w:val="20"/>
          <w:color w:val="auto"/>
        </w:rPr>
      </w:pPr>
      <w:r>
        <w:rPr>
          <w:rFonts w:ascii="Times New Roman" w:cs="Times New Roman" w:eastAsia="Times New Roman" w:hAnsi="Times New Roman"/>
          <w:sz w:val="16"/>
          <w:szCs w:val="16"/>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7162800" cy="133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7">
                      <a:extLst>
                        <a:ext uri="{28A0092B-C50C-407E-A947-70E740481C1C}"/>
                      </a:extLst>
                    </a:blip>
                    <a:srcRect/>
                    <a:stretch>
                      <a:fillRect/>
                    </a:stretch>
                  </pic:blipFill>
                  <pic:spPr bwMode="auto">
                    <a:xfrm>
                      <a:off x="0" y="0"/>
                      <a:ext cx="7162800" cy="133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165735</wp:posOffset>
            </wp:positionV>
            <wp:extent cx="716280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8">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UNITED STATES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AND EXCHANGE COMMISSION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Washington, D.C. 20549</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T-1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STATEMENT OF ELIGIBILITY</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UNDER THE TRUST INDENTURE ACT OF 1939 OF 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CORPORATION DESIGNATED TO ACT AS TRUSTEE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CHECK IF AN APPLICATION TO DETERMINE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ELIGIBILITY OF A TRUSTEE PURSUANT TO</w:t>
      </w:r>
    </w:p>
    <w:p>
      <w:pPr>
        <w:spacing w:after="0" w:line="4" w:lineRule="exact"/>
        <w:rPr>
          <w:sz w:val="20"/>
          <w:szCs w:val="20"/>
          <w:color w:val="auto"/>
        </w:rPr>
      </w:pPr>
    </w:p>
    <w:p>
      <w:pPr>
        <w:jc w:val="center"/>
        <w:spacing w:after="0" w:line="161" w:lineRule="exact"/>
        <w:tabs>
          <w:tab w:leader="none" w:pos="360" w:val="left"/>
        </w:tabs>
        <w:rPr>
          <w:sz w:val="20"/>
          <w:szCs w:val="20"/>
          <w:color w:val="auto"/>
        </w:rPr>
      </w:pPr>
      <w:r>
        <w:rPr>
          <w:rFonts w:ascii="Times New Roman" w:cs="Times New Roman" w:eastAsia="Times New Roman" w:hAnsi="Times New Roman"/>
          <w:sz w:val="14"/>
          <w:szCs w:val="14"/>
          <w:color w:val="auto"/>
        </w:rPr>
        <w:t>SECTION 305(b)(2)</w:t>
      </w:r>
      <w:r>
        <w:rPr>
          <w:sz w:val="20"/>
          <w:szCs w:val="20"/>
          <w:color w:val="auto"/>
        </w:rPr>
        <w:tab/>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140970</wp:posOffset>
            </wp:positionV>
            <wp:extent cx="179070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9">
                      <a:extLst>
                        <a:ext uri="{28A0092B-C50C-407E-A947-70E740481C1C}"/>
                      </a:extLst>
                    </a:blip>
                    <a:srcRect/>
                    <a:stretch>
                      <a:fillRect/>
                    </a:stretch>
                  </pic:blipFill>
                  <pic:spPr bwMode="auto">
                    <a:xfrm>
                      <a:off x="0" y="0"/>
                      <a:ext cx="1790700" cy="698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3160" w:type="dxa"/>
            <w:vAlign w:val="bottom"/>
          </w:tcPr>
          <w:p>
            <w:pPr>
              <w:spacing w:after="0"/>
              <w:rPr>
                <w:sz w:val="20"/>
                <w:szCs w:val="20"/>
                <w:color w:val="auto"/>
              </w:rPr>
            </w:pPr>
          </w:p>
        </w:tc>
        <w:tc>
          <w:tcPr>
            <w:tcW w:w="8140" w:type="dxa"/>
            <w:vAlign w:val="bottom"/>
            <w:gridSpan w:val="4"/>
          </w:tcPr>
          <w:p>
            <w:pPr>
              <w:jc w:val="center"/>
              <w:ind w:right="3180"/>
              <w:spacing w:after="0"/>
              <w:rPr>
                <w:sz w:val="20"/>
                <w:szCs w:val="20"/>
                <w:color w:val="auto"/>
              </w:rPr>
            </w:pPr>
            <w:r>
              <w:rPr>
                <w:rFonts w:ascii="Times New Roman" w:cs="Times New Roman" w:eastAsia="Times New Roman" w:hAnsi="Times New Roman"/>
                <w:sz w:val="20"/>
                <w:szCs w:val="20"/>
                <w:color w:val="auto"/>
                <w:w w:val="97"/>
              </w:rPr>
              <w:t>THE BANK OF NEW YORK MELLON</w:t>
            </w:r>
          </w:p>
        </w:tc>
      </w:tr>
      <w:tr>
        <w:trPr>
          <w:trHeight w:val="235"/>
        </w:trPr>
        <w:tc>
          <w:tcPr>
            <w:tcW w:w="3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60" w:type="dxa"/>
            <w:vAlign w:val="bottom"/>
            <w:gridSpan w:val="3"/>
          </w:tcPr>
          <w:p>
            <w:pPr>
              <w:jc w:val="center"/>
              <w:ind w:right="4260"/>
              <w:spacing w:after="0"/>
              <w:rPr>
                <w:sz w:val="20"/>
                <w:szCs w:val="20"/>
                <w:color w:val="auto"/>
              </w:rPr>
            </w:pPr>
            <w:r>
              <w:rPr>
                <w:rFonts w:ascii="Times New Roman" w:cs="Times New Roman" w:eastAsia="Times New Roman" w:hAnsi="Times New Roman"/>
                <w:sz w:val="20"/>
                <w:szCs w:val="20"/>
                <w:color w:val="auto"/>
                <w:w w:val="95"/>
              </w:rPr>
              <w:t>TRUST COMPANY, N.A.</w:t>
            </w:r>
          </w:p>
        </w:tc>
      </w:tr>
      <w:tr>
        <w:trPr>
          <w:trHeight w:val="183"/>
        </w:trPr>
        <w:tc>
          <w:tcPr>
            <w:tcW w:w="3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60" w:type="dxa"/>
            <w:vAlign w:val="bottom"/>
            <w:gridSpan w:val="3"/>
          </w:tcPr>
          <w:p>
            <w:pPr>
              <w:jc w:val="center"/>
              <w:ind w:right="4240"/>
              <w:spacing w:after="0"/>
              <w:rPr>
                <w:sz w:val="20"/>
                <w:szCs w:val="20"/>
                <w:color w:val="auto"/>
              </w:rPr>
            </w:pPr>
            <w:r>
              <w:rPr>
                <w:rFonts w:ascii="Times New Roman" w:cs="Times New Roman" w:eastAsia="Times New Roman" w:hAnsi="Times New Roman"/>
                <w:sz w:val="14"/>
                <w:szCs w:val="14"/>
                <w:color w:val="auto"/>
              </w:rPr>
              <w:t>(Exact name of trustee as specified in its charter)</w:t>
            </w:r>
          </w:p>
        </w:tc>
      </w:tr>
      <w:tr>
        <w:trPr>
          <w:trHeight w:val="168"/>
        </w:trPr>
        <w:tc>
          <w:tcPr>
            <w:tcW w:w="3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240" w:type="dxa"/>
            <w:vAlign w:val="bottom"/>
            <w:tcBorders>
              <w:bottom w:val="single" w:sz="8" w:color="auto"/>
            </w:tcBorders>
          </w:tcPr>
          <w:p>
            <w:pPr>
              <w:spacing w:after="0"/>
              <w:rPr>
                <w:sz w:val="14"/>
                <w:szCs w:val="14"/>
                <w:color w:val="auto"/>
              </w:rPr>
            </w:pPr>
          </w:p>
        </w:tc>
      </w:tr>
      <w:tr>
        <w:trPr>
          <w:trHeight w:val="144"/>
        </w:trPr>
        <w:tc>
          <w:tcPr>
            <w:tcW w:w="3160" w:type="dxa"/>
            <w:vAlign w:val="bottom"/>
            <w:tcBorders>
              <w:left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2000" w:type="dxa"/>
            <w:vAlign w:val="bottom"/>
            <w:tcBorders>
              <w:right w:val="single" w:sz="8" w:color="auto"/>
            </w:tcBorders>
          </w:tcPr>
          <w:p>
            <w:pPr>
              <w:spacing w:after="0"/>
              <w:rPr>
                <w:sz w:val="12"/>
                <w:szCs w:val="12"/>
                <w:color w:val="auto"/>
              </w:rPr>
            </w:pPr>
          </w:p>
        </w:tc>
        <w:tc>
          <w:tcPr>
            <w:tcW w:w="820" w:type="dxa"/>
            <w:vAlign w:val="bottom"/>
          </w:tcPr>
          <w:p>
            <w:pPr>
              <w:ind w:left="60"/>
              <w:spacing w:after="0" w:line="144" w:lineRule="exact"/>
              <w:rPr>
                <w:sz w:val="20"/>
                <w:szCs w:val="20"/>
                <w:color w:val="auto"/>
              </w:rPr>
            </w:pPr>
            <w:r>
              <w:rPr>
                <w:rFonts w:ascii="Times New Roman" w:cs="Times New Roman" w:eastAsia="Times New Roman" w:hAnsi="Times New Roman"/>
                <w:sz w:val="14"/>
                <w:szCs w:val="14"/>
                <w:color w:val="auto"/>
              </w:rPr>
              <w:t>95-3571558</w:t>
            </w:r>
          </w:p>
        </w:tc>
        <w:tc>
          <w:tcPr>
            <w:tcW w:w="4240" w:type="dxa"/>
            <w:vAlign w:val="bottom"/>
            <w:tcBorders>
              <w:right w:val="single" w:sz="8" w:color="auto"/>
            </w:tcBorders>
          </w:tcPr>
          <w:p>
            <w:pPr>
              <w:spacing w:after="0"/>
              <w:rPr>
                <w:sz w:val="12"/>
                <w:szCs w:val="12"/>
                <w:color w:val="auto"/>
              </w:rPr>
            </w:pPr>
          </w:p>
        </w:tc>
      </w:tr>
      <w:tr>
        <w:trPr>
          <w:trHeight w:val="168"/>
        </w:trPr>
        <w:tc>
          <w:tcPr>
            <w:tcW w:w="31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(Jurisdiction of incorporation</w:t>
            </w:r>
          </w:p>
        </w:tc>
        <w:tc>
          <w:tcPr>
            <w:tcW w:w="1080" w:type="dxa"/>
            <w:vAlign w:val="bottom"/>
          </w:tcPr>
          <w:p>
            <w:pPr>
              <w:spacing w:after="0"/>
              <w:rPr>
                <w:sz w:val="14"/>
                <w:szCs w:val="14"/>
                <w:color w:val="auto"/>
              </w:rPr>
            </w:pPr>
          </w:p>
        </w:tc>
        <w:tc>
          <w:tcPr>
            <w:tcW w:w="2000" w:type="dxa"/>
            <w:vAlign w:val="bottom"/>
            <w:tcBorders>
              <w:right w:val="single" w:sz="8" w:color="auto"/>
            </w:tcBorders>
          </w:tcPr>
          <w:p>
            <w:pPr>
              <w:spacing w:after="0"/>
              <w:rPr>
                <w:sz w:val="14"/>
                <w:szCs w:val="14"/>
                <w:color w:val="auto"/>
              </w:rPr>
            </w:pPr>
          </w:p>
        </w:tc>
        <w:tc>
          <w:tcPr>
            <w:tcW w:w="50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(I.R.S. employer</w:t>
            </w:r>
          </w:p>
        </w:tc>
      </w:tr>
      <w:tr>
        <w:trPr>
          <w:trHeight w:val="183"/>
        </w:trPr>
        <w:tc>
          <w:tcPr>
            <w:tcW w:w="31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if not a U.S. national bank)</w:t>
            </w:r>
          </w:p>
        </w:tc>
        <w:tc>
          <w:tcPr>
            <w:tcW w:w="1080" w:type="dxa"/>
            <w:vAlign w:val="bottom"/>
          </w:tcPr>
          <w:p>
            <w:pPr>
              <w:spacing w:after="0"/>
              <w:rPr>
                <w:sz w:val="15"/>
                <w:szCs w:val="15"/>
                <w:color w:val="auto"/>
              </w:rPr>
            </w:pPr>
          </w:p>
        </w:tc>
        <w:tc>
          <w:tcPr>
            <w:tcW w:w="2000" w:type="dxa"/>
            <w:vAlign w:val="bottom"/>
            <w:tcBorders>
              <w:right w:val="single" w:sz="8" w:color="auto"/>
            </w:tcBorders>
          </w:tcPr>
          <w:p>
            <w:pPr>
              <w:spacing w:after="0"/>
              <w:rPr>
                <w:sz w:val="15"/>
                <w:szCs w:val="15"/>
                <w:color w:val="auto"/>
              </w:rPr>
            </w:pPr>
          </w:p>
        </w:tc>
        <w:tc>
          <w:tcPr>
            <w:tcW w:w="50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168"/>
        </w:trPr>
        <w:tc>
          <w:tcPr>
            <w:tcW w:w="3160" w:type="dxa"/>
            <w:vAlign w:val="bottom"/>
            <w:tcBorders>
              <w:left w:val="single" w:sz="8" w:color="auto"/>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0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240" w:type="dxa"/>
            <w:vAlign w:val="bottom"/>
            <w:tcBorders>
              <w:bottom w:val="single" w:sz="8" w:color="auto"/>
              <w:right w:val="single" w:sz="8" w:color="auto"/>
            </w:tcBorders>
          </w:tcPr>
          <w:p>
            <w:pPr>
              <w:spacing w:after="0"/>
              <w:rPr>
                <w:sz w:val="14"/>
                <w:szCs w:val="14"/>
                <w:color w:val="auto"/>
              </w:rPr>
            </w:pPr>
          </w:p>
        </w:tc>
      </w:tr>
      <w:tr>
        <w:trPr>
          <w:trHeight w:val="144"/>
        </w:trPr>
        <w:tc>
          <w:tcPr>
            <w:tcW w:w="3160" w:type="dxa"/>
            <w:vAlign w:val="bottom"/>
            <w:tcBorders>
              <w:left w:val="single" w:sz="8" w:color="auto"/>
            </w:tcBorders>
          </w:tcPr>
          <w:p>
            <w:pPr>
              <w:ind w:left="100"/>
              <w:spacing w:after="0" w:line="144" w:lineRule="exact"/>
              <w:rPr>
                <w:sz w:val="20"/>
                <w:szCs w:val="20"/>
                <w:color w:val="auto"/>
              </w:rPr>
            </w:pPr>
            <w:r>
              <w:rPr>
                <w:rFonts w:ascii="Times New Roman" w:cs="Times New Roman" w:eastAsia="Times New Roman" w:hAnsi="Times New Roman"/>
                <w:sz w:val="14"/>
                <w:szCs w:val="14"/>
                <w:color w:val="auto"/>
              </w:rPr>
              <w:t>333 South Hope Street</w:t>
            </w:r>
          </w:p>
        </w:tc>
        <w:tc>
          <w:tcPr>
            <w:tcW w:w="1080" w:type="dxa"/>
            <w:vAlign w:val="bottom"/>
          </w:tcPr>
          <w:p>
            <w:pPr>
              <w:spacing w:after="0"/>
              <w:rPr>
                <w:sz w:val="12"/>
                <w:szCs w:val="12"/>
                <w:color w:val="auto"/>
              </w:rPr>
            </w:pPr>
          </w:p>
        </w:tc>
        <w:tc>
          <w:tcPr>
            <w:tcW w:w="200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4240" w:type="dxa"/>
            <w:vAlign w:val="bottom"/>
            <w:tcBorders>
              <w:right w:val="single" w:sz="8" w:color="auto"/>
            </w:tcBorders>
          </w:tcPr>
          <w:p>
            <w:pPr>
              <w:spacing w:after="0"/>
              <w:rPr>
                <w:sz w:val="12"/>
                <w:szCs w:val="12"/>
                <w:color w:val="auto"/>
              </w:rPr>
            </w:pPr>
          </w:p>
        </w:tc>
      </w:tr>
      <w:tr>
        <w:trPr>
          <w:trHeight w:val="168"/>
        </w:trPr>
        <w:tc>
          <w:tcPr>
            <w:tcW w:w="31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Suite 2525</w:t>
            </w:r>
          </w:p>
        </w:tc>
        <w:tc>
          <w:tcPr>
            <w:tcW w:w="1080" w:type="dxa"/>
            <w:vAlign w:val="bottom"/>
          </w:tcPr>
          <w:p>
            <w:pPr>
              <w:spacing w:after="0"/>
              <w:rPr>
                <w:sz w:val="14"/>
                <w:szCs w:val="14"/>
                <w:color w:val="auto"/>
              </w:rPr>
            </w:pPr>
          </w:p>
        </w:tc>
        <w:tc>
          <w:tcPr>
            <w:tcW w:w="200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4240" w:type="dxa"/>
            <w:vAlign w:val="bottom"/>
            <w:tcBorders>
              <w:right w:val="single" w:sz="8" w:color="auto"/>
            </w:tcBorders>
          </w:tcPr>
          <w:p>
            <w:pPr>
              <w:spacing w:after="0"/>
              <w:rPr>
                <w:sz w:val="14"/>
                <w:szCs w:val="14"/>
                <w:color w:val="auto"/>
              </w:rPr>
            </w:pPr>
          </w:p>
        </w:tc>
      </w:tr>
      <w:tr>
        <w:trPr>
          <w:trHeight w:val="168"/>
        </w:trPr>
        <w:tc>
          <w:tcPr>
            <w:tcW w:w="31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Los Angeles, California</w:t>
            </w:r>
          </w:p>
        </w:tc>
        <w:tc>
          <w:tcPr>
            <w:tcW w:w="1080" w:type="dxa"/>
            <w:vAlign w:val="bottom"/>
          </w:tcPr>
          <w:p>
            <w:pPr>
              <w:spacing w:after="0"/>
              <w:rPr>
                <w:sz w:val="14"/>
                <w:szCs w:val="14"/>
                <w:color w:val="auto"/>
              </w:rPr>
            </w:pPr>
          </w:p>
        </w:tc>
        <w:tc>
          <w:tcPr>
            <w:tcW w:w="200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4240" w:type="dxa"/>
            <w:vAlign w:val="bottom"/>
            <w:tcBorders>
              <w:right w:val="single" w:sz="8" w:color="auto"/>
            </w:tcBorders>
          </w:tcPr>
          <w:p>
            <w:pPr>
              <w:spacing w:after="0"/>
              <w:rPr>
                <w:sz w:val="14"/>
                <w:szCs w:val="14"/>
                <w:color w:val="auto"/>
              </w:rPr>
            </w:pPr>
          </w:p>
        </w:tc>
      </w:tr>
      <w:tr>
        <w:trPr>
          <w:trHeight w:val="168"/>
        </w:trPr>
        <w:tc>
          <w:tcPr>
            <w:tcW w:w="31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080" w:type="dxa"/>
            <w:vAlign w:val="bottom"/>
          </w:tcPr>
          <w:p>
            <w:pPr>
              <w:spacing w:after="0"/>
              <w:rPr>
                <w:sz w:val="14"/>
                <w:szCs w:val="14"/>
                <w:color w:val="auto"/>
              </w:rPr>
            </w:pPr>
          </w:p>
        </w:tc>
        <w:tc>
          <w:tcPr>
            <w:tcW w:w="2000" w:type="dxa"/>
            <w:vAlign w:val="bottom"/>
            <w:tcBorders>
              <w:right w:val="single" w:sz="8" w:color="auto"/>
            </w:tcBorders>
          </w:tcPr>
          <w:p>
            <w:pPr>
              <w:spacing w:after="0"/>
              <w:rPr>
                <w:sz w:val="14"/>
                <w:szCs w:val="14"/>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90071</w:t>
            </w:r>
          </w:p>
        </w:tc>
        <w:tc>
          <w:tcPr>
            <w:tcW w:w="4240" w:type="dxa"/>
            <w:vAlign w:val="bottom"/>
            <w:tcBorders>
              <w:right w:val="single" w:sz="8" w:color="auto"/>
            </w:tcBorders>
          </w:tcPr>
          <w:p>
            <w:pPr>
              <w:spacing w:after="0"/>
              <w:rPr>
                <w:sz w:val="14"/>
                <w:szCs w:val="14"/>
                <w:color w:val="auto"/>
              </w:rPr>
            </w:pPr>
          </w:p>
        </w:tc>
      </w:tr>
      <w:tr>
        <w:trPr>
          <w:trHeight w:val="183"/>
        </w:trPr>
        <w:tc>
          <w:tcPr>
            <w:tcW w:w="3160" w:type="dxa"/>
            <w:vAlign w:val="bottom"/>
            <w:tcBorders>
              <w:left w:val="single" w:sz="8" w:color="auto"/>
            </w:tcBorders>
          </w:tcPr>
          <w:p>
            <w:pPr>
              <w:spacing w:after="0"/>
              <w:rPr>
                <w:sz w:val="15"/>
                <w:szCs w:val="15"/>
                <w:color w:val="auto"/>
              </w:rPr>
            </w:pPr>
          </w:p>
        </w:tc>
        <w:tc>
          <w:tcPr>
            <w:tcW w:w="1080" w:type="dxa"/>
            <w:vAlign w:val="bottom"/>
          </w:tcPr>
          <w:p>
            <w:pPr>
              <w:spacing w:after="0"/>
              <w:rPr>
                <w:sz w:val="15"/>
                <w:szCs w:val="15"/>
                <w:color w:val="auto"/>
              </w:rPr>
            </w:pPr>
          </w:p>
        </w:tc>
        <w:tc>
          <w:tcPr>
            <w:tcW w:w="2000" w:type="dxa"/>
            <w:vAlign w:val="bottom"/>
            <w:tcBorders>
              <w:right w:val="single" w:sz="8" w:color="auto"/>
            </w:tcBorders>
          </w:tcPr>
          <w:p>
            <w:pPr>
              <w:spacing w:after="0"/>
              <w:rPr>
                <w:sz w:val="15"/>
                <w:szCs w:val="15"/>
                <w:color w:val="auto"/>
              </w:rPr>
            </w:pPr>
          </w:p>
        </w:tc>
        <w:tc>
          <w:tcPr>
            <w:tcW w:w="50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(Zip code)</w:t>
            </w:r>
          </w:p>
        </w:tc>
      </w:tr>
      <w:tr>
        <w:trPr>
          <w:trHeight w:val="168"/>
        </w:trPr>
        <w:tc>
          <w:tcPr>
            <w:tcW w:w="3160" w:type="dxa"/>
            <w:vAlign w:val="bottom"/>
            <w:tcBorders>
              <w:left w:val="single" w:sz="8" w:color="auto"/>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0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240" w:type="dxa"/>
            <w:vAlign w:val="bottom"/>
            <w:tcBorders>
              <w:bottom w:val="single" w:sz="8" w:color="auto"/>
              <w:right w:val="single" w:sz="8" w:color="auto"/>
            </w:tcBorders>
          </w:tcPr>
          <w:p>
            <w:pPr>
              <w:spacing w:after="0"/>
              <w:rPr>
                <w:sz w:val="14"/>
                <w:szCs w:val="14"/>
                <w:color w:val="auto"/>
              </w:rPr>
            </w:pPr>
          </w:p>
        </w:tc>
      </w:tr>
      <w:tr>
        <w:trPr>
          <w:trHeight w:val="201"/>
        </w:trPr>
        <w:tc>
          <w:tcPr>
            <w:tcW w:w="3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240" w:type="dxa"/>
            <w:vAlign w:val="bottom"/>
          </w:tcPr>
          <w:p>
            <w:pPr>
              <w:spacing w:after="0"/>
              <w:rPr>
                <w:sz w:val="17"/>
                <w:szCs w:val="17"/>
                <w:color w:val="auto"/>
              </w:rPr>
            </w:pPr>
          </w:p>
        </w:tc>
      </w:tr>
    </w:tbl>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4240" w:type="dxa"/>
            <w:vAlign w:val="bottom"/>
          </w:tcPr>
          <w:p>
            <w:pPr>
              <w:spacing w:after="0"/>
              <w:rPr>
                <w:sz w:val="20"/>
                <w:szCs w:val="20"/>
                <w:color w:val="auto"/>
              </w:rPr>
            </w:pPr>
          </w:p>
        </w:tc>
        <w:tc>
          <w:tcPr>
            <w:tcW w:w="7060" w:type="dxa"/>
            <w:vAlign w:val="bottom"/>
            <w:gridSpan w:val="3"/>
          </w:tcPr>
          <w:p>
            <w:pPr>
              <w:jc w:val="center"/>
              <w:ind w:right="4240"/>
              <w:spacing w:after="0"/>
              <w:rPr>
                <w:sz w:val="20"/>
                <w:szCs w:val="20"/>
                <w:color w:val="auto"/>
              </w:rPr>
            </w:pPr>
            <w:r>
              <w:rPr>
                <w:rFonts w:ascii="Times New Roman" w:cs="Times New Roman" w:eastAsia="Times New Roman" w:hAnsi="Times New Roman"/>
                <w:sz w:val="20"/>
                <w:szCs w:val="20"/>
                <w:color w:val="auto"/>
                <w:w w:val="97"/>
              </w:rPr>
              <w:t>CenterPoint Energy, Inc.</w:t>
            </w:r>
          </w:p>
        </w:tc>
      </w:tr>
      <w:tr>
        <w:trPr>
          <w:trHeight w:val="183"/>
        </w:trPr>
        <w:tc>
          <w:tcPr>
            <w:tcW w:w="4240" w:type="dxa"/>
            <w:vAlign w:val="bottom"/>
          </w:tcPr>
          <w:p>
            <w:pPr>
              <w:spacing w:after="0"/>
              <w:rPr>
                <w:sz w:val="15"/>
                <w:szCs w:val="15"/>
                <w:color w:val="auto"/>
              </w:rPr>
            </w:pPr>
          </w:p>
        </w:tc>
        <w:tc>
          <w:tcPr>
            <w:tcW w:w="7060" w:type="dxa"/>
            <w:vAlign w:val="bottom"/>
            <w:gridSpan w:val="3"/>
          </w:tcPr>
          <w:p>
            <w:pPr>
              <w:jc w:val="center"/>
              <w:ind w:right="4240"/>
              <w:spacing w:after="0"/>
              <w:rPr>
                <w:sz w:val="20"/>
                <w:szCs w:val="20"/>
                <w:color w:val="auto"/>
              </w:rPr>
            </w:pPr>
            <w:r>
              <w:rPr>
                <w:rFonts w:ascii="Times New Roman" w:cs="Times New Roman" w:eastAsia="Times New Roman" w:hAnsi="Times New Roman"/>
                <w:sz w:val="14"/>
                <w:szCs w:val="14"/>
                <w:color w:val="auto"/>
              </w:rPr>
              <w:t>(Exact name of obligor as specified in its charter)</w:t>
            </w:r>
          </w:p>
        </w:tc>
      </w:tr>
      <w:tr>
        <w:trPr>
          <w:trHeight w:val="168"/>
        </w:trPr>
        <w:tc>
          <w:tcPr>
            <w:tcW w:w="42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240" w:type="dxa"/>
            <w:vAlign w:val="bottom"/>
            <w:tcBorders>
              <w:bottom w:val="single" w:sz="8" w:color="auto"/>
            </w:tcBorders>
          </w:tcPr>
          <w:p>
            <w:pPr>
              <w:spacing w:after="0"/>
              <w:rPr>
                <w:sz w:val="14"/>
                <w:szCs w:val="14"/>
                <w:color w:val="auto"/>
              </w:rPr>
            </w:pPr>
          </w:p>
        </w:tc>
      </w:tr>
      <w:tr>
        <w:trPr>
          <w:trHeight w:val="144"/>
        </w:trPr>
        <w:tc>
          <w:tcPr>
            <w:tcW w:w="4240" w:type="dxa"/>
            <w:vAlign w:val="bottom"/>
            <w:tcBorders>
              <w:left w:val="single" w:sz="8" w:color="auto"/>
            </w:tcBorders>
          </w:tcPr>
          <w:p>
            <w:pPr>
              <w:ind w:left="100"/>
              <w:spacing w:after="0" w:line="144" w:lineRule="exact"/>
              <w:rPr>
                <w:sz w:val="20"/>
                <w:szCs w:val="20"/>
                <w:color w:val="auto"/>
              </w:rPr>
            </w:pPr>
            <w:r>
              <w:rPr>
                <w:rFonts w:ascii="Times New Roman" w:cs="Times New Roman" w:eastAsia="Times New Roman" w:hAnsi="Times New Roman"/>
                <w:sz w:val="14"/>
                <w:szCs w:val="14"/>
                <w:color w:val="auto"/>
              </w:rPr>
              <w:t>Texas</w:t>
            </w:r>
          </w:p>
        </w:tc>
        <w:tc>
          <w:tcPr>
            <w:tcW w:w="2000" w:type="dxa"/>
            <w:vAlign w:val="bottom"/>
            <w:tcBorders>
              <w:right w:val="single" w:sz="8" w:color="auto"/>
            </w:tcBorders>
          </w:tcPr>
          <w:p>
            <w:pPr>
              <w:spacing w:after="0"/>
              <w:rPr>
                <w:sz w:val="12"/>
                <w:szCs w:val="12"/>
                <w:color w:val="auto"/>
              </w:rPr>
            </w:pPr>
          </w:p>
        </w:tc>
        <w:tc>
          <w:tcPr>
            <w:tcW w:w="820" w:type="dxa"/>
            <w:vAlign w:val="bottom"/>
          </w:tcPr>
          <w:p>
            <w:pPr>
              <w:ind w:left="60"/>
              <w:spacing w:after="0" w:line="144" w:lineRule="exact"/>
              <w:rPr>
                <w:sz w:val="20"/>
                <w:szCs w:val="20"/>
                <w:color w:val="auto"/>
              </w:rPr>
            </w:pPr>
            <w:r>
              <w:rPr>
                <w:rFonts w:ascii="Times New Roman" w:cs="Times New Roman" w:eastAsia="Times New Roman" w:hAnsi="Times New Roman"/>
                <w:sz w:val="14"/>
                <w:szCs w:val="14"/>
                <w:color w:val="auto"/>
              </w:rPr>
              <w:t>74-0694415</w:t>
            </w:r>
          </w:p>
        </w:tc>
        <w:tc>
          <w:tcPr>
            <w:tcW w:w="4240" w:type="dxa"/>
            <w:vAlign w:val="bottom"/>
            <w:tcBorders>
              <w:right w:val="single" w:sz="8" w:color="auto"/>
            </w:tcBorders>
          </w:tcPr>
          <w:p>
            <w:pPr>
              <w:spacing w:after="0"/>
              <w:rPr>
                <w:sz w:val="12"/>
                <w:szCs w:val="12"/>
                <w:color w:val="auto"/>
              </w:rPr>
            </w:pPr>
          </w:p>
        </w:tc>
      </w:tr>
      <w:tr>
        <w:trPr>
          <w:trHeight w:val="168"/>
        </w:trPr>
        <w:tc>
          <w:tcPr>
            <w:tcW w:w="42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2000" w:type="dxa"/>
            <w:vAlign w:val="bottom"/>
            <w:tcBorders>
              <w:right w:val="single" w:sz="8" w:color="auto"/>
            </w:tcBorders>
          </w:tcPr>
          <w:p>
            <w:pPr>
              <w:spacing w:after="0"/>
              <w:rPr>
                <w:sz w:val="14"/>
                <w:szCs w:val="14"/>
                <w:color w:val="auto"/>
              </w:rPr>
            </w:pPr>
          </w:p>
        </w:tc>
        <w:tc>
          <w:tcPr>
            <w:tcW w:w="50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(I.R.S. employer</w:t>
            </w:r>
          </w:p>
        </w:tc>
      </w:tr>
      <w:tr>
        <w:trPr>
          <w:trHeight w:val="183"/>
        </w:trPr>
        <w:tc>
          <w:tcPr>
            <w:tcW w:w="424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000" w:type="dxa"/>
            <w:vAlign w:val="bottom"/>
            <w:tcBorders>
              <w:bottom w:val="single" w:sz="8" w:color="auto"/>
              <w:right w:val="single" w:sz="8" w:color="auto"/>
            </w:tcBorders>
          </w:tcPr>
          <w:p>
            <w:pPr>
              <w:spacing w:after="0"/>
              <w:rPr>
                <w:sz w:val="15"/>
                <w:szCs w:val="15"/>
                <w:color w:val="auto"/>
              </w:rPr>
            </w:pPr>
          </w:p>
        </w:tc>
        <w:tc>
          <w:tcPr>
            <w:tcW w:w="50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144"/>
        </w:trPr>
        <w:tc>
          <w:tcPr>
            <w:tcW w:w="4240" w:type="dxa"/>
            <w:vAlign w:val="bottom"/>
            <w:tcBorders>
              <w:left w:val="single" w:sz="8" w:color="auto"/>
            </w:tcBorders>
          </w:tcPr>
          <w:p>
            <w:pPr>
              <w:ind w:left="100"/>
              <w:spacing w:after="0" w:line="144" w:lineRule="exact"/>
              <w:rPr>
                <w:sz w:val="20"/>
                <w:szCs w:val="20"/>
                <w:color w:val="auto"/>
              </w:rPr>
            </w:pPr>
            <w:r>
              <w:rPr>
                <w:rFonts w:ascii="Times New Roman" w:cs="Times New Roman" w:eastAsia="Times New Roman" w:hAnsi="Times New Roman"/>
                <w:sz w:val="14"/>
                <w:szCs w:val="14"/>
                <w:color w:val="auto"/>
              </w:rPr>
              <w:t>1111 Louisiana Street</w:t>
            </w:r>
          </w:p>
        </w:tc>
        <w:tc>
          <w:tcPr>
            <w:tcW w:w="200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4240" w:type="dxa"/>
            <w:vAlign w:val="bottom"/>
            <w:tcBorders>
              <w:right w:val="single" w:sz="8" w:color="auto"/>
            </w:tcBorders>
          </w:tcPr>
          <w:p>
            <w:pPr>
              <w:spacing w:after="0"/>
              <w:rPr>
                <w:sz w:val="12"/>
                <w:szCs w:val="12"/>
                <w:color w:val="auto"/>
              </w:rPr>
            </w:pPr>
          </w:p>
        </w:tc>
      </w:tr>
      <w:tr>
        <w:trPr>
          <w:trHeight w:val="168"/>
        </w:trPr>
        <w:tc>
          <w:tcPr>
            <w:tcW w:w="42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Houston, Texas</w:t>
            </w:r>
          </w:p>
        </w:tc>
        <w:tc>
          <w:tcPr>
            <w:tcW w:w="2000" w:type="dxa"/>
            <w:vAlign w:val="bottom"/>
            <w:tcBorders>
              <w:right w:val="single" w:sz="8" w:color="auto"/>
            </w:tcBorders>
          </w:tcPr>
          <w:p>
            <w:pPr>
              <w:spacing w:after="0"/>
              <w:rPr>
                <w:sz w:val="14"/>
                <w:szCs w:val="14"/>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77002</w:t>
            </w:r>
          </w:p>
        </w:tc>
        <w:tc>
          <w:tcPr>
            <w:tcW w:w="4240" w:type="dxa"/>
            <w:vAlign w:val="bottom"/>
            <w:tcBorders>
              <w:right w:val="single" w:sz="8" w:color="auto"/>
            </w:tcBorders>
          </w:tcPr>
          <w:p>
            <w:pPr>
              <w:spacing w:after="0"/>
              <w:rPr>
                <w:sz w:val="14"/>
                <w:szCs w:val="14"/>
                <w:color w:val="auto"/>
              </w:rPr>
            </w:pPr>
          </w:p>
        </w:tc>
      </w:tr>
      <w:tr>
        <w:trPr>
          <w:trHeight w:val="183"/>
        </w:trPr>
        <w:tc>
          <w:tcPr>
            <w:tcW w:w="424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000" w:type="dxa"/>
            <w:vAlign w:val="bottom"/>
            <w:tcBorders>
              <w:bottom w:val="single" w:sz="8" w:color="auto"/>
              <w:right w:val="single" w:sz="8" w:color="auto"/>
            </w:tcBorders>
          </w:tcPr>
          <w:p>
            <w:pPr>
              <w:spacing w:after="0"/>
              <w:rPr>
                <w:sz w:val="15"/>
                <w:szCs w:val="15"/>
                <w:color w:val="auto"/>
              </w:rPr>
            </w:pPr>
          </w:p>
        </w:tc>
        <w:tc>
          <w:tcPr>
            <w:tcW w:w="50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(Zip code)</w:t>
            </w:r>
          </w:p>
        </w:tc>
      </w:tr>
      <w:tr>
        <w:trPr>
          <w:trHeight w:val="201"/>
        </w:trPr>
        <w:tc>
          <w:tcPr>
            <w:tcW w:w="4240" w:type="dxa"/>
            <w:vAlign w:val="bottom"/>
          </w:tcPr>
          <w:p>
            <w:pPr>
              <w:spacing w:after="0"/>
              <w:rPr>
                <w:sz w:val="17"/>
                <w:szCs w:val="17"/>
                <w:color w:val="auto"/>
              </w:rPr>
            </w:pPr>
          </w:p>
        </w:tc>
        <w:tc>
          <w:tcPr>
            <w:tcW w:w="2820" w:type="dxa"/>
            <w:vAlign w:val="bottom"/>
            <w:tcBorders>
              <w:bottom w:val="single" w:sz="8" w:color="auto"/>
            </w:tcBorders>
            <w:gridSpan w:val="2"/>
          </w:tcPr>
          <w:p>
            <w:pPr>
              <w:spacing w:after="0"/>
              <w:rPr>
                <w:sz w:val="17"/>
                <w:szCs w:val="17"/>
                <w:color w:val="auto"/>
              </w:rPr>
            </w:pPr>
          </w:p>
        </w:tc>
        <w:tc>
          <w:tcPr>
            <w:tcW w:w="4240" w:type="dxa"/>
            <w:vAlign w:val="bottom"/>
          </w:tcPr>
          <w:p>
            <w:pPr>
              <w:spacing w:after="0"/>
              <w:rPr>
                <w:sz w:val="17"/>
                <w:szCs w:val="17"/>
                <w:color w:val="auto"/>
              </w:rPr>
            </w:pPr>
          </w:p>
        </w:tc>
      </w:tr>
      <w:tr>
        <w:trPr>
          <w:trHeight w:val="365"/>
        </w:trPr>
        <w:tc>
          <w:tcPr>
            <w:tcW w:w="4240" w:type="dxa"/>
            <w:vAlign w:val="bottom"/>
          </w:tcPr>
          <w:p>
            <w:pPr>
              <w:spacing w:after="0"/>
              <w:rPr>
                <w:sz w:val="24"/>
                <w:szCs w:val="24"/>
                <w:color w:val="auto"/>
              </w:rPr>
            </w:pPr>
          </w:p>
        </w:tc>
        <w:tc>
          <w:tcPr>
            <w:tcW w:w="7060" w:type="dxa"/>
            <w:vAlign w:val="bottom"/>
            <w:gridSpan w:val="3"/>
          </w:tcPr>
          <w:p>
            <w:pPr>
              <w:jc w:val="center"/>
              <w:ind w:right="4240"/>
              <w:spacing w:after="0"/>
              <w:rPr>
                <w:sz w:val="20"/>
                <w:szCs w:val="20"/>
                <w:color w:val="auto"/>
              </w:rPr>
            </w:pPr>
            <w:r>
              <w:rPr>
                <w:rFonts w:ascii="Times New Roman" w:cs="Times New Roman" w:eastAsia="Times New Roman" w:hAnsi="Times New Roman"/>
                <w:sz w:val="14"/>
                <w:szCs w:val="14"/>
                <w:color w:val="auto"/>
                <w:w w:val="99"/>
              </w:rPr>
              <w:t>Senior Debt Securities</w:t>
            </w:r>
          </w:p>
        </w:tc>
      </w:tr>
      <w:tr>
        <w:trPr>
          <w:trHeight w:val="183"/>
        </w:trPr>
        <w:tc>
          <w:tcPr>
            <w:tcW w:w="4240" w:type="dxa"/>
            <w:vAlign w:val="bottom"/>
          </w:tcPr>
          <w:p>
            <w:pPr>
              <w:spacing w:after="0"/>
              <w:rPr>
                <w:sz w:val="15"/>
                <w:szCs w:val="15"/>
                <w:color w:val="auto"/>
              </w:rPr>
            </w:pPr>
          </w:p>
        </w:tc>
        <w:tc>
          <w:tcPr>
            <w:tcW w:w="7060" w:type="dxa"/>
            <w:vAlign w:val="bottom"/>
            <w:gridSpan w:val="3"/>
          </w:tcPr>
          <w:p>
            <w:pPr>
              <w:jc w:val="center"/>
              <w:ind w:right="4260"/>
              <w:spacing w:after="0"/>
              <w:rPr>
                <w:sz w:val="20"/>
                <w:szCs w:val="20"/>
                <w:color w:val="auto"/>
              </w:rPr>
            </w:pPr>
            <w:r>
              <w:rPr>
                <w:rFonts w:ascii="Times New Roman" w:cs="Times New Roman" w:eastAsia="Times New Roman" w:hAnsi="Times New Roman"/>
                <w:sz w:val="14"/>
                <w:szCs w:val="14"/>
                <w:color w:val="auto"/>
                <w:w w:val="99"/>
              </w:rPr>
              <w:t>(Title of the indenture securities)</w:t>
            </w:r>
          </w:p>
        </w:tc>
      </w:tr>
      <w:tr>
        <w:trPr>
          <w:trHeight w:val="211"/>
        </w:trPr>
        <w:tc>
          <w:tcPr>
            <w:tcW w:w="42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40" w:type="dxa"/>
            <w:vAlign w:val="bottom"/>
            <w:tcBorders>
              <w:bottom w:val="single" w:sz="8" w:color="auto"/>
            </w:tcBorders>
          </w:tcPr>
          <w:p>
            <w:pPr>
              <w:spacing w:after="0"/>
              <w:rPr>
                <w:sz w:val="18"/>
                <w:szCs w:val="18"/>
                <w:color w:val="auto"/>
              </w:rPr>
            </w:pP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r>
      <w:tr>
        <w:trPr>
          <w:trHeight w:val="329"/>
        </w:trPr>
        <w:tc>
          <w:tcPr>
            <w:tcW w:w="42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15" w:right="319" w:bottom="1440" w:gutter="0" w:footer="0" w:header="0"/>
        </w:sectPr>
      </w:pPr>
    </w:p>
    <w:bookmarkStart w:id="105" w:name="page106"/>
    <w:bookmarkEnd w:id="105"/>
    <w:p>
      <w:pPr>
        <w:ind w:left="496" w:hanging="496"/>
        <w:spacing w:after="0"/>
        <w:tabs>
          <w:tab w:leader="none" w:pos="496" w:val="left"/>
        </w:tabs>
        <w:numPr>
          <w:ilvl w:val="0"/>
          <w:numId w:val="1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General information. Furnish the following information as to the trustee:</w:t>
      </w:r>
    </w:p>
    <w:p>
      <w:pPr>
        <w:spacing w:after="0" w:line="175" w:lineRule="exact"/>
        <w:rPr>
          <w:rFonts w:ascii="Times New Roman" w:cs="Times New Roman" w:eastAsia="Times New Roman" w:hAnsi="Times New Roman"/>
          <w:sz w:val="14"/>
          <w:szCs w:val="14"/>
          <w:b w:val="1"/>
          <w:bCs w:val="1"/>
          <w:color w:val="auto"/>
        </w:rPr>
      </w:pPr>
    </w:p>
    <w:p>
      <w:pPr>
        <w:ind w:left="1016" w:hanging="511"/>
        <w:spacing w:after="0"/>
        <w:tabs>
          <w:tab w:leader="none" w:pos="1016" w:val="left"/>
        </w:tabs>
        <w:numPr>
          <w:ilvl w:val="1"/>
          <w:numId w:val="13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Name and address of each examining or supervising authority to which it is subject.</w:t>
      </w:r>
    </w:p>
    <w:p>
      <w:pPr>
        <w:spacing w:after="0" w:line="172" w:lineRule="exact"/>
        <w:rPr>
          <w:sz w:val="20"/>
          <w:szCs w:val="20"/>
          <w:color w:val="auto"/>
        </w:rPr>
      </w:pPr>
    </w:p>
    <w:tbl>
      <w:tblPr>
        <w:tblLayout w:type="fixed"/>
        <w:tblInd w:w="496"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4200" w:type="dxa"/>
            <w:vAlign w:val="bottom"/>
            <w:tcBorders>
              <w:top w:val="single" w:sz="8" w:color="auto"/>
              <w:bottom w:val="single" w:sz="8" w:color="auto"/>
            </w:tcBorders>
          </w:tcPr>
          <w:p>
            <w:pPr>
              <w:ind w:left="2580"/>
              <w:spacing w:after="0"/>
              <w:rPr>
                <w:sz w:val="20"/>
                <w:szCs w:val="20"/>
                <w:color w:val="auto"/>
              </w:rPr>
            </w:pPr>
            <w:r>
              <w:rPr>
                <w:rFonts w:ascii="Times New Roman" w:cs="Times New Roman" w:eastAsia="Times New Roman" w:hAnsi="Times New Roman"/>
                <w:sz w:val="14"/>
                <w:szCs w:val="14"/>
                <w:color w:val="auto"/>
              </w:rPr>
              <w:t>Name</w:t>
            </w:r>
          </w:p>
        </w:tc>
        <w:tc>
          <w:tcPr>
            <w:tcW w:w="6380" w:type="dxa"/>
            <w:vAlign w:val="bottom"/>
            <w:tcBorders>
              <w:top w:val="single" w:sz="8" w:color="auto"/>
              <w:bottom w:val="single" w:sz="8" w:color="auto"/>
            </w:tcBorders>
          </w:tcPr>
          <w:p>
            <w:pPr>
              <w:ind w:left="3620"/>
              <w:spacing w:after="0"/>
              <w:rPr>
                <w:sz w:val="20"/>
                <w:szCs w:val="20"/>
                <w:color w:val="auto"/>
              </w:rPr>
            </w:pPr>
            <w:r>
              <w:rPr>
                <w:rFonts w:ascii="Times New Roman" w:cs="Times New Roman" w:eastAsia="Times New Roman" w:hAnsi="Times New Roman"/>
                <w:sz w:val="14"/>
                <w:szCs w:val="14"/>
                <w:color w:val="auto"/>
              </w:rPr>
              <w:t>Address</w:t>
            </w:r>
          </w:p>
        </w:tc>
      </w:tr>
      <w:tr>
        <w:trPr>
          <w:trHeight w:val="144"/>
        </w:trPr>
        <w:tc>
          <w:tcPr>
            <w:tcW w:w="20" w:type="dxa"/>
            <w:vAlign w:val="bottom"/>
          </w:tcPr>
          <w:p>
            <w:pPr>
              <w:spacing w:after="0"/>
              <w:rPr>
                <w:sz w:val="12"/>
                <w:szCs w:val="12"/>
                <w:color w:val="auto"/>
              </w:rPr>
            </w:pPr>
          </w:p>
        </w:tc>
        <w:tc>
          <w:tcPr>
            <w:tcW w:w="420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Comptroller of the Currency</w:t>
            </w:r>
          </w:p>
        </w:tc>
        <w:tc>
          <w:tcPr>
            <w:tcW w:w="6380" w:type="dxa"/>
            <w:vAlign w:val="bottom"/>
          </w:tcPr>
          <w:p>
            <w:pPr>
              <w:ind w:left="1300"/>
              <w:spacing w:after="0" w:line="144" w:lineRule="exact"/>
              <w:rPr>
                <w:sz w:val="20"/>
                <w:szCs w:val="20"/>
                <w:color w:val="auto"/>
              </w:rPr>
            </w:pPr>
            <w:r>
              <w:rPr>
                <w:rFonts w:ascii="Times New Roman" w:cs="Times New Roman" w:eastAsia="Times New Roman" w:hAnsi="Times New Roman"/>
                <w:sz w:val="14"/>
                <w:szCs w:val="14"/>
                <w:color w:val="auto"/>
              </w:rPr>
              <w:t>Washington, DC 20219</w:t>
            </w:r>
          </w:p>
        </w:tc>
      </w:tr>
      <w:tr>
        <w:trPr>
          <w:trHeight w:val="183"/>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United States Department of the Treasury</w:t>
            </w:r>
          </w:p>
        </w:tc>
        <w:tc>
          <w:tcPr>
            <w:tcW w:w="6380" w:type="dxa"/>
            <w:vAlign w:val="bottom"/>
          </w:tcPr>
          <w:p>
            <w:pPr>
              <w:spacing w:after="0"/>
              <w:rPr>
                <w:sz w:val="15"/>
                <w:szCs w:val="15"/>
                <w:color w:val="auto"/>
              </w:rPr>
            </w:pPr>
          </w:p>
        </w:tc>
      </w:tr>
      <w:tr>
        <w:trPr>
          <w:trHeight w:val="337"/>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Federal Reserve Bank</w:t>
            </w:r>
          </w:p>
        </w:tc>
        <w:tc>
          <w:tcPr>
            <w:tcW w:w="638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San Francisco, CA 94105</w:t>
            </w:r>
          </w:p>
        </w:tc>
      </w:tr>
      <w:tr>
        <w:trPr>
          <w:trHeight w:val="337"/>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Federal Deposit Insurance Corporation</w:t>
            </w:r>
          </w:p>
        </w:tc>
        <w:tc>
          <w:tcPr>
            <w:tcW w:w="638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Washington, DC 20429</w:t>
            </w:r>
          </w:p>
        </w:tc>
      </w:tr>
    </w:tbl>
    <w:p>
      <w:pPr>
        <w:spacing w:after="0" w:line="173" w:lineRule="exact"/>
        <w:rPr>
          <w:sz w:val="20"/>
          <w:szCs w:val="20"/>
          <w:color w:val="auto"/>
        </w:rPr>
      </w:pPr>
    </w:p>
    <w:p>
      <w:pPr>
        <w:ind w:left="1016" w:hanging="511"/>
        <w:spacing w:after="0"/>
        <w:tabs>
          <w:tab w:leader="none" w:pos="1016" w:val="left"/>
        </w:tabs>
        <w:numPr>
          <w:ilvl w:val="0"/>
          <w:numId w:val="1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Whether it is authorized to exercise corporate trust powers.</w:t>
      </w:r>
    </w:p>
    <w:p>
      <w:pPr>
        <w:spacing w:after="0" w:line="178" w:lineRule="exact"/>
        <w:rPr>
          <w:sz w:val="20"/>
          <w:szCs w:val="20"/>
          <w:color w:val="auto"/>
        </w:rPr>
      </w:pPr>
    </w:p>
    <w:p>
      <w:pPr>
        <w:ind w:left="496"/>
        <w:spacing w:after="0"/>
        <w:rPr>
          <w:sz w:val="20"/>
          <w:szCs w:val="20"/>
          <w:color w:val="auto"/>
        </w:rPr>
      </w:pPr>
      <w:r>
        <w:rPr>
          <w:rFonts w:ascii="Times New Roman" w:cs="Times New Roman" w:eastAsia="Times New Roman" w:hAnsi="Times New Roman"/>
          <w:sz w:val="14"/>
          <w:szCs w:val="14"/>
          <w:color w:val="auto"/>
        </w:rPr>
        <w:t>Yes.</w:t>
      </w:r>
    </w:p>
    <w:p>
      <w:pPr>
        <w:spacing w:after="0" w:line="174" w:lineRule="exact"/>
        <w:rPr>
          <w:sz w:val="20"/>
          <w:szCs w:val="20"/>
          <w:color w:val="auto"/>
        </w:rPr>
      </w:pPr>
    </w:p>
    <w:p>
      <w:pPr>
        <w:ind w:left="496" w:hanging="496"/>
        <w:spacing w:after="0"/>
        <w:tabs>
          <w:tab w:leader="none" w:pos="496" w:val="left"/>
        </w:tabs>
        <w:numPr>
          <w:ilvl w:val="0"/>
          <w:numId w:val="1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Affiliations with Obligor.</w:t>
      </w:r>
    </w:p>
    <w:p>
      <w:pPr>
        <w:spacing w:after="0" w:line="175" w:lineRule="exact"/>
        <w:rPr>
          <w:rFonts w:ascii="Times New Roman" w:cs="Times New Roman" w:eastAsia="Times New Roman" w:hAnsi="Times New Roman"/>
          <w:sz w:val="14"/>
          <w:szCs w:val="14"/>
          <w:b w:val="1"/>
          <w:bCs w:val="1"/>
          <w:color w:val="auto"/>
        </w:rPr>
      </w:pPr>
    </w:p>
    <w:p>
      <w:pPr>
        <w:ind w:left="496"/>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If the obligor is an affiliate of the trustee, describe each such affiliation.</w:t>
      </w:r>
    </w:p>
    <w:p>
      <w:pPr>
        <w:spacing w:after="0" w:line="178" w:lineRule="exact"/>
        <w:rPr>
          <w:sz w:val="20"/>
          <w:szCs w:val="20"/>
          <w:color w:val="auto"/>
        </w:rPr>
      </w:pPr>
    </w:p>
    <w:p>
      <w:pPr>
        <w:ind w:left="496"/>
        <w:spacing w:after="0"/>
        <w:rPr>
          <w:sz w:val="20"/>
          <w:szCs w:val="20"/>
          <w:color w:val="auto"/>
        </w:rPr>
      </w:pPr>
      <w:r>
        <w:rPr>
          <w:rFonts w:ascii="Times New Roman" w:cs="Times New Roman" w:eastAsia="Times New Roman" w:hAnsi="Times New Roman"/>
          <w:sz w:val="14"/>
          <w:szCs w:val="14"/>
          <w:color w:val="auto"/>
        </w:rPr>
        <w:t>None.</w:t>
      </w:r>
    </w:p>
    <w:p>
      <w:pPr>
        <w:spacing w:after="0" w:line="174" w:lineRule="exact"/>
        <w:rPr>
          <w:sz w:val="20"/>
          <w:szCs w:val="20"/>
          <w:color w:val="auto"/>
        </w:rPr>
      </w:pPr>
    </w:p>
    <w:p>
      <w:pPr>
        <w:ind w:left="496" w:hanging="496"/>
        <w:spacing w:after="0"/>
        <w:tabs>
          <w:tab w:leader="none" w:pos="496" w:val="left"/>
        </w:tabs>
        <w:numPr>
          <w:ilvl w:val="0"/>
          <w:numId w:val="13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List of Exhibits.</w:t>
      </w:r>
    </w:p>
    <w:p>
      <w:pPr>
        <w:spacing w:after="0" w:line="175" w:lineRule="exact"/>
        <w:rPr>
          <w:rFonts w:ascii="Times New Roman" w:cs="Times New Roman" w:eastAsia="Times New Roman" w:hAnsi="Times New Roman"/>
          <w:sz w:val="14"/>
          <w:szCs w:val="14"/>
          <w:b w:val="1"/>
          <w:bCs w:val="1"/>
          <w:color w:val="auto"/>
        </w:rPr>
      </w:pPr>
    </w:p>
    <w:p>
      <w:pPr>
        <w:ind w:left="496"/>
        <w:spacing w:after="0" w:line="28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Exhibits identified in parentheses below, on file with the Commission, are incorporated herein by reference as an exhibit hereto, pursuant to Rule 7a-29 under the Trust Indenture Act of 1939 (the "Act").</w:t>
      </w:r>
    </w:p>
    <w:p>
      <w:pPr>
        <w:spacing w:after="0" w:line="123" w:lineRule="exact"/>
        <w:rPr>
          <w:rFonts w:ascii="Times New Roman" w:cs="Times New Roman" w:eastAsia="Times New Roman" w:hAnsi="Times New Roman"/>
          <w:sz w:val="14"/>
          <w:szCs w:val="14"/>
          <w:b w:val="1"/>
          <w:bCs w:val="1"/>
          <w:color w:val="auto"/>
        </w:rPr>
      </w:pPr>
    </w:p>
    <w:p>
      <w:pPr>
        <w:ind w:left="1016" w:hanging="511"/>
        <w:spacing w:after="0" w:line="283" w:lineRule="auto"/>
        <w:tabs>
          <w:tab w:leader="none" w:pos="1016" w:val="left"/>
        </w:tabs>
        <w:numPr>
          <w:ilvl w:val="1"/>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articles of association of The Bank of New York Mellon Trust Company, N.A., formerly known as The Bank of New York Trust Company, N.A. (Exhibit 1 to Form T-1 filed with Registration Statement No. 333-121948 and Exhibit 1 to Form T-1 filed with Registration Statement No. 333-152875).</w:t>
      </w:r>
    </w:p>
    <w:p>
      <w:pPr>
        <w:spacing w:after="0" w:line="125" w:lineRule="exact"/>
        <w:rPr>
          <w:rFonts w:ascii="Times New Roman" w:cs="Times New Roman" w:eastAsia="Times New Roman" w:hAnsi="Times New Roman"/>
          <w:sz w:val="14"/>
          <w:szCs w:val="14"/>
          <w:color w:val="auto"/>
        </w:rPr>
      </w:pPr>
    </w:p>
    <w:p>
      <w:pPr>
        <w:ind w:left="1016" w:hanging="511"/>
        <w:spacing w:after="0"/>
        <w:tabs>
          <w:tab w:leader="none" w:pos="1016" w:val="left"/>
        </w:tabs>
        <w:numPr>
          <w:ilvl w:val="1"/>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certificate of authority of the trustee to commence business. (Exhibit 2 to Form T-1 filed with Registration Statement No. 333-121948).</w:t>
      </w:r>
    </w:p>
    <w:p>
      <w:pPr>
        <w:spacing w:after="0" w:line="175" w:lineRule="exact"/>
        <w:rPr>
          <w:rFonts w:ascii="Times New Roman" w:cs="Times New Roman" w:eastAsia="Times New Roman" w:hAnsi="Times New Roman"/>
          <w:sz w:val="14"/>
          <w:szCs w:val="14"/>
          <w:color w:val="auto"/>
        </w:rPr>
      </w:pPr>
    </w:p>
    <w:p>
      <w:pPr>
        <w:ind w:left="1016" w:hanging="511"/>
        <w:spacing w:after="0"/>
        <w:tabs>
          <w:tab w:leader="none" w:pos="1016" w:val="left"/>
        </w:tabs>
        <w:numPr>
          <w:ilvl w:val="1"/>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authorization of the trustee to exercise corporate trust powers (Exhibit 3 to Form T-1 filed with Registration Statement No. 333-152875).</w:t>
      </w:r>
    </w:p>
    <w:p>
      <w:pPr>
        <w:spacing w:after="0" w:line="344" w:lineRule="exact"/>
        <w:rPr>
          <w:rFonts w:ascii="Times New Roman" w:cs="Times New Roman" w:eastAsia="Times New Roman" w:hAnsi="Times New Roman"/>
          <w:sz w:val="14"/>
          <w:szCs w:val="14"/>
          <w:color w:val="auto"/>
        </w:rPr>
      </w:pPr>
    </w:p>
    <w:p>
      <w:pPr>
        <w:ind w:left="5596" w:hanging="73"/>
        <w:spacing w:after="0"/>
        <w:tabs>
          <w:tab w:leader="none" w:pos="5596" w:val="left"/>
        </w:tabs>
        <w:numPr>
          <w:ilvl w:val="2"/>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62800"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0">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76"/>
          </w:cols>
          <w:pgMar w:left="304" w:top="733" w:right="319" w:bottom="1440" w:gutter="0" w:footer="0" w:header="0"/>
        </w:sectPr>
      </w:pPr>
    </w:p>
    <w:bookmarkStart w:id="106" w:name="page107"/>
    <w:bookmarkEnd w:id="106"/>
    <w:p>
      <w:pPr>
        <w:ind w:left="511" w:hanging="511"/>
        <w:spacing w:after="0"/>
        <w:tabs>
          <w:tab w:leader="none" w:pos="511"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existing by-laws of the trustee (Exhibit 4 to Form T-1 filed with Registration Statement No. 333-229762).</w:t>
      </w:r>
    </w:p>
    <w:p>
      <w:pPr>
        <w:spacing w:after="0" w:line="176" w:lineRule="exact"/>
        <w:rPr>
          <w:sz w:val="20"/>
          <w:szCs w:val="20"/>
          <w:color w:val="auto"/>
        </w:rPr>
      </w:pPr>
    </w:p>
    <w:p>
      <w:pPr>
        <w:ind w:left="511" w:hanging="511"/>
        <w:spacing w:after="0"/>
        <w:tabs>
          <w:tab w:leader="none" w:pos="511"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consent of the trustee required by Section 321(b) of the Act (Exhibit 6 to Form T-1 filed with Registration Statement No. 333-152875).</w:t>
      </w:r>
    </w:p>
    <w:p>
      <w:pPr>
        <w:spacing w:after="0" w:line="175" w:lineRule="exact"/>
        <w:rPr>
          <w:rFonts w:ascii="Times New Roman" w:cs="Times New Roman" w:eastAsia="Times New Roman" w:hAnsi="Times New Roman"/>
          <w:sz w:val="14"/>
          <w:szCs w:val="14"/>
          <w:color w:val="auto"/>
        </w:rPr>
      </w:pPr>
    </w:p>
    <w:p>
      <w:pPr>
        <w:ind w:left="511" w:hanging="511"/>
        <w:spacing w:after="0"/>
        <w:tabs>
          <w:tab w:leader="none" w:pos="511" w:val="left"/>
        </w:tabs>
        <w:numPr>
          <w:ilvl w:val="0"/>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copy of the latest report of condition of the Trustee published pursuant to law or to the requirements of its supervising or examining authority.</w:t>
      </w:r>
    </w:p>
    <w:p>
      <w:pPr>
        <w:spacing w:after="0" w:line="355" w:lineRule="exact"/>
        <w:rPr>
          <w:rFonts w:ascii="Times New Roman" w:cs="Times New Roman" w:eastAsia="Times New Roman" w:hAnsi="Times New Roman"/>
          <w:sz w:val="13"/>
          <w:szCs w:val="13"/>
          <w:color w:val="auto"/>
        </w:rPr>
      </w:pPr>
    </w:p>
    <w:p>
      <w:pPr>
        <w:ind w:left="5091" w:hanging="73"/>
        <w:spacing w:after="0"/>
        <w:tabs>
          <w:tab w:leader="none" w:pos="5091" w:val="left"/>
        </w:tabs>
        <w:numPr>
          <w:ilvl w:val="1"/>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13970</wp:posOffset>
            </wp:positionV>
            <wp:extent cx="7162800"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1">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9650"/>
          </w:cols>
          <w:pgMar w:left="809" w:top="735" w:right="1440"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4"/>
          <w:szCs w:val="14"/>
          <w:color w:val="auto"/>
        </w:rPr>
        <w:t>SIGNATURE</w:t>
      </w:r>
    </w:p>
    <w:p>
      <w:pPr>
        <w:spacing w:after="0" w:line="176"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Houston, and State of Texas, on the 8th day of May, 2026.</w:t>
      </w:r>
    </w:p>
    <w:p>
      <w:pPr>
        <w:spacing w:after="0" w:line="13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THE BANK OF NEW YORK MELLON TRUST COMPANY, N.A.</w:t>
      </w:r>
    </w:p>
    <w:p>
      <w:pPr>
        <w:spacing w:after="0" w:line="176" w:lineRule="exact"/>
        <w:rPr>
          <w:sz w:val="20"/>
          <w:szCs w:val="20"/>
          <w:color w:val="auto"/>
        </w:rPr>
      </w:pPr>
    </w:p>
    <w:p>
      <w:pPr>
        <w:ind w:left="5660"/>
        <w:spacing w:after="0"/>
        <w:tabs>
          <w:tab w:leader="none" w:pos="59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Peggy Guel</w:t>
      </w:r>
    </w:p>
    <w:p>
      <w:pPr>
        <w:spacing w:after="0" w:line="2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color w:val="auto"/>
        </w:rPr>
        <w:t>Name: Peggy Guel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-101600</wp:posOffset>
            </wp:positionV>
            <wp:extent cx="336105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2">
                      <a:extLst>
                        <a:ext uri="{28A0092B-C50C-407E-A947-70E740481C1C}"/>
                      </a:extLst>
                    </a:blip>
                    <a:srcRect/>
                    <a:stretch>
                      <a:fillRect/>
                    </a:stretch>
                  </pic:blipFill>
                  <pic:spPr bwMode="auto">
                    <a:xfrm>
                      <a:off x="0" y="0"/>
                      <a:ext cx="3361055" cy="6985"/>
                    </a:xfrm>
                    <a:prstGeom prst="rect">
                      <a:avLst/>
                    </a:prstGeom>
                    <a:noFill/>
                  </pic:spPr>
                </pic:pic>
              </a:graphicData>
            </a:graphic>
          </wp:anchor>
        </w:drawing>
      </w:r>
    </w:p>
    <w:p>
      <w:pPr>
        <w:ind w:left="6000"/>
        <w:spacing w:after="0"/>
        <w:rPr>
          <w:sz w:val="20"/>
          <w:szCs w:val="20"/>
          <w:color w:val="auto"/>
        </w:rPr>
      </w:pPr>
      <w:r>
        <w:rPr>
          <w:rFonts w:ascii="Times New Roman" w:cs="Times New Roman" w:eastAsia="Times New Roman" w:hAnsi="Times New Roman"/>
          <w:sz w:val="14"/>
          <w:szCs w:val="14"/>
          <w:color w:val="auto"/>
        </w:rPr>
        <w:t>Title:  Vice President</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6280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3">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735" w:right="31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85"/>
        </w:trPr>
        <w:tc>
          <w:tcPr>
            <w:tcW w:w="520" w:type="dxa"/>
            <w:vAlign w:val="bottom"/>
          </w:tcPr>
          <w:p>
            <w:pPr>
              <w:spacing w:after="0"/>
              <w:rPr>
                <w:sz w:val="16"/>
                <w:szCs w:val="16"/>
                <w:color w:val="auto"/>
              </w:rPr>
            </w:pPr>
          </w:p>
        </w:tc>
        <w:tc>
          <w:tcPr>
            <w:tcW w:w="9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w w:val="96"/>
              </w:rPr>
              <w:t>EXHIBIT 7</w:t>
            </w:r>
          </w:p>
        </w:tc>
      </w:tr>
      <w:tr>
        <w:trPr>
          <w:trHeight w:val="322"/>
        </w:trPr>
        <w:tc>
          <w:tcPr>
            <w:tcW w:w="520" w:type="dxa"/>
            <w:vAlign w:val="bottom"/>
          </w:tcPr>
          <w:p>
            <w:pPr>
              <w:spacing w:after="0"/>
              <w:rPr>
                <w:sz w:val="24"/>
                <w:szCs w:val="24"/>
                <w:color w:val="auto"/>
              </w:rPr>
            </w:pPr>
          </w:p>
        </w:tc>
        <w:tc>
          <w:tcPr>
            <w:tcW w:w="9200" w:type="dxa"/>
            <w:vAlign w:val="bottom"/>
          </w:tcPr>
          <w:p>
            <w:pPr>
              <w:jc w:val="center"/>
              <w:ind w:left="990"/>
              <w:spacing w:after="0"/>
              <w:rPr>
                <w:sz w:val="20"/>
                <w:szCs w:val="20"/>
                <w:color w:val="auto"/>
              </w:rPr>
            </w:pPr>
            <w:r>
              <w:rPr>
                <w:rFonts w:ascii="Times New Roman" w:cs="Times New Roman" w:eastAsia="Times New Roman" w:hAnsi="Times New Roman"/>
                <w:sz w:val="14"/>
                <w:szCs w:val="14"/>
                <w:color w:val="auto"/>
              </w:rPr>
              <w:t>Consolidated Report of Condition of</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8"/>
        </w:trPr>
        <w:tc>
          <w:tcPr>
            <w:tcW w:w="520" w:type="dxa"/>
            <w:vAlign w:val="bottom"/>
          </w:tcPr>
          <w:p>
            <w:pPr>
              <w:spacing w:after="0"/>
              <w:rPr>
                <w:sz w:val="14"/>
                <w:szCs w:val="14"/>
                <w:color w:val="auto"/>
              </w:rPr>
            </w:pPr>
          </w:p>
        </w:tc>
        <w:tc>
          <w:tcPr>
            <w:tcW w:w="9200" w:type="dxa"/>
            <w:vAlign w:val="bottom"/>
          </w:tcPr>
          <w:p>
            <w:pPr>
              <w:jc w:val="center"/>
              <w:ind w:left="990"/>
              <w:spacing w:after="0"/>
              <w:rPr>
                <w:sz w:val="20"/>
                <w:szCs w:val="20"/>
                <w:color w:val="auto"/>
              </w:rPr>
            </w:pPr>
            <w:r>
              <w:rPr>
                <w:rFonts w:ascii="Times New Roman" w:cs="Times New Roman" w:eastAsia="Times New Roman" w:hAnsi="Times New Roman"/>
                <w:sz w:val="14"/>
                <w:szCs w:val="14"/>
                <w:color w:val="auto"/>
                <w:w w:val="99"/>
              </w:rPr>
              <w:t>THE BANK OF NEW YORK MELLON TRUST COMPANY, N.A.</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520" w:type="dxa"/>
            <w:vAlign w:val="bottom"/>
          </w:tcPr>
          <w:p>
            <w:pPr>
              <w:spacing w:after="0"/>
              <w:rPr>
                <w:sz w:val="15"/>
                <w:szCs w:val="15"/>
                <w:color w:val="auto"/>
              </w:rPr>
            </w:pPr>
          </w:p>
        </w:tc>
        <w:tc>
          <w:tcPr>
            <w:tcW w:w="9200" w:type="dxa"/>
            <w:vAlign w:val="bottom"/>
          </w:tcPr>
          <w:p>
            <w:pPr>
              <w:jc w:val="center"/>
              <w:ind w:left="970"/>
              <w:spacing w:after="0"/>
              <w:rPr>
                <w:sz w:val="20"/>
                <w:szCs w:val="20"/>
                <w:color w:val="auto"/>
              </w:rPr>
            </w:pPr>
            <w:r>
              <w:rPr>
                <w:rFonts w:ascii="Times New Roman" w:cs="Times New Roman" w:eastAsia="Times New Roman" w:hAnsi="Times New Roman"/>
                <w:sz w:val="14"/>
                <w:szCs w:val="14"/>
                <w:color w:val="auto"/>
              </w:rPr>
              <w:t>of 333 South Hope Street, Suite 2525, Los Angeles, CA 90071</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7"/>
        </w:trPr>
        <w:tc>
          <w:tcPr>
            <w:tcW w:w="97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At the close of business December 31, 2025, published in accordance with Federal regulatory authority instructions.</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3"/>
        </w:trPr>
        <w:tc>
          <w:tcPr>
            <w:tcW w:w="52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9"/>
              </w:rPr>
              <w:t>Dollar amounts</w:t>
            </w:r>
          </w:p>
        </w:tc>
      </w:tr>
      <w:tr>
        <w:trPr>
          <w:trHeight w:val="183"/>
        </w:trPr>
        <w:tc>
          <w:tcPr>
            <w:tcW w:w="52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9"/>
              </w:rPr>
              <w:t>in thousands</w:t>
            </w:r>
          </w:p>
        </w:tc>
      </w:tr>
      <w:tr>
        <w:trPr>
          <w:trHeight w:val="139"/>
        </w:trPr>
        <w:tc>
          <w:tcPr>
            <w:tcW w:w="9720" w:type="dxa"/>
            <w:vAlign w:val="bottom"/>
            <w:tcBorders>
              <w:top w:val="single" w:sz="8" w:color="CCEEFF"/>
            </w:tcBorders>
            <w:gridSpan w:val="2"/>
            <w:shd w:val="clear" w:color="auto" w:fill="CCEEFF"/>
          </w:tcPr>
          <w:p>
            <w:pPr>
              <w:spacing w:after="0" w:line="127" w:lineRule="exact"/>
              <w:rPr>
                <w:sz w:val="20"/>
                <w:szCs w:val="20"/>
                <w:color w:val="auto"/>
              </w:rPr>
            </w:pPr>
            <w:r>
              <w:rPr>
                <w:rFonts w:ascii="Times New Roman" w:cs="Times New Roman" w:eastAsia="Times New Roman" w:hAnsi="Times New Roman"/>
                <w:sz w:val="14"/>
                <w:szCs w:val="14"/>
                <w:color w:val="auto"/>
              </w:rPr>
              <w:t>ASSETS</w:t>
            </w:r>
          </w:p>
        </w:tc>
        <w:tc>
          <w:tcPr>
            <w:tcW w:w="18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68"/>
        </w:trPr>
        <w:tc>
          <w:tcPr>
            <w:tcW w:w="520" w:type="dxa"/>
            <w:vAlign w:val="bottom"/>
            <w:tcBorders>
              <w:top w:val="single" w:sz="8" w:color="auto"/>
            </w:tcBorders>
          </w:tcPr>
          <w:p>
            <w:pPr>
              <w:spacing w:after="0"/>
              <w:rPr>
                <w:sz w:val="14"/>
                <w:szCs w:val="14"/>
                <w:color w:val="auto"/>
              </w:rPr>
            </w:pPr>
          </w:p>
        </w:tc>
        <w:tc>
          <w:tcPr>
            <w:tcW w:w="92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2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68"/>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balances due from depository institutions:</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Noninterest-bearing balances and currency and coin</w:t>
            </w:r>
          </w:p>
        </w:tc>
        <w:tc>
          <w:tcPr>
            <w:tcW w:w="18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34,663</w:t>
            </w:r>
          </w:p>
        </w:tc>
      </w:tr>
      <w:tr>
        <w:trPr>
          <w:trHeight w:val="168"/>
        </w:trPr>
        <w:tc>
          <w:tcPr>
            <w:tcW w:w="9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Interest-bearing balances</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219,768</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9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Available-for-sale debt securities</w:t>
            </w:r>
          </w:p>
        </w:tc>
        <w:tc>
          <w:tcPr>
            <w:tcW w:w="18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98,977</w:t>
            </w:r>
          </w:p>
        </w:tc>
      </w:tr>
      <w:tr>
        <w:trPr>
          <w:trHeight w:val="168"/>
        </w:trPr>
        <w:tc>
          <w:tcPr>
            <w:tcW w:w="9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Equity securities with readily determinable fair values not held for trading</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Federal funds sold and securities purchased under agreements to resell:</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9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Federal funds sold in domestic offices</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r>
      <w:tr>
        <w:trPr>
          <w:trHeight w:val="168"/>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and lease financing receivables:</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Loans and leases held for sale</w:t>
            </w: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r>
      <w:tr>
        <w:trPr>
          <w:trHeight w:val="168"/>
        </w:trPr>
        <w:tc>
          <w:tcPr>
            <w:tcW w:w="9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Loans and leases held for investment</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LESS: Allowance for credit losses on loans and leases</w:t>
            </w: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r>
      <w:tr>
        <w:trPr>
          <w:trHeight w:val="168"/>
        </w:trPr>
        <w:tc>
          <w:tcPr>
            <w:tcW w:w="9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Loans and leases held for investment, net of allowance</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Trading assets</w:t>
            </w: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r>
      <w:tr>
        <w:trPr>
          <w:trHeight w:val="168"/>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Premises and fixed assets (including right-of-use assets)</w:t>
            </w:r>
          </w:p>
        </w:tc>
        <w:tc>
          <w:tcPr>
            <w:tcW w:w="1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13,036</w:t>
            </w:r>
          </w:p>
        </w:tc>
      </w:tr>
      <w:tr>
        <w:trPr>
          <w:trHeight w:val="168"/>
        </w:trPr>
        <w:tc>
          <w:tcPr>
            <w:tcW w:w="9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real estate owned</w:t>
            </w: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r>
      <w:tr>
        <w:trPr>
          <w:trHeight w:val="168"/>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 in unconsolidated subsidiaries and associated companies</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 and indirect investments in real estate ventures</w:t>
            </w: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r>
      <w:tr>
        <w:trPr>
          <w:trHeight w:val="168"/>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856,313</w:t>
            </w:r>
          </w:p>
        </w:tc>
        <w:tc>
          <w:tcPr>
            <w:tcW w:w="100" w:type="dxa"/>
            <w:vAlign w:val="bottom"/>
            <w:shd w:val="clear" w:color="auto" w:fill="CCEEFF"/>
          </w:tcPr>
          <w:p>
            <w:pPr>
              <w:spacing w:after="0"/>
              <w:rPr>
                <w:sz w:val="14"/>
                <w:szCs w:val="14"/>
                <w:color w:val="auto"/>
              </w:rPr>
            </w:pPr>
          </w:p>
        </w:tc>
      </w:tr>
      <w:tr>
        <w:trPr>
          <w:trHeight w:val="179"/>
        </w:trPr>
        <w:tc>
          <w:tcPr>
            <w:tcW w:w="9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128,734</w:t>
            </w:r>
          </w:p>
        </w:tc>
        <w:tc>
          <w:tcPr>
            <w:tcW w:w="100" w:type="dxa"/>
            <w:vAlign w:val="bottom"/>
            <w:tcBorders>
              <w:bottom w:val="single" w:sz="8" w:color="CCEEFF"/>
            </w:tcBorders>
          </w:tcPr>
          <w:p>
            <w:pPr>
              <w:spacing w:after="0"/>
              <w:rPr>
                <w:sz w:val="15"/>
                <w:szCs w:val="15"/>
                <w:color w:val="auto"/>
              </w:rPr>
            </w:pPr>
          </w:p>
        </w:tc>
      </w:tr>
      <w:tr>
        <w:trPr>
          <w:trHeight w:val="159"/>
        </w:trPr>
        <w:tc>
          <w:tcPr>
            <w:tcW w:w="520" w:type="dxa"/>
            <w:vAlign w:val="bottom"/>
            <w:shd w:val="clear" w:color="auto" w:fill="CCEEFF"/>
          </w:tcPr>
          <w:p>
            <w:pPr>
              <w:spacing w:after="0"/>
              <w:rPr>
                <w:sz w:val="13"/>
                <w:szCs w:val="13"/>
                <w:color w:val="auto"/>
              </w:rPr>
            </w:pPr>
          </w:p>
        </w:tc>
        <w:tc>
          <w:tcPr>
            <w:tcW w:w="9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9"/>
        </w:trPr>
        <w:tc>
          <w:tcPr>
            <w:tcW w:w="9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1,351,491</w:t>
            </w:r>
          </w:p>
        </w:tc>
        <w:tc>
          <w:tcPr>
            <w:tcW w:w="100" w:type="dxa"/>
            <w:vAlign w:val="bottom"/>
          </w:tcPr>
          <w:p>
            <w:pPr>
              <w:spacing w:after="0"/>
              <w:rPr>
                <w:sz w:val="16"/>
                <w:szCs w:val="16"/>
                <w:color w:val="auto"/>
              </w:rPr>
            </w:pPr>
          </w:p>
        </w:tc>
      </w:tr>
      <w:tr>
        <w:trPr>
          <w:trHeight w:val="20"/>
        </w:trPr>
        <w:tc>
          <w:tcPr>
            <w:tcW w:w="5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8"/>
        </w:trPr>
        <w:tc>
          <w:tcPr>
            <w:tcW w:w="520" w:type="dxa"/>
            <w:vAlign w:val="bottom"/>
            <w:tcBorders>
              <w:bottom w:val="single" w:sz="8" w:color="auto"/>
            </w:tcBorders>
          </w:tcPr>
          <w:p>
            <w:pPr>
              <w:spacing w:after="0"/>
              <w:rPr>
                <w:sz w:val="24"/>
                <w:szCs w:val="24"/>
                <w:color w:val="auto"/>
              </w:rPr>
            </w:pPr>
          </w:p>
        </w:tc>
        <w:tc>
          <w:tcPr>
            <w:tcW w:w="9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65" w:right="31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LIABILITIES</w:t>
            </w: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68"/>
        </w:trPr>
        <w:tc>
          <w:tcPr>
            <w:tcW w:w="800" w:type="dxa"/>
            <w:vAlign w:val="bottom"/>
            <w:tcBorders>
              <w:top w:val="single" w:sz="8" w:color="auto"/>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8580" w:type="dxa"/>
            <w:vAlign w:val="bottom"/>
            <w:tcBorders>
              <w:top w:val="single" w:sz="8" w:color="CCEEFF"/>
            </w:tcBorders>
          </w:tcPr>
          <w:p>
            <w:pPr>
              <w:spacing w:after="0"/>
              <w:rPr>
                <w:sz w:val="14"/>
                <w:szCs w:val="14"/>
                <w:color w:val="auto"/>
              </w:rPr>
            </w:pPr>
          </w:p>
        </w:tc>
        <w:tc>
          <w:tcPr>
            <w:tcW w:w="14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68"/>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Deposits:</w:t>
            </w: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In domestic offices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100" w:type="dxa"/>
            <w:vAlign w:val="bottom"/>
          </w:tcPr>
          <w:p>
            <w:pPr>
              <w:spacing w:after="0"/>
              <w:rPr>
                <w:sz w:val="14"/>
                <w:szCs w:val="14"/>
                <w:color w:val="auto"/>
              </w:rPr>
            </w:pPr>
          </w:p>
        </w:tc>
      </w:tr>
      <w:tr>
        <w:trPr>
          <w:trHeight w:val="168"/>
        </w:trPr>
        <w:tc>
          <w:tcPr>
            <w:tcW w:w="972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Noninterest-bearing</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ind w:left="500"/>
              <w:spacing w:after="0"/>
              <w:rPr>
                <w:sz w:val="20"/>
                <w:szCs w:val="20"/>
                <w:color w:val="auto"/>
              </w:rPr>
            </w:pPr>
            <w:r>
              <w:rPr>
                <w:rFonts w:ascii="Times New Roman" w:cs="Times New Roman" w:eastAsia="Times New Roman" w:hAnsi="Times New Roman"/>
                <w:sz w:val="14"/>
                <w:szCs w:val="14"/>
                <w:color w:val="auto"/>
              </w:rPr>
              <w:t>Interest-bearing</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r>
      <w:tr>
        <w:trPr>
          <w:trHeight w:val="168"/>
        </w:trPr>
        <w:tc>
          <w:tcPr>
            <w:tcW w:w="8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5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Federal funds purchased and securities sold under agreements to repurchase:</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972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Federal funds purchased in domestic offices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ind w:left="50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r>
      <w:tr>
        <w:trPr>
          <w:trHeight w:val="168"/>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Trading liabilities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borrowed money:</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(includes mortgage indebtedness)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Subordinated notes and debentures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r>
      <w:tr>
        <w:trPr>
          <w:trHeight w:val="168"/>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268,400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269,820</w:t>
            </w:r>
          </w:p>
        </w:tc>
        <w:tc>
          <w:tcPr>
            <w:tcW w:w="100" w:type="dxa"/>
            <w:vAlign w:val="bottom"/>
          </w:tcPr>
          <w:p>
            <w:pPr>
              <w:spacing w:after="0"/>
              <w:rPr>
                <w:sz w:val="14"/>
                <w:szCs w:val="14"/>
                <w:color w:val="auto"/>
              </w:rPr>
            </w:pPr>
          </w:p>
        </w:tc>
      </w:tr>
      <w:tr>
        <w:trPr>
          <w:trHeight w:val="168"/>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972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EQUITY CAPITAL</w:t>
            </w: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8"/>
        </w:trPr>
        <w:tc>
          <w:tcPr>
            <w:tcW w:w="8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580" w:type="dxa"/>
            <w:vAlign w:val="bottom"/>
            <w:tcBorders>
              <w:top w:val="single" w:sz="8" w:color="CCEEFF"/>
            </w:tcBorders>
          </w:tcPr>
          <w:p>
            <w:pPr>
              <w:spacing w:after="0"/>
              <w:rPr>
                <w:sz w:val="14"/>
                <w:szCs w:val="14"/>
                <w:color w:val="auto"/>
              </w:rPr>
            </w:pPr>
          </w:p>
        </w:tc>
        <w:tc>
          <w:tcPr>
            <w:tcW w:w="14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68"/>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Perpetual preferred stock and related surplus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4"/>
                <w:szCs w:val="14"/>
                <w:color w:val="auto"/>
              </w:rPr>
            </w:pPr>
          </w:p>
        </w:tc>
      </w:tr>
      <w:tr>
        <w:trPr>
          <w:trHeight w:val="168"/>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Surplus (exclude all surplus related to preferred stock)</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108,284</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 available</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97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Retained earnings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972,372</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4"/>
                <w:szCs w:val="14"/>
                <w:color w:val="auto"/>
              </w:rPr>
            </w:pPr>
          </w:p>
        </w:tc>
      </w:tr>
      <w:tr>
        <w:trPr>
          <w:trHeight w:val="168"/>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equity capital components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 available</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97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bank equity capital</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1,081,671</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Noncontrolling (minority) interests in consolidated subsidiaries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r>
      <w:tr>
        <w:trPr>
          <w:trHeight w:val="179"/>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equity capital</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1,081,671</w:t>
            </w:r>
          </w:p>
        </w:tc>
        <w:tc>
          <w:tcPr>
            <w:tcW w:w="100" w:type="dxa"/>
            <w:vAlign w:val="bottom"/>
            <w:shd w:val="clear" w:color="auto" w:fill="CCEEFF"/>
          </w:tcPr>
          <w:p>
            <w:pPr>
              <w:spacing w:after="0"/>
              <w:rPr>
                <w:sz w:val="15"/>
                <w:szCs w:val="15"/>
                <w:color w:val="auto"/>
              </w:rPr>
            </w:pPr>
          </w:p>
        </w:tc>
      </w:tr>
      <w:tr>
        <w:trPr>
          <w:trHeight w:val="169"/>
        </w:trPr>
        <w:tc>
          <w:tcPr>
            <w:tcW w:w="9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liabilities and equity capital</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1,351,491</w:t>
            </w:r>
          </w:p>
        </w:tc>
        <w:tc>
          <w:tcPr>
            <w:tcW w:w="100" w:type="dxa"/>
            <w:vAlign w:val="bottom"/>
          </w:tcPr>
          <w:p>
            <w:pPr>
              <w:spacing w:after="0"/>
              <w:rPr>
                <w:sz w:val="14"/>
                <w:szCs w:val="14"/>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80" w:firstLine="505"/>
        <w:spacing w:after="0" w:line="283" w:lineRule="auto"/>
        <w:rPr>
          <w:sz w:val="20"/>
          <w:szCs w:val="20"/>
          <w:color w:val="auto"/>
        </w:rPr>
      </w:pPr>
      <w:r>
        <w:rPr>
          <w:rFonts w:ascii="Times New Roman" w:cs="Times New Roman" w:eastAsia="Times New Roman" w:hAnsi="Times New Roman"/>
          <w:sz w:val="14"/>
          <w:szCs w:val="14"/>
          <w:color w:val="auto"/>
        </w:rPr>
        <w:t>I, Natalie Bobnar, CFO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spacing w:after="0" w:line="125" w:lineRule="exact"/>
        <w:rPr>
          <w:sz w:val="20"/>
          <w:szCs w:val="20"/>
          <w:color w:val="auto"/>
        </w:rPr>
      </w:pPr>
    </w:p>
    <w:p>
      <w:pPr>
        <w:ind w:left="500"/>
        <w:spacing w:after="0"/>
        <w:tabs>
          <w:tab w:leader="none" w:pos="1560" w:val="left"/>
          <w:tab w:leader="none" w:pos="1980" w:val="left"/>
        </w:tabs>
        <w:rPr>
          <w:sz w:val="20"/>
          <w:szCs w:val="20"/>
          <w:color w:val="auto"/>
        </w:rPr>
      </w:pPr>
      <w:r>
        <w:rPr>
          <w:rFonts w:ascii="Times New Roman" w:cs="Times New Roman" w:eastAsia="Times New Roman" w:hAnsi="Times New Roman"/>
          <w:sz w:val="14"/>
          <w:szCs w:val="14"/>
          <w:color w:val="auto"/>
        </w:rPr>
        <w:t>Natalie Bobnar</w:t>
        <w:tab/>
        <w:t>)</w:t>
      </w:r>
      <w:r>
        <w:rPr>
          <w:sz w:val="20"/>
          <w:szCs w:val="20"/>
          <w:color w:val="auto"/>
        </w:rPr>
        <w:tab/>
      </w:r>
      <w:r>
        <w:rPr>
          <w:rFonts w:ascii="Times New Roman" w:cs="Times New Roman" w:eastAsia="Times New Roman" w:hAnsi="Times New Roman"/>
          <w:sz w:val="14"/>
          <w:szCs w:val="14"/>
          <w:color w:val="auto"/>
        </w:rPr>
        <w:t>CFO</w:t>
      </w:r>
    </w:p>
    <w:p>
      <w:pPr>
        <w:spacing w:after="0" w:line="176" w:lineRule="exact"/>
        <w:rPr>
          <w:sz w:val="20"/>
          <w:szCs w:val="20"/>
          <w:color w:val="auto"/>
        </w:rPr>
      </w:pPr>
    </w:p>
    <w:p>
      <w:pPr>
        <w:ind w:right="20" w:firstLine="505"/>
        <w:spacing w:after="0" w:line="283" w:lineRule="auto"/>
        <w:rPr>
          <w:sz w:val="20"/>
          <w:szCs w:val="20"/>
          <w:color w:val="auto"/>
        </w:rPr>
      </w:pPr>
      <w:r>
        <w:rPr>
          <w:rFonts w:ascii="Times New Roman" w:cs="Times New Roman" w:eastAsia="Times New Roman" w:hAnsi="Times New Roman"/>
          <w:sz w:val="14"/>
          <w:szCs w:val="14"/>
          <w:color w:val="auto"/>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3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Elizabeth Lyndon, Managing Director</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7020" w:type="dxa"/>
            <w:vAlign w:val="bottom"/>
          </w:tcPr>
          <w:p>
            <w:pPr>
              <w:spacing w:after="0"/>
              <w:rPr>
                <w:sz w:val="14"/>
                <w:szCs w:val="14"/>
                <w:color w:val="auto"/>
              </w:rPr>
            </w:pPr>
          </w:p>
        </w:tc>
      </w:tr>
      <w:tr>
        <w:trPr>
          <w:trHeight w:val="168"/>
        </w:trPr>
        <w:tc>
          <w:tcPr>
            <w:tcW w:w="33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Kevin C. Weeks, President</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7020" w:type="dxa"/>
            <w:vAlign w:val="bottom"/>
          </w:tcPr>
          <w:p>
            <w:pPr>
              <w:jc w:val="right"/>
              <w:ind w:right="5570"/>
              <w:spacing w:after="0"/>
              <w:rPr>
                <w:sz w:val="20"/>
                <w:szCs w:val="20"/>
                <w:color w:val="auto"/>
              </w:rPr>
            </w:pPr>
            <w:r>
              <w:rPr>
                <w:rFonts w:ascii="Times New Roman" w:cs="Times New Roman" w:eastAsia="Times New Roman" w:hAnsi="Times New Roman"/>
                <w:sz w:val="14"/>
                <w:szCs w:val="14"/>
                <w:color w:val="auto"/>
              </w:rPr>
              <w:t>Directors (Trustees)</w:t>
            </w:r>
          </w:p>
        </w:tc>
      </w:tr>
      <w:tr>
        <w:trPr>
          <w:trHeight w:val="183"/>
        </w:trPr>
        <w:tc>
          <w:tcPr>
            <w:tcW w:w="33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Fernando A. Costa, Managing Director</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7020" w:type="dxa"/>
            <w:vAlign w:val="bottom"/>
          </w:tcPr>
          <w:p>
            <w:pPr>
              <w:spacing w:after="0"/>
              <w:rPr>
                <w:sz w:val="15"/>
                <w:szCs w:val="15"/>
                <w:color w:val="auto"/>
              </w:rPr>
            </w:pPr>
          </w:p>
        </w:tc>
      </w:tr>
      <w:tr>
        <w:trPr>
          <w:trHeight w:val="526"/>
        </w:trPr>
        <w:tc>
          <w:tcPr>
            <w:tcW w:w="3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jc w:val="right"/>
              <w:ind w:right="5530"/>
              <w:spacing w:after="0"/>
              <w:rPr>
                <w:sz w:val="20"/>
                <w:szCs w:val="20"/>
                <w:color w:val="auto"/>
              </w:rPr>
            </w:pPr>
            <w:r>
              <w:rPr>
                <w:rFonts w:ascii="Times New Roman" w:cs="Times New Roman" w:eastAsia="Times New Roman" w:hAnsi="Times New Roman"/>
                <w:sz w:val="14"/>
                <w:szCs w:val="14"/>
                <w:color w:val="auto"/>
              </w:rPr>
              <w:t>2</w:t>
            </w:r>
          </w:p>
        </w:tc>
      </w:tr>
    </w:tbl>
    <w:p>
      <w:pPr>
        <w:sectPr>
          <w:pgSz w:w="11900" w:h="16838" w:orient="portrait"/>
          <w:cols w:equalWidth="0" w:num="1">
            <w:col w:w="11280"/>
          </w:cols>
          <w:pgMar w:left="300" w:top="726" w:right="319" w:bottom="1440" w:gutter="0" w:footer="0" w:header="0"/>
        </w:sectPr>
      </w:pPr>
    </w:p>
    <w:bookmarkStart w:id="110" w:name="page111"/>
    <w:bookmarkEnd w:id="110"/>
    <w:p>
      <w:pPr>
        <w:ind w:left="10420"/>
        <w:spacing w:after="0"/>
        <w:rPr>
          <w:sz w:val="20"/>
          <w:szCs w:val="20"/>
          <w:color w:val="auto"/>
        </w:rPr>
      </w:pPr>
      <w:r>
        <w:rPr>
          <w:rFonts w:ascii="Times New Roman" w:cs="Times New Roman" w:eastAsia="Times New Roman" w:hAnsi="Times New Roman"/>
          <w:sz w:val="16"/>
          <w:szCs w:val="16"/>
          <w:b w:val="1"/>
          <w:bCs w:val="1"/>
          <w:color w:val="auto"/>
        </w:rPr>
        <w:t>Exhibit 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7162800" cy="133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4">
                      <a:extLst>
                        <a:ext uri="{28A0092B-C50C-407E-A947-70E740481C1C}"/>
                      </a:extLst>
                    </a:blip>
                    <a:srcRect/>
                    <a:stretch>
                      <a:fillRect/>
                    </a:stretch>
                  </pic:blipFill>
                  <pic:spPr bwMode="auto">
                    <a:xfrm>
                      <a:off x="0" y="0"/>
                      <a:ext cx="7162800" cy="133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165735</wp:posOffset>
            </wp:positionV>
            <wp:extent cx="716280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5">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UNITED STATES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AND EXCHANGE COMMISSION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Washington, D.C. 20549</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T-1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STATEMENT OF ELIGIBILITY</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UNDER THE TRUST INDENTURE ACT OF 1939 OF 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CORPORATION DESIGNATED TO ACT AS TRUSTEE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CHECK IF AN APPLICATION TO DETERMINE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ELIGIBILITY OF A TRUSTEE PURSUANT TO</w:t>
      </w:r>
    </w:p>
    <w:p>
      <w:pPr>
        <w:spacing w:after="0" w:line="4" w:lineRule="exact"/>
        <w:rPr>
          <w:sz w:val="20"/>
          <w:szCs w:val="20"/>
          <w:color w:val="auto"/>
        </w:rPr>
      </w:pPr>
    </w:p>
    <w:p>
      <w:pPr>
        <w:jc w:val="center"/>
        <w:spacing w:after="0" w:line="161" w:lineRule="exact"/>
        <w:tabs>
          <w:tab w:leader="none" w:pos="360" w:val="left"/>
        </w:tabs>
        <w:rPr>
          <w:sz w:val="20"/>
          <w:szCs w:val="20"/>
          <w:color w:val="auto"/>
        </w:rPr>
      </w:pPr>
      <w:r>
        <w:rPr>
          <w:rFonts w:ascii="Times New Roman" w:cs="Times New Roman" w:eastAsia="Times New Roman" w:hAnsi="Times New Roman"/>
          <w:sz w:val="14"/>
          <w:szCs w:val="14"/>
          <w:color w:val="auto"/>
        </w:rPr>
        <w:t>SECTION 305(b)(2)</w:t>
      </w:r>
      <w:r>
        <w:rPr>
          <w:sz w:val="20"/>
          <w:szCs w:val="20"/>
          <w:color w:val="auto"/>
        </w:rPr>
        <w:tab/>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140970</wp:posOffset>
            </wp:positionV>
            <wp:extent cx="179070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6">
                      <a:extLst>
                        <a:ext uri="{28A0092B-C50C-407E-A947-70E740481C1C}"/>
                      </a:extLst>
                    </a:blip>
                    <a:srcRect/>
                    <a:stretch>
                      <a:fillRect/>
                    </a:stretch>
                  </pic:blipFill>
                  <pic:spPr bwMode="auto">
                    <a:xfrm>
                      <a:off x="0" y="0"/>
                      <a:ext cx="1790700" cy="698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3160" w:type="dxa"/>
            <w:vAlign w:val="bottom"/>
          </w:tcPr>
          <w:p>
            <w:pPr>
              <w:spacing w:after="0"/>
              <w:rPr>
                <w:sz w:val="20"/>
                <w:szCs w:val="20"/>
                <w:color w:val="auto"/>
              </w:rPr>
            </w:pPr>
          </w:p>
        </w:tc>
        <w:tc>
          <w:tcPr>
            <w:tcW w:w="8140" w:type="dxa"/>
            <w:vAlign w:val="bottom"/>
            <w:gridSpan w:val="4"/>
          </w:tcPr>
          <w:p>
            <w:pPr>
              <w:jc w:val="center"/>
              <w:ind w:right="3180"/>
              <w:spacing w:after="0"/>
              <w:rPr>
                <w:sz w:val="20"/>
                <w:szCs w:val="20"/>
                <w:color w:val="auto"/>
              </w:rPr>
            </w:pPr>
            <w:r>
              <w:rPr>
                <w:rFonts w:ascii="Times New Roman" w:cs="Times New Roman" w:eastAsia="Times New Roman" w:hAnsi="Times New Roman"/>
                <w:sz w:val="20"/>
                <w:szCs w:val="20"/>
                <w:color w:val="auto"/>
                <w:w w:val="97"/>
              </w:rPr>
              <w:t>THE BANK OF NEW YORK MELLON</w:t>
            </w:r>
          </w:p>
        </w:tc>
      </w:tr>
      <w:tr>
        <w:trPr>
          <w:trHeight w:val="235"/>
        </w:trPr>
        <w:tc>
          <w:tcPr>
            <w:tcW w:w="3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60" w:type="dxa"/>
            <w:vAlign w:val="bottom"/>
            <w:gridSpan w:val="3"/>
          </w:tcPr>
          <w:p>
            <w:pPr>
              <w:jc w:val="center"/>
              <w:ind w:right="4260"/>
              <w:spacing w:after="0"/>
              <w:rPr>
                <w:sz w:val="20"/>
                <w:szCs w:val="20"/>
                <w:color w:val="auto"/>
              </w:rPr>
            </w:pPr>
            <w:r>
              <w:rPr>
                <w:rFonts w:ascii="Times New Roman" w:cs="Times New Roman" w:eastAsia="Times New Roman" w:hAnsi="Times New Roman"/>
                <w:sz w:val="20"/>
                <w:szCs w:val="20"/>
                <w:color w:val="auto"/>
                <w:w w:val="95"/>
              </w:rPr>
              <w:t>TRUST COMPANY, N.A.</w:t>
            </w:r>
          </w:p>
        </w:tc>
      </w:tr>
      <w:tr>
        <w:trPr>
          <w:trHeight w:val="183"/>
        </w:trPr>
        <w:tc>
          <w:tcPr>
            <w:tcW w:w="3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60" w:type="dxa"/>
            <w:vAlign w:val="bottom"/>
            <w:gridSpan w:val="3"/>
          </w:tcPr>
          <w:p>
            <w:pPr>
              <w:jc w:val="center"/>
              <w:ind w:right="4240"/>
              <w:spacing w:after="0"/>
              <w:rPr>
                <w:sz w:val="20"/>
                <w:szCs w:val="20"/>
                <w:color w:val="auto"/>
              </w:rPr>
            </w:pPr>
            <w:r>
              <w:rPr>
                <w:rFonts w:ascii="Times New Roman" w:cs="Times New Roman" w:eastAsia="Times New Roman" w:hAnsi="Times New Roman"/>
                <w:sz w:val="14"/>
                <w:szCs w:val="14"/>
                <w:color w:val="auto"/>
              </w:rPr>
              <w:t>(Exact name of trustee as specified in its charter)</w:t>
            </w:r>
          </w:p>
        </w:tc>
      </w:tr>
      <w:tr>
        <w:trPr>
          <w:trHeight w:val="168"/>
        </w:trPr>
        <w:tc>
          <w:tcPr>
            <w:tcW w:w="3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240" w:type="dxa"/>
            <w:vAlign w:val="bottom"/>
            <w:tcBorders>
              <w:bottom w:val="single" w:sz="8" w:color="auto"/>
            </w:tcBorders>
          </w:tcPr>
          <w:p>
            <w:pPr>
              <w:spacing w:after="0"/>
              <w:rPr>
                <w:sz w:val="14"/>
                <w:szCs w:val="14"/>
                <w:color w:val="auto"/>
              </w:rPr>
            </w:pPr>
          </w:p>
        </w:tc>
      </w:tr>
      <w:tr>
        <w:trPr>
          <w:trHeight w:val="144"/>
        </w:trPr>
        <w:tc>
          <w:tcPr>
            <w:tcW w:w="3160" w:type="dxa"/>
            <w:vAlign w:val="bottom"/>
            <w:tcBorders>
              <w:left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2000" w:type="dxa"/>
            <w:vAlign w:val="bottom"/>
            <w:tcBorders>
              <w:right w:val="single" w:sz="8" w:color="auto"/>
            </w:tcBorders>
          </w:tcPr>
          <w:p>
            <w:pPr>
              <w:spacing w:after="0"/>
              <w:rPr>
                <w:sz w:val="12"/>
                <w:szCs w:val="12"/>
                <w:color w:val="auto"/>
              </w:rPr>
            </w:pPr>
          </w:p>
        </w:tc>
        <w:tc>
          <w:tcPr>
            <w:tcW w:w="820" w:type="dxa"/>
            <w:vAlign w:val="bottom"/>
          </w:tcPr>
          <w:p>
            <w:pPr>
              <w:ind w:left="60"/>
              <w:spacing w:after="0" w:line="144" w:lineRule="exact"/>
              <w:rPr>
                <w:sz w:val="20"/>
                <w:szCs w:val="20"/>
                <w:color w:val="auto"/>
              </w:rPr>
            </w:pPr>
            <w:r>
              <w:rPr>
                <w:rFonts w:ascii="Times New Roman" w:cs="Times New Roman" w:eastAsia="Times New Roman" w:hAnsi="Times New Roman"/>
                <w:sz w:val="14"/>
                <w:szCs w:val="14"/>
                <w:color w:val="auto"/>
              </w:rPr>
              <w:t>95-3571558</w:t>
            </w:r>
          </w:p>
        </w:tc>
        <w:tc>
          <w:tcPr>
            <w:tcW w:w="4240" w:type="dxa"/>
            <w:vAlign w:val="bottom"/>
            <w:tcBorders>
              <w:right w:val="single" w:sz="8" w:color="auto"/>
            </w:tcBorders>
          </w:tcPr>
          <w:p>
            <w:pPr>
              <w:spacing w:after="0"/>
              <w:rPr>
                <w:sz w:val="12"/>
                <w:szCs w:val="12"/>
                <w:color w:val="auto"/>
              </w:rPr>
            </w:pPr>
          </w:p>
        </w:tc>
      </w:tr>
      <w:tr>
        <w:trPr>
          <w:trHeight w:val="168"/>
        </w:trPr>
        <w:tc>
          <w:tcPr>
            <w:tcW w:w="31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(Jurisdiction of incorporation</w:t>
            </w:r>
          </w:p>
        </w:tc>
        <w:tc>
          <w:tcPr>
            <w:tcW w:w="1080" w:type="dxa"/>
            <w:vAlign w:val="bottom"/>
          </w:tcPr>
          <w:p>
            <w:pPr>
              <w:spacing w:after="0"/>
              <w:rPr>
                <w:sz w:val="14"/>
                <w:szCs w:val="14"/>
                <w:color w:val="auto"/>
              </w:rPr>
            </w:pPr>
          </w:p>
        </w:tc>
        <w:tc>
          <w:tcPr>
            <w:tcW w:w="2000" w:type="dxa"/>
            <w:vAlign w:val="bottom"/>
            <w:tcBorders>
              <w:right w:val="single" w:sz="8" w:color="auto"/>
            </w:tcBorders>
          </w:tcPr>
          <w:p>
            <w:pPr>
              <w:spacing w:after="0"/>
              <w:rPr>
                <w:sz w:val="14"/>
                <w:szCs w:val="14"/>
                <w:color w:val="auto"/>
              </w:rPr>
            </w:pPr>
          </w:p>
        </w:tc>
        <w:tc>
          <w:tcPr>
            <w:tcW w:w="50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(I.R.S. employer</w:t>
            </w:r>
          </w:p>
        </w:tc>
      </w:tr>
      <w:tr>
        <w:trPr>
          <w:trHeight w:val="183"/>
        </w:trPr>
        <w:tc>
          <w:tcPr>
            <w:tcW w:w="31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if not a U.S. national bank)</w:t>
            </w:r>
          </w:p>
        </w:tc>
        <w:tc>
          <w:tcPr>
            <w:tcW w:w="1080" w:type="dxa"/>
            <w:vAlign w:val="bottom"/>
          </w:tcPr>
          <w:p>
            <w:pPr>
              <w:spacing w:after="0"/>
              <w:rPr>
                <w:sz w:val="15"/>
                <w:szCs w:val="15"/>
                <w:color w:val="auto"/>
              </w:rPr>
            </w:pPr>
          </w:p>
        </w:tc>
        <w:tc>
          <w:tcPr>
            <w:tcW w:w="2000" w:type="dxa"/>
            <w:vAlign w:val="bottom"/>
            <w:tcBorders>
              <w:right w:val="single" w:sz="8" w:color="auto"/>
            </w:tcBorders>
          </w:tcPr>
          <w:p>
            <w:pPr>
              <w:spacing w:after="0"/>
              <w:rPr>
                <w:sz w:val="15"/>
                <w:szCs w:val="15"/>
                <w:color w:val="auto"/>
              </w:rPr>
            </w:pPr>
          </w:p>
        </w:tc>
        <w:tc>
          <w:tcPr>
            <w:tcW w:w="50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168"/>
        </w:trPr>
        <w:tc>
          <w:tcPr>
            <w:tcW w:w="3160" w:type="dxa"/>
            <w:vAlign w:val="bottom"/>
            <w:tcBorders>
              <w:left w:val="single" w:sz="8" w:color="auto"/>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0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240" w:type="dxa"/>
            <w:vAlign w:val="bottom"/>
            <w:tcBorders>
              <w:bottom w:val="single" w:sz="8" w:color="auto"/>
              <w:right w:val="single" w:sz="8" w:color="auto"/>
            </w:tcBorders>
          </w:tcPr>
          <w:p>
            <w:pPr>
              <w:spacing w:after="0"/>
              <w:rPr>
                <w:sz w:val="14"/>
                <w:szCs w:val="14"/>
                <w:color w:val="auto"/>
              </w:rPr>
            </w:pPr>
          </w:p>
        </w:tc>
      </w:tr>
      <w:tr>
        <w:trPr>
          <w:trHeight w:val="144"/>
        </w:trPr>
        <w:tc>
          <w:tcPr>
            <w:tcW w:w="3160" w:type="dxa"/>
            <w:vAlign w:val="bottom"/>
            <w:tcBorders>
              <w:left w:val="single" w:sz="8" w:color="auto"/>
            </w:tcBorders>
          </w:tcPr>
          <w:p>
            <w:pPr>
              <w:ind w:left="100"/>
              <w:spacing w:after="0" w:line="144" w:lineRule="exact"/>
              <w:rPr>
                <w:sz w:val="20"/>
                <w:szCs w:val="20"/>
                <w:color w:val="auto"/>
              </w:rPr>
            </w:pPr>
            <w:r>
              <w:rPr>
                <w:rFonts w:ascii="Times New Roman" w:cs="Times New Roman" w:eastAsia="Times New Roman" w:hAnsi="Times New Roman"/>
                <w:sz w:val="14"/>
                <w:szCs w:val="14"/>
                <w:color w:val="auto"/>
              </w:rPr>
              <w:t>333 South Hope Street</w:t>
            </w:r>
          </w:p>
        </w:tc>
        <w:tc>
          <w:tcPr>
            <w:tcW w:w="1080" w:type="dxa"/>
            <w:vAlign w:val="bottom"/>
          </w:tcPr>
          <w:p>
            <w:pPr>
              <w:spacing w:after="0"/>
              <w:rPr>
                <w:sz w:val="12"/>
                <w:szCs w:val="12"/>
                <w:color w:val="auto"/>
              </w:rPr>
            </w:pPr>
          </w:p>
        </w:tc>
        <w:tc>
          <w:tcPr>
            <w:tcW w:w="200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4240" w:type="dxa"/>
            <w:vAlign w:val="bottom"/>
            <w:tcBorders>
              <w:right w:val="single" w:sz="8" w:color="auto"/>
            </w:tcBorders>
          </w:tcPr>
          <w:p>
            <w:pPr>
              <w:spacing w:after="0"/>
              <w:rPr>
                <w:sz w:val="12"/>
                <w:szCs w:val="12"/>
                <w:color w:val="auto"/>
              </w:rPr>
            </w:pPr>
          </w:p>
        </w:tc>
      </w:tr>
      <w:tr>
        <w:trPr>
          <w:trHeight w:val="168"/>
        </w:trPr>
        <w:tc>
          <w:tcPr>
            <w:tcW w:w="31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Suite 2525</w:t>
            </w:r>
          </w:p>
        </w:tc>
        <w:tc>
          <w:tcPr>
            <w:tcW w:w="1080" w:type="dxa"/>
            <w:vAlign w:val="bottom"/>
          </w:tcPr>
          <w:p>
            <w:pPr>
              <w:spacing w:after="0"/>
              <w:rPr>
                <w:sz w:val="14"/>
                <w:szCs w:val="14"/>
                <w:color w:val="auto"/>
              </w:rPr>
            </w:pPr>
          </w:p>
        </w:tc>
        <w:tc>
          <w:tcPr>
            <w:tcW w:w="200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4240" w:type="dxa"/>
            <w:vAlign w:val="bottom"/>
            <w:tcBorders>
              <w:right w:val="single" w:sz="8" w:color="auto"/>
            </w:tcBorders>
          </w:tcPr>
          <w:p>
            <w:pPr>
              <w:spacing w:after="0"/>
              <w:rPr>
                <w:sz w:val="14"/>
                <w:szCs w:val="14"/>
                <w:color w:val="auto"/>
              </w:rPr>
            </w:pPr>
          </w:p>
        </w:tc>
      </w:tr>
      <w:tr>
        <w:trPr>
          <w:trHeight w:val="168"/>
        </w:trPr>
        <w:tc>
          <w:tcPr>
            <w:tcW w:w="31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Los Angeles, California</w:t>
            </w:r>
          </w:p>
        </w:tc>
        <w:tc>
          <w:tcPr>
            <w:tcW w:w="1080" w:type="dxa"/>
            <w:vAlign w:val="bottom"/>
          </w:tcPr>
          <w:p>
            <w:pPr>
              <w:spacing w:after="0"/>
              <w:rPr>
                <w:sz w:val="14"/>
                <w:szCs w:val="14"/>
                <w:color w:val="auto"/>
              </w:rPr>
            </w:pPr>
          </w:p>
        </w:tc>
        <w:tc>
          <w:tcPr>
            <w:tcW w:w="200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4240" w:type="dxa"/>
            <w:vAlign w:val="bottom"/>
            <w:tcBorders>
              <w:right w:val="single" w:sz="8" w:color="auto"/>
            </w:tcBorders>
          </w:tcPr>
          <w:p>
            <w:pPr>
              <w:spacing w:after="0"/>
              <w:rPr>
                <w:sz w:val="14"/>
                <w:szCs w:val="14"/>
                <w:color w:val="auto"/>
              </w:rPr>
            </w:pPr>
          </w:p>
        </w:tc>
      </w:tr>
      <w:tr>
        <w:trPr>
          <w:trHeight w:val="168"/>
        </w:trPr>
        <w:tc>
          <w:tcPr>
            <w:tcW w:w="31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080" w:type="dxa"/>
            <w:vAlign w:val="bottom"/>
          </w:tcPr>
          <w:p>
            <w:pPr>
              <w:spacing w:after="0"/>
              <w:rPr>
                <w:sz w:val="14"/>
                <w:szCs w:val="14"/>
                <w:color w:val="auto"/>
              </w:rPr>
            </w:pPr>
          </w:p>
        </w:tc>
        <w:tc>
          <w:tcPr>
            <w:tcW w:w="2000" w:type="dxa"/>
            <w:vAlign w:val="bottom"/>
            <w:tcBorders>
              <w:right w:val="single" w:sz="8" w:color="auto"/>
            </w:tcBorders>
          </w:tcPr>
          <w:p>
            <w:pPr>
              <w:spacing w:after="0"/>
              <w:rPr>
                <w:sz w:val="14"/>
                <w:szCs w:val="14"/>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90071</w:t>
            </w:r>
          </w:p>
        </w:tc>
        <w:tc>
          <w:tcPr>
            <w:tcW w:w="4240" w:type="dxa"/>
            <w:vAlign w:val="bottom"/>
            <w:tcBorders>
              <w:right w:val="single" w:sz="8" w:color="auto"/>
            </w:tcBorders>
          </w:tcPr>
          <w:p>
            <w:pPr>
              <w:spacing w:after="0"/>
              <w:rPr>
                <w:sz w:val="14"/>
                <w:szCs w:val="14"/>
                <w:color w:val="auto"/>
              </w:rPr>
            </w:pPr>
          </w:p>
        </w:tc>
      </w:tr>
      <w:tr>
        <w:trPr>
          <w:trHeight w:val="183"/>
        </w:trPr>
        <w:tc>
          <w:tcPr>
            <w:tcW w:w="3160" w:type="dxa"/>
            <w:vAlign w:val="bottom"/>
            <w:tcBorders>
              <w:left w:val="single" w:sz="8" w:color="auto"/>
            </w:tcBorders>
          </w:tcPr>
          <w:p>
            <w:pPr>
              <w:spacing w:after="0"/>
              <w:rPr>
                <w:sz w:val="15"/>
                <w:szCs w:val="15"/>
                <w:color w:val="auto"/>
              </w:rPr>
            </w:pPr>
          </w:p>
        </w:tc>
        <w:tc>
          <w:tcPr>
            <w:tcW w:w="1080" w:type="dxa"/>
            <w:vAlign w:val="bottom"/>
          </w:tcPr>
          <w:p>
            <w:pPr>
              <w:spacing w:after="0"/>
              <w:rPr>
                <w:sz w:val="15"/>
                <w:szCs w:val="15"/>
                <w:color w:val="auto"/>
              </w:rPr>
            </w:pPr>
          </w:p>
        </w:tc>
        <w:tc>
          <w:tcPr>
            <w:tcW w:w="2000" w:type="dxa"/>
            <w:vAlign w:val="bottom"/>
            <w:tcBorders>
              <w:right w:val="single" w:sz="8" w:color="auto"/>
            </w:tcBorders>
          </w:tcPr>
          <w:p>
            <w:pPr>
              <w:spacing w:after="0"/>
              <w:rPr>
                <w:sz w:val="15"/>
                <w:szCs w:val="15"/>
                <w:color w:val="auto"/>
              </w:rPr>
            </w:pPr>
          </w:p>
        </w:tc>
        <w:tc>
          <w:tcPr>
            <w:tcW w:w="50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(Zip code)</w:t>
            </w:r>
          </w:p>
        </w:tc>
      </w:tr>
      <w:tr>
        <w:trPr>
          <w:trHeight w:val="168"/>
        </w:trPr>
        <w:tc>
          <w:tcPr>
            <w:tcW w:w="3160" w:type="dxa"/>
            <w:vAlign w:val="bottom"/>
            <w:tcBorders>
              <w:left w:val="single" w:sz="8" w:color="auto"/>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0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240" w:type="dxa"/>
            <w:vAlign w:val="bottom"/>
            <w:tcBorders>
              <w:bottom w:val="single" w:sz="8" w:color="auto"/>
              <w:right w:val="single" w:sz="8" w:color="auto"/>
            </w:tcBorders>
          </w:tcPr>
          <w:p>
            <w:pPr>
              <w:spacing w:after="0"/>
              <w:rPr>
                <w:sz w:val="14"/>
                <w:szCs w:val="14"/>
                <w:color w:val="auto"/>
              </w:rPr>
            </w:pPr>
          </w:p>
        </w:tc>
      </w:tr>
      <w:tr>
        <w:trPr>
          <w:trHeight w:val="201"/>
        </w:trPr>
        <w:tc>
          <w:tcPr>
            <w:tcW w:w="3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240" w:type="dxa"/>
            <w:vAlign w:val="bottom"/>
          </w:tcPr>
          <w:p>
            <w:pPr>
              <w:spacing w:after="0"/>
              <w:rPr>
                <w:sz w:val="17"/>
                <w:szCs w:val="17"/>
                <w:color w:val="auto"/>
              </w:rPr>
            </w:pPr>
          </w:p>
        </w:tc>
      </w:tr>
    </w:tbl>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4240" w:type="dxa"/>
            <w:vAlign w:val="bottom"/>
          </w:tcPr>
          <w:p>
            <w:pPr>
              <w:spacing w:after="0"/>
              <w:rPr>
                <w:sz w:val="20"/>
                <w:szCs w:val="20"/>
                <w:color w:val="auto"/>
              </w:rPr>
            </w:pPr>
          </w:p>
        </w:tc>
        <w:tc>
          <w:tcPr>
            <w:tcW w:w="7060" w:type="dxa"/>
            <w:vAlign w:val="bottom"/>
            <w:gridSpan w:val="3"/>
          </w:tcPr>
          <w:p>
            <w:pPr>
              <w:jc w:val="center"/>
              <w:ind w:right="4240"/>
              <w:spacing w:after="0"/>
              <w:rPr>
                <w:sz w:val="20"/>
                <w:szCs w:val="20"/>
                <w:color w:val="auto"/>
              </w:rPr>
            </w:pPr>
            <w:r>
              <w:rPr>
                <w:rFonts w:ascii="Times New Roman" w:cs="Times New Roman" w:eastAsia="Times New Roman" w:hAnsi="Times New Roman"/>
                <w:sz w:val="20"/>
                <w:szCs w:val="20"/>
                <w:color w:val="auto"/>
                <w:w w:val="97"/>
              </w:rPr>
              <w:t>CenterPoint Energy, Inc.</w:t>
            </w:r>
          </w:p>
        </w:tc>
      </w:tr>
      <w:tr>
        <w:trPr>
          <w:trHeight w:val="183"/>
        </w:trPr>
        <w:tc>
          <w:tcPr>
            <w:tcW w:w="4240" w:type="dxa"/>
            <w:vAlign w:val="bottom"/>
          </w:tcPr>
          <w:p>
            <w:pPr>
              <w:spacing w:after="0"/>
              <w:rPr>
                <w:sz w:val="15"/>
                <w:szCs w:val="15"/>
                <w:color w:val="auto"/>
              </w:rPr>
            </w:pPr>
          </w:p>
        </w:tc>
        <w:tc>
          <w:tcPr>
            <w:tcW w:w="7060" w:type="dxa"/>
            <w:vAlign w:val="bottom"/>
            <w:gridSpan w:val="3"/>
          </w:tcPr>
          <w:p>
            <w:pPr>
              <w:jc w:val="center"/>
              <w:ind w:right="4240"/>
              <w:spacing w:after="0"/>
              <w:rPr>
                <w:sz w:val="20"/>
                <w:szCs w:val="20"/>
                <w:color w:val="auto"/>
              </w:rPr>
            </w:pPr>
            <w:r>
              <w:rPr>
                <w:rFonts w:ascii="Times New Roman" w:cs="Times New Roman" w:eastAsia="Times New Roman" w:hAnsi="Times New Roman"/>
                <w:sz w:val="14"/>
                <w:szCs w:val="14"/>
                <w:color w:val="auto"/>
              </w:rPr>
              <w:t>(Exact name of obligor as specified in its charter)</w:t>
            </w:r>
          </w:p>
        </w:tc>
      </w:tr>
      <w:tr>
        <w:trPr>
          <w:trHeight w:val="168"/>
        </w:trPr>
        <w:tc>
          <w:tcPr>
            <w:tcW w:w="42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240" w:type="dxa"/>
            <w:vAlign w:val="bottom"/>
            <w:tcBorders>
              <w:bottom w:val="single" w:sz="8" w:color="auto"/>
            </w:tcBorders>
          </w:tcPr>
          <w:p>
            <w:pPr>
              <w:spacing w:after="0"/>
              <w:rPr>
                <w:sz w:val="14"/>
                <w:szCs w:val="14"/>
                <w:color w:val="auto"/>
              </w:rPr>
            </w:pPr>
          </w:p>
        </w:tc>
      </w:tr>
      <w:tr>
        <w:trPr>
          <w:trHeight w:val="144"/>
        </w:trPr>
        <w:tc>
          <w:tcPr>
            <w:tcW w:w="4240" w:type="dxa"/>
            <w:vAlign w:val="bottom"/>
            <w:tcBorders>
              <w:left w:val="single" w:sz="8" w:color="auto"/>
            </w:tcBorders>
          </w:tcPr>
          <w:p>
            <w:pPr>
              <w:ind w:left="100"/>
              <w:spacing w:after="0" w:line="144" w:lineRule="exact"/>
              <w:rPr>
                <w:sz w:val="20"/>
                <w:szCs w:val="20"/>
                <w:color w:val="auto"/>
              </w:rPr>
            </w:pPr>
            <w:r>
              <w:rPr>
                <w:rFonts w:ascii="Times New Roman" w:cs="Times New Roman" w:eastAsia="Times New Roman" w:hAnsi="Times New Roman"/>
                <w:sz w:val="14"/>
                <w:szCs w:val="14"/>
                <w:color w:val="auto"/>
              </w:rPr>
              <w:t>Texas</w:t>
            </w:r>
          </w:p>
        </w:tc>
        <w:tc>
          <w:tcPr>
            <w:tcW w:w="2000" w:type="dxa"/>
            <w:vAlign w:val="bottom"/>
            <w:tcBorders>
              <w:right w:val="single" w:sz="8" w:color="auto"/>
            </w:tcBorders>
          </w:tcPr>
          <w:p>
            <w:pPr>
              <w:spacing w:after="0"/>
              <w:rPr>
                <w:sz w:val="12"/>
                <w:szCs w:val="12"/>
                <w:color w:val="auto"/>
              </w:rPr>
            </w:pPr>
          </w:p>
        </w:tc>
        <w:tc>
          <w:tcPr>
            <w:tcW w:w="820" w:type="dxa"/>
            <w:vAlign w:val="bottom"/>
          </w:tcPr>
          <w:p>
            <w:pPr>
              <w:ind w:left="60"/>
              <w:spacing w:after="0" w:line="144" w:lineRule="exact"/>
              <w:rPr>
                <w:sz w:val="20"/>
                <w:szCs w:val="20"/>
                <w:color w:val="auto"/>
              </w:rPr>
            </w:pPr>
            <w:r>
              <w:rPr>
                <w:rFonts w:ascii="Times New Roman" w:cs="Times New Roman" w:eastAsia="Times New Roman" w:hAnsi="Times New Roman"/>
                <w:sz w:val="14"/>
                <w:szCs w:val="14"/>
                <w:color w:val="auto"/>
              </w:rPr>
              <w:t>74-0694415</w:t>
            </w:r>
          </w:p>
        </w:tc>
        <w:tc>
          <w:tcPr>
            <w:tcW w:w="4240" w:type="dxa"/>
            <w:vAlign w:val="bottom"/>
            <w:tcBorders>
              <w:right w:val="single" w:sz="8" w:color="auto"/>
            </w:tcBorders>
          </w:tcPr>
          <w:p>
            <w:pPr>
              <w:spacing w:after="0"/>
              <w:rPr>
                <w:sz w:val="12"/>
                <w:szCs w:val="12"/>
                <w:color w:val="auto"/>
              </w:rPr>
            </w:pPr>
          </w:p>
        </w:tc>
      </w:tr>
      <w:tr>
        <w:trPr>
          <w:trHeight w:val="168"/>
        </w:trPr>
        <w:tc>
          <w:tcPr>
            <w:tcW w:w="42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2000" w:type="dxa"/>
            <w:vAlign w:val="bottom"/>
            <w:tcBorders>
              <w:right w:val="single" w:sz="8" w:color="auto"/>
            </w:tcBorders>
          </w:tcPr>
          <w:p>
            <w:pPr>
              <w:spacing w:after="0"/>
              <w:rPr>
                <w:sz w:val="14"/>
                <w:szCs w:val="14"/>
                <w:color w:val="auto"/>
              </w:rPr>
            </w:pPr>
          </w:p>
        </w:tc>
        <w:tc>
          <w:tcPr>
            <w:tcW w:w="50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(I.R.S. employer</w:t>
            </w:r>
          </w:p>
        </w:tc>
      </w:tr>
      <w:tr>
        <w:trPr>
          <w:trHeight w:val="183"/>
        </w:trPr>
        <w:tc>
          <w:tcPr>
            <w:tcW w:w="424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000" w:type="dxa"/>
            <w:vAlign w:val="bottom"/>
            <w:tcBorders>
              <w:bottom w:val="single" w:sz="8" w:color="auto"/>
              <w:right w:val="single" w:sz="8" w:color="auto"/>
            </w:tcBorders>
          </w:tcPr>
          <w:p>
            <w:pPr>
              <w:spacing w:after="0"/>
              <w:rPr>
                <w:sz w:val="15"/>
                <w:szCs w:val="15"/>
                <w:color w:val="auto"/>
              </w:rPr>
            </w:pPr>
          </w:p>
        </w:tc>
        <w:tc>
          <w:tcPr>
            <w:tcW w:w="50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144"/>
        </w:trPr>
        <w:tc>
          <w:tcPr>
            <w:tcW w:w="4240" w:type="dxa"/>
            <w:vAlign w:val="bottom"/>
            <w:tcBorders>
              <w:left w:val="single" w:sz="8" w:color="auto"/>
            </w:tcBorders>
          </w:tcPr>
          <w:p>
            <w:pPr>
              <w:ind w:left="100"/>
              <w:spacing w:after="0" w:line="144" w:lineRule="exact"/>
              <w:rPr>
                <w:sz w:val="20"/>
                <w:szCs w:val="20"/>
                <w:color w:val="auto"/>
              </w:rPr>
            </w:pPr>
            <w:r>
              <w:rPr>
                <w:rFonts w:ascii="Times New Roman" w:cs="Times New Roman" w:eastAsia="Times New Roman" w:hAnsi="Times New Roman"/>
                <w:sz w:val="14"/>
                <w:szCs w:val="14"/>
                <w:color w:val="auto"/>
              </w:rPr>
              <w:t>1111 Louisiana Street</w:t>
            </w:r>
          </w:p>
        </w:tc>
        <w:tc>
          <w:tcPr>
            <w:tcW w:w="200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4240" w:type="dxa"/>
            <w:vAlign w:val="bottom"/>
            <w:tcBorders>
              <w:right w:val="single" w:sz="8" w:color="auto"/>
            </w:tcBorders>
          </w:tcPr>
          <w:p>
            <w:pPr>
              <w:spacing w:after="0"/>
              <w:rPr>
                <w:sz w:val="12"/>
                <w:szCs w:val="12"/>
                <w:color w:val="auto"/>
              </w:rPr>
            </w:pPr>
          </w:p>
        </w:tc>
      </w:tr>
      <w:tr>
        <w:trPr>
          <w:trHeight w:val="168"/>
        </w:trPr>
        <w:tc>
          <w:tcPr>
            <w:tcW w:w="42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Houston, Texas</w:t>
            </w:r>
          </w:p>
        </w:tc>
        <w:tc>
          <w:tcPr>
            <w:tcW w:w="2000" w:type="dxa"/>
            <w:vAlign w:val="bottom"/>
            <w:tcBorders>
              <w:right w:val="single" w:sz="8" w:color="auto"/>
            </w:tcBorders>
          </w:tcPr>
          <w:p>
            <w:pPr>
              <w:spacing w:after="0"/>
              <w:rPr>
                <w:sz w:val="14"/>
                <w:szCs w:val="14"/>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77002</w:t>
            </w:r>
          </w:p>
        </w:tc>
        <w:tc>
          <w:tcPr>
            <w:tcW w:w="4240" w:type="dxa"/>
            <w:vAlign w:val="bottom"/>
            <w:tcBorders>
              <w:right w:val="single" w:sz="8" w:color="auto"/>
            </w:tcBorders>
          </w:tcPr>
          <w:p>
            <w:pPr>
              <w:spacing w:after="0"/>
              <w:rPr>
                <w:sz w:val="14"/>
                <w:szCs w:val="14"/>
                <w:color w:val="auto"/>
              </w:rPr>
            </w:pPr>
          </w:p>
        </w:tc>
      </w:tr>
      <w:tr>
        <w:trPr>
          <w:trHeight w:val="183"/>
        </w:trPr>
        <w:tc>
          <w:tcPr>
            <w:tcW w:w="424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000" w:type="dxa"/>
            <w:vAlign w:val="bottom"/>
            <w:tcBorders>
              <w:bottom w:val="single" w:sz="8" w:color="auto"/>
              <w:right w:val="single" w:sz="8" w:color="auto"/>
            </w:tcBorders>
          </w:tcPr>
          <w:p>
            <w:pPr>
              <w:spacing w:after="0"/>
              <w:rPr>
                <w:sz w:val="15"/>
                <w:szCs w:val="15"/>
                <w:color w:val="auto"/>
              </w:rPr>
            </w:pPr>
          </w:p>
        </w:tc>
        <w:tc>
          <w:tcPr>
            <w:tcW w:w="50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(Zip code)</w:t>
            </w:r>
          </w:p>
        </w:tc>
      </w:tr>
      <w:tr>
        <w:trPr>
          <w:trHeight w:val="201"/>
        </w:trPr>
        <w:tc>
          <w:tcPr>
            <w:tcW w:w="4240" w:type="dxa"/>
            <w:vAlign w:val="bottom"/>
          </w:tcPr>
          <w:p>
            <w:pPr>
              <w:spacing w:after="0"/>
              <w:rPr>
                <w:sz w:val="17"/>
                <w:szCs w:val="17"/>
                <w:color w:val="auto"/>
              </w:rPr>
            </w:pPr>
          </w:p>
        </w:tc>
        <w:tc>
          <w:tcPr>
            <w:tcW w:w="2820" w:type="dxa"/>
            <w:vAlign w:val="bottom"/>
            <w:tcBorders>
              <w:bottom w:val="single" w:sz="8" w:color="auto"/>
            </w:tcBorders>
            <w:gridSpan w:val="2"/>
          </w:tcPr>
          <w:p>
            <w:pPr>
              <w:spacing w:after="0"/>
              <w:rPr>
                <w:sz w:val="17"/>
                <w:szCs w:val="17"/>
                <w:color w:val="auto"/>
              </w:rPr>
            </w:pPr>
          </w:p>
        </w:tc>
        <w:tc>
          <w:tcPr>
            <w:tcW w:w="4240" w:type="dxa"/>
            <w:vAlign w:val="bottom"/>
          </w:tcPr>
          <w:p>
            <w:pPr>
              <w:spacing w:after="0"/>
              <w:rPr>
                <w:sz w:val="17"/>
                <w:szCs w:val="17"/>
                <w:color w:val="auto"/>
              </w:rPr>
            </w:pPr>
          </w:p>
        </w:tc>
      </w:tr>
      <w:tr>
        <w:trPr>
          <w:trHeight w:val="365"/>
        </w:trPr>
        <w:tc>
          <w:tcPr>
            <w:tcW w:w="4240" w:type="dxa"/>
            <w:vAlign w:val="bottom"/>
          </w:tcPr>
          <w:p>
            <w:pPr>
              <w:spacing w:after="0"/>
              <w:rPr>
                <w:sz w:val="24"/>
                <w:szCs w:val="24"/>
                <w:color w:val="auto"/>
              </w:rPr>
            </w:pPr>
          </w:p>
        </w:tc>
        <w:tc>
          <w:tcPr>
            <w:tcW w:w="7060" w:type="dxa"/>
            <w:vAlign w:val="bottom"/>
            <w:gridSpan w:val="3"/>
          </w:tcPr>
          <w:p>
            <w:pPr>
              <w:jc w:val="center"/>
              <w:ind w:right="4260"/>
              <w:spacing w:after="0"/>
              <w:rPr>
                <w:sz w:val="20"/>
                <w:szCs w:val="20"/>
                <w:color w:val="auto"/>
              </w:rPr>
            </w:pPr>
            <w:r>
              <w:rPr>
                <w:rFonts w:ascii="Times New Roman" w:cs="Times New Roman" w:eastAsia="Times New Roman" w:hAnsi="Times New Roman"/>
                <w:sz w:val="14"/>
                <w:szCs w:val="14"/>
                <w:color w:val="auto"/>
              </w:rPr>
              <w:t>Junior Subordinated Debt Securities</w:t>
            </w:r>
          </w:p>
        </w:tc>
      </w:tr>
      <w:tr>
        <w:trPr>
          <w:trHeight w:val="183"/>
        </w:trPr>
        <w:tc>
          <w:tcPr>
            <w:tcW w:w="4240" w:type="dxa"/>
            <w:vAlign w:val="bottom"/>
          </w:tcPr>
          <w:p>
            <w:pPr>
              <w:spacing w:after="0"/>
              <w:rPr>
                <w:sz w:val="15"/>
                <w:szCs w:val="15"/>
                <w:color w:val="auto"/>
              </w:rPr>
            </w:pPr>
          </w:p>
        </w:tc>
        <w:tc>
          <w:tcPr>
            <w:tcW w:w="7060" w:type="dxa"/>
            <w:vAlign w:val="bottom"/>
            <w:gridSpan w:val="3"/>
          </w:tcPr>
          <w:p>
            <w:pPr>
              <w:jc w:val="center"/>
              <w:ind w:right="4260"/>
              <w:spacing w:after="0"/>
              <w:rPr>
                <w:sz w:val="20"/>
                <w:szCs w:val="20"/>
                <w:color w:val="auto"/>
              </w:rPr>
            </w:pPr>
            <w:r>
              <w:rPr>
                <w:rFonts w:ascii="Times New Roman" w:cs="Times New Roman" w:eastAsia="Times New Roman" w:hAnsi="Times New Roman"/>
                <w:sz w:val="14"/>
                <w:szCs w:val="14"/>
                <w:color w:val="auto"/>
                <w:w w:val="99"/>
              </w:rPr>
              <w:t>(Title of the indenture securities)</w:t>
            </w:r>
          </w:p>
        </w:tc>
      </w:tr>
      <w:tr>
        <w:trPr>
          <w:trHeight w:val="211"/>
        </w:trPr>
        <w:tc>
          <w:tcPr>
            <w:tcW w:w="42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40" w:type="dxa"/>
            <w:vAlign w:val="bottom"/>
            <w:tcBorders>
              <w:bottom w:val="single" w:sz="8" w:color="auto"/>
            </w:tcBorders>
          </w:tcPr>
          <w:p>
            <w:pPr>
              <w:spacing w:after="0"/>
              <w:rPr>
                <w:sz w:val="18"/>
                <w:szCs w:val="18"/>
                <w:color w:val="auto"/>
              </w:rPr>
            </w:pP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r>
      <w:tr>
        <w:trPr>
          <w:trHeight w:val="329"/>
        </w:trPr>
        <w:tc>
          <w:tcPr>
            <w:tcW w:w="42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15" w:right="319" w:bottom="1440" w:gutter="0" w:footer="0" w:header="0"/>
        </w:sectPr>
      </w:pPr>
    </w:p>
    <w:bookmarkStart w:id="111" w:name="page112"/>
    <w:bookmarkEnd w:id="111"/>
    <w:p>
      <w:pPr>
        <w:ind w:left="496" w:hanging="496"/>
        <w:spacing w:after="0"/>
        <w:tabs>
          <w:tab w:leader="none" w:pos="496" w:val="left"/>
        </w:tabs>
        <w:numPr>
          <w:ilvl w:val="0"/>
          <w:numId w:val="1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General information. Furnish the following information as to the trustee:</w:t>
      </w:r>
    </w:p>
    <w:p>
      <w:pPr>
        <w:spacing w:after="0" w:line="175" w:lineRule="exact"/>
        <w:rPr>
          <w:rFonts w:ascii="Times New Roman" w:cs="Times New Roman" w:eastAsia="Times New Roman" w:hAnsi="Times New Roman"/>
          <w:sz w:val="14"/>
          <w:szCs w:val="14"/>
          <w:b w:val="1"/>
          <w:bCs w:val="1"/>
          <w:color w:val="auto"/>
        </w:rPr>
      </w:pPr>
    </w:p>
    <w:p>
      <w:pPr>
        <w:ind w:left="1016" w:hanging="511"/>
        <w:spacing w:after="0"/>
        <w:tabs>
          <w:tab w:leader="none" w:pos="1016" w:val="left"/>
        </w:tabs>
        <w:numPr>
          <w:ilvl w:val="1"/>
          <w:numId w:val="1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Name and address of each examining or supervising authority to which it is subject.</w:t>
      </w:r>
    </w:p>
    <w:p>
      <w:pPr>
        <w:spacing w:after="0" w:line="172" w:lineRule="exact"/>
        <w:rPr>
          <w:sz w:val="20"/>
          <w:szCs w:val="20"/>
          <w:color w:val="auto"/>
        </w:rPr>
      </w:pPr>
    </w:p>
    <w:tbl>
      <w:tblPr>
        <w:tblLayout w:type="fixed"/>
        <w:tblInd w:w="496"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4200" w:type="dxa"/>
            <w:vAlign w:val="bottom"/>
            <w:tcBorders>
              <w:top w:val="single" w:sz="8" w:color="auto"/>
              <w:bottom w:val="single" w:sz="8" w:color="auto"/>
            </w:tcBorders>
          </w:tcPr>
          <w:p>
            <w:pPr>
              <w:ind w:left="2580"/>
              <w:spacing w:after="0"/>
              <w:rPr>
                <w:sz w:val="20"/>
                <w:szCs w:val="20"/>
                <w:color w:val="auto"/>
              </w:rPr>
            </w:pPr>
            <w:r>
              <w:rPr>
                <w:rFonts w:ascii="Times New Roman" w:cs="Times New Roman" w:eastAsia="Times New Roman" w:hAnsi="Times New Roman"/>
                <w:sz w:val="14"/>
                <w:szCs w:val="14"/>
                <w:color w:val="auto"/>
              </w:rPr>
              <w:t>Name</w:t>
            </w:r>
          </w:p>
        </w:tc>
        <w:tc>
          <w:tcPr>
            <w:tcW w:w="6380" w:type="dxa"/>
            <w:vAlign w:val="bottom"/>
            <w:tcBorders>
              <w:top w:val="single" w:sz="8" w:color="auto"/>
              <w:bottom w:val="single" w:sz="8" w:color="auto"/>
            </w:tcBorders>
          </w:tcPr>
          <w:p>
            <w:pPr>
              <w:ind w:left="3620"/>
              <w:spacing w:after="0"/>
              <w:rPr>
                <w:sz w:val="20"/>
                <w:szCs w:val="20"/>
                <w:color w:val="auto"/>
              </w:rPr>
            </w:pPr>
            <w:r>
              <w:rPr>
                <w:rFonts w:ascii="Times New Roman" w:cs="Times New Roman" w:eastAsia="Times New Roman" w:hAnsi="Times New Roman"/>
                <w:sz w:val="14"/>
                <w:szCs w:val="14"/>
                <w:color w:val="auto"/>
              </w:rPr>
              <w:t>Address</w:t>
            </w:r>
          </w:p>
        </w:tc>
      </w:tr>
      <w:tr>
        <w:trPr>
          <w:trHeight w:val="144"/>
        </w:trPr>
        <w:tc>
          <w:tcPr>
            <w:tcW w:w="20" w:type="dxa"/>
            <w:vAlign w:val="bottom"/>
          </w:tcPr>
          <w:p>
            <w:pPr>
              <w:spacing w:after="0"/>
              <w:rPr>
                <w:sz w:val="12"/>
                <w:szCs w:val="12"/>
                <w:color w:val="auto"/>
              </w:rPr>
            </w:pPr>
          </w:p>
        </w:tc>
        <w:tc>
          <w:tcPr>
            <w:tcW w:w="420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Comptroller of the Currency</w:t>
            </w:r>
          </w:p>
        </w:tc>
        <w:tc>
          <w:tcPr>
            <w:tcW w:w="6380" w:type="dxa"/>
            <w:vAlign w:val="bottom"/>
          </w:tcPr>
          <w:p>
            <w:pPr>
              <w:ind w:left="1300"/>
              <w:spacing w:after="0" w:line="144" w:lineRule="exact"/>
              <w:rPr>
                <w:sz w:val="20"/>
                <w:szCs w:val="20"/>
                <w:color w:val="auto"/>
              </w:rPr>
            </w:pPr>
            <w:r>
              <w:rPr>
                <w:rFonts w:ascii="Times New Roman" w:cs="Times New Roman" w:eastAsia="Times New Roman" w:hAnsi="Times New Roman"/>
                <w:sz w:val="14"/>
                <w:szCs w:val="14"/>
                <w:color w:val="auto"/>
              </w:rPr>
              <w:t>Washington, DC 20219</w:t>
            </w:r>
          </w:p>
        </w:tc>
      </w:tr>
      <w:tr>
        <w:trPr>
          <w:trHeight w:val="183"/>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United States Department of the Treasury</w:t>
            </w:r>
          </w:p>
        </w:tc>
        <w:tc>
          <w:tcPr>
            <w:tcW w:w="6380" w:type="dxa"/>
            <w:vAlign w:val="bottom"/>
          </w:tcPr>
          <w:p>
            <w:pPr>
              <w:spacing w:after="0"/>
              <w:rPr>
                <w:sz w:val="15"/>
                <w:szCs w:val="15"/>
                <w:color w:val="auto"/>
              </w:rPr>
            </w:pPr>
          </w:p>
        </w:tc>
      </w:tr>
      <w:tr>
        <w:trPr>
          <w:trHeight w:val="337"/>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Federal Reserve Bank</w:t>
            </w:r>
          </w:p>
        </w:tc>
        <w:tc>
          <w:tcPr>
            <w:tcW w:w="638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San Francisco, CA 94105</w:t>
            </w:r>
          </w:p>
        </w:tc>
      </w:tr>
      <w:tr>
        <w:trPr>
          <w:trHeight w:val="337"/>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Federal Deposit Insurance Corporation</w:t>
            </w:r>
          </w:p>
        </w:tc>
        <w:tc>
          <w:tcPr>
            <w:tcW w:w="638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Washington, DC 20429</w:t>
            </w:r>
          </w:p>
        </w:tc>
      </w:tr>
    </w:tbl>
    <w:p>
      <w:pPr>
        <w:spacing w:after="0" w:line="173" w:lineRule="exact"/>
        <w:rPr>
          <w:sz w:val="20"/>
          <w:szCs w:val="20"/>
          <w:color w:val="auto"/>
        </w:rPr>
      </w:pPr>
    </w:p>
    <w:p>
      <w:pPr>
        <w:ind w:left="1016" w:hanging="511"/>
        <w:spacing w:after="0"/>
        <w:tabs>
          <w:tab w:leader="none" w:pos="1016" w:val="left"/>
        </w:tabs>
        <w:numPr>
          <w:ilvl w:val="0"/>
          <w:numId w:val="1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Whether it is authorized to exercise corporate trust powers.</w:t>
      </w:r>
    </w:p>
    <w:p>
      <w:pPr>
        <w:spacing w:after="0" w:line="178" w:lineRule="exact"/>
        <w:rPr>
          <w:sz w:val="20"/>
          <w:szCs w:val="20"/>
          <w:color w:val="auto"/>
        </w:rPr>
      </w:pPr>
    </w:p>
    <w:p>
      <w:pPr>
        <w:ind w:left="496"/>
        <w:spacing w:after="0"/>
        <w:rPr>
          <w:sz w:val="20"/>
          <w:szCs w:val="20"/>
          <w:color w:val="auto"/>
        </w:rPr>
      </w:pPr>
      <w:r>
        <w:rPr>
          <w:rFonts w:ascii="Times New Roman" w:cs="Times New Roman" w:eastAsia="Times New Roman" w:hAnsi="Times New Roman"/>
          <w:sz w:val="14"/>
          <w:szCs w:val="14"/>
          <w:color w:val="auto"/>
        </w:rPr>
        <w:t>Yes.</w:t>
      </w:r>
    </w:p>
    <w:p>
      <w:pPr>
        <w:spacing w:after="0" w:line="174" w:lineRule="exact"/>
        <w:rPr>
          <w:sz w:val="20"/>
          <w:szCs w:val="20"/>
          <w:color w:val="auto"/>
        </w:rPr>
      </w:pPr>
    </w:p>
    <w:p>
      <w:pPr>
        <w:ind w:left="496" w:hanging="496"/>
        <w:spacing w:after="0"/>
        <w:tabs>
          <w:tab w:leader="none" w:pos="496" w:val="left"/>
        </w:tabs>
        <w:numPr>
          <w:ilvl w:val="0"/>
          <w:numId w:val="1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Affiliations with Obligor.</w:t>
      </w:r>
    </w:p>
    <w:p>
      <w:pPr>
        <w:spacing w:after="0" w:line="176" w:lineRule="exact"/>
        <w:rPr>
          <w:sz w:val="20"/>
          <w:szCs w:val="20"/>
          <w:color w:val="auto"/>
        </w:rPr>
      </w:pPr>
    </w:p>
    <w:p>
      <w:pPr>
        <w:ind w:left="496"/>
        <w:spacing w:after="0"/>
        <w:rPr>
          <w:sz w:val="20"/>
          <w:szCs w:val="20"/>
          <w:color w:val="auto"/>
        </w:rPr>
      </w:pPr>
      <w:r>
        <w:rPr>
          <w:rFonts w:ascii="Times New Roman" w:cs="Times New Roman" w:eastAsia="Times New Roman" w:hAnsi="Times New Roman"/>
          <w:sz w:val="14"/>
          <w:szCs w:val="14"/>
          <w:b w:val="1"/>
          <w:bCs w:val="1"/>
          <w:color w:val="auto"/>
        </w:rPr>
        <w:t>If the obligor is an affiliate of the trustee, describe each such affiliation.</w:t>
      </w:r>
    </w:p>
    <w:p>
      <w:pPr>
        <w:spacing w:after="0" w:line="178" w:lineRule="exact"/>
        <w:rPr>
          <w:sz w:val="20"/>
          <w:szCs w:val="20"/>
          <w:color w:val="auto"/>
        </w:rPr>
      </w:pPr>
    </w:p>
    <w:p>
      <w:pPr>
        <w:ind w:left="496"/>
        <w:spacing w:after="0"/>
        <w:rPr>
          <w:sz w:val="20"/>
          <w:szCs w:val="20"/>
          <w:color w:val="auto"/>
        </w:rPr>
      </w:pPr>
      <w:r>
        <w:rPr>
          <w:rFonts w:ascii="Times New Roman" w:cs="Times New Roman" w:eastAsia="Times New Roman" w:hAnsi="Times New Roman"/>
          <w:sz w:val="14"/>
          <w:szCs w:val="14"/>
          <w:color w:val="auto"/>
        </w:rPr>
        <w:t>None.</w:t>
      </w:r>
    </w:p>
    <w:p>
      <w:pPr>
        <w:spacing w:after="0" w:line="174" w:lineRule="exact"/>
        <w:rPr>
          <w:sz w:val="20"/>
          <w:szCs w:val="20"/>
          <w:color w:val="auto"/>
        </w:rPr>
      </w:pPr>
    </w:p>
    <w:p>
      <w:pPr>
        <w:ind w:left="496" w:hanging="496"/>
        <w:spacing w:after="0"/>
        <w:tabs>
          <w:tab w:leader="none" w:pos="496" w:val="left"/>
        </w:tabs>
        <w:numPr>
          <w:ilvl w:val="0"/>
          <w:numId w:val="1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List of Exhibits.</w:t>
      </w:r>
    </w:p>
    <w:p>
      <w:pPr>
        <w:spacing w:after="0" w:line="175" w:lineRule="exact"/>
        <w:rPr>
          <w:rFonts w:ascii="Times New Roman" w:cs="Times New Roman" w:eastAsia="Times New Roman" w:hAnsi="Times New Roman"/>
          <w:sz w:val="14"/>
          <w:szCs w:val="14"/>
          <w:b w:val="1"/>
          <w:bCs w:val="1"/>
          <w:color w:val="auto"/>
        </w:rPr>
      </w:pPr>
    </w:p>
    <w:p>
      <w:pPr>
        <w:ind w:left="496"/>
        <w:spacing w:after="0" w:line="28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Exhibits identified in parentheses below, on file with the Commission, are incorporated herein by reference as an exhibit hereto, pursuant to Rule 7a-29 under the Trust Indenture Act of 1939 (the "Act").</w:t>
      </w:r>
    </w:p>
    <w:p>
      <w:pPr>
        <w:spacing w:after="0" w:line="123" w:lineRule="exact"/>
        <w:rPr>
          <w:rFonts w:ascii="Times New Roman" w:cs="Times New Roman" w:eastAsia="Times New Roman" w:hAnsi="Times New Roman"/>
          <w:sz w:val="14"/>
          <w:szCs w:val="14"/>
          <w:b w:val="1"/>
          <w:bCs w:val="1"/>
          <w:color w:val="auto"/>
        </w:rPr>
      </w:pPr>
    </w:p>
    <w:p>
      <w:pPr>
        <w:ind w:left="1016" w:hanging="511"/>
        <w:spacing w:after="0" w:line="283" w:lineRule="auto"/>
        <w:tabs>
          <w:tab w:leader="none" w:pos="1016" w:val="left"/>
        </w:tabs>
        <w:numPr>
          <w:ilvl w:val="1"/>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articles of association of The Bank of New York Mellon Trust Company, N.A., formerly known as The Bank of New York Trust Company, N.A. (Exhibit 1 to Form T-1 filed with Registration Statement No. 333-121948 and Exhibit 1 to Form T-1 filed with Registration Statement No. 333-152875).</w:t>
      </w:r>
    </w:p>
    <w:p>
      <w:pPr>
        <w:spacing w:after="0" w:line="125" w:lineRule="exact"/>
        <w:rPr>
          <w:rFonts w:ascii="Times New Roman" w:cs="Times New Roman" w:eastAsia="Times New Roman" w:hAnsi="Times New Roman"/>
          <w:sz w:val="14"/>
          <w:szCs w:val="14"/>
          <w:color w:val="auto"/>
        </w:rPr>
      </w:pPr>
    </w:p>
    <w:p>
      <w:pPr>
        <w:ind w:left="1016" w:hanging="511"/>
        <w:spacing w:after="0"/>
        <w:tabs>
          <w:tab w:leader="none" w:pos="1016" w:val="left"/>
        </w:tabs>
        <w:numPr>
          <w:ilvl w:val="1"/>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certificate of authority of the trustee to commence business. (Exhibit 2 to Form T-1 filed with Registration Statement No. 333-121948).</w:t>
      </w:r>
    </w:p>
    <w:p>
      <w:pPr>
        <w:spacing w:after="0" w:line="175" w:lineRule="exact"/>
        <w:rPr>
          <w:rFonts w:ascii="Times New Roman" w:cs="Times New Roman" w:eastAsia="Times New Roman" w:hAnsi="Times New Roman"/>
          <w:sz w:val="14"/>
          <w:szCs w:val="14"/>
          <w:color w:val="auto"/>
        </w:rPr>
      </w:pPr>
    </w:p>
    <w:p>
      <w:pPr>
        <w:ind w:left="1016" w:hanging="511"/>
        <w:spacing w:after="0"/>
        <w:tabs>
          <w:tab w:leader="none" w:pos="1016" w:val="left"/>
        </w:tabs>
        <w:numPr>
          <w:ilvl w:val="1"/>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authorization of the trustee to exercise corporate trust powers (Exhibit 3 to Form T-1 filed with Registration Statement No. 333-152875).</w:t>
      </w:r>
    </w:p>
    <w:p>
      <w:pPr>
        <w:spacing w:after="0" w:line="344" w:lineRule="exact"/>
        <w:rPr>
          <w:rFonts w:ascii="Times New Roman" w:cs="Times New Roman" w:eastAsia="Times New Roman" w:hAnsi="Times New Roman"/>
          <w:sz w:val="14"/>
          <w:szCs w:val="14"/>
          <w:color w:val="auto"/>
        </w:rPr>
      </w:pPr>
    </w:p>
    <w:p>
      <w:pPr>
        <w:ind w:left="5596" w:hanging="73"/>
        <w:spacing w:after="0"/>
        <w:tabs>
          <w:tab w:leader="none" w:pos="5596" w:val="left"/>
        </w:tabs>
        <w:numPr>
          <w:ilvl w:val="2"/>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6280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7">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76"/>
          </w:cols>
          <w:pgMar w:left="304" w:top="733" w:right="319" w:bottom="1440" w:gutter="0" w:footer="0" w:header="0"/>
        </w:sectPr>
      </w:pPr>
    </w:p>
    <w:bookmarkStart w:id="112" w:name="page113"/>
    <w:bookmarkEnd w:id="112"/>
    <w:p>
      <w:pPr>
        <w:ind w:left="511" w:hanging="511"/>
        <w:spacing w:after="0"/>
        <w:tabs>
          <w:tab w:leader="none" w:pos="511"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existing by-laws of the trustee (Exhibit 4 to Form T-1 filed with Registration Statement No. 333-229762).</w:t>
      </w:r>
    </w:p>
    <w:p>
      <w:pPr>
        <w:spacing w:after="0" w:line="176" w:lineRule="exact"/>
        <w:rPr>
          <w:sz w:val="20"/>
          <w:szCs w:val="20"/>
          <w:color w:val="auto"/>
        </w:rPr>
      </w:pPr>
    </w:p>
    <w:p>
      <w:pPr>
        <w:ind w:left="511" w:hanging="511"/>
        <w:spacing w:after="0"/>
        <w:tabs>
          <w:tab w:leader="none" w:pos="511"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consent of the trustee required by Section 321(b) of the Act (Exhibit 6 to Form T-1 filed with Registration Statement No. 333-152875).</w:t>
      </w:r>
    </w:p>
    <w:p>
      <w:pPr>
        <w:spacing w:after="0" w:line="175" w:lineRule="exact"/>
        <w:rPr>
          <w:rFonts w:ascii="Times New Roman" w:cs="Times New Roman" w:eastAsia="Times New Roman" w:hAnsi="Times New Roman"/>
          <w:sz w:val="14"/>
          <w:szCs w:val="14"/>
          <w:color w:val="auto"/>
        </w:rPr>
      </w:pPr>
    </w:p>
    <w:p>
      <w:pPr>
        <w:ind w:left="511" w:hanging="511"/>
        <w:spacing w:after="0"/>
        <w:tabs>
          <w:tab w:leader="none" w:pos="511"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copy of the latest report of condition of the Trustee published pursuant to law or to the requirements of its supervising or examining authority.</w:t>
      </w:r>
    </w:p>
    <w:p>
      <w:pPr>
        <w:spacing w:after="0" w:line="355" w:lineRule="exact"/>
        <w:rPr>
          <w:rFonts w:ascii="Times New Roman" w:cs="Times New Roman" w:eastAsia="Times New Roman" w:hAnsi="Times New Roman"/>
          <w:sz w:val="13"/>
          <w:szCs w:val="13"/>
          <w:color w:val="auto"/>
        </w:rPr>
      </w:pPr>
    </w:p>
    <w:p>
      <w:pPr>
        <w:ind w:left="5091" w:hanging="73"/>
        <w:spacing w:after="0"/>
        <w:tabs>
          <w:tab w:leader="none" w:pos="5091" w:val="left"/>
        </w:tabs>
        <w:numPr>
          <w:ilvl w:val="1"/>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13970</wp:posOffset>
            </wp:positionV>
            <wp:extent cx="716280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8">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9650"/>
          </w:cols>
          <w:pgMar w:left="809" w:top="735" w:right="1440"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4"/>
          <w:szCs w:val="14"/>
          <w:color w:val="auto"/>
        </w:rPr>
        <w:t>SIGNATURE</w:t>
      </w:r>
    </w:p>
    <w:p>
      <w:pPr>
        <w:spacing w:after="0" w:line="176"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Houston, and State of Texas, on the 8th day of May, 2026.</w:t>
      </w:r>
    </w:p>
    <w:p>
      <w:pPr>
        <w:spacing w:after="0" w:line="13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THE BANK OF NEW YORK MELLON TRUST COMPANY, N.A.</w:t>
      </w:r>
    </w:p>
    <w:p>
      <w:pPr>
        <w:spacing w:after="0" w:line="176" w:lineRule="exact"/>
        <w:rPr>
          <w:sz w:val="20"/>
          <w:szCs w:val="20"/>
          <w:color w:val="auto"/>
        </w:rPr>
      </w:pPr>
    </w:p>
    <w:p>
      <w:pPr>
        <w:ind w:left="5660"/>
        <w:spacing w:after="0"/>
        <w:tabs>
          <w:tab w:leader="none" w:pos="59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Peggy Guel</w:t>
      </w:r>
    </w:p>
    <w:p>
      <w:pPr>
        <w:spacing w:after="0" w:line="2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color w:val="auto"/>
        </w:rPr>
        <w:t>Name: Peggy Guel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-101600</wp:posOffset>
            </wp:positionV>
            <wp:extent cx="336105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9">
                      <a:extLst>
                        <a:ext uri="{28A0092B-C50C-407E-A947-70E740481C1C}"/>
                      </a:extLst>
                    </a:blip>
                    <a:srcRect/>
                    <a:stretch>
                      <a:fillRect/>
                    </a:stretch>
                  </pic:blipFill>
                  <pic:spPr bwMode="auto">
                    <a:xfrm>
                      <a:off x="0" y="0"/>
                      <a:ext cx="3361055" cy="6985"/>
                    </a:xfrm>
                    <a:prstGeom prst="rect">
                      <a:avLst/>
                    </a:prstGeom>
                    <a:noFill/>
                  </pic:spPr>
                </pic:pic>
              </a:graphicData>
            </a:graphic>
          </wp:anchor>
        </w:drawing>
      </w:r>
    </w:p>
    <w:p>
      <w:pPr>
        <w:ind w:left="6000"/>
        <w:spacing w:after="0"/>
        <w:rPr>
          <w:sz w:val="20"/>
          <w:szCs w:val="20"/>
          <w:color w:val="auto"/>
        </w:rPr>
      </w:pPr>
      <w:r>
        <w:rPr>
          <w:rFonts w:ascii="Times New Roman" w:cs="Times New Roman" w:eastAsia="Times New Roman" w:hAnsi="Times New Roman"/>
          <w:sz w:val="14"/>
          <w:szCs w:val="14"/>
          <w:color w:val="auto"/>
        </w:rPr>
        <w:t>Title:  Vice President</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6280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0">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735" w:right="31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85"/>
        </w:trPr>
        <w:tc>
          <w:tcPr>
            <w:tcW w:w="520" w:type="dxa"/>
            <w:vAlign w:val="bottom"/>
          </w:tcPr>
          <w:p>
            <w:pPr>
              <w:spacing w:after="0"/>
              <w:rPr>
                <w:sz w:val="16"/>
                <w:szCs w:val="16"/>
                <w:color w:val="auto"/>
              </w:rPr>
            </w:pPr>
          </w:p>
        </w:tc>
        <w:tc>
          <w:tcPr>
            <w:tcW w:w="9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w w:val="96"/>
              </w:rPr>
              <w:t>EXHIBIT 7</w:t>
            </w:r>
          </w:p>
        </w:tc>
      </w:tr>
      <w:tr>
        <w:trPr>
          <w:trHeight w:val="322"/>
        </w:trPr>
        <w:tc>
          <w:tcPr>
            <w:tcW w:w="520" w:type="dxa"/>
            <w:vAlign w:val="bottom"/>
          </w:tcPr>
          <w:p>
            <w:pPr>
              <w:spacing w:after="0"/>
              <w:rPr>
                <w:sz w:val="24"/>
                <w:szCs w:val="24"/>
                <w:color w:val="auto"/>
              </w:rPr>
            </w:pPr>
          </w:p>
        </w:tc>
        <w:tc>
          <w:tcPr>
            <w:tcW w:w="9200" w:type="dxa"/>
            <w:vAlign w:val="bottom"/>
          </w:tcPr>
          <w:p>
            <w:pPr>
              <w:jc w:val="center"/>
              <w:ind w:left="990"/>
              <w:spacing w:after="0"/>
              <w:rPr>
                <w:sz w:val="20"/>
                <w:szCs w:val="20"/>
                <w:color w:val="auto"/>
              </w:rPr>
            </w:pPr>
            <w:r>
              <w:rPr>
                <w:rFonts w:ascii="Times New Roman" w:cs="Times New Roman" w:eastAsia="Times New Roman" w:hAnsi="Times New Roman"/>
                <w:sz w:val="14"/>
                <w:szCs w:val="14"/>
                <w:color w:val="auto"/>
              </w:rPr>
              <w:t>Consolidated Report of Condition of</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8"/>
        </w:trPr>
        <w:tc>
          <w:tcPr>
            <w:tcW w:w="520" w:type="dxa"/>
            <w:vAlign w:val="bottom"/>
          </w:tcPr>
          <w:p>
            <w:pPr>
              <w:spacing w:after="0"/>
              <w:rPr>
                <w:sz w:val="14"/>
                <w:szCs w:val="14"/>
                <w:color w:val="auto"/>
              </w:rPr>
            </w:pPr>
          </w:p>
        </w:tc>
        <w:tc>
          <w:tcPr>
            <w:tcW w:w="9200" w:type="dxa"/>
            <w:vAlign w:val="bottom"/>
          </w:tcPr>
          <w:p>
            <w:pPr>
              <w:jc w:val="center"/>
              <w:ind w:left="990"/>
              <w:spacing w:after="0"/>
              <w:rPr>
                <w:sz w:val="20"/>
                <w:szCs w:val="20"/>
                <w:color w:val="auto"/>
              </w:rPr>
            </w:pPr>
            <w:r>
              <w:rPr>
                <w:rFonts w:ascii="Times New Roman" w:cs="Times New Roman" w:eastAsia="Times New Roman" w:hAnsi="Times New Roman"/>
                <w:sz w:val="14"/>
                <w:szCs w:val="14"/>
                <w:color w:val="auto"/>
                <w:w w:val="99"/>
              </w:rPr>
              <w:t>THE BANK OF NEW YORK MELLON TRUST COMPANY, N.A.</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520" w:type="dxa"/>
            <w:vAlign w:val="bottom"/>
          </w:tcPr>
          <w:p>
            <w:pPr>
              <w:spacing w:after="0"/>
              <w:rPr>
                <w:sz w:val="15"/>
                <w:szCs w:val="15"/>
                <w:color w:val="auto"/>
              </w:rPr>
            </w:pPr>
          </w:p>
        </w:tc>
        <w:tc>
          <w:tcPr>
            <w:tcW w:w="9200" w:type="dxa"/>
            <w:vAlign w:val="bottom"/>
          </w:tcPr>
          <w:p>
            <w:pPr>
              <w:jc w:val="center"/>
              <w:ind w:left="970"/>
              <w:spacing w:after="0"/>
              <w:rPr>
                <w:sz w:val="20"/>
                <w:szCs w:val="20"/>
                <w:color w:val="auto"/>
              </w:rPr>
            </w:pPr>
            <w:r>
              <w:rPr>
                <w:rFonts w:ascii="Times New Roman" w:cs="Times New Roman" w:eastAsia="Times New Roman" w:hAnsi="Times New Roman"/>
                <w:sz w:val="14"/>
                <w:szCs w:val="14"/>
                <w:color w:val="auto"/>
              </w:rPr>
              <w:t>of 333 South Hope Street, Suite 2525, Los Angeles, CA 90071</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7"/>
        </w:trPr>
        <w:tc>
          <w:tcPr>
            <w:tcW w:w="97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At the close of business December 31, 2025, published in accordance with Federal regulatory authority instructions.</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3"/>
        </w:trPr>
        <w:tc>
          <w:tcPr>
            <w:tcW w:w="52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9"/>
              </w:rPr>
              <w:t>Dollar amounts</w:t>
            </w:r>
          </w:p>
        </w:tc>
      </w:tr>
      <w:tr>
        <w:trPr>
          <w:trHeight w:val="183"/>
        </w:trPr>
        <w:tc>
          <w:tcPr>
            <w:tcW w:w="52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9"/>
              </w:rPr>
              <w:t>in thousands</w:t>
            </w:r>
          </w:p>
        </w:tc>
      </w:tr>
      <w:tr>
        <w:trPr>
          <w:trHeight w:val="139"/>
        </w:trPr>
        <w:tc>
          <w:tcPr>
            <w:tcW w:w="9720" w:type="dxa"/>
            <w:vAlign w:val="bottom"/>
            <w:tcBorders>
              <w:top w:val="single" w:sz="8" w:color="CCEEFF"/>
            </w:tcBorders>
            <w:gridSpan w:val="2"/>
            <w:shd w:val="clear" w:color="auto" w:fill="CCEEFF"/>
          </w:tcPr>
          <w:p>
            <w:pPr>
              <w:spacing w:after="0" w:line="127" w:lineRule="exact"/>
              <w:rPr>
                <w:sz w:val="20"/>
                <w:szCs w:val="20"/>
                <w:color w:val="auto"/>
              </w:rPr>
            </w:pPr>
            <w:r>
              <w:rPr>
                <w:rFonts w:ascii="Times New Roman" w:cs="Times New Roman" w:eastAsia="Times New Roman" w:hAnsi="Times New Roman"/>
                <w:sz w:val="14"/>
                <w:szCs w:val="14"/>
                <w:color w:val="auto"/>
              </w:rPr>
              <w:t>ASSETS</w:t>
            </w:r>
          </w:p>
        </w:tc>
        <w:tc>
          <w:tcPr>
            <w:tcW w:w="18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68"/>
        </w:trPr>
        <w:tc>
          <w:tcPr>
            <w:tcW w:w="520" w:type="dxa"/>
            <w:vAlign w:val="bottom"/>
            <w:tcBorders>
              <w:top w:val="single" w:sz="8" w:color="auto"/>
            </w:tcBorders>
          </w:tcPr>
          <w:p>
            <w:pPr>
              <w:spacing w:after="0"/>
              <w:rPr>
                <w:sz w:val="14"/>
                <w:szCs w:val="14"/>
                <w:color w:val="auto"/>
              </w:rPr>
            </w:pPr>
          </w:p>
        </w:tc>
        <w:tc>
          <w:tcPr>
            <w:tcW w:w="92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2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68"/>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balances due from depository institutions:</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Noninterest-bearing balances and currency and coin</w:t>
            </w:r>
          </w:p>
        </w:tc>
        <w:tc>
          <w:tcPr>
            <w:tcW w:w="18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34,663</w:t>
            </w:r>
          </w:p>
        </w:tc>
      </w:tr>
      <w:tr>
        <w:trPr>
          <w:trHeight w:val="168"/>
        </w:trPr>
        <w:tc>
          <w:tcPr>
            <w:tcW w:w="9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Interest-bearing balances</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219,768</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9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Available-for-sale debt securities</w:t>
            </w:r>
          </w:p>
        </w:tc>
        <w:tc>
          <w:tcPr>
            <w:tcW w:w="18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98,977</w:t>
            </w:r>
          </w:p>
        </w:tc>
      </w:tr>
      <w:tr>
        <w:trPr>
          <w:trHeight w:val="168"/>
        </w:trPr>
        <w:tc>
          <w:tcPr>
            <w:tcW w:w="9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Equity securities with readily determinable fair values not held for trading</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Federal funds sold and securities purchased under agreements to resell:</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9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Federal funds sold in domestic offices</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r>
      <w:tr>
        <w:trPr>
          <w:trHeight w:val="168"/>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and lease financing receivables:</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Loans and leases held for sale</w:t>
            </w: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r>
      <w:tr>
        <w:trPr>
          <w:trHeight w:val="168"/>
        </w:trPr>
        <w:tc>
          <w:tcPr>
            <w:tcW w:w="9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Loans and leases held for investment</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LESS: Allowance for credit losses on loans and leases</w:t>
            </w: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r>
      <w:tr>
        <w:trPr>
          <w:trHeight w:val="168"/>
        </w:trPr>
        <w:tc>
          <w:tcPr>
            <w:tcW w:w="9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Loans and leases held for investment, net of allowance</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Trading assets</w:t>
            </w: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r>
      <w:tr>
        <w:trPr>
          <w:trHeight w:val="168"/>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Premises and fixed assets (including right-of-use assets)</w:t>
            </w:r>
          </w:p>
        </w:tc>
        <w:tc>
          <w:tcPr>
            <w:tcW w:w="1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13,036</w:t>
            </w:r>
          </w:p>
        </w:tc>
      </w:tr>
      <w:tr>
        <w:trPr>
          <w:trHeight w:val="168"/>
        </w:trPr>
        <w:tc>
          <w:tcPr>
            <w:tcW w:w="9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real estate owned</w:t>
            </w: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r>
      <w:tr>
        <w:trPr>
          <w:trHeight w:val="168"/>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 in unconsolidated subsidiaries and associated companies</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 and indirect investments in real estate ventures</w:t>
            </w: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r>
      <w:tr>
        <w:trPr>
          <w:trHeight w:val="168"/>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856,313</w:t>
            </w:r>
          </w:p>
        </w:tc>
        <w:tc>
          <w:tcPr>
            <w:tcW w:w="100" w:type="dxa"/>
            <w:vAlign w:val="bottom"/>
            <w:shd w:val="clear" w:color="auto" w:fill="CCEEFF"/>
          </w:tcPr>
          <w:p>
            <w:pPr>
              <w:spacing w:after="0"/>
              <w:rPr>
                <w:sz w:val="14"/>
                <w:szCs w:val="14"/>
                <w:color w:val="auto"/>
              </w:rPr>
            </w:pPr>
          </w:p>
        </w:tc>
      </w:tr>
      <w:tr>
        <w:trPr>
          <w:trHeight w:val="179"/>
        </w:trPr>
        <w:tc>
          <w:tcPr>
            <w:tcW w:w="9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128,734</w:t>
            </w:r>
          </w:p>
        </w:tc>
        <w:tc>
          <w:tcPr>
            <w:tcW w:w="100" w:type="dxa"/>
            <w:vAlign w:val="bottom"/>
            <w:tcBorders>
              <w:bottom w:val="single" w:sz="8" w:color="CCEEFF"/>
            </w:tcBorders>
          </w:tcPr>
          <w:p>
            <w:pPr>
              <w:spacing w:after="0"/>
              <w:rPr>
                <w:sz w:val="15"/>
                <w:szCs w:val="15"/>
                <w:color w:val="auto"/>
              </w:rPr>
            </w:pPr>
          </w:p>
        </w:tc>
      </w:tr>
      <w:tr>
        <w:trPr>
          <w:trHeight w:val="159"/>
        </w:trPr>
        <w:tc>
          <w:tcPr>
            <w:tcW w:w="520" w:type="dxa"/>
            <w:vAlign w:val="bottom"/>
            <w:shd w:val="clear" w:color="auto" w:fill="CCEEFF"/>
          </w:tcPr>
          <w:p>
            <w:pPr>
              <w:spacing w:after="0"/>
              <w:rPr>
                <w:sz w:val="13"/>
                <w:szCs w:val="13"/>
                <w:color w:val="auto"/>
              </w:rPr>
            </w:pPr>
          </w:p>
        </w:tc>
        <w:tc>
          <w:tcPr>
            <w:tcW w:w="9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9"/>
        </w:trPr>
        <w:tc>
          <w:tcPr>
            <w:tcW w:w="9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1,351,491</w:t>
            </w:r>
          </w:p>
        </w:tc>
        <w:tc>
          <w:tcPr>
            <w:tcW w:w="100" w:type="dxa"/>
            <w:vAlign w:val="bottom"/>
          </w:tcPr>
          <w:p>
            <w:pPr>
              <w:spacing w:after="0"/>
              <w:rPr>
                <w:sz w:val="16"/>
                <w:szCs w:val="16"/>
                <w:color w:val="auto"/>
              </w:rPr>
            </w:pPr>
          </w:p>
        </w:tc>
      </w:tr>
      <w:tr>
        <w:trPr>
          <w:trHeight w:val="20"/>
        </w:trPr>
        <w:tc>
          <w:tcPr>
            <w:tcW w:w="5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8"/>
        </w:trPr>
        <w:tc>
          <w:tcPr>
            <w:tcW w:w="520" w:type="dxa"/>
            <w:vAlign w:val="bottom"/>
            <w:tcBorders>
              <w:bottom w:val="single" w:sz="8" w:color="auto"/>
            </w:tcBorders>
          </w:tcPr>
          <w:p>
            <w:pPr>
              <w:spacing w:after="0"/>
              <w:rPr>
                <w:sz w:val="24"/>
                <w:szCs w:val="24"/>
                <w:color w:val="auto"/>
              </w:rPr>
            </w:pPr>
          </w:p>
        </w:tc>
        <w:tc>
          <w:tcPr>
            <w:tcW w:w="9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65" w:right="319" w:bottom="1440" w:gutter="0" w:footer="0" w:header="0"/>
        </w:sectPr>
      </w:pPr>
    </w:p>
    <w:bookmarkStart w:id="115" w:name="page116"/>
    <w:bookmarkEnd w:id="1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LIABILITIES</w:t>
            </w: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68"/>
        </w:trPr>
        <w:tc>
          <w:tcPr>
            <w:tcW w:w="800" w:type="dxa"/>
            <w:vAlign w:val="bottom"/>
            <w:tcBorders>
              <w:top w:val="single" w:sz="8" w:color="auto"/>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8580" w:type="dxa"/>
            <w:vAlign w:val="bottom"/>
            <w:tcBorders>
              <w:top w:val="single" w:sz="8" w:color="CCEEFF"/>
            </w:tcBorders>
          </w:tcPr>
          <w:p>
            <w:pPr>
              <w:spacing w:after="0"/>
              <w:rPr>
                <w:sz w:val="14"/>
                <w:szCs w:val="14"/>
                <w:color w:val="auto"/>
              </w:rPr>
            </w:pPr>
          </w:p>
        </w:tc>
        <w:tc>
          <w:tcPr>
            <w:tcW w:w="14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68"/>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Deposits:</w:t>
            </w: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In domestic offices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100" w:type="dxa"/>
            <w:vAlign w:val="bottom"/>
          </w:tcPr>
          <w:p>
            <w:pPr>
              <w:spacing w:after="0"/>
              <w:rPr>
                <w:sz w:val="14"/>
                <w:szCs w:val="14"/>
                <w:color w:val="auto"/>
              </w:rPr>
            </w:pPr>
          </w:p>
        </w:tc>
      </w:tr>
      <w:tr>
        <w:trPr>
          <w:trHeight w:val="168"/>
        </w:trPr>
        <w:tc>
          <w:tcPr>
            <w:tcW w:w="972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Noninterest-bearing</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ind w:left="500"/>
              <w:spacing w:after="0"/>
              <w:rPr>
                <w:sz w:val="20"/>
                <w:szCs w:val="20"/>
                <w:color w:val="auto"/>
              </w:rPr>
            </w:pPr>
            <w:r>
              <w:rPr>
                <w:rFonts w:ascii="Times New Roman" w:cs="Times New Roman" w:eastAsia="Times New Roman" w:hAnsi="Times New Roman"/>
                <w:sz w:val="14"/>
                <w:szCs w:val="14"/>
                <w:color w:val="auto"/>
              </w:rPr>
              <w:t>Interest-bearing</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r>
      <w:tr>
        <w:trPr>
          <w:trHeight w:val="168"/>
        </w:trPr>
        <w:tc>
          <w:tcPr>
            <w:tcW w:w="8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5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Federal funds purchased and securities sold under agreements to repurchase:</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972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Federal funds purchased in domestic offices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ind w:left="50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r>
      <w:tr>
        <w:trPr>
          <w:trHeight w:val="168"/>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Trading liabilities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borrowed money:</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(includes mortgage indebtedness)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Subordinated notes and debentures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r>
      <w:tr>
        <w:trPr>
          <w:trHeight w:val="168"/>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268,400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269,820</w:t>
            </w:r>
          </w:p>
        </w:tc>
        <w:tc>
          <w:tcPr>
            <w:tcW w:w="100" w:type="dxa"/>
            <w:vAlign w:val="bottom"/>
          </w:tcPr>
          <w:p>
            <w:pPr>
              <w:spacing w:after="0"/>
              <w:rPr>
                <w:sz w:val="14"/>
                <w:szCs w:val="14"/>
                <w:color w:val="auto"/>
              </w:rPr>
            </w:pPr>
          </w:p>
        </w:tc>
      </w:tr>
      <w:tr>
        <w:trPr>
          <w:trHeight w:val="168"/>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972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EQUITY CAPITAL</w:t>
            </w: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8"/>
        </w:trPr>
        <w:tc>
          <w:tcPr>
            <w:tcW w:w="8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580" w:type="dxa"/>
            <w:vAlign w:val="bottom"/>
            <w:tcBorders>
              <w:top w:val="single" w:sz="8" w:color="CCEEFF"/>
            </w:tcBorders>
          </w:tcPr>
          <w:p>
            <w:pPr>
              <w:spacing w:after="0"/>
              <w:rPr>
                <w:sz w:val="14"/>
                <w:szCs w:val="14"/>
                <w:color w:val="auto"/>
              </w:rPr>
            </w:pPr>
          </w:p>
        </w:tc>
        <w:tc>
          <w:tcPr>
            <w:tcW w:w="14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68"/>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Perpetual preferred stock and related surplus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4"/>
                <w:szCs w:val="14"/>
                <w:color w:val="auto"/>
              </w:rPr>
            </w:pPr>
          </w:p>
        </w:tc>
      </w:tr>
      <w:tr>
        <w:trPr>
          <w:trHeight w:val="168"/>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Surplus (exclude all surplus related to preferred stock)</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108,284</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 available</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97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Retained earnings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972,372</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4"/>
                <w:szCs w:val="14"/>
                <w:color w:val="auto"/>
              </w:rPr>
            </w:pPr>
          </w:p>
        </w:tc>
      </w:tr>
      <w:tr>
        <w:trPr>
          <w:trHeight w:val="168"/>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equity capital components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 available</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97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bank equity capital</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1,081,671</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Noncontrolling (minority) interests in consolidated subsidiaries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r>
      <w:tr>
        <w:trPr>
          <w:trHeight w:val="179"/>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equity capital</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1,081,671</w:t>
            </w:r>
          </w:p>
        </w:tc>
        <w:tc>
          <w:tcPr>
            <w:tcW w:w="100" w:type="dxa"/>
            <w:vAlign w:val="bottom"/>
            <w:shd w:val="clear" w:color="auto" w:fill="CCEEFF"/>
          </w:tcPr>
          <w:p>
            <w:pPr>
              <w:spacing w:after="0"/>
              <w:rPr>
                <w:sz w:val="15"/>
                <w:szCs w:val="15"/>
                <w:color w:val="auto"/>
              </w:rPr>
            </w:pPr>
          </w:p>
        </w:tc>
      </w:tr>
      <w:tr>
        <w:trPr>
          <w:trHeight w:val="169"/>
        </w:trPr>
        <w:tc>
          <w:tcPr>
            <w:tcW w:w="9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liabilities and equity capital</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1,351,491</w:t>
            </w:r>
          </w:p>
        </w:tc>
        <w:tc>
          <w:tcPr>
            <w:tcW w:w="100" w:type="dxa"/>
            <w:vAlign w:val="bottom"/>
          </w:tcPr>
          <w:p>
            <w:pPr>
              <w:spacing w:after="0"/>
              <w:rPr>
                <w:sz w:val="14"/>
                <w:szCs w:val="14"/>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80" w:firstLine="505"/>
        <w:spacing w:after="0" w:line="283" w:lineRule="auto"/>
        <w:rPr>
          <w:sz w:val="20"/>
          <w:szCs w:val="20"/>
          <w:color w:val="auto"/>
        </w:rPr>
      </w:pPr>
      <w:r>
        <w:rPr>
          <w:rFonts w:ascii="Times New Roman" w:cs="Times New Roman" w:eastAsia="Times New Roman" w:hAnsi="Times New Roman"/>
          <w:sz w:val="14"/>
          <w:szCs w:val="14"/>
          <w:color w:val="auto"/>
        </w:rPr>
        <w:t>I, Natalie Bobnar, CFO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spacing w:after="0" w:line="125" w:lineRule="exact"/>
        <w:rPr>
          <w:sz w:val="20"/>
          <w:szCs w:val="20"/>
          <w:color w:val="auto"/>
        </w:rPr>
      </w:pPr>
    </w:p>
    <w:p>
      <w:pPr>
        <w:ind w:left="500"/>
        <w:spacing w:after="0"/>
        <w:tabs>
          <w:tab w:leader="none" w:pos="1560" w:val="left"/>
          <w:tab w:leader="none" w:pos="1980" w:val="left"/>
        </w:tabs>
        <w:rPr>
          <w:sz w:val="20"/>
          <w:szCs w:val="20"/>
          <w:color w:val="auto"/>
        </w:rPr>
      </w:pPr>
      <w:r>
        <w:rPr>
          <w:rFonts w:ascii="Times New Roman" w:cs="Times New Roman" w:eastAsia="Times New Roman" w:hAnsi="Times New Roman"/>
          <w:sz w:val="14"/>
          <w:szCs w:val="14"/>
          <w:color w:val="auto"/>
        </w:rPr>
        <w:t>Natalie Bobnar</w:t>
        <w:tab/>
        <w:t>)</w:t>
      </w:r>
      <w:r>
        <w:rPr>
          <w:sz w:val="20"/>
          <w:szCs w:val="20"/>
          <w:color w:val="auto"/>
        </w:rPr>
        <w:tab/>
      </w:r>
      <w:r>
        <w:rPr>
          <w:rFonts w:ascii="Times New Roman" w:cs="Times New Roman" w:eastAsia="Times New Roman" w:hAnsi="Times New Roman"/>
          <w:sz w:val="14"/>
          <w:szCs w:val="14"/>
          <w:color w:val="auto"/>
        </w:rPr>
        <w:t>CFO</w:t>
      </w:r>
    </w:p>
    <w:p>
      <w:pPr>
        <w:spacing w:after="0" w:line="176" w:lineRule="exact"/>
        <w:rPr>
          <w:sz w:val="20"/>
          <w:szCs w:val="20"/>
          <w:color w:val="auto"/>
        </w:rPr>
      </w:pPr>
    </w:p>
    <w:p>
      <w:pPr>
        <w:ind w:right="20" w:firstLine="505"/>
        <w:spacing w:after="0" w:line="283" w:lineRule="auto"/>
        <w:rPr>
          <w:sz w:val="20"/>
          <w:szCs w:val="20"/>
          <w:color w:val="auto"/>
        </w:rPr>
      </w:pPr>
      <w:r>
        <w:rPr>
          <w:rFonts w:ascii="Times New Roman" w:cs="Times New Roman" w:eastAsia="Times New Roman" w:hAnsi="Times New Roman"/>
          <w:sz w:val="14"/>
          <w:szCs w:val="14"/>
          <w:color w:val="auto"/>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3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Elizabeth Lyndon, Managing Director</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7020" w:type="dxa"/>
            <w:vAlign w:val="bottom"/>
          </w:tcPr>
          <w:p>
            <w:pPr>
              <w:spacing w:after="0"/>
              <w:rPr>
                <w:sz w:val="14"/>
                <w:szCs w:val="14"/>
                <w:color w:val="auto"/>
              </w:rPr>
            </w:pPr>
          </w:p>
        </w:tc>
      </w:tr>
      <w:tr>
        <w:trPr>
          <w:trHeight w:val="168"/>
        </w:trPr>
        <w:tc>
          <w:tcPr>
            <w:tcW w:w="33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Kevin C. Weeks, President</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7020" w:type="dxa"/>
            <w:vAlign w:val="bottom"/>
          </w:tcPr>
          <w:p>
            <w:pPr>
              <w:jc w:val="right"/>
              <w:ind w:right="5570"/>
              <w:spacing w:after="0"/>
              <w:rPr>
                <w:sz w:val="20"/>
                <w:szCs w:val="20"/>
                <w:color w:val="auto"/>
              </w:rPr>
            </w:pPr>
            <w:r>
              <w:rPr>
                <w:rFonts w:ascii="Times New Roman" w:cs="Times New Roman" w:eastAsia="Times New Roman" w:hAnsi="Times New Roman"/>
                <w:sz w:val="14"/>
                <w:szCs w:val="14"/>
                <w:color w:val="auto"/>
              </w:rPr>
              <w:t>Directors (Trustees)</w:t>
            </w:r>
          </w:p>
        </w:tc>
      </w:tr>
      <w:tr>
        <w:trPr>
          <w:trHeight w:val="183"/>
        </w:trPr>
        <w:tc>
          <w:tcPr>
            <w:tcW w:w="33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Fernando A. Costa, Managing Director</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7020" w:type="dxa"/>
            <w:vAlign w:val="bottom"/>
          </w:tcPr>
          <w:p>
            <w:pPr>
              <w:spacing w:after="0"/>
              <w:rPr>
                <w:sz w:val="15"/>
                <w:szCs w:val="15"/>
                <w:color w:val="auto"/>
              </w:rPr>
            </w:pPr>
          </w:p>
        </w:tc>
      </w:tr>
      <w:tr>
        <w:trPr>
          <w:trHeight w:val="526"/>
        </w:trPr>
        <w:tc>
          <w:tcPr>
            <w:tcW w:w="3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jc w:val="right"/>
              <w:ind w:right="5530"/>
              <w:spacing w:after="0"/>
              <w:rPr>
                <w:sz w:val="20"/>
                <w:szCs w:val="20"/>
                <w:color w:val="auto"/>
              </w:rPr>
            </w:pPr>
            <w:r>
              <w:rPr>
                <w:rFonts w:ascii="Times New Roman" w:cs="Times New Roman" w:eastAsia="Times New Roman" w:hAnsi="Times New Roman"/>
                <w:sz w:val="14"/>
                <w:szCs w:val="14"/>
                <w:color w:val="auto"/>
              </w:rPr>
              <w:t>2</w:t>
            </w:r>
          </w:p>
        </w:tc>
      </w:tr>
    </w:tbl>
    <w:p>
      <w:pPr>
        <w:sectPr>
          <w:pgSz w:w="11900" w:h="16838" w:orient="portrait"/>
          <w:cols w:equalWidth="0" w:num="1">
            <w:col w:w="11280"/>
          </w:cols>
          <w:pgMar w:left="300" w:top="726" w:right="319" w:bottom="1440" w:gutter="0" w:footer="0" w:header="0"/>
        </w:sectPr>
      </w:pPr>
    </w:p>
    <w:bookmarkStart w:id="116" w:name="page117"/>
    <w:bookmarkEnd w:id="116"/>
    <w:p>
      <w:pPr>
        <w:ind w:left="10420"/>
        <w:spacing w:after="0"/>
        <w:rPr>
          <w:sz w:val="20"/>
          <w:szCs w:val="20"/>
          <w:color w:val="auto"/>
        </w:rPr>
      </w:pPr>
      <w:r>
        <w:rPr>
          <w:rFonts w:ascii="Times New Roman" w:cs="Times New Roman" w:eastAsia="Times New Roman" w:hAnsi="Times New Roman"/>
          <w:sz w:val="16"/>
          <w:szCs w:val="16"/>
          <w:b w:val="1"/>
          <w:bCs w:val="1"/>
          <w:color w:val="auto"/>
        </w:rPr>
        <w:t>Exhibit 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7162800" cy="133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1">
                      <a:extLst>
                        <a:ext uri="{28A0092B-C50C-407E-A947-70E740481C1C}"/>
                      </a:extLst>
                    </a:blip>
                    <a:srcRect/>
                    <a:stretch>
                      <a:fillRect/>
                    </a:stretch>
                  </pic:blipFill>
                  <pic:spPr bwMode="auto">
                    <a:xfrm>
                      <a:off x="0" y="0"/>
                      <a:ext cx="7162800" cy="133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165735</wp:posOffset>
            </wp:positionV>
            <wp:extent cx="716280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2">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UNITED STATES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AND EXCHANGE COMMISSION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Washington, D.C. 20549</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T-1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STATEMENT OF ELIGIBILITY</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UNDER THE TRUST INDENTURE ACT OF 1939 OF 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CORPORATION DESIGNATED TO ACT AS TRUSTEE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CHECK IF AN APPLICATION TO DETERMINE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ELIGIBILITY OF A TRUSTEE PURSUANT TO</w:t>
      </w:r>
    </w:p>
    <w:p>
      <w:pPr>
        <w:spacing w:after="0" w:line="4" w:lineRule="exact"/>
        <w:rPr>
          <w:sz w:val="20"/>
          <w:szCs w:val="20"/>
          <w:color w:val="auto"/>
        </w:rPr>
      </w:pPr>
    </w:p>
    <w:p>
      <w:pPr>
        <w:jc w:val="center"/>
        <w:spacing w:after="0" w:line="161" w:lineRule="exact"/>
        <w:tabs>
          <w:tab w:leader="none" w:pos="360" w:val="left"/>
        </w:tabs>
        <w:rPr>
          <w:sz w:val="20"/>
          <w:szCs w:val="20"/>
          <w:color w:val="auto"/>
        </w:rPr>
      </w:pPr>
      <w:r>
        <w:rPr>
          <w:rFonts w:ascii="Times New Roman" w:cs="Times New Roman" w:eastAsia="Times New Roman" w:hAnsi="Times New Roman"/>
          <w:sz w:val="14"/>
          <w:szCs w:val="14"/>
          <w:color w:val="auto"/>
        </w:rPr>
        <w:t>SECTION 305(b)(2)</w:t>
      </w:r>
      <w:r>
        <w:rPr>
          <w:sz w:val="20"/>
          <w:szCs w:val="20"/>
          <w:color w:val="auto"/>
        </w:rPr>
        <w:tab/>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140970</wp:posOffset>
            </wp:positionV>
            <wp:extent cx="179070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3">
                      <a:extLst>
                        <a:ext uri="{28A0092B-C50C-407E-A947-70E740481C1C}"/>
                      </a:extLst>
                    </a:blip>
                    <a:srcRect/>
                    <a:stretch>
                      <a:fillRect/>
                    </a:stretch>
                  </pic:blipFill>
                  <pic:spPr bwMode="auto">
                    <a:xfrm>
                      <a:off x="0" y="0"/>
                      <a:ext cx="1790700" cy="698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3160" w:type="dxa"/>
            <w:vAlign w:val="bottom"/>
          </w:tcPr>
          <w:p>
            <w:pPr>
              <w:spacing w:after="0"/>
              <w:rPr>
                <w:sz w:val="20"/>
                <w:szCs w:val="20"/>
                <w:color w:val="auto"/>
              </w:rPr>
            </w:pPr>
          </w:p>
        </w:tc>
        <w:tc>
          <w:tcPr>
            <w:tcW w:w="8140" w:type="dxa"/>
            <w:vAlign w:val="bottom"/>
            <w:gridSpan w:val="4"/>
          </w:tcPr>
          <w:p>
            <w:pPr>
              <w:jc w:val="center"/>
              <w:ind w:right="3180"/>
              <w:spacing w:after="0"/>
              <w:rPr>
                <w:sz w:val="20"/>
                <w:szCs w:val="20"/>
                <w:color w:val="auto"/>
              </w:rPr>
            </w:pPr>
            <w:r>
              <w:rPr>
                <w:rFonts w:ascii="Times New Roman" w:cs="Times New Roman" w:eastAsia="Times New Roman" w:hAnsi="Times New Roman"/>
                <w:sz w:val="20"/>
                <w:szCs w:val="20"/>
                <w:color w:val="auto"/>
                <w:w w:val="97"/>
              </w:rPr>
              <w:t>THE BANK OF NEW YORK MELLON</w:t>
            </w:r>
          </w:p>
        </w:tc>
      </w:tr>
      <w:tr>
        <w:trPr>
          <w:trHeight w:val="235"/>
        </w:trPr>
        <w:tc>
          <w:tcPr>
            <w:tcW w:w="3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60" w:type="dxa"/>
            <w:vAlign w:val="bottom"/>
            <w:gridSpan w:val="3"/>
          </w:tcPr>
          <w:p>
            <w:pPr>
              <w:jc w:val="center"/>
              <w:ind w:right="4260"/>
              <w:spacing w:after="0"/>
              <w:rPr>
                <w:sz w:val="20"/>
                <w:szCs w:val="20"/>
                <w:color w:val="auto"/>
              </w:rPr>
            </w:pPr>
            <w:r>
              <w:rPr>
                <w:rFonts w:ascii="Times New Roman" w:cs="Times New Roman" w:eastAsia="Times New Roman" w:hAnsi="Times New Roman"/>
                <w:sz w:val="20"/>
                <w:szCs w:val="20"/>
                <w:color w:val="auto"/>
                <w:w w:val="95"/>
              </w:rPr>
              <w:t>TRUST COMPANY, N.A.</w:t>
            </w:r>
          </w:p>
        </w:tc>
      </w:tr>
      <w:tr>
        <w:trPr>
          <w:trHeight w:val="183"/>
        </w:trPr>
        <w:tc>
          <w:tcPr>
            <w:tcW w:w="3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60" w:type="dxa"/>
            <w:vAlign w:val="bottom"/>
            <w:gridSpan w:val="3"/>
          </w:tcPr>
          <w:p>
            <w:pPr>
              <w:jc w:val="center"/>
              <w:ind w:right="4240"/>
              <w:spacing w:after="0"/>
              <w:rPr>
                <w:sz w:val="20"/>
                <w:szCs w:val="20"/>
                <w:color w:val="auto"/>
              </w:rPr>
            </w:pPr>
            <w:r>
              <w:rPr>
                <w:rFonts w:ascii="Times New Roman" w:cs="Times New Roman" w:eastAsia="Times New Roman" w:hAnsi="Times New Roman"/>
                <w:sz w:val="14"/>
                <w:szCs w:val="14"/>
                <w:color w:val="auto"/>
              </w:rPr>
              <w:t>(Exact name of trustee as specified in its charter)</w:t>
            </w:r>
          </w:p>
        </w:tc>
      </w:tr>
      <w:tr>
        <w:trPr>
          <w:trHeight w:val="168"/>
        </w:trPr>
        <w:tc>
          <w:tcPr>
            <w:tcW w:w="3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240" w:type="dxa"/>
            <w:vAlign w:val="bottom"/>
            <w:tcBorders>
              <w:bottom w:val="single" w:sz="8" w:color="auto"/>
            </w:tcBorders>
          </w:tcPr>
          <w:p>
            <w:pPr>
              <w:spacing w:after="0"/>
              <w:rPr>
                <w:sz w:val="14"/>
                <w:szCs w:val="14"/>
                <w:color w:val="auto"/>
              </w:rPr>
            </w:pPr>
          </w:p>
        </w:tc>
      </w:tr>
      <w:tr>
        <w:trPr>
          <w:trHeight w:val="144"/>
        </w:trPr>
        <w:tc>
          <w:tcPr>
            <w:tcW w:w="3160" w:type="dxa"/>
            <w:vAlign w:val="bottom"/>
            <w:tcBorders>
              <w:left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2000" w:type="dxa"/>
            <w:vAlign w:val="bottom"/>
            <w:tcBorders>
              <w:right w:val="single" w:sz="8" w:color="auto"/>
            </w:tcBorders>
          </w:tcPr>
          <w:p>
            <w:pPr>
              <w:spacing w:after="0"/>
              <w:rPr>
                <w:sz w:val="12"/>
                <w:szCs w:val="12"/>
                <w:color w:val="auto"/>
              </w:rPr>
            </w:pPr>
          </w:p>
        </w:tc>
        <w:tc>
          <w:tcPr>
            <w:tcW w:w="820" w:type="dxa"/>
            <w:vAlign w:val="bottom"/>
          </w:tcPr>
          <w:p>
            <w:pPr>
              <w:ind w:left="60"/>
              <w:spacing w:after="0" w:line="144" w:lineRule="exact"/>
              <w:rPr>
                <w:sz w:val="20"/>
                <w:szCs w:val="20"/>
                <w:color w:val="auto"/>
              </w:rPr>
            </w:pPr>
            <w:r>
              <w:rPr>
                <w:rFonts w:ascii="Times New Roman" w:cs="Times New Roman" w:eastAsia="Times New Roman" w:hAnsi="Times New Roman"/>
                <w:sz w:val="14"/>
                <w:szCs w:val="14"/>
                <w:color w:val="auto"/>
              </w:rPr>
              <w:t>95-3571558</w:t>
            </w:r>
          </w:p>
        </w:tc>
        <w:tc>
          <w:tcPr>
            <w:tcW w:w="4240" w:type="dxa"/>
            <w:vAlign w:val="bottom"/>
            <w:tcBorders>
              <w:right w:val="single" w:sz="8" w:color="auto"/>
            </w:tcBorders>
          </w:tcPr>
          <w:p>
            <w:pPr>
              <w:spacing w:after="0"/>
              <w:rPr>
                <w:sz w:val="12"/>
                <w:szCs w:val="12"/>
                <w:color w:val="auto"/>
              </w:rPr>
            </w:pPr>
          </w:p>
        </w:tc>
      </w:tr>
      <w:tr>
        <w:trPr>
          <w:trHeight w:val="168"/>
        </w:trPr>
        <w:tc>
          <w:tcPr>
            <w:tcW w:w="31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(Jurisdiction of incorporation</w:t>
            </w:r>
          </w:p>
        </w:tc>
        <w:tc>
          <w:tcPr>
            <w:tcW w:w="1080" w:type="dxa"/>
            <w:vAlign w:val="bottom"/>
          </w:tcPr>
          <w:p>
            <w:pPr>
              <w:spacing w:after="0"/>
              <w:rPr>
                <w:sz w:val="14"/>
                <w:szCs w:val="14"/>
                <w:color w:val="auto"/>
              </w:rPr>
            </w:pPr>
          </w:p>
        </w:tc>
        <w:tc>
          <w:tcPr>
            <w:tcW w:w="2000" w:type="dxa"/>
            <w:vAlign w:val="bottom"/>
            <w:tcBorders>
              <w:right w:val="single" w:sz="8" w:color="auto"/>
            </w:tcBorders>
          </w:tcPr>
          <w:p>
            <w:pPr>
              <w:spacing w:after="0"/>
              <w:rPr>
                <w:sz w:val="14"/>
                <w:szCs w:val="14"/>
                <w:color w:val="auto"/>
              </w:rPr>
            </w:pPr>
          </w:p>
        </w:tc>
        <w:tc>
          <w:tcPr>
            <w:tcW w:w="50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(I.R.S. employer</w:t>
            </w:r>
          </w:p>
        </w:tc>
      </w:tr>
      <w:tr>
        <w:trPr>
          <w:trHeight w:val="183"/>
        </w:trPr>
        <w:tc>
          <w:tcPr>
            <w:tcW w:w="31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if not a U.S. national bank)</w:t>
            </w:r>
          </w:p>
        </w:tc>
        <w:tc>
          <w:tcPr>
            <w:tcW w:w="1080" w:type="dxa"/>
            <w:vAlign w:val="bottom"/>
          </w:tcPr>
          <w:p>
            <w:pPr>
              <w:spacing w:after="0"/>
              <w:rPr>
                <w:sz w:val="15"/>
                <w:szCs w:val="15"/>
                <w:color w:val="auto"/>
              </w:rPr>
            </w:pPr>
          </w:p>
        </w:tc>
        <w:tc>
          <w:tcPr>
            <w:tcW w:w="2000" w:type="dxa"/>
            <w:vAlign w:val="bottom"/>
            <w:tcBorders>
              <w:right w:val="single" w:sz="8" w:color="auto"/>
            </w:tcBorders>
          </w:tcPr>
          <w:p>
            <w:pPr>
              <w:spacing w:after="0"/>
              <w:rPr>
                <w:sz w:val="15"/>
                <w:szCs w:val="15"/>
                <w:color w:val="auto"/>
              </w:rPr>
            </w:pPr>
          </w:p>
        </w:tc>
        <w:tc>
          <w:tcPr>
            <w:tcW w:w="50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168"/>
        </w:trPr>
        <w:tc>
          <w:tcPr>
            <w:tcW w:w="3160" w:type="dxa"/>
            <w:vAlign w:val="bottom"/>
            <w:tcBorders>
              <w:left w:val="single" w:sz="8" w:color="auto"/>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0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240" w:type="dxa"/>
            <w:vAlign w:val="bottom"/>
            <w:tcBorders>
              <w:bottom w:val="single" w:sz="8" w:color="auto"/>
              <w:right w:val="single" w:sz="8" w:color="auto"/>
            </w:tcBorders>
          </w:tcPr>
          <w:p>
            <w:pPr>
              <w:spacing w:after="0"/>
              <w:rPr>
                <w:sz w:val="14"/>
                <w:szCs w:val="14"/>
                <w:color w:val="auto"/>
              </w:rPr>
            </w:pPr>
          </w:p>
        </w:tc>
      </w:tr>
      <w:tr>
        <w:trPr>
          <w:trHeight w:val="144"/>
        </w:trPr>
        <w:tc>
          <w:tcPr>
            <w:tcW w:w="3160" w:type="dxa"/>
            <w:vAlign w:val="bottom"/>
            <w:tcBorders>
              <w:left w:val="single" w:sz="8" w:color="auto"/>
            </w:tcBorders>
          </w:tcPr>
          <w:p>
            <w:pPr>
              <w:ind w:left="100"/>
              <w:spacing w:after="0" w:line="144" w:lineRule="exact"/>
              <w:rPr>
                <w:sz w:val="20"/>
                <w:szCs w:val="20"/>
                <w:color w:val="auto"/>
              </w:rPr>
            </w:pPr>
            <w:r>
              <w:rPr>
                <w:rFonts w:ascii="Times New Roman" w:cs="Times New Roman" w:eastAsia="Times New Roman" w:hAnsi="Times New Roman"/>
                <w:sz w:val="14"/>
                <w:szCs w:val="14"/>
                <w:color w:val="auto"/>
              </w:rPr>
              <w:t>333 South Hope Street</w:t>
            </w:r>
          </w:p>
        </w:tc>
        <w:tc>
          <w:tcPr>
            <w:tcW w:w="1080" w:type="dxa"/>
            <w:vAlign w:val="bottom"/>
          </w:tcPr>
          <w:p>
            <w:pPr>
              <w:spacing w:after="0"/>
              <w:rPr>
                <w:sz w:val="12"/>
                <w:szCs w:val="12"/>
                <w:color w:val="auto"/>
              </w:rPr>
            </w:pPr>
          </w:p>
        </w:tc>
        <w:tc>
          <w:tcPr>
            <w:tcW w:w="200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4240" w:type="dxa"/>
            <w:vAlign w:val="bottom"/>
            <w:tcBorders>
              <w:right w:val="single" w:sz="8" w:color="auto"/>
            </w:tcBorders>
          </w:tcPr>
          <w:p>
            <w:pPr>
              <w:spacing w:after="0"/>
              <w:rPr>
                <w:sz w:val="12"/>
                <w:szCs w:val="12"/>
                <w:color w:val="auto"/>
              </w:rPr>
            </w:pPr>
          </w:p>
        </w:tc>
      </w:tr>
      <w:tr>
        <w:trPr>
          <w:trHeight w:val="168"/>
        </w:trPr>
        <w:tc>
          <w:tcPr>
            <w:tcW w:w="31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Suite 2525</w:t>
            </w:r>
          </w:p>
        </w:tc>
        <w:tc>
          <w:tcPr>
            <w:tcW w:w="1080" w:type="dxa"/>
            <w:vAlign w:val="bottom"/>
          </w:tcPr>
          <w:p>
            <w:pPr>
              <w:spacing w:after="0"/>
              <w:rPr>
                <w:sz w:val="14"/>
                <w:szCs w:val="14"/>
                <w:color w:val="auto"/>
              </w:rPr>
            </w:pPr>
          </w:p>
        </w:tc>
        <w:tc>
          <w:tcPr>
            <w:tcW w:w="200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4240" w:type="dxa"/>
            <w:vAlign w:val="bottom"/>
            <w:tcBorders>
              <w:right w:val="single" w:sz="8" w:color="auto"/>
            </w:tcBorders>
          </w:tcPr>
          <w:p>
            <w:pPr>
              <w:spacing w:after="0"/>
              <w:rPr>
                <w:sz w:val="14"/>
                <w:szCs w:val="14"/>
                <w:color w:val="auto"/>
              </w:rPr>
            </w:pPr>
          </w:p>
        </w:tc>
      </w:tr>
      <w:tr>
        <w:trPr>
          <w:trHeight w:val="168"/>
        </w:trPr>
        <w:tc>
          <w:tcPr>
            <w:tcW w:w="31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Los Angeles, California</w:t>
            </w:r>
          </w:p>
        </w:tc>
        <w:tc>
          <w:tcPr>
            <w:tcW w:w="1080" w:type="dxa"/>
            <w:vAlign w:val="bottom"/>
          </w:tcPr>
          <w:p>
            <w:pPr>
              <w:spacing w:after="0"/>
              <w:rPr>
                <w:sz w:val="14"/>
                <w:szCs w:val="14"/>
                <w:color w:val="auto"/>
              </w:rPr>
            </w:pPr>
          </w:p>
        </w:tc>
        <w:tc>
          <w:tcPr>
            <w:tcW w:w="200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4240" w:type="dxa"/>
            <w:vAlign w:val="bottom"/>
            <w:tcBorders>
              <w:right w:val="single" w:sz="8" w:color="auto"/>
            </w:tcBorders>
          </w:tcPr>
          <w:p>
            <w:pPr>
              <w:spacing w:after="0"/>
              <w:rPr>
                <w:sz w:val="14"/>
                <w:szCs w:val="14"/>
                <w:color w:val="auto"/>
              </w:rPr>
            </w:pPr>
          </w:p>
        </w:tc>
      </w:tr>
      <w:tr>
        <w:trPr>
          <w:trHeight w:val="168"/>
        </w:trPr>
        <w:tc>
          <w:tcPr>
            <w:tcW w:w="31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080" w:type="dxa"/>
            <w:vAlign w:val="bottom"/>
          </w:tcPr>
          <w:p>
            <w:pPr>
              <w:spacing w:after="0"/>
              <w:rPr>
                <w:sz w:val="14"/>
                <w:szCs w:val="14"/>
                <w:color w:val="auto"/>
              </w:rPr>
            </w:pPr>
          </w:p>
        </w:tc>
        <w:tc>
          <w:tcPr>
            <w:tcW w:w="2000" w:type="dxa"/>
            <w:vAlign w:val="bottom"/>
            <w:tcBorders>
              <w:right w:val="single" w:sz="8" w:color="auto"/>
            </w:tcBorders>
          </w:tcPr>
          <w:p>
            <w:pPr>
              <w:spacing w:after="0"/>
              <w:rPr>
                <w:sz w:val="14"/>
                <w:szCs w:val="14"/>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90071</w:t>
            </w:r>
          </w:p>
        </w:tc>
        <w:tc>
          <w:tcPr>
            <w:tcW w:w="4240" w:type="dxa"/>
            <w:vAlign w:val="bottom"/>
            <w:tcBorders>
              <w:right w:val="single" w:sz="8" w:color="auto"/>
            </w:tcBorders>
          </w:tcPr>
          <w:p>
            <w:pPr>
              <w:spacing w:after="0"/>
              <w:rPr>
                <w:sz w:val="14"/>
                <w:szCs w:val="14"/>
                <w:color w:val="auto"/>
              </w:rPr>
            </w:pPr>
          </w:p>
        </w:tc>
      </w:tr>
      <w:tr>
        <w:trPr>
          <w:trHeight w:val="183"/>
        </w:trPr>
        <w:tc>
          <w:tcPr>
            <w:tcW w:w="3160" w:type="dxa"/>
            <w:vAlign w:val="bottom"/>
            <w:tcBorders>
              <w:left w:val="single" w:sz="8" w:color="auto"/>
            </w:tcBorders>
          </w:tcPr>
          <w:p>
            <w:pPr>
              <w:spacing w:after="0"/>
              <w:rPr>
                <w:sz w:val="15"/>
                <w:szCs w:val="15"/>
                <w:color w:val="auto"/>
              </w:rPr>
            </w:pPr>
          </w:p>
        </w:tc>
        <w:tc>
          <w:tcPr>
            <w:tcW w:w="1080" w:type="dxa"/>
            <w:vAlign w:val="bottom"/>
          </w:tcPr>
          <w:p>
            <w:pPr>
              <w:spacing w:after="0"/>
              <w:rPr>
                <w:sz w:val="15"/>
                <w:szCs w:val="15"/>
                <w:color w:val="auto"/>
              </w:rPr>
            </w:pPr>
          </w:p>
        </w:tc>
        <w:tc>
          <w:tcPr>
            <w:tcW w:w="2000" w:type="dxa"/>
            <w:vAlign w:val="bottom"/>
            <w:tcBorders>
              <w:right w:val="single" w:sz="8" w:color="auto"/>
            </w:tcBorders>
          </w:tcPr>
          <w:p>
            <w:pPr>
              <w:spacing w:after="0"/>
              <w:rPr>
                <w:sz w:val="15"/>
                <w:szCs w:val="15"/>
                <w:color w:val="auto"/>
              </w:rPr>
            </w:pPr>
          </w:p>
        </w:tc>
        <w:tc>
          <w:tcPr>
            <w:tcW w:w="50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(Zip code)</w:t>
            </w:r>
          </w:p>
        </w:tc>
      </w:tr>
      <w:tr>
        <w:trPr>
          <w:trHeight w:val="168"/>
        </w:trPr>
        <w:tc>
          <w:tcPr>
            <w:tcW w:w="3160" w:type="dxa"/>
            <w:vAlign w:val="bottom"/>
            <w:tcBorders>
              <w:left w:val="single" w:sz="8" w:color="auto"/>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0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240" w:type="dxa"/>
            <w:vAlign w:val="bottom"/>
            <w:tcBorders>
              <w:bottom w:val="single" w:sz="8" w:color="auto"/>
              <w:right w:val="single" w:sz="8" w:color="auto"/>
            </w:tcBorders>
          </w:tcPr>
          <w:p>
            <w:pPr>
              <w:spacing w:after="0"/>
              <w:rPr>
                <w:sz w:val="14"/>
                <w:szCs w:val="14"/>
                <w:color w:val="auto"/>
              </w:rPr>
            </w:pPr>
          </w:p>
        </w:tc>
      </w:tr>
      <w:tr>
        <w:trPr>
          <w:trHeight w:val="201"/>
        </w:trPr>
        <w:tc>
          <w:tcPr>
            <w:tcW w:w="3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240" w:type="dxa"/>
            <w:vAlign w:val="bottom"/>
          </w:tcPr>
          <w:p>
            <w:pPr>
              <w:spacing w:after="0"/>
              <w:rPr>
                <w:sz w:val="17"/>
                <w:szCs w:val="17"/>
                <w:color w:val="auto"/>
              </w:rPr>
            </w:pPr>
          </w:p>
        </w:tc>
      </w:tr>
    </w:tbl>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3140" w:type="dxa"/>
            <w:vAlign w:val="bottom"/>
          </w:tcPr>
          <w:p>
            <w:pPr>
              <w:spacing w:after="0"/>
              <w:rPr>
                <w:sz w:val="20"/>
                <w:szCs w:val="20"/>
                <w:color w:val="auto"/>
              </w:rPr>
            </w:pPr>
          </w:p>
        </w:tc>
        <w:tc>
          <w:tcPr>
            <w:tcW w:w="8160" w:type="dxa"/>
            <w:vAlign w:val="bottom"/>
            <w:gridSpan w:val="4"/>
          </w:tcPr>
          <w:p>
            <w:pPr>
              <w:jc w:val="center"/>
              <w:ind w:right="3160"/>
              <w:spacing w:after="0"/>
              <w:rPr>
                <w:sz w:val="20"/>
                <w:szCs w:val="20"/>
                <w:color w:val="auto"/>
              </w:rPr>
            </w:pPr>
            <w:r>
              <w:rPr>
                <w:rFonts w:ascii="Times New Roman" w:cs="Times New Roman" w:eastAsia="Times New Roman" w:hAnsi="Times New Roman"/>
                <w:sz w:val="20"/>
                <w:szCs w:val="20"/>
                <w:color w:val="auto"/>
                <w:w w:val="98"/>
              </w:rPr>
              <w:t>CenterPoint Energy Houston Electric, LLC</w:t>
            </w:r>
          </w:p>
        </w:tc>
      </w:tr>
      <w:tr>
        <w:trPr>
          <w:trHeight w:val="183"/>
        </w:trPr>
        <w:tc>
          <w:tcPr>
            <w:tcW w:w="3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60" w:type="dxa"/>
            <w:vAlign w:val="bottom"/>
            <w:gridSpan w:val="3"/>
          </w:tcPr>
          <w:p>
            <w:pPr>
              <w:jc w:val="center"/>
              <w:ind w:right="4240"/>
              <w:spacing w:after="0"/>
              <w:rPr>
                <w:sz w:val="20"/>
                <w:szCs w:val="20"/>
                <w:color w:val="auto"/>
              </w:rPr>
            </w:pPr>
            <w:r>
              <w:rPr>
                <w:rFonts w:ascii="Times New Roman" w:cs="Times New Roman" w:eastAsia="Times New Roman" w:hAnsi="Times New Roman"/>
                <w:sz w:val="14"/>
                <w:szCs w:val="14"/>
                <w:color w:val="auto"/>
              </w:rPr>
              <w:t>(Exact name of obligor as specified in its charter)</w:t>
            </w:r>
          </w:p>
        </w:tc>
      </w:tr>
      <w:tr>
        <w:trPr>
          <w:trHeight w:val="168"/>
        </w:trPr>
        <w:tc>
          <w:tcPr>
            <w:tcW w:w="3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240" w:type="dxa"/>
            <w:vAlign w:val="bottom"/>
            <w:tcBorders>
              <w:bottom w:val="single" w:sz="8" w:color="auto"/>
            </w:tcBorders>
          </w:tcPr>
          <w:p>
            <w:pPr>
              <w:spacing w:after="0"/>
              <w:rPr>
                <w:sz w:val="14"/>
                <w:szCs w:val="14"/>
                <w:color w:val="auto"/>
              </w:rPr>
            </w:pPr>
          </w:p>
        </w:tc>
      </w:tr>
      <w:tr>
        <w:trPr>
          <w:trHeight w:val="144"/>
        </w:trPr>
        <w:tc>
          <w:tcPr>
            <w:tcW w:w="3140" w:type="dxa"/>
            <w:vAlign w:val="bottom"/>
            <w:tcBorders>
              <w:left w:val="single" w:sz="8" w:color="auto"/>
            </w:tcBorders>
          </w:tcPr>
          <w:p>
            <w:pPr>
              <w:ind w:left="100"/>
              <w:spacing w:after="0" w:line="144" w:lineRule="exact"/>
              <w:rPr>
                <w:sz w:val="20"/>
                <w:szCs w:val="20"/>
                <w:color w:val="auto"/>
              </w:rPr>
            </w:pPr>
            <w:r>
              <w:rPr>
                <w:rFonts w:ascii="Times New Roman" w:cs="Times New Roman" w:eastAsia="Times New Roman" w:hAnsi="Times New Roman"/>
                <w:sz w:val="14"/>
                <w:szCs w:val="14"/>
                <w:color w:val="auto"/>
              </w:rPr>
              <w:t>Texas</w:t>
            </w:r>
          </w:p>
        </w:tc>
        <w:tc>
          <w:tcPr>
            <w:tcW w:w="1100" w:type="dxa"/>
            <w:vAlign w:val="bottom"/>
          </w:tcPr>
          <w:p>
            <w:pPr>
              <w:spacing w:after="0"/>
              <w:rPr>
                <w:sz w:val="12"/>
                <w:szCs w:val="12"/>
                <w:color w:val="auto"/>
              </w:rPr>
            </w:pPr>
          </w:p>
        </w:tc>
        <w:tc>
          <w:tcPr>
            <w:tcW w:w="2000" w:type="dxa"/>
            <w:vAlign w:val="bottom"/>
            <w:tcBorders>
              <w:right w:val="single" w:sz="8" w:color="auto"/>
            </w:tcBorders>
          </w:tcPr>
          <w:p>
            <w:pPr>
              <w:spacing w:after="0"/>
              <w:rPr>
                <w:sz w:val="12"/>
                <w:szCs w:val="12"/>
                <w:color w:val="auto"/>
              </w:rPr>
            </w:pPr>
          </w:p>
        </w:tc>
        <w:tc>
          <w:tcPr>
            <w:tcW w:w="820" w:type="dxa"/>
            <w:vAlign w:val="bottom"/>
          </w:tcPr>
          <w:p>
            <w:pPr>
              <w:ind w:left="60"/>
              <w:spacing w:after="0" w:line="144" w:lineRule="exact"/>
              <w:rPr>
                <w:sz w:val="20"/>
                <w:szCs w:val="20"/>
                <w:color w:val="auto"/>
              </w:rPr>
            </w:pPr>
            <w:r>
              <w:rPr>
                <w:rFonts w:ascii="Times New Roman" w:cs="Times New Roman" w:eastAsia="Times New Roman" w:hAnsi="Times New Roman"/>
                <w:sz w:val="14"/>
                <w:szCs w:val="14"/>
                <w:color w:val="auto"/>
              </w:rPr>
              <w:t>22-3865106</w:t>
            </w:r>
          </w:p>
        </w:tc>
        <w:tc>
          <w:tcPr>
            <w:tcW w:w="4240" w:type="dxa"/>
            <w:vAlign w:val="bottom"/>
            <w:tcBorders>
              <w:right w:val="single" w:sz="8" w:color="auto"/>
            </w:tcBorders>
          </w:tcPr>
          <w:p>
            <w:pPr>
              <w:spacing w:after="0"/>
              <w:rPr>
                <w:sz w:val="12"/>
                <w:szCs w:val="12"/>
                <w:color w:val="auto"/>
              </w:rPr>
            </w:pPr>
          </w:p>
        </w:tc>
      </w:tr>
      <w:tr>
        <w:trPr>
          <w:trHeight w:val="168"/>
        </w:trPr>
        <w:tc>
          <w:tcPr>
            <w:tcW w:w="31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1100" w:type="dxa"/>
            <w:vAlign w:val="bottom"/>
          </w:tcPr>
          <w:p>
            <w:pPr>
              <w:spacing w:after="0"/>
              <w:rPr>
                <w:sz w:val="14"/>
                <w:szCs w:val="14"/>
                <w:color w:val="auto"/>
              </w:rPr>
            </w:pPr>
          </w:p>
        </w:tc>
        <w:tc>
          <w:tcPr>
            <w:tcW w:w="2000" w:type="dxa"/>
            <w:vAlign w:val="bottom"/>
            <w:tcBorders>
              <w:right w:val="single" w:sz="8" w:color="auto"/>
            </w:tcBorders>
          </w:tcPr>
          <w:p>
            <w:pPr>
              <w:spacing w:after="0"/>
              <w:rPr>
                <w:sz w:val="14"/>
                <w:szCs w:val="14"/>
                <w:color w:val="auto"/>
              </w:rPr>
            </w:pPr>
          </w:p>
        </w:tc>
        <w:tc>
          <w:tcPr>
            <w:tcW w:w="50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(I.R.S. employer</w:t>
            </w:r>
          </w:p>
        </w:tc>
      </w:tr>
      <w:tr>
        <w:trPr>
          <w:trHeight w:val="183"/>
        </w:trPr>
        <w:tc>
          <w:tcPr>
            <w:tcW w:w="314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1100" w:type="dxa"/>
            <w:vAlign w:val="bottom"/>
            <w:tcBorders>
              <w:bottom w:val="single" w:sz="8" w:color="auto"/>
            </w:tcBorders>
          </w:tcPr>
          <w:p>
            <w:pPr>
              <w:spacing w:after="0"/>
              <w:rPr>
                <w:sz w:val="15"/>
                <w:szCs w:val="15"/>
                <w:color w:val="auto"/>
              </w:rPr>
            </w:pPr>
          </w:p>
        </w:tc>
        <w:tc>
          <w:tcPr>
            <w:tcW w:w="2000" w:type="dxa"/>
            <w:vAlign w:val="bottom"/>
            <w:tcBorders>
              <w:bottom w:val="single" w:sz="8" w:color="auto"/>
              <w:right w:val="single" w:sz="8" w:color="auto"/>
            </w:tcBorders>
          </w:tcPr>
          <w:p>
            <w:pPr>
              <w:spacing w:after="0"/>
              <w:rPr>
                <w:sz w:val="15"/>
                <w:szCs w:val="15"/>
                <w:color w:val="auto"/>
              </w:rPr>
            </w:pPr>
          </w:p>
        </w:tc>
        <w:tc>
          <w:tcPr>
            <w:tcW w:w="50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144"/>
        </w:trPr>
        <w:tc>
          <w:tcPr>
            <w:tcW w:w="3140" w:type="dxa"/>
            <w:vAlign w:val="bottom"/>
            <w:tcBorders>
              <w:left w:val="single" w:sz="8" w:color="auto"/>
            </w:tcBorders>
          </w:tcPr>
          <w:p>
            <w:pPr>
              <w:ind w:left="100"/>
              <w:spacing w:after="0" w:line="144" w:lineRule="exact"/>
              <w:rPr>
                <w:sz w:val="20"/>
                <w:szCs w:val="20"/>
                <w:color w:val="auto"/>
              </w:rPr>
            </w:pPr>
            <w:r>
              <w:rPr>
                <w:rFonts w:ascii="Times New Roman" w:cs="Times New Roman" w:eastAsia="Times New Roman" w:hAnsi="Times New Roman"/>
                <w:sz w:val="14"/>
                <w:szCs w:val="14"/>
                <w:color w:val="auto"/>
              </w:rPr>
              <w:t>1111 Louisiana Street</w:t>
            </w:r>
          </w:p>
        </w:tc>
        <w:tc>
          <w:tcPr>
            <w:tcW w:w="1100" w:type="dxa"/>
            <w:vAlign w:val="bottom"/>
          </w:tcPr>
          <w:p>
            <w:pPr>
              <w:spacing w:after="0"/>
              <w:rPr>
                <w:sz w:val="12"/>
                <w:szCs w:val="12"/>
                <w:color w:val="auto"/>
              </w:rPr>
            </w:pPr>
          </w:p>
        </w:tc>
        <w:tc>
          <w:tcPr>
            <w:tcW w:w="200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4240" w:type="dxa"/>
            <w:vAlign w:val="bottom"/>
            <w:tcBorders>
              <w:right w:val="single" w:sz="8" w:color="auto"/>
            </w:tcBorders>
          </w:tcPr>
          <w:p>
            <w:pPr>
              <w:spacing w:after="0"/>
              <w:rPr>
                <w:sz w:val="12"/>
                <w:szCs w:val="12"/>
                <w:color w:val="auto"/>
              </w:rPr>
            </w:pPr>
          </w:p>
        </w:tc>
      </w:tr>
      <w:tr>
        <w:trPr>
          <w:trHeight w:val="168"/>
        </w:trPr>
        <w:tc>
          <w:tcPr>
            <w:tcW w:w="31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Houston, Texas</w:t>
            </w:r>
          </w:p>
        </w:tc>
        <w:tc>
          <w:tcPr>
            <w:tcW w:w="1100" w:type="dxa"/>
            <w:vAlign w:val="bottom"/>
          </w:tcPr>
          <w:p>
            <w:pPr>
              <w:spacing w:after="0"/>
              <w:rPr>
                <w:sz w:val="14"/>
                <w:szCs w:val="14"/>
                <w:color w:val="auto"/>
              </w:rPr>
            </w:pPr>
          </w:p>
        </w:tc>
        <w:tc>
          <w:tcPr>
            <w:tcW w:w="2000" w:type="dxa"/>
            <w:vAlign w:val="bottom"/>
            <w:tcBorders>
              <w:right w:val="single" w:sz="8" w:color="auto"/>
            </w:tcBorders>
          </w:tcPr>
          <w:p>
            <w:pPr>
              <w:spacing w:after="0"/>
              <w:rPr>
                <w:sz w:val="14"/>
                <w:szCs w:val="14"/>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77002</w:t>
            </w:r>
          </w:p>
        </w:tc>
        <w:tc>
          <w:tcPr>
            <w:tcW w:w="4240" w:type="dxa"/>
            <w:vAlign w:val="bottom"/>
            <w:tcBorders>
              <w:right w:val="single" w:sz="8" w:color="auto"/>
            </w:tcBorders>
          </w:tcPr>
          <w:p>
            <w:pPr>
              <w:spacing w:after="0"/>
              <w:rPr>
                <w:sz w:val="14"/>
                <w:szCs w:val="14"/>
                <w:color w:val="auto"/>
              </w:rPr>
            </w:pPr>
          </w:p>
        </w:tc>
      </w:tr>
      <w:tr>
        <w:trPr>
          <w:trHeight w:val="183"/>
        </w:trPr>
        <w:tc>
          <w:tcPr>
            <w:tcW w:w="314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100" w:type="dxa"/>
            <w:vAlign w:val="bottom"/>
            <w:tcBorders>
              <w:bottom w:val="single" w:sz="8" w:color="auto"/>
            </w:tcBorders>
          </w:tcPr>
          <w:p>
            <w:pPr>
              <w:spacing w:after="0"/>
              <w:rPr>
                <w:sz w:val="15"/>
                <w:szCs w:val="15"/>
                <w:color w:val="auto"/>
              </w:rPr>
            </w:pPr>
          </w:p>
        </w:tc>
        <w:tc>
          <w:tcPr>
            <w:tcW w:w="2000" w:type="dxa"/>
            <w:vAlign w:val="bottom"/>
            <w:tcBorders>
              <w:bottom w:val="single" w:sz="8" w:color="auto"/>
              <w:right w:val="single" w:sz="8" w:color="auto"/>
            </w:tcBorders>
          </w:tcPr>
          <w:p>
            <w:pPr>
              <w:spacing w:after="0"/>
              <w:rPr>
                <w:sz w:val="15"/>
                <w:szCs w:val="15"/>
                <w:color w:val="auto"/>
              </w:rPr>
            </w:pPr>
          </w:p>
        </w:tc>
        <w:tc>
          <w:tcPr>
            <w:tcW w:w="50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(Zip code)</w:t>
            </w:r>
          </w:p>
        </w:tc>
      </w:tr>
      <w:tr>
        <w:trPr>
          <w:trHeight w:val="201"/>
        </w:trPr>
        <w:tc>
          <w:tcPr>
            <w:tcW w:w="3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20" w:type="dxa"/>
            <w:vAlign w:val="bottom"/>
            <w:tcBorders>
              <w:bottom w:val="single" w:sz="8" w:color="auto"/>
            </w:tcBorders>
            <w:gridSpan w:val="2"/>
          </w:tcPr>
          <w:p>
            <w:pPr>
              <w:spacing w:after="0"/>
              <w:rPr>
                <w:sz w:val="17"/>
                <w:szCs w:val="17"/>
                <w:color w:val="auto"/>
              </w:rPr>
            </w:pPr>
          </w:p>
        </w:tc>
        <w:tc>
          <w:tcPr>
            <w:tcW w:w="4240" w:type="dxa"/>
            <w:vAlign w:val="bottom"/>
          </w:tcPr>
          <w:p>
            <w:pPr>
              <w:spacing w:after="0"/>
              <w:rPr>
                <w:sz w:val="17"/>
                <w:szCs w:val="17"/>
                <w:color w:val="auto"/>
              </w:rPr>
            </w:pPr>
          </w:p>
        </w:tc>
      </w:tr>
      <w:tr>
        <w:trPr>
          <w:trHeight w:val="365"/>
        </w:trPr>
        <w:tc>
          <w:tcPr>
            <w:tcW w:w="3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60" w:type="dxa"/>
            <w:vAlign w:val="bottom"/>
            <w:gridSpan w:val="3"/>
          </w:tcPr>
          <w:p>
            <w:pPr>
              <w:jc w:val="center"/>
              <w:ind w:right="4240"/>
              <w:spacing w:after="0"/>
              <w:rPr>
                <w:sz w:val="20"/>
                <w:szCs w:val="20"/>
                <w:color w:val="auto"/>
              </w:rPr>
            </w:pPr>
            <w:r>
              <w:rPr>
                <w:rFonts w:ascii="Times New Roman" w:cs="Times New Roman" w:eastAsia="Times New Roman" w:hAnsi="Times New Roman"/>
                <w:sz w:val="14"/>
                <w:szCs w:val="14"/>
                <w:color w:val="auto"/>
              </w:rPr>
              <w:t>General Mortgage Bonds</w:t>
            </w:r>
          </w:p>
        </w:tc>
      </w:tr>
      <w:tr>
        <w:trPr>
          <w:trHeight w:val="183"/>
        </w:trPr>
        <w:tc>
          <w:tcPr>
            <w:tcW w:w="3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60" w:type="dxa"/>
            <w:vAlign w:val="bottom"/>
            <w:gridSpan w:val="3"/>
          </w:tcPr>
          <w:p>
            <w:pPr>
              <w:jc w:val="center"/>
              <w:ind w:right="4260"/>
              <w:spacing w:after="0"/>
              <w:rPr>
                <w:sz w:val="20"/>
                <w:szCs w:val="20"/>
                <w:color w:val="auto"/>
              </w:rPr>
            </w:pPr>
            <w:r>
              <w:rPr>
                <w:rFonts w:ascii="Times New Roman" w:cs="Times New Roman" w:eastAsia="Times New Roman" w:hAnsi="Times New Roman"/>
                <w:sz w:val="14"/>
                <w:szCs w:val="14"/>
                <w:color w:val="auto"/>
                <w:w w:val="99"/>
              </w:rPr>
              <w:t>(Title of the indenture securities)</w:t>
            </w:r>
          </w:p>
        </w:tc>
      </w:tr>
      <w:tr>
        <w:trPr>
          <w:trHeight w:val="211"/>
        </w:trPr>
        <w:tc>
          <w:tcPr>
            <w:tcW w:w="3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40" w:type="dxa"/>
            <w:vAlign w:val="bottom"/>
            <w:tcBorders>
              <w:bottom w:val="single" w:sz="8" w:color="auto"/>
            </w:tcBorders>
          </w:tcPr>
          <w:p>
            <w:pPr>
              <w:spacing w:after="0"/>
              <w:rPr>
                <w:sz w:val="18"/>
                <w:szCs w:val="18"/>
                <w:color w:val="auto"/>
              </w:rPr>
            </w:pPr>
          </w:p>
        </w:tc>
      </w:tr>
      <w:tr>
        <w:trPr>
          <w:trHeight w:val="20"/>
        </w:trPr>
        <w:tc>
          <w:tcPr>
            <w:tcW w:w="3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r>
      <w:tr>
        <w:trPr>
          <w:trHeight w:val="329"/>
        </w:trPr>
        <w:tc>
          <w:tcPr>
            <w:tcW w:w="3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15" w:right="319" w:bottom="1440" w:gutter="0" w:footer="0" w:header="0"/>
        </w:sectPr>
      </w:pPr>
    </w:p>
    <w:bookmarkStart w:id="117" w:name="page118"/>
    <w:bookmarkEnd w:id="117"/>
    <w:p>
      <w:pPr>
        <w:ind w:left="496" w:hanging="496"/>
        <w:spacing w:after="0"/>
        <w:tabs>
          <w:tab w:leader="none" w:pos="496" w:val="left"/>
        </w:tabs>
        <w:numPr>
          <w:ilvl w:val="0"/>
          <w:numId w:val="14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General information. Furnish the following information as to the trustee:</w:t>
      </w:r>
    </w:p>
    <w:p>
      <w:pPr>
        <w:spacing w:after="0" w:line="175" w:lineRule="exact"/>
        <w:rPr>
          <w:rFonts w:ascii="Times New Roman" w:cs="Times New Roman" w:eastAsia="Times New Roman" w:hAnsi="Times New Roman"/>
          <w:sz w:val="14"/>
          <w:szCs w:val="14"/>
          <w:b w:val="1"/>
          <w:bCs w:val="1"/>
          <w:color w:val="auto"/>
        </w:rPr>
      </w:pPr>
    </w:p>
    <w:p>
      <w:pPr>
        <w:ind w:left="1016" w:hanging="511"/>
        <w:spacing w:after="0"/>
        <w:tabs>
          <w:tab w:leader="none" w:pos="1016" w:val="left"/>
        </w:tabs>
        <w:numPr>
          <w:ilvl w:val="1"/>
          <w:numId w:val="14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Name and address of each examining or supervising authority to which it is subject.</w:t>
      </w:r>
    </w:p>
    <w:p>
      <w:pPr>
        <w:spacing w:after="0" w:line="172" w:lineRule="exact"/>
        <w:rPr>
          <w:sz w:val="20"/>
          <w:szCs w:val="20"/>
          <w:color w:val="auto"/>
        </w:rPr>
      </w:pPr>
    </w:p>
    <w:tbl>
      <w:tblPr>
        <w:tblLayout w:type="fixed"/>
        <w:tblInd w:w="496"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4200" w:type="dxa"/>
            <w:vAlign w:val="bottom"/>
            <w:tcBorders>
              <w:top w:val="single" w:sz="8" w:color="auto"/>
              <w:bottom w:val="single" w:sz="8" w:color="auto"/>
            </w:tcBorders>
          </w:tcPr>
          <w:p>
            <w:pPr>
              <w:ind w:left="2580"/>
              <w:spacing w:after="0"/>
              <w:rPr>
                <w:sz w:val="20"/>
                <w:szCs w:val="20"/>
                <w:color w:val="auto"/>
              </w:rPr>
            </w:pPr>
            <w:r>
              <w:rPr>
                <w:rFonts w:ascii="Times New Roman" w:cs="Times New Roman" w:eastAsia="Times New Roman" w:hAnsi="Times New Roman"/>
                <w:sz w:val="14"/>
                <w:szCs w:val="14"/>
                <w:color w:val="auto"/>
              </w:rPr>
              <w:t>Name</w:t>
            </w:r>
          </w:p>
        </w:tc>
        <w:tc>
          <w:tcPr>
            <w:tcW w:w="6380" w:type="dxa"/>
            <w:vAlign w:val="bottom"/>
            <w:tcBorders>
              <w:top w:val="single" w:sz="8" w:color="auto"/>
              <w:bottom w:val="single" w:sz="8" w:color="auto"/>
            </w:tcBorders>
          </w:tcPr>
          <w:p>
            <w:pPr>
              <w:ind w:left="3620"/>
              <w:spacing w:after="0"/>
              <w:rPr>
                <w:sz w:val="20"/>
                <w:szCs w:val="20"/>
                <w:color w:val="auto"/>
              </w:rPr>
            </w:pPr>
            <w:r>
              <w:rPr>
                <w:rFonts w:ascii="Times New Roman" w:cs="Times New Roman" w:eastAsia="Times New Roman" w:hAnsi="Times New Roman"/>
                <w:sz w:val="14"/>
                <w:szCs w:val="14"/>
                <w:color w:val="auto"/>
              </w:rPr>
              <w:t>Address</w:t>
            </w:r>
          </w:p>
        </w:tc>
      </w:tr>
      <w:tr>
        <w:trPr>
          <w:trHeight w:val="144"/>
        </w:trPr>
        <w:tc>
          <w:tcPr>
            <w:tcW w:w="20" w:type="dxa"/>
            <w:vAlign w:val="bottom"/>
          </w:tcPr>
          <w:p>
            <w:pPr>
              <w:spacing w:after="0"/>
              <w:rPr>
                <w:sz w:val="12"/>
                <w:szCs w:val="12"/>
                <w:color w:val="auto"/>
              </w:rPr>
            </w:pPr>
          </w:p>
        </w:tc>
        <w:tc>
          <w:tcPr>
            <w:tcW w:w="420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Comptroller of the Currency</w:t>
            </w:r>
          </w:p>
        </w:tc>
        <w:tc>
          <w:tcPr>
            <w:tcW w:w="6380" w:type="dxa"/>
            <w:vAlign w:val="bottom"/>
          </w:tcPr>
          <w:p>
            <w:pPr>
              <w:ind w:left="1300"/>
              <w:spacing w:after="0" w:line="144" w:lineRule="exact"/>
              <w:rPr>
                <w:sz w:val="20"/>
                <w:szCs w:val="20"/>
                <w:color w:val="auto"/>
              </w:rPr>
            </w:pPr>
            <w:r>
              <w:rPr>
                <w:rFonts w:ascii="Times New Roman" w:cs="Times New Roman" w:eastAsia="Times New Roman" w:hAnsi="Times New Roman"/>
                <w:sz w:val="14"/>
                <w:szCs w:val="14"/>
                <w:color w:val="auto"/>
              </w:rPr>
              <w:t>Washington, DC 20219</w:t>
            </w:r>
          </w:p>
        </w:tc>
      </w:tr>
      <w:tr>
        <w:trPr>
          <w:trHeight w:val="183"/>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United States Department of the Treasury</w:t>
            </w:r>
          </w:p>
        </w:tc>
        <w:tc>
          <w:tcPr>
            <w:tcW w:w="6380" w:type="dxa"/>
            <w:vAlign w:val="bottom"/>
          </w:tcPr>
          <w:p>
            <w:pPr>
              <w:spacing w:after="0"/>
              <w:rPr>
                <w:sz w:val="15"/>
                <w:szCs w:val="15"/>
                <w:color w:val="auto"/>
              </w:rPr>
            </w:pPr>
          </w:p>
        </w:tc>
      </w:tr>
      <w:tr>
        <w:trPr>
          <w:trHeight w:val="337"/>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Federal Reserve Bank</w:t>
            </w:r>
          </w:p>
        </w:tc>
        <w:tc>
          <w:tcPr>
            <w:tcW w:w="638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San Francisco, CA 94105</w:t>
            </w:r>
          </w:p>
        </w:tc>
      </w:tr>
      <w:tr>
        <w:trPr>
          <w:trHeight w:val="337"/>
        </w:trPr>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Federal Deposit Insurance Corporation</w:t>
            </w:r>
          </w:p>
        </w:tc>
        <w:tc>
          <w:tcPr>
            <w:tcW w:w="6380" w:type="dxa"/>
            <w:vAlign w:val="bottom"/>
          </w:tcPr>
          <w:p>
            <w:pPr>
              <w:ind w:left="1300"/>
              <w:spacing w:after="0"/>
              <w:rPr>
                <w:sz w:val="20"/>
                <w:szCs w:val="20"/>
                <w:color w:val="auto"/>
              </w:rPr>
            </w:pPr>
            <w:r>
              <w:rPr>
                <w:rFonts w:ascii="Times New Roman" w:cs="Times New Roman" w:eastAsia="Times New Roman" w:hAnsi="Times New Roman"/>
                <w:sz w:val="14"/>
                <w:szCs w:val="14"/>
                <w:color w:val="auto"/>
              </w:rPr>
              <w:t>Washington, DC 20429</w:t>
            </w:r>
          </w:p>
        </w:tc>
      </w:tr>
    </w:tbl>
    <w:p>
      <w:pPr>
        <w:spacing w:after="0" w:line="173" w:lineRule="exact"/>
        <w:rPr>
          <w:sz w:val="20"/>
          <w:szCs w:val="20"/>
          <w:color w:val="auto"/>
        </w:rPr>
      </w:pPr>
    </w:p>
    <w:p>
      <w:pPr>
        <w:ind w:left="1016" w:hanging="511"/>
        <w:spacing w:after="0"/>
        <w:tabs>
          <w:tab w:leader="none" w:pos="1016" w:val="left"/>
        </w:tabs>
        <w:numPr>
          <w:ilvl w:val="0"/>
          <w:numId w:val="1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Whether it is authorized to exercise corporate trust powers.</w:t>
      </w:r>
    </w:p>
    <w:p>
      <w:pPr>
        <w:spacing w:after="0" w:line="178" w:lineRule="exact"/>
        <w:rPr>
          <w:sz w:val="20"/>
          <w:szCs w:val="20"/>
          <w:color w:val="auto"/>
        </w:rPr>
      </w:pPr>
    </w:p>
    <w:p>
      <w:pPr>
        <w:ind w:left="496"/>
        <w:spacing w:after="0"/>
        <w:rPr>
          <w:sz w:val="20"/>
          <w:szCs w:val="20"/>
          <w:color w:val="auto"/>
        </w:rPr>
      </w:pPr>
      <w:r>
        <w:rPr>
          <w:rFonts w:ascii="Times New Roman" w:cs="Times New Roman" w:eastAsia="Times New Roman" w:hAnsi="Times New Roman"/>
          <w:sz w:val="14"/>
          <w:szCs w:val="14"/>
          <w:color w:val="auto"/>
        </w:rPr>
        <w:t>Yes.</w:t>
      </w:r>
    </w:p>
    <w:p>
      <w:pPr>
        <w:spacing w:after="0" w:line="174" w:lineRule="exact"/>
        <w:rPr>
          <w:sz w:val="20"/>
          <w:szCs w:val="20"/>
          <w:color w:val="auto"/>
        </w:rPr>
      </w:pPr>
    </w:p>
    <w:p>
      <w:pPr>
        <w:ind w:left="496" w:hanging="496"/>
        <w:spacing w:after="0"/>
        <w:tabs>
          <w:tab w:leader="none" w:pos="496" w:val="left"/>
        </w:tabs>
        <w:numPr>
          <w:ilvl w:val="0"/>
          <w:numId w:val="15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Affiliations with Obligor.</w:t>
      </w:r>
    </w:p>
    <w:p>
      <w:pPr>
        <w:spacing w:after="0" w:line="175" w:lineRule="exact"/>
        <w:rPr>
          <w:rFonts w:ascii="Times New Roman" w:cs="Times New Roman" w:eastAsia="Times New Roman" w:hAnsi="Times New Roman"/>
          <w:sz w:val="14"/>
          <w:szCs w:val="14"/>
          <w:b w:val="1"/>
          <w:bCs w:val="1"/>
          <w:color w:val="auto"/>
        </w:rPr>
      </w:pPr>
    </w:p>
    <w:p>
      <w:pPr>
        <w:ind w:left="496"/>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If the obligor is an affiliate of the trustee, describe each such affiliation.</w:t>
      </w:r>
    </w:p>
    <w:p>
      <w:pPr>
        <w:spacing w:after="0" w:line="178" w:lineRule="exact"/>
        <w:rPr>
          <w:sz w:val="20"/>
          <w:szCs w:val="20"/>
          <w:color w:val="auto"/>
        </w:rPr>
      </w:pPr>
    </w:p>
    <w:p>
      <w:pPr>
        <w:ind w:left="496"/>
        <w:spacing w:after="0"/>
        <w:rPr>
          <w:sz w:val="20"/>
          <w:szCs w:val="20"/>
          <w:color w:val="auto"/>
        </w:rPr>
      </w:pPr>
      <w:r>
        <w:rPr>
          <w:rFonts w:ascii="Times New Roman" w:cs="Times New Roman" w:eastAsia="Times New Roman" w:hAnsi="Times New Roman"/>
          <w:sz w:val="14"/>
          <w:szCs w:val="14"/>
          <w:color w:val="auto"/>
        </w:rPr>
        <w:t>None.</w:t>
      </w:r>
    </w:p>
    <w:p>
      <w:pPr>
        <w:spacing w:after="0" w:line="174" w:lineRule="exact"/>
        <w:rPr>
          <w:sz w:val="20"/>
          <w:szCs w:val="20"/>
          <w:color w:val="auto"/>
        </w:rPr>
      </w:pPr>
    </w:p>
    <w:p>
      <w:pPr>
        <w:ind w:left="496" w:hanging="496"/>
        <w:spacing w:after="0"/>
        <w:tabs>
          <w:tab w:leader="none" w:pos="496" w:val="left"/>
        </w:tabs>
        <w:numPr>
          <w:ilvl w:val="0"/>
          <w:numId w:val="1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List of Exhibits.</w:t>
      </w:r>
    </w:p>
    <w:p>
      <w:pPr>
        <w:spacing w:after="0" w:line="175" w:lineRule="exact"/>
        <w:rPr>
          <w:rFonts w:ascii="Times New Roman" w:cs="Times New Roman" w:eastAsia="Times New Roman" w:hAnsi="Times New Roman"/>
          <w:sz w:val="14"/>
          <w:szCs w:val="14"/>
          <w:b w:val="1"/>
          <w:bCs w:val="1"/>
          <w:color w:val="auto"/>
        </w:rPr>
      </w:pPr>
    </w:p>
    <w:p>
      <w:pPr>
        <w:ind w:left="496"/>
        <w:spacing w:after="0" w:line="28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Exhibits identified in parentheses below, on file with the Commission, are incorporated herein by reference as an exhibit hereto, pursuant to Rule 7a-29 under the Trust Indenture Act of 1939 (the "Act").</w:t>
      </w:r>
    </w:p>
    <w:p>
      <w:pPr>
        <w:spacing w:after="0" w:line="123" w:lineRule="exact"/>
        <w:rPr>
          <w:rFonts w:ascii="Times New Roman" w:cs="Times New Roman" w:eastAsia="Times New Roman" w:hAnsi="Times New Roman"/>
          <w:sz w:val="14"/>
          <w:szCs w:val="14"/>
          <w:b w:val="1"/>
          <w:bCs w:val="1"/>
          <w:color w:val="auto"/>
        </w:rPr>
      </w:pPr>
    </w:p>
    <w:p>
      <w:pPr>
        <w:ind w:left="1016" w:hanging="511"/>
        <w:spacing w:after="0" w:line="283" w:lineRule="auto"/>
        <w:tabs>
          <w:tab w:leader="none" w:pos="1016" w:val="left"/>
        </w:tabs>
        <w:numPr>
          <w:ilvl w:val="1"/>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articles of association of The Bank of New York Mellon Trust Company, N.A., formerly known as The Bank of New York Trust Company, N.A. (Exhibit 1 to Form T-1 filed with Registration Statement No. 333-121948 and Exhibit 1 to Form T-1 filed with Registration Statement No. 333-152875).</w:t>
      </w:r>
    </w:p>
    <w:p>
      <w:pPr>
        <w:spacing w:after="0" w:line="125" w:lineRule="exact"/>
        <w:rPr>
          <w:rFonts w:ascii="Times New Roman" w:cs="Times New Roman" w:eastAsia="Times New Roman" w:hAnsi="Times New Roman"/>
          <w:sz w:val="14"/>
          <w:szCs w:val="14"/>
          <w:color w:val="auto"/>
        </w:rPr>
      </w:pPr>
    </w:p>
    <w:p>
      <w:pPr>
        <w:ind w:left="1016" w:hanging="511"/>
        <w:spacing w:after="0"/>
        <w:tabs>
          <w:tab w:leader="none" w:pos="1016" w:val="left"/>
        </w:tabs>
        <w:numPr>
          <w:ilvl w:val="1"/>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certificate of authority of the trustee to commence business. (Exhibit 2 to Form T-1 filed with Registration Statement No. 333-121948).</w:t>
      </w:r>
    </w:p>
    <w:p>
      <w:pPr>
        <w:spacing w:after="0" w:line="175" w:lineRule="exact"/>
        <w:rPr>
          <w:rFonts w:ascii="Times New Roman" w:cs="Times New Roman" w:eastAsia="Times New Roman" w:hAnsi="Times New Roman"/>
          <w:sz w:val="14"/>
          <w:szCs w:val="14"/>
          <w:color w:val="auto"/>
        </w:rPr>
      </w:pPr>
    </w:p>
    <w:p>
      <w:pPr>
        <w:ind w:left="1016" w:hanging="511"/>
        <w:spacing w:after="0"/>
        <w:tabs>
          <w:tab w:leader="none" w:pos="1016" w:val="left"/>
        </w:tabs>
        <w:numPr>
          <w:ilvl w:val="1"/>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authorization of the trustee to exercise corporate trust powers (Exhibit 3 to Form T-1 filed with Registration Statement No. 333-152875).</w:t>
      </w:r>
    </w:p>
    <w:p>
      <w:pPr>
        <w:spacing w:after="0" w:line="344" w:lineRule="exact"/>
        <w:rPr>
          <w:rFonts w:ascii="Times New Roman" w:cs="Times New Roman" w:eastAsia="Times New Roman" w:hAnsi="Times New Roman"/>
          <w:sz w:val="14"/>
          <w:szCs w:val="14"/>
          <w:color w:val="auto"/>
        </w:rPr>
      </w:pPr>
    </w:p>
    <w:p>
      <w:pPr>
        <w:ind w:left="5596" w:hanging="73"/>
        <w:spacing w:after="0"/>
        <w:tabs>
          <w:tab w:leader="none" w:pos="5596" w:val="left"/>
        </w:tabs>
        <w:numPr>
          <w:ilvl w:val="2"/>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6280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4">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76"/>
          </w:cols>
          <w:pgMar w:left="304" w:top="733" w:right="319" w:bottom="1440" w:gutter="0" w:footer="0" w:header="0"/>
        </w:sectPr>
      </w:pPr>
    </w:p>
    <w:bookmarkStart w:id="118" w:name="page119"/>
    <w:bookmarkEnd w:id="118"/>
    <w:p>
      <w:pPr>
        <w:ind w:left="511" w:hanging="511"/>
        <w:spacing w:after="0"/>
        <w:tabs>
          <w:tab w:leader="none" w:pos="511"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existing by-laws of the trustee (Exhibit 4 to Form T-1 filed with Registration Statement No. 333-229762).</w:t>
      </w:r>
    </w:p>
    <w:p>
      <w:pPr>
        <w:spacing w:after="0" w:line="176" w:lineRule="exact"/>
        <w:rPr>
          <w:sz w:val="20"/>
          <w:szCs w:val="20"/>
          <w:color w:val="auto"/>
        </w:rPr>
      </w:pPr>
    </w:p>
    <w:p>
      <w:pPr>
        <w:ind w:left="511" w:hanging="511"/>
        <w:spacing w:after="0"/>
        <w:tabs>
          <w:tab w:leader="none" w:pos="511"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consent of the trustee required by Section 321(b) of the Act (Exhibit 6 to Form T-1 filed with Registration Statement No. 333-152875).</w:t>
      </w:r>
    </w:p>
    <w:p>
      <w:pPr>
        <w:spacing w:after="0" w:line="175" w:lineRule="exact"/>
        <w:rPr>
          <w:rFonts w:ascii="Times New Roman" w:cs="Times New Roman" w:eastAsia="Times New Roman" w:hAnsi="Times New Roman"/>
          <w:sz w:val="14"/>
          <w:szCs w:val="14"/>
          <w:color w:val="auto"/>
        </w:rPr>
      </w:pPr>
    </w:p>
    <w:p>
      <w:pPr>
        <w:ind w:left="511" w:hanging="511"/>
        <w:spacing w:after="0"/>
        <w:tabs>
          <w:tab w:leader="none" w:pos="511"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copy of the latest report of condition of the Trustee published pursuant to law or to the requirements of its supervising or examining authority.</w:t>
      </w:r>
    </w:p>
    <w:p>
      <w:pPr>
        <w:spacing w:after="0" w:line="355" w:lineRule="exact"/>
        <w:rPr>
          <w:rFonts w:ascii="Times New Roman" w:cs="Times New Roman" w:eastAsia="Times New Roman" w:hAnsi="Times New Roman"/>
          <w:sz w:val="13"/>
          <w:szCs w:val="13"/>
          <w:color w:val="auto"/>
        </w:rPr>
      </w:pPr>
    </w:p>
    <w:p>
      <w:pPr>
        <w:ind w:left="5091" w:hanging="73"/>
        <w:spacing w:after="0"/>
        <w:tabs>
          <w:tab w:leader="none" w:pos="5091" w:val="left"/>
        </w:tabs>
        <w:numPr>
          <w:ilvl w:val="1"/>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13970</wp:posOffset>
            </wp:positionV>
            <wp:extent cx="716280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5">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9650"/>
          </w:cols>
          <w:pgMar w:left="809" w:top="735" w:right="1440"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4"/>
          <w:szCs w:val="14"/>
          <w:color w:val="auto"/>
        </w:rPr>
        <w:t>SIGNATURE</w:t>
      </w:r>
    </w:p>
    <w:p>
      <w:pPr>
        <w:spacing w:after="0" w:line="176"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Houston, and State of Texas, on the 8th day of May, 2026.</w:t>
      </w:r>
    </w:p>
    <w:p>
      <w:pPr>
        <w:spacing w:after="0" w:line="13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THE BANK OF NEW YORK MELLON TRUST COMPANY, N.A.</w:t>
      </w:r>
    </w:p>
    <w:p>
      <w:pPr>
        <w:spacing w:after="0" w:line="176" w:lineRule="exact"/>
        <w:rPr>
          <w:sz w:val="20"/>
          <w:szCs w:val="20"/>
          <w:color w:val="auto"/>
        </w:rPr>
      </w:pPr>
    </w:p>
    <w:p>
      <w:pPr>
        <w:ind w:left="5660"/>
        <w:spacing w:after="0"/>
        <w:tabs>
          <w:tab w:leader="none" w:pos="59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Peggy Guel</w:t>
      </w:r>
    </w:p>
    <w:p>
      <w:pPr>
        <w:spacing w:after="0" w:line="2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color w:val="auto"/>
        </w:rPr>
        <w:t>Name: Peggy Guel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-101600</wp:posOffset>
            </wp:positionV>
            <wp:extent cx="3361055"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6">
                      <a:extLst>
                        <a:ext uri="{28A0092B-C50C-407E-A947-70E740481C1C}"/>
                      </a:extLst>
                    </a:blip>
                    <a:srcRect/>
                    <a:stretch>
                      <a:fillRect/>
                    </a:stretch>
                  </pic:blipFill>
                  <pic:spPr bwMode="auto">
                    <a:xfrm>
                      <a:off x="0" y="0"/>
                      <a:ext cx="3361055" cy="6985"/>
                    </a:xfrm>
                    <a:prstGeom prst="rect">
                      <a:avLst/>
                    </a:prstGeom>
                    <a:noFill/>
                  </pic:spPr>
                </pic:pic>
              </a:graphicData>
            </a:graphic>
          </wp:anchor>
        </w:drawing>
      </w:r>
    </w:p>
    <w:p>
      <w:pPr>
        <w:ind w:left="6000"/>
        <w:spacing w:after="0"/>
        <w:rPr>
          <w:sz w:val="20"/>
          <w:szCs w:val="20"/>
          <w:color w:val="auto"/>
        </w:rPr>
      </w:pPr>
      <w:r>
        <w:rPr>
          <w:rFonts w:ascii="Times New Roman" w:cs="Times New Roman" w:eastAsia="Times New Roman" w:hAnsi="Times New Roman"/>
          <w:sz w:val="14"/>
          <w:szCs w:val="14"/>
          <w:color w:val="auto"/>
        </w:rPr>
        <w:t>Title:  Vice President</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6280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7">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735" w:right="31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185"/>
        </w:trPr>
        <w:tc>
          <w:tcPr>
            <w:tcW w:w="520" w:type="dxa"/>
            <w:vAlign w:val="bottom"/>
          </w:tcPr>
          <w:p>
            <w:pPr>
              <w:spacing w:after="0"/>
              <w:rPr>
                <w:sz w:val="16"/>
                <w:szCs w:val="16"/>
                <w:color w:val="auto"/>
              </w:rPr>
            </w:pPr>
          </w:p>
        </w:tc>
        <w:tc>
          <w:tcPr>
            <w:tcW w:w="9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w w:val="96"/>
              </w:rPr>
              <w:t>EXHIBIT 7</w:t>
            </w:r>
          </w:p>
        </w:tc>
      </w:tr>
      <w:tr>
        <w:trPr>
          <w:trHeight w:val="322"/>
        </w:trPr>
        <w:tc>
          <w:tcPr>
            <w:tcW w:w="520" w:type="dxa"/>
            <w:vAlign w:val="bottom"/>
          </w:tcPr>
          <w:p>
            <w:pPr>
              <w:spacing w:after="0"/>
              <w:rPr>
                <w:sz w:val="24"/>
                <w:szCs w:val="24"/>
                <w:color w:val="auto"/>
              </w:rPr>
            </w:pPr>
          </w:p>
        </w:tc>
        <w:tc>
          <w:tcPr>
            <w:tcW w:w="9200" w:type="dxa"/>
            <w:vAlign w:val="bottom"/>
          </w:tcPr>
          <w:p>
            <w:pPr>
              <w:jc w:val="center"/>
              <w:ind w:left="990"/>
              <w:spacing w:after="0"/>
              <w:rPr>
                <w:sz w:val="20"/>
                <w:szCs w:val="20"/>
                <w:color w:val="auto"/>
              </w:rPr>
            </w:pPr>
            <w:r>
              <w:rPr>
                <w:rFonts w:ascii="Times New Roman" w:cs="Times New Roman" w:eastAsia="Times New Roman" w:hAnsi="Times New Roman"/>
                <w:sz w:val="14"/>
                <w:szCs w:val="14"/>
                <w:color w:val="auto"/>
              </w:rPr>
              <w:t>Consolidated Report of Condition of</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8"/>
        </w:trPr>
        <w:tc>
          <w:tcPr>
            <w:tcW w:w="520" w:type="dxa"/>
            <w:vAlign w:val="bottom"/>
          </w:tcPr>
          <w:p>
            <w:pPr>
              <w:spacing w:after="0"/>
              <w:rPr>
                <w:sz w:val="14"/>
                <w:szCs w:val="14"/>
                <w:color w:val="auto"/>
              </w:rPr>
            </w:pPr>
          </w:p>
        </w:tc>
        <w:tc>
          <w:tcPr>
            <w:tcW w:w="9200" w:type="dxa"/>
            <w:vAlign w:val="bottom"/>
          </w:tcPr>
          <w:p>
            <w:pPr>
              <w:jc w:val="center"/>
              <w:ind w:left="990"/>
              <w:spacing w:after="0"/>
              <w:rPr>
                <w:sz w:val="20"/>
                <w:szCs w:val="20"/>
                <w:color w:val="auto"/>
              </w:rPr>
            </w:pPr>
            <w:r>
              <w:rPr>
                <w:rFonts w:ascii="Times New Roman" w:cs="Times New Roman" w:eastAsia="Times New Roman" w:hAnsi="Times New Roman"/>
                <w:sz w:val="14"/>
                <w:szCs w:val="14"/>
                <w:color w:val="auto"/>
                <w:w w:val="99"/>
              </w:rPr>
              <w:t>THE BANK OF NEW YORK MELLON TRUST COMPANY, N.A.</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520" w:type="dxa"/>
            <w:vAlign w:val="bottom"/>
          </w:tcPr>
          <w:p>
            <w:pPr>
              <w:spacing w:after="0"/>
              <w:rPr>
                <w:sz w:val="15"/>
                <w:szCs w:val="15"/>
                <w:color w:val="auto"/>
              </w:rPr>
            </w:pPr>
          </w:p>
        </w:tc>
        <w:tc>
          <w:tcPr>
            <w:tcW w:w="9200" w:type="dxa"/>
            <w:vAlign w:val="bottom"/>
          </w:tcPr>
          <w:p>
            <w:pPr>
              <w:jc w:val="center"/>
              <w:ind w:left="970"/>
              <w:spacing w:after="0"/>
              <w:rPr>
                <w:sz w:val="20"/>
                <w:szCs w:val="20"/>
                <w:color w:val="auto"/>
              </w:rPr>
            </w:pPr>
            <w:r>
              <w:rPr>
                <w:rFonts w:ascii="Times New Roman" w:cs="Times New Roman" w:eastAsia="Times New Roman" w:hAnsi="Times New Roman"/>
                <w:sz w:val="14"/>
                <w:szCs w:val="14"/>
                <w:color w:val="auto"/>
              </w:rPr>
              <w:t>of 333 South Hope Street, Suite 2525, Los Angeles, CA 90071</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7"/>
        </w:trPr>
        <w:tc>
          <w:tcPr>
            <w:tcW w:w="97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At the close of business December 31, 2025, published in accordance with Federal regulatory authority instructions.</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3"/>
        </w:trPr>
        <w:tc>
          <w:tcPr>
            <w:tcW w:w="52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9"/>
              </w:rPr>
              <w:t>Dollar amounts</w:t>
            </w:r>
          </w:p>
        </w:tc>
      </w:tr>
      <w:tr>
        <w:trPr>
          <w:trHeight w:val="183"/>
        </w:trPr>
        <w:tc>
          <w:tcPr>
            <w:tcW w:w="52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9"/>
              </w:rPr>
              <w:t>in thousands</w:t>
            </w:r>
          </w:p>
        </w:tc>
      </w:tr>
      <w:tr>
        <w:trPr>
          <w:trHeight w:val="139"/>
        </w:trPr>
        <w:tc>
          <w:tcPr>
            <w:tcW w:w="9720" w:type="dxa"/>
            <w:vAlign w:val="bottom"/>
            <w:tcBorders>
              <w:top w:val="single" w:sz="8" w:color="CCEEFF"/>
            </w:tcBorders>
            <w:gridSpan w:val="2"/>
            <w:shd w:val="clear" w:color="auto" w:fill="CCEEFF"/>
          </w:tcPr>
          <w:p>
            <w:pPr>
              <w:spacing w:after="0" w:line="127" w:lineRule="exact"/>
              <w:rPr>
                <w:sz w:val="20"/>
                <w:szCs w:val="20"/>
                <w:color w:val="auto"/>
              </w:rPr>
            </w:pPr>
            <w:r>
              <w:rPr>
                <w:rFonts w:ascii="Times New Roman" w:cs="Times New Roman" w:eastAsia="Times New Roman" w:hAnsi="Times New Roman"/>
                <w:sz w:val="14"/>
                <w:szCs w:val="14"/>
                <w:color w:val="auto"/>
              </w:rPr>
              <w:t>ASSETS</w:t>
            </w:r>
          </w:p>
        </w:tc>
        <w:tc>
          <w:tcPr>
            <w:tcW w:w="18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68"/>
        </w:trPr>
        <w:tc>
          <w:tcPr>
            <w:tcW w:w="520" w:type="dxa"/>
            <w:vAlign w:val="bottom"/>
            <w:tcBorders>
              <w:top w:val="single" w:sz="8" w:color="auto"/>
            </w:tcBorders>
          </w:tcPr>
          <w:p>
            <w:pPr>
              <w:spacing w:after="0"/>
              <w:rPr>
                <w:sz w:val="14"/>
                <w:szCs w:val="14"/>
                <w:color w:val="auto"/>
              </w:rPr>
            </w:pPr>
          </w:p>
        </w:tc>
        <w:tc>
          <w:tcPr>
            <w:tcW w:w="92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2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68"/>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balances due from depository institutions:</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Noninterest-bearing balances and currency and coin</w:t>
            </w:r>
          </w:p>
        </w:tc>
        <w:tc>
          <w:tcPr>
            <w:tcW w:w="18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34,663</w:t>
            </w:r>
          </w:p>
        </w:tc>
      </w:tr>
      <w:tr>
        <w:trPr>
          <w:trHeight w:val="168"/>
        </w:trPr>
        <w:tc>
          <w:tcPr>
            <w:tcW w:w="9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Interest-bearing balances</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219,768</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9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Available-for-sale debt securities</w:t>
            </w:r>
          </w:p>
        </w:tc>
        <w:tc>
          <w:tcPr>
            <w:tcW w:w="18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98,977</w:t>
            </w:r>
          </w:p>
        </w:tc>
      </w:tr>
      <w:tr>
        <w:trPr>
          <w:trHeight w:val="168"/>
        </w:trPr>
        <w:tc>
          <w:tcPr>
            <w:tcW w:w="9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Equity securities with readily determinable fair values not held for trading</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Federal funds sold and securities purchased under agreements to resell:</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9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Federal funds sold in domestic offices</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r>
      <w:tr>
        <w:trPr>
          <w:trHeight w:val="168"/>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and lease financing receivables:</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Loans and leases held for sale</w:t>
            </w: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r>
      <w:tr>
        <w:trPr>
          <w:trHeight w:val="168"/>
        </w:trPr>
        <w:tc>
          <w:tcPr>
            <w:tcW w:w="9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Loans and leases held for investment</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LESS: Allowance for credit losses on loans and leases</w:t>
            </w: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r>
      <w:tr>
        <w:trPr>
          <w:trHeight w:val="168"/>
        </w:trPr>
        <w:tc>
          <w:tcPr>
            <w:tcW w:w="9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Loans and leases held for investment, net of allowance</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Trading assets</w:t>
            </w: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r>
      <w:tr>
        <w:trPr>
          <w:trHeight w:val="168"/>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Premises and fixed assets (including right-of-use assets)</w:t>
            </w:r>
          </w:p>
        </w:tc>
        <w:tc>
          <w:tcPr>
            <w:tcW w:w="1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13,036</w:t>
            </w:r>
          </w:p>
        </w:tc>
      </w:tr>
      <w:tr>
        <w:trPr>
          <w:trHeight w:val="168"/>
        </w:trPr>
        <w:tc>
          <w:tcPr>
            <w:tcW w:w="9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real estate owned</w:t>
            </w: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r>
      <w:tr>
        <w:trPr>
          <w:trHeight w:val="168"/>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 in unconsolidated subsidiaries and associated companies</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 and indirect investments in real estate ventures</w:t>
            </w: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r>
      <w:tr>
        <w:trPr>
          <w:trHeight w:val="168"/>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856,313</w:t>
            </w:r>
          </w:p>
        </w:tc>
        <w:tc>
          <w:tcPr>
            <w:tcW w:w="100" w:type="dxa"/>
            <w:vAlign w:val="bottom"/>
            <w:shd w:val="clear" w:color="auto" w:fill="CCEEFF"/>
          </w:tcPr>
          <w:p>
            <w:pPr>
              <w:spacing w:after="0"/>
              <w:rPr>
                <w:sz w:val="14"/>
                <w:szCs w:val="14"/>
                <w:color w:val="auto"/>
              </w:rPr>
            </w:pPr>
          </w:p>
        </w:tc>
      </w:tr>
      <w:tr>
        <w:trPr>
          <w:trHeight w:val="179"/>
        </w:trPr>
        <w:tc>
          <w:tcPr>
            <w:tcW w:w="9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128,734</w:t>
            </w:r>
          </w:p>
        </w:tc>
        <w:tc>
          <w:tcPr>
            <w:tcW w:w="100" w:type="dxa"/>
            <w:vAlign w:val="bottom"/>
            <w:tcBorders>
              <w:bottom w:val="single" w:sz="8" w:color="CCEEFF"/>
            </w:tcBorders>
          </w:tcPr>
          <w:p>
            <w:pPr>
              <w:spacing w:after="0"/>
              <w:rPr>
                <w:sz w:val="15"/>
                <w:szCs w:val="15"/>
                <w:color w:val="auto"/>
              </w:rPr>
            </w:pPr>
          </w:p>
        </w:tc>
      </w:tr>
      <w:tr>
        <w:trPr>
          <w:trHeight w:val="159"/>
        </w:trPr>
        <w:tc>
          <w:tcPr>
            <w:tcW w:w="520" w:type="dxa"/>
            <w:vAlign w:val="bottom"/>
            <w:shd w:val="clear" w:color="auto" w:fill="CCEEFF"/>
          </w:tcPr>
          <w:p>
            <w:pPr>
              <w:spacing w:after="0"/>
              <w:rPr>
                <w:sz w:val="13"/>
                <w:szCs w:val="13"/>
                <w:color w:val="auto"/>
              </w:rPr>
            </w:pPr>
          </w:p>
        </w:tc>
        <w:tc>
          <w:tcPr>
            <w:tcW w:w="9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9"/>
        </w:trPr>
        <w:tc>
          <w:tcPr>
            <w:tcW w:w="9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1,351,491</w:t>
            </w:r>
          </w:p>
        </w:tc>
        <w:tc>
          <w:tcPr>
            <w:tcW w:w="100" w:type="dxa"/>
            <w:vAlign w:val="bottom"/>
          </w:tcPr>
          <w:p>
            <w:pPr>
              <w:spacing w:after="0"/>
              <w:rPr>
                <w:sz w:val="16"/>
                <w:szCs w:val="16"/>
                <w:color w:val="auto"/>
              </w:rPr>
            </w:pPr>
          </w:p>
        </w:tc>
      </w:tr>
      <w:tr>
        <w:trPr>
          <w:trHeight w:val="20"/>
        </w:trPr>
        <w:tc>
          <w:tcPr>
            <w:tcW w:w="5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8"/>
        </w:trPr>
        <w:tc>
          <w:tcPr>
            <w:tcW w:w="520" w:type="dxa"/>
            <w:vAlign w:val="bottom"/>
            <w:tcBorders>
              <w:bottom w:val="single" w:sz="8" w:color="auto"/>
            </w:tcBorders>
          </w:tcPr>
          <w:p>
            <w:pPr>
              <w:spacing w:after="0"/>
              <w:rPr>
                <w:sz w:val="24"/>
                <w:szCs w:val="24"/>
                <w:color w:val="auto"/>
              </w:rPr>
            </w:pPr>
          </w:p>
        </w:tc>
        <w:tc>
          <w:tcPr>
            <w:tcW w:w="9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65" w:right="319" w:bottom="144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LIABILITIES</w:t>
            </w: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68"/>
        </w:trPr>
        <w:tc>
          <w:tcPr>
            <w:tcW w:w="800" w:type="dxa"/>
            <w:vAlign w:val="bottom"/>
            <w:tcBorders>
              <w:top w:val="single" w:sz="8" w:color="auto"/>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8580" w:type="dxa"/>
            <w:vAlign w:val="bottom"/>
            <w:tcBorders>
              <w:top w:val="single" w:sz="8" w:color="CCEEFF"/>
            </w:tcBorders>
          </w:tcPr>
          <w:p>
            <w:pPr>
              <w:spacing w:after="0"/>
              <w:rPr>
                <w:sz w:val="14"/>
                <w:szCs w:val="14"/>
                <w:color w:val="auto"/>
              </w:rPr>
            </w:pPr>
          </w:p>
        </w:tc>
        <w:tc>
          <w:tcPr>
            <w:tcW w:w="14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68"/>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Deposits:</w:t>
            </w: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In domestic offices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100" w:type="dxa"/>
            <w:vAlign w:val="bottom"/>
          </w:tcPr>
          <w:p>
            <w:pPr>
              <w:spacing w:after="0"/>
              <w:rPr>
                <w:sz w:val="14"/>
                <w:szCs w:val="14"/>
                <w:color w:val="auto"/>
              </w:rPr>
            </w:pPr>
          </w:p>
        </w:tc>
      </w:tr>
      <w:tr>
        <w:trPr>
          <w:trHeight w:val="168"/>
        </w:trPr>
        <w:tc>
          <w:tcPr>
            <w:tcW w:w="972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Noninterest-bearing</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ind w:left="500"/>
              <w:spacing w:after="0"/>
              <w:rPr>
                <w:sz w:val="20"/>
                <w:szCs w:val="20"/>
                <w:color w:val="auto"/>
              </w:rPr>
            </w:pPr>
            <w:r>
              <w:rPr>
                <w:rFonts w:ascii="Times New Roman" w:cs="Times New Roman" w:eastAsia="Times New Roman" w:hAnsi="Times New Roman"/>
                <w:sz w:val="14"/>
                <w:szCs w:val="14"/>
                <w:color w:val="auto"/>
              </w:rPr>
              <w:t>Interest-bearing</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r>
      <w:tr>
        <w:trPr>
          <w:trHeight w:val="168"/>
        </w:trPr>
        <w:tc>
          <w:tcPr>
            <w:tcW w:w="8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5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Federal funds purchased and securities sold under agreements to repurchase:</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972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Federal funds purchased in domestic offices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ind w:left="50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r>
      <w:tr>
        <w:trPr>
          <w:trHeight w:val="168"/>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Trading liabilities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borrowed money:</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(includes mortgage indebtedness)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Subordinated notes and debentures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r>
      <w:tr>
        <w:trPr>
          <w:trHeight w:val="168"/>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268,400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269,820</w:t>
            </w:r>
          </w:p>
        </w:tc>
        <w:tc>
          <w:tcPr>
            <w:tcW w:w="100" w:type="dxa"/>
            <w:vAlign w:val="bottom"/>
          </w:tcPr>
          <w:p>
            <w:pPr>
              <w:spacing w:after="0"/>
              <w:rPr>
                <w:sz w:val="14"/>
                <w:szCs w:val="14"/>
                <w:color w:val="auto"/>
              </w:rPr>
            </w:pPr>
          </w:p>
        </w:tc>
      </w:tr>
      <w:tr>
        <w:trPr>
          <w:trHeight w:val="168"/>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972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EQUITY CAPITAL</w:t>
            </w: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8"/>
        </w:trPr>
        <w:tc>
          <w:tcPr>
            <w:tcW w:w="8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580" w:type="dxa"/>
            <w:vAlign w:val="bottom"/>
            <w:tcBorders>
              <w:top w:val="single" w:sz="8" w:color="CCEEFF"/>
            </w:tcBorders>
          </w:tcPr>
          <w:p>
            <w:pPr>
              <w:spacing w:after="0"/>
              <w:rPr>
                <w:sz w:val="14"/>
                <w:szCs w:val="14"/>
                <w:color w:val="auto"/>
              </w:rPr>
            </w:pPr>
          </w:p>
        </w:tc>
        <w:tc>
          <w:tcPr>
            <w:tcW w:w="14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68"/>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Perpetual preferred stock and related surplus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4"/>
                <w:szCs w:val="14"/>
                <w:color w:val="auto"/>
              </w:rPr>
            </w:pPr>
          </w:p>
        </w:tc>
      </w:tr>
      <w:tr>
        <w:trPr>
          <w:trHeight w:val="168"/>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Surplus (exclude all surplus related to preferred stock)</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108,284</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 available</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97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Retained earnings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972,372</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4"/>
                <w:szCs w:val="14"/>
                <w:color w:val="auto"/>
              </w:rPr>
            </w:pPr>
          </w:p>
        </w:tc>
      </w:tr>
      <w:tr>
        <w:trPr>
          <w:trHeight w:val="168"/>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equity capital components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 available</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97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bank equity capital</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1,081,671</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Noncontrolling (minority) interests in consolidated subsidiaries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r>
      <w:tr>
        <w:trPr>
          <w:trHeight w:val="179"/>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equity capital</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1,081,671</w:t>
            </w:r>
          </w:p>
        </w:tc>
        <w:tc>
          <w:tcPr>
            <w:tcW w:w="100" w:type="dxa"/>
            <w:vAlign w:val="bottom"/>
            <w:shd w:val="clear" w:color="auto" w:fill="CCEEFF"/>
          </w:tcPr>
          <w:p>
            <w:pPr>
              <w:spacing w:after="0"/>
              <w:rPr>
                <w:sz w:val="15"/>
                <w:szCs w:val="15"/>
                <w:color w:val="auto"/>
              </w:rPr>
            </w:pPr>
          </w:p>
        </w:tc>
      </w:tr>
      <w:tr>
        <w:trPr>
          <w:trHeight w:val="169"/>
        </w:trPr>
        <w:tc>
          <w:tcPr>
            <w:tcW w:w="9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liabilities and equity capital</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1,351,491</w:t>
            </w:r>
          </w:p>
        </w:tc>
        <w:tc>
          <w:tcPr>
            <w:tcW w:w="100" w:type="dxa"/>
            <w:vAlign w:val="bottom"/>
          </w:tcPr>
          <w:p>
            <w:pPr>
              <w:spacing w:after="0"/>
              <w:rPr>
                <w:sz w:val="14"/>
                <w:szCs w:val="14"/>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80" w:firstLine="505"/>
        <w:spacing w:after="0" w:line="283" w:lineRule="auto"/>
        <w:rPr>
          <w:sz w:val="20"/>
          <w:szCs w:val="20"/>
          <w:color w:val="auto"/>
        </w:rPr>
      </w:pPr>
      <w:r>
        <w:rPr>
          <w:rFonts w:ascii="Times New Roman" w:cs="Times New Roman" w:eastAsia="Times New Roman" w:hAnsi="Times New Roman"/>
          <w:sz w:val="14"/>
          <w:szCs w:val="14"/>
          <w:color w:val="auto"/>
        </w:rPr>
        <w:t>I, Natalie Bobnar, CFO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spacing w:after="0" w:line="125" w:lineRule="exact"/>
        <w:rPr>
          <w:sz w:val="20"/>
          <w:szCs w:val="20"/>
          <w:color w:val="auto"/>
        </w:rPr>
      </w:pPr>
    </w:p>
    <w:p>
      <w:pPr>
        <w:ind w:left="500"/>
        <w:spacing w:after="0"/>
        <w:tabs>
          <w:tab w:leader="none" w:pos="1560" w:val="left"/>
          <w:tab w:leader="none" w:pos="1980" w:val="left"/>
        </w:tabs>
        <w:rPr>
          <w:sz w:val="20"/>
          <w:szCs w:val="20"/>
          <w:color w:val="auto"/>
        </w:rPr>
      </w:pPr>
      <w:r>
        <w:rPr>
          <w:rFonts w:ascii="Times New Roman" w:cs="Times New Roman" w:eastAsia="Times New Roman" w:hAnsi="Times New Roman"/>
          <w:sz w:val="14"/>
          <w:szCs w:val="14"/>
          <w:color w:val="auto"/>
        </w:rPr>
        <w:t>Natalie Bobnar</w:t>
        <w:tab/>
        <w:t>)</w:t>
      </w:r>
      <w:r>
        <w:rPr>
          <w:sz w:val="20"/>
          <w:szCs w:val="20"/>
          <w:color w:val="auto"/>
        </w:rPr>
        <w:tab/>
      </w:r>
      <w:r>
        <w:rPr>
          <w:rFonts w:ascii="Times New Roman" w:cs="Times New Roman" w:eastAsia="Times New Roman" w:hAnsi="Times New Roman"/>
          <w:sz w:val="14"/>
          <w:szCs w:val="14"/>
          <w:color w:val="auto"/>
        </w:rPr>
        <w:t>CFO</w:t>
      </w:r>
    </w:p>
    <w:p>
      <w:pPr>
        <w:spacing w:after="0" w:line="176" w:lineRule="exact"/>
        <w:rPr>
          <w:sz w:val="20"/>
          <w:szCs w:val="20"/>
          <w:color w:val="auto"/>
        </w:rPr>
      </w:pPr>
    </w:p>
    <w:p>
      <w:pPr>
        <w:ind w:right="20" w:firstLine="505"/>
        <w:spacing w:after="0" w:line="283" w:lineRule="auto"/>
        <w:rPr>
          <w:sz w:val="20"/>
          <w:szCs w:val="20"/>
          <w:color w:val="auto"/>
        </w:rPr>
      </w:pPr>
      <w:r>
        <w:rPr>
          <w:rFonts w:ascii="Times New Roman" w:cs="Times New Roman" w:eastAsia="Times New Roman" w:hAnsi="Times New Roman"/>
          <w:sz w:val="14"/>
          <w:szCs w:val="14"/>
          <w:color w:val="auto"/>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3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Elizabeth Lyndon, Managing Director</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7020" w:type="dxa"/>
            <w:vAlign w:val="bottom"/>
          </w:tcPr>
          <w:p>
            <w:pPr>
              <w:spacing w:after="0"/>
              <w:rPr>
                <w:sz w:val="14"/>
                <w:szCs w:val="14"/>
                <w:color w:val="auto"/>
              </w:rPr>
            </w:pPr>
          </w:p>
        </w:tc>
      </w:tr>
      <w:tr>
        <w:trPr>
          <w:trHeight w:val="168"/>
        </w:trPr>
        <w:tc>
          <w:tcPr>
            <w:tcW w:w="33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Kevin C. Weeks, President</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7020" w:type="dxa"/>
            <w:vAlign w:val="bottom"/>
          </w:tcPr>
          <w:p>
            <w:pPr>
              <w:jc w:val="right"/>
              <w:ind w:right="5570"/>
              <w:spacing w:after="0"/>
              <w:rPr>
                <w:sz w:val="20"/>
                <w:szCs w:val="20"/>
                <w:color w:val="auto"/>
              </w:rPr>
            </w:pPr>
            <w:r>
              <w:rPr>
                <w:rFonts w:ascii="Times New Roman" w:cs="Times New Roman" w:eastAsia="Times New Roman" w:hAnsi="Times New Roman"/>
                <w:sz w:val="14"/>
                <w:szCs w:val="14"/>
                <w:color w:val="auto"/>
              </w:rPr>
              <w:t>Directors (Trustees)</w:t>
            </w:r>
          </w:p>
        </w:tc>
      </w:tr>
      <w:tr>
        <w:trPr>
          <w:trHeight w:val="183"/>
        </w:trPr>
        <w:tc>
          <w:tcPr>
            <w:tcW w:w="33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Fernando A. Costa, Managing Director</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7020" w:type="dxa"/>
            <w:vAlign w:val="bottom"/>
          </w:tcPr>
          <w:p>
            <w:pPr>
              <w:spacing w:after="0"/>
              <w:rPr>
                <w:sz w:val="15"/>
                <w:szCs w:val="15"/>
                <w:color w:val="auto"/>
              </w:rPr>
            </w:pPr>
          </w:p>
        </w:tc>
      </w:tr>
      <w:tr>
        <w:trPr>
          <w:trHeight w:val="526"/>
        </w:trPr>
        <w:tc>
          <w:tcPr>
            <w:tcW w:w="3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jc w:val="right"/>
              <w:ind w:right="5530"/>
              <w:spacing w:after="0"/>
              <w:rPr>
                <w:sz w:val="20"/>
                <w:szCs w:val="20"/>
                <w:color w:val="auto"/>
              </w:rPr>
            </w:pPr>
            <w:r>
              <w:rPr>
                <w:rFonts w:ascii="Times New Roman" w:cs="Times New Roman" w:eastAsia="Times New Roman" w:hAnsi="Times New Roman"/>
                <w:sz w:val="14"/>
                <w:szCs w:val="14"/>
                <w:color w:val="auto"/>
              </w:rPr>
              <w:t>2</w:t>
            </w:r>
          </w:p>
        </w:tc>
      </w:tr>
    </w:tbl>
    <w:p>
      <w:pPr>
        <w:sectPr>
          <w:pgSz w:w="11900" w:h="16838" w:orient="portrait"/>
          <w:cols w:equalWidth="0" w:num="1">
            <w:col w:w="11280"/>
          </w:cols>
          <w:pgMar w:left="300" w:top="725" w:right="319" w:bottom="1440" w:gutter="0" w:footer="0" w:header="0"/>
        </w:sectPr>
      </w:pPr>
    </w:p>
    <w:bookmarkStart w:id="122" w:name="page123"/>
    <w:bookmarkEnd w:id="122"/>
    <w:p>
      <w:pPr>
        <w:ind w:left="10420"/>
        <w:spacing w:after="0"/>
        <w:rPr>
          <w:sz w:val="20"/>
          <w:szCs w:val="20"/>
          <w:color w:val="auto"/>
        </w:rPr>
      </w:pPr>
      <w:r>
        <w:rPr>
          <w:rFonts w:ascii="Times New Roman" w:cs="Times New Roman" w:eastAsia="Times New Roman" w:hAnsi="Times New Roman"/>
          <w:sz w:val="16"/>
          <w:szCs w:val="16"/>
          <w:b w:val="1"/>
          <w:bCs w:val="1"/>
          <w:color w:val="auto"/>
        </w:rPr>
        <w:t>Exhibit 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7162800" cy="133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8">
                      <a:extLst>
                        <a:ext uri="{28A0092B-C50C-407E-A947-70E740481C1C}"/>
                      </a:extLst>
                    </a:blip>
                    <a:srcRect/>
                    <a:stretch>
                      <a:fillRect/>
                    </a:stretch>
                  </pic:blipFill>
                  <pic:spPr bwMode="auto">
                    <a:xfrm>
                      <a:off x="0" y="0"/>
                      <a:ext cx="7162800" cy="133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165735</wp:posOffset>
            </wp:positionV>
            <wp:extent cx="716280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9">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UNITED STATES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AND EXCHANGE COMMISSION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Washington, D.C. 20549</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T-1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STATEMENT OF ELIGIBILITY</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UNDER THE TRUST INDENTURE ACT OF 1939 OF 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CORPORATION DESIGNATED TO ACT AS TRUSTEE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CHECK IF AN APPLICATION TO DETERMINE</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ELIGIBILITY OF A TRUSTEE PURSUANT TO</w:t>
      </w:r>
    </w:p>
    <w:p>
      <w:pPr>
        <w:spacing w:after="0" w:line="4" w:lineRule="exact"/>
        <w:rPr>
          <w:sz w:val="20"/>
          <w:szCs w:val="20"/>
          <w:color w:val="auto"/>
        </w:rPr>
      </w:pPr>
    </w:p>
    <w:p>
      <w:pPr>
        <w:jc w:val="center"/>
        <w:spacing w:after="0" w:line="161" w:lineRule="exact"/>
        <w:tabs>
          <w:tab w:leader="none" w:pos="360" w:val="left"/>
        </w:tabs>
        <w:rPr>
          <w:sz w:val="20"/>
          <w:szCs w:val="20"/>
          <w:color w:val="auto"/>
        </w:rPr>
      </w:pPr>
      <w:r>
        <w:rPr>
          <w:rFonts w:ascii="Times New Roman" w:cs="Times New Roman" w:eastAsia="Times New Roman" w:hAnsi="Times New Roman"/>
          <w:sz w:val="14"/>
          <w:szCs w:val="14"/>
          <w:color w:val="auto"/>
        </w:rPr>
        <w:t>SECTION 305(b)(2)</w:t>
      </w:r>
      <w:r>
        <w:rPr>
          <w:sz w:val="20"/>
          <w:szCs w:val="20"/>
          <w:color w:val="auto"/>
        </w:rPr>
        <w:tab/>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140970</wp:posOffset>
            </wp:positionV>
            <wp:extent cx="179070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0">
                      <a:extLst>
                        <a:ext uri="{28A0092B-C50C-407E-A947-70E740481C1C}"/>
                      </a:extLst>
                    </a:blip>
                    <a:srcRect/>
                    <a:stretch>
                      <a:fillRect/>
                    </a:stretch>
                  </pic:blipFill>
                  <pic:spPr bwMode="auto">
                    <a:xfrm>
                      <a:off x="0" y="0"/>
                      <a:ext cx="1790700" cy="698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31"/>
        </w:trPr>
        <w:tc>
          <w:tcPr>
            <w:tcW w:w="3160" w:type="dxa"/>
            <w:vAlign w:val="bottom"/>
          </w:tcPr>
          <w:p>
            <w:pPr>
              <w:spacing w:after="0"/>
              <w:rPr>
                <w:sz w:val="20"/>
                <w:szCs w:val="20"/>
                <w:color w:val="auto"/>
              </w:rPr>
            </w:pPr>
          </w:p>
        </w:tc>
        <w:tc>
          <w:tcPr>
            <w:tcW w:w="8140" w:type="dxa"/>
            <w:vAlign w:val="bottom"/>
            <w:gridSpan w:val="4"/>
          </w:tcPr>
          <w:p>
            <w:pPr>
              <w:jc w:val="center"/>
              <w:ind w:right="3180"/>
              <w:spacing w:after="0"/>
              <w:rPr>
                <w:sz w:val="20"/>
                <w:szCs w:val="20"/>
                <w:color w:val="auto"/>
              </w:rPr>
            </w:pPr>
            <w:r>
              <w:rPr>
                <w:rFonts w:ascii="Times New Roman" w:cs="Times New Roman" w:eastAsia="Times New Roman" w:hAnsi="Times New Roman"/>
                <w:sz w:val="20"/>
                <w:szCs w:val="20"/>
                <w:color w:val="auto"/>
                <w:w w:val="97"/>
              </w:rPr>
              <w:t>THE BANK OF NEW YORK MELLON</w:t>
            </w:r>
          </w:p>
        </w:tc>
      </w:tr>
      <w:tr>
        <w:trPr>
          <w:trHeight w:val="235"/>
        </w:trPr>
        <w:tc>
          <w:tcPr>
            <w:tcW w:w="3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60" w:type="dxa"/>
            <w:vAlign w:val="bottom"/>
            <w:gridSpan w:val="3"/>
          </w:tcPr>
          <w:p>
            <w:pPr>
              <w:jc w:val="center"/>
              <w:ind w:right="4260"/>
              <w:spacing w:after="0"/>
              <w:rPr>
                <w:sz w:val="20"/>
                <w:szCs w:val="20"/>
                <w:color w:val="auto"/>
              </w:rPr>
            </w:pPr>
            <w:r>
              <w:rPr>
                <w:rFonts w:ascii="Times New Roman" w:cs="Times New Roman" w:eastAsia="Times New Roman" w:hAnsi="Times New Roman"/>
                <w:sz w:val="20"/>
                <w:szCs w:val="20"/>
                <w:color w:val="auto"/>
                <w:w w:val="95"/>
              </w:rPr>
              <w:t>TRUST COMPANY, N.A.</w:t>
            </w:r>
          </w:p>
        </w:tc>
      </w:tr>
      <w:tr>
        <w:trPr>
          <w:trHeight w:val="183"/>
        </w:trPr>
        <w:tc>
          <w:tcPr>
            <w:tcW w:w="3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60" w:type="dxa"/>
            <w:vAlign w:val="bottom"/>
            <w:gridSpan w:val="3"/>
          </w:tcPr>
          <w:p>
            <w:pPr>
              <w:jc w:val="center"/>
              <w:ind w:right="4240"/>
              <w:spacing w:after="0"/>
              <w:rPr>
                <w:sz w:val="20"/>
                <w:szCs w:val="20"/>
                <w:color w:val="auto"/>
              </w:rPr>
            </w:pPr>
            <w:r>
              <w:rPr>
                <w:rFonts w:ascii="Times New Roman" w:cs="Times New Roman" w:eastAsia="Times New Roman" w:hAnsi="Times New Roman"/>
                <w:sz w:val="14"/>
                <w:szCs w:val="14"/>
                <w:color w:val="auto"/>
              </w:rPr>
              <w:t>(Exact name of trustee as specified in its charter)</w:t>
            </w:r>
          </w:p>
        </w:tc>
      </w:tr>
      <w:tr>
        <w:trPr>
          <w:trHeight w:val="168"/>
        </w:trPr>
        <w:tc>
          <w:tcPr>
            <w:tcW w:w="3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240" w:type="dxa"/>
            <w:vAlign w:val="bottom"/>
            <w:tcBorders>
              <w:bottom w:val="single" w:sz="8" w:color="auto"/>
            </w:tcBorders>
          </w:tcPr>
          <w:p>
            <w:pPr>
              <w:spacing w:after="0"/>
              <w:rPr>
                <w:sz w:val="14"/>
                <w:szCs w:val="14"/>
                <w:color w:val="auto"/>
              </w:rPr>
            </w:pPr>
          </w:p>
        </w:tc>
      </w:tr>
      <w:tr>
        <w:trPr>
          <w:trHeight w:val="144"/>
        </w:trPr>
        <w:tc>
          <w:tcPr>
            <w:tcW w:w="3160" w:type="dxa"/>
            <w:vAlign w:val="bottom"/>
            <w:tcBorders>
              <w:left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2000" w:type="dxa"/>
            <w:vAlign w:val="bottom"/>
            <w:tcBorders>
              <w:right w:val="single" w:sz="8" w:color="auto"/>
            </w:tcBorders>
          </w:tcPr>
          <w:p>
            <w:pPr>
              <w:spacing w:after="0"/>
              <w:rPr>
                <w:sz w:val="12"/>
                <w:szCs w:val="12"/>
                <w:color w:val="auto"/>
              </w:rPr>
            </w:pPr>
          </w:p>
        </w:tc>
        <w:tc>
          <w:tcPr>
            <w:tcW w:w="820" w:type="dxa"/>
            <w:vAlign w:val="bottom"/>
          </w:tcPr>
          <w:p>
            <w:pPr>
              <w:ind w:left="60"/>
              <w:spacing w:after="0" w:line="144" w:lineRule="exact"/>
              <w:rPr>
                <w:sz w:val="20"/>
                <w:szCs w:val="20"/>
                <w:color w:val="auto"/>
              </w:rPr>
            </w:pPr>
            <w:r>
              <w:rPr>
                <w:rFonts w:ascii="Times New Roman" w:cs="Times New Roman" w:eastAsia="Times New Roman" w:hAnsi="Times New Roman"/>
                <w:sz w:val="14"/>
                <w:szCs w:val="14"/>
                <w:color w:val="auto"/>
              </w:rPr>
              <w:t>95-3571558</w:t>
            </w:r>
          </w:p>
        </w:tc>
        <w:tc>
          <w:tcPr>
            <w:tcW w:w="4240" w:type="dxa"/>
            <w:vAlign w:val="bottom"/>
            <w:tcBorders>
              <w:right w:val="single" w:sz="8" w:color="auto"/>
            </w:tcBorders>
          </w:tcPr>
          <w:p>
            <w:pPr>
              <w:spacing w:after="0"/>
              <w:rPr>
                <w:sz w:val="12"/>
                <w:szCs w:val="12"/>
                <w:color w:val="auto"/>
              </w:rPr>
            </w:pPr>
          </w:p>
        </w:tc>
      </w:tr>
      <w:tr>
        <w:trPr>
          <w:trHeight w:val="168"/>
        </w:trPr>
        <w:tc>
          <w:tcPr>
            <w:tcW w:w="31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(Jurisdiction of incorporation</w:t>
            </w:r>
          </w:p>
        </w:tc>
        <w:tc>
          <w:tcPr>
            <w:tcW w:w="1080" w:type="dxa"/>
            <w:vAlign w:val="bottom"/>
          </w:tcPr>
          <w:p>
            <w:pPr>
              <w:spacing w:after="0"/>
              <w:rPr>
                <w:sz w:val="14"/>
                <w:szCs w:val="14"/>
                <w:color w:val="auto"/>
              </w:rPr>
            </w:pPr>
          </w:p>
        </w:tc>
        <w:tc>
          <w:tcPr>
            <w:tcW w:w="2000" w:type="dxa"/>
            <w:vAlign w:val="bottom"/>
            <w:tcBorders>
              <w:right w:val="single" w:sz="8" w:color="auto"/>
            </w:tcBorders>
          </w:tcPr>
          <w:p>
            <w:pPr>
              <w:spacing w:after="0"/>
              <w:rPr>
                <w:sz w:val="14"/>
                <w:szCs w:val="14"/>
                <w:color w:val="auto"/>
              </w:rPr>
            </w:pPr>
          </w:p>
        </w:tc>
        <w:tc>
          <w:tcPr>
            <w:tcW w:w="50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(I.R.S. employer</w:t>
            </w:r>
          </w:p>
        </w:tc>
      </w:tr>
      <w:tr>
        <w:trPr>
          <w:trHeight w:val="183"/>
        </w:trPr>
        <w:tc>
          <w:tcPr>
            <w:tcW w:w="31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if not a U.S. national bank)</w:t>
            </w:r>
          </w:p>
        </w:tc>
        <w:tc>
          <w:tcPr>
            <w:tcW w:w="1080" w:type="dxa"/>
            <w:vAlign w:val="bottom"/>
          </w:tcPr>
          <w:p>
            <w:pPr>
              <w:spacing w:after="0"/>
              <w:rPr>
                <w:sz w:val="15"/>
                <w:szCs w:val="15"/>
                <w:color w:val="auto"/>
              </w:rPr>
            </w:pPr>
          </w:p>
        </w:tc>
        <w:tc>
          <w:tcPr>
            <w:tcW w:w="2000" w:type="dxa"/>
            <w:vAlign w:val="bottom"/>
            <w:tcBorders>
              <w:right w:val="single" w:sz="8" w:color="auto"/>
            </w:tcBorders>
          </w:tcPr>
          <w:p>
            <w:pPr>
              <w:spacing w:after="0"/>
              <w:rPr>
                <w:sz w:val="15"/>
                <w:szCs w:val="15"/>
                <w:color w:val="auto"/>
              </w:rPr>
            </w:pPr>
          </w:p>
        </w:tc>
        <w:tc>
          <w:tcPr>
            <w:tcW w:w="50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168"/>
        </w:trPr>
        <w:tc>
          <w:tcPr>
            <w:tcW w:w="3160" w:type="dxa"/>
            <w:vAlign w:val="bottom"/>
            <w:tcBorders>
              <w:left w:val="single" w:sz="8" w:color="auto"/>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0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240" w:type="dxa"/>
            <w:vAlign w:val="bottom"/>
            <w:tcBorders>
              <w:bottom w:val="single" w:sz="8" w:color="auto"/>
              <w:right w:val="single" w:sz="8" w:color="auto"/>
            </w:tcBorders>
          </w:tcPr>
          <w:p>
            <w:pPr>
              <w:spacing w:after="0"/>
              <w:rPr>
                <w:sz w:val="14"/>
                <w:szCs w:val="14"/>
                <w:color w:val="auto"/>
              </w:rPr>
            </w:pPr>
          </w:p>
        </w:tc>
      </w:tr>
      <w:tr>
        <w:trPr>
          <w:trHeight w:val="144"/>
        </w:trPr>
        <w:tc>
          <w:tcPr>
            <w:tcW w:w="3160" w:type="dxa"/>
            <w:vAlign w:val="bottom"/>
            <w:tcBorders>
              <w:left w:val="single" w:sz="8" w:color="auto"/>
            </w:tcBorders>
          </w:tcPr>
          <w:p>
            <w:pPr>
              <w:ind w:left="100"/>
              <w:spacing w:after="0" w:line="144" w:lineRule="exact"/>
              <w:rPr>
                <w:sz w:val="20"/>
                <w:szCs w:val="20"/>
                <w:color w:val="auto"/>
              </w:rPr>
            </w:pPr>
            <w:r>
              <w:rPr>
                <w:rFonts w:ascii="Times New Roman" w:cs="Times New Roman" w:eastAsia="Times New Roman" w:hAnsi="Times New Roman"/>
                <w:sz w:val="14"/>
                <w:szCs w:val="14"/>
                <w:color w:val="auto"/>
              </w:rPr>
              <w:t>333 South Hope Street</w:t>
            </w:r>
          </w:p>
        </w:tc>
        <w:tc>
          <w:tcPr>
            <w:tcW w:w="1080" w:type="dxa"/>
            <w:vAlign w:val="bottom"/>
          </w:tcPr>
          <w:p>
            <w:pPr>
              <w:spacing w:after="0"/>
              <w:rPr>
                <w:sz w:val="12"/>
                <w:szCs w:val="12"/>
                <w:color w:val="auto"/>
              </w:rPr>
            </w:pPr>
          </w:p>
        </w:tc>
        <w:tc>
          <w:tcPr>
            <w:tcW w:w="200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4240" w:type="dxa"/>
            <w:vAlign w:val="bottom"/>
            <w:tcBorders>
              <w:right w:val="single" w:sz="8" w:color="auto"/>
            </w:tcBorders>
          </w:tcPr>
          <w:p>
            <w:pPr>
              <w:spacing w:after="0"/>
              <w:rPr>
                <w:sz w:val="12"/>
                <w:szCs w:val="12"/>
                <w:color w:val="auto"/>
              </w:rPr>
            </w:pPr>
          </w:p>
        </w:tc>
      </w:tr>
      <w:tr>
        <w:trPr>
          <w:trHeight w:val="168"/>
        </w:trPr>
        <w:tc>
          <w:tcPr>
            <w:tcW w:w="31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Suite 2525</w:t>
            </w:r>
          </w:p>
        </w:tc>
        <w:tc>
          <w:tcPr>
            <w:tcW w:w="1080" w:type="dxa"/>
            <w:vAlign w:val="bottom"/>
          </w:tcPr>
          <w:p>
            <w:pPr>
              <w:spacing w:after="0"/>
              <w:rPr>
                <w:sz w:val="14"/>
                <w:szCs w:val="14"/>
                <w:color w:val="auto"/>
              </w:rPr>
            </w:pPr>
          </w:p>
        </w:tc>
        <w:tc>
          <w:tcPr>
            <w:tcW w:w="200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4240" w:type="dxa"/>
            <w:vAlign w:val="bottom"/>
            <w:tcBorders>
              <w:right w:val="single" w:sz="8" w:color="auto"/>
            </w:tcBorders>
          </w:tcPr>
          <w:p>
            <w:pPr>
              <w:spacing w:after="0"/>
              <w:rPr>
                <w:sz w:val="14"/>
                <w:szCs w:val="14"/>
                <w:color w:val="auto"/>
              </w:rPr>
            </w:pPr>
          </w:p>
        </w:tc>
      </w:tr>
      <w:tr>
        <w:trPr>
          <w:trHeight w:val="168"/>
        </w:trPr>
        <w:tc>
          <w:tcPr>
            <w:tcW w:w="31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Los Angeles, California</w:t>
            </w:r>
          </w:p>
        </w:tc>
        <w:tc>
          <w:tcPr>
            <w:tcW w:w="1080" w:type="dxa"/>
            <w:vAlign w:val="bottom"/>
          </w:tcPr>
          <w:p>
            <w:pPr>
              <w:spacing w:after="0"/>
              <w:rPr>
                <w:sz w:val="14"/>
                <w:szCs w:val="14"/>
                <w:color w:val="auto"/>
              </w:rPr>
            </w:pPr>
          </w:p>
        </w:tc>
        <w:tc>
          <w:tcPr>
            <w:tcW w:w="200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4240" w:type="dxa"/>
            <w:vAlign w:val="bottom"/>
            <w:tcBorders>
              <w:right w:val="single" w:sz="8" w:color="auto"/>
            </w:tcBorders>
          </w:tcPr>
          <w:p>
            <w:pPr>
              <w:spacing w:after="0"/>
              <w:rPr>
                <w:sz w:val="14"/>
                <w:szCs w:val="14"/>
                <w:color w:val="auto"/>
              </w:rPr>
            </w:pPr>
          </w:p>
        </w:tc>
      </w:tr>
      <w:tr>
        <w:trPr>
          <w:trHeight w:val="168"/>
        </w:trPr>
        <w:tc>
          <w:tcPr>
            <w:tcW w:w="31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080" w:type="dxa"/>
            <w:vAlign w:val="bottom"/>
          </w:tcPr>
          <w:p>
            <w:pPr>
              <w:spacing w:after="0"/>
              <w:rPr>
                <w:sz w:val="14"/>
                <w:szCs w:val="14"/>
                <w:color w:val="auto"/>
              </w:rPr>
            </w:pPr>
          </w:p>
        </w:tc>
        <w:tc>
          <w:tcPr>
            <w:tcW w:w="2000" w:type="dxa"/>
            <w:vAlign w:val="bottom"/>
            <w:tcBorders>
              <w:right w:val="single" w:sz="8" w:color="auto"/>
            </w:tcBorders>
          </w:tcPr>
          <w:p>
            <w:pPr>
              <w:spacing w:after="0"/>
              <w:rPr>
                <w:sz w:val="14"/>
                <w:szCs w:val="14"/>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90071</w:t>
            </w:r>
          </w:p>
        </w:tc>
        <w:tc>
          <w:tcPr>
            <w:tcW w:w="4240" w:type="dxa"/>
            <w:vAlign w:val="bottom"/>
            <w:tcBorders>
              <w:right w:val="single" w:sz="8" w:color="auto"/>
            </w:tcBorders>
          </w:tcPr>
          <w:p>
            <w:pPr>
              <w:spacing w:after="0"/>
              <w:rPr>
                <w:sz w:val="14"/>
                <w:szCs w:val="14"/>
                <w:color w:val="auto"/>
              </w:rPr>
            </w:pPr>
          </w:p>
        </w:tc>
      </w:tr>
      <w:tr>
        <w:trPr>
          <w:trHeight w:val="183"/>
        </w:trPr>
        <w:tc>
          <w:tcPr>
            <w:tcW w:w="3160" w:type="dxa"/>
            <w:vAlign w:val="bottom"/>
            <w:tcBorders>
              <w:left w:val="single" w:sz="8" w:color="auto"/>
            </w:tcBorders>
          </w:tcPr>
          <w:p>
            <w:pPr>
              <w:spacing w:after="0"/>
              <w:rPr>
                <w:sz w:val="15"/>
                <w:szCs w:val="15"/>
                <w:color w:val="auto"/>
              </w:rPr>
            </w:pPr>
          </w:p>
        </w:tc>
        <w:tc>
          <w:tcPr>
            <w:tcW w:w="1080" w:type="dxa"/>
            <w:vAlign w:val="bottom"/>
          </w:tcPr>
          <w:p>
            <w:pPr>
              <w:spacing w:after="0"/>
              <w:rPr>
                <w:sz w:val="15"/>
                <w:szCs w:val="15"/>
                <w:color w:val="auto"/>
              </w:rPr>
            </w:pPr>
          </w:p>
        </w:tc>
        <w:tc>
          <w:tcPr>
            <w:tcW w:w="2000" w:type="dxa"/>
            <w:vAlign w:val="bottom"/>
            <w:tcBorders>
              <w:right w:val="single" w:sz="8" w:color="auto"/>
            </w:tcBorders>
          </w:tcPr>
          <w:p>
            <w:pPr>
              <w:spacing w:after="0"/>
              <w:rPr>
                <w:sz w:val="15"/>
                <w:szCs w:val="15"/>
                <w:color w:val="auto"/>
              </w:rPr>
            </w:pPr>
          </w:p>
        </w:tc>
        <w:tc>
          <w:tcPr>
            <w:tcW w:w="50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(Zip code)</w:t>
            </w:r>
          </w:p>
        </w:tc>
      </w:tr>
      <w:tr>
        <w:trPr>
          <w:trHeight w:val="168"/>
        </w:trPr>
        <w:tc>
          <w:tcPr>
            <w:tcW w:w="3160" w:type="dxa"/>
            <w:vAlign w:val="bottom"/>
            <w:tcBorders>
              <w:left w:val="single" w:sz="8" w:color="auto"/>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00" w:type="dxa"/>
            <w:vAlign w:val="bottom"/>
            <w:tcBorders>
              <w:bottom w:val="single" w:sz="8" w:color="auto"/>
              <w:right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240" w:type="dxa"/>
            <w:vAlign w:val="bottom"/>
            <w:tcBorders>
              <w:bottom w:val="single" w:sz="8" w:color="auto"/>
              <w:right w:val="single" w:sz="8" w:color="auto"/>
            </w:tcBorders>
          </w:tcPr>
          <w:p>
            <w:pPr>
              <w:spacing w:after="0"/>
              <w:rPr>
                <w:sz w:val="14"/>
                <w:szCs w:val="14"/>
                <w:color w:val="auto"/>
              </w:rPr>
            </w:pPr>
          </w:p>
        </w:tc>
      </w:tr>
      <w:tr>
        <w:trPr>
          <w:trHeight w:val="201"/>
        </w:trPr>
        <w:tc>
          <w:tcPr>
            <w:tcW w:w="3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240" w:type="dxa"/>
            <w:vAlign w:val="bottom"/>
          </w:tcPr>
          <w:p>
            <w:pPr>
              <w:spacing w:after="0"/>
              <w:rPr>
                <w:sz w:val="17"/>
                <w:szCs w:val="17"/>
                <w:color w:val="auto"/>
              </w:rPr>
            </w:pPr>
          </w:p>
        </w:tc>
      </w:tr>
    </w:tbl>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3260" w:type="dxa"/>
            <w:vAlign w:val="bottom"/>
          </w:tcPr>
          <w:p>
            <w:pPr>
              <w:spacing w:after="0"/>
              <w:rPr>
                <w:sz w:val="20"/>
                <w:szCs w:val="20"/>
                <w:color w:val="auto"/>
              </w:rPr>
            </w:pPr>
          </w:p>
        </w:tc>
        <w:tc>
          <w:tcPr>
            <w:tcW w:w="8040" w:type="dxa"/>
            <w:vAlign w:val="bottom"/>
            <w:gridSpan w:val="4"/>
          </w:tcPr>
          <w:p>
            <w:pPr>
              <w:jc w:val="center"/>
              <w:ind w:right="3260"/>
              <w:spacing w:after="0"/>
              <w:rPr>
                <w:sz w:val="20"/>
                <w:szCs w:val="20"/>
                <w:color w:val="auto"/>
              </w:rPr>
            </w:pPr>
            <w:r>
              <w:rPr>
                <w:rFonts w:ascii="Times New Roman" w:cs="Times New Roman" w:eastAsia="Times New Roman" w:hAnsi="Times New Roman"/>
                <w:sz w:val="20"/>
                <w:szCs w:val="20"/>
                <w:color w:val="auto"/>
                <w:w w:val="98"/>
              </w:rPr>
              <w:t>CenterPoint Energy Resources Corp.</w:t>
            </w:r>
          </w:p>
        </w:tc>
      </w:tr>
      <w:tr>
        <w:trPr>
          <w:trHeight w:val="183"/>
        </w:trPr>
        <w:tc>
          <w:tcPr>
            <w:tcW w:w="3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60" w:type="dxa"/>
            <w:vAlign w:val="bottom"/>
            <w:gridSpan w:val="3"/>
          </w:tcPr>
          <w:p>
            <w:pPr>
              <w:jc w:val="center"/>
              <w:ind w:right="4240"/>
              <w:spacing w:after="0"/>
              <w:rPr>
                <w:sz w:val="20"/>
                <w:szCs w:val="20"/>
                <w:color w:val="auto"/>
              </w:rPr>
            </w:pPr>
            <w:r>
              <w:rPr>
                <w:rFonts w:ascii="Times New Roman" w:cs="Times New Roman" w:eastAsia="Times New Roman" w:hAnsi="Times New Roman"/>
                <w:sz w:val="14"/>
                <w:szCs w:val="14"/>
                <w:color w:val="auto"/>
              </w:rPr>
              <w:t>(Exact name of obligor as specified in its charter)</w:t>
            </w:r>
          </w:p>
        </w:tc>
      </w:tr>
      <w:tr>
        <w:trPr>
          <w:trHeight w:val="168"/>
        </w:trPr>
        <w:tc>
          <w:tcPr>
            <w:tcW w:w="3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240" w:type="dxa"/>
            <w:vAlign w:val="bottom"/>
            <w:tcBorders>
              <w:bottom w:val="single" w:sz="8" w:color="auto"/>
            </w:tcBorders>
          </w:tcPr>
          <w:p>
            <w:pPr>
              <w:spacing w:after="0"/>
              <w:rPr>
                <w:sz w:val="14"/>
                <w:szCs w:val="14"/>
                <w:color w:val="auto"/>
              </w:rPr>
            </w:pPr>
          </w:p>
        </w:tc>
      </w:tr>
      <w:tr>
        <w:trPr>
          <w:trHeight w:val="144"/>
        </w:trPr>
        <w:tc>
          <w:tcPr>
            <w:tcW w:w="3260" w:type="dxa"/>
            <w:vAlign w:val="bottom"/>
            <w:tcBorders>
              <w:left w:val="single" w:sz="8" w:color="auto"/>
            </w:tcBorders>
          </w:tcPr>
          <w:p>
            <w:pPr>
              <w:ind w:left="100"/>
              <w:spacing w:after="0" w:line="144" w:lineRule="exact"/>
              <w:rPr>
                <w:sz w:val="20"/>
                <w:szCs w:val="20"/>
                <w:color w:val="auto"/>
              </w:rPr>
            </w:pPr>
            <w:r>
              <w:rPr>
                <w:rFonts w:ascii="Times New Roman" w:cs="Times New Roman" w:eastAsia="Times New Roman" w:hAnsi="Times New Roman"/>
                <w:sz w:val="14"/>
                <w:szCs w:val="14"/>
                <w:color w:val="auto"/>
              </w:rPr>
              <w:t>Delaware</w:t>
            </w:r>
          </w:p>
        </w:tc>
        <w:tc>
          <w:tcPr>
            <w:tcW w:w="980" w:type="dxa"/>
            <w:vAlign w:val="bottom"/>
          </w:tcPr>
          <w:p>
            <w:pPr>
              <w:spacing w:after="0"/>
              <w:rPr>
                <w:sz w:val="12"/>
                <w:szCs w:val="12"/>
                <w:color w:val="auto"/>
              </w:rPr>
            </w:pPr>
          </w:p>
        </w:tc>
        <w:tc>
          <w:tcPr>
            <w:tcW w:w="2000" w:type="dxa"/>
            <w:vAlign w:val="bottom"/>
            <w:tcBorders>
              <w:right w:val="single" w:sz="8" w:color="auto"/>
            </w:tcBorders>
          </w:tcPr>
          <w:p>
            <w:pPr>
              <w:spacing w:after="0"/>
              <w:rPr>
                <w:sz w:val="12"/>
                <w:szCs w:val="12"/>
                <w:color w:val="auto"/>
              </w:rPr>
            </w:pPr>
          </w:p>
        </w:tc>
        <w:tc>
          <w:tcPr>
            <w:tcW w:w="820" w:type="dxa"/>
            <w:vAlign w:val="bottom"/>
          </w:tcPr>
          <w:p>
            <w:pPr>
              <w:ind w:left="60"/>
              <w:spacing w:after="0" w:line="144" w:lineRule="exact"/>
              <w:rPr>
                <w:sz w:val="20"/>
                <w:szCs w:val="20"/>
                <w:color w:val="auto"/>
              </w:rPr>
            </w:pPr>
            <w:r>
              <w:rPr>
                <w:rFonts w:ascii="Times New Roman" w:cs="Times New Roman" w:eastAsia="Times New Roman" w:hAnsi="Times New Roman"/>
                <w:sz w:val="14"/>
                <w:szCs w:val="14"/>
                <w:color w:val="auto"/>
              </w:rPr>
              <w:t>76-0511406</w:t>
            </w:r>
          </w:p>
        </w:tc>
        <w:tc>
          <w:tcPr>
            <w:tcW w:w="4240" w:type="dxa"/>
            <w:vAlign w:val="bottom"/>
            <w:tcBorders>
              <w:right w:val="single" w:sz="8" w:color="auto"/>
            </w:tcBorders>
          </w:tcPr>
          <w:p>
            <w:pPr>
              <w:spacing w:after="0"/>
              <w:rPr>
                <w:sz w:val="12"/>
                <w:szCs w:val="12"/>
                <w:color w:val="auto"/>
              </w:rPr>
            </w:pPr>
          </w:p>
        </w:tc>
      </w:tr>
      <w:tr>
        <w:trPr>
          <w:trHeight w:val="168"/>
        </w:trPr>
        <w:tc>
          <w:tcPr>
            <w:tcW w:w="32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980" w:type="dxa"/>
            <w:vAlign w:val="bottom"/>
          </w:tcPr>
          <w:p>
            <w:pPr>
              <w:spacing w:after="0"/>
              <w:rPr>
                <w:sz w:val="14"/>
                <w:szCs w:val="14"/>
                <w:color w:val="auto"/>
              </w:rPr>
            </w:pPr>
          </w:p>
        </w:tc>
        <w:tc>
          <w:tcPr>
            <w:tcW w:w="2000" w:type="dxa"/>
            <w:vAlign w:val="bottom"/>
            <w:tcBorders>
              <w:right w:val="single" w:sz="8" w:color="auto"/>
            </w:tcBorders>
          </w:tcPr>
          <w:p>
            <w:pPr>
              <w:spacing w:after="0"/>
              <w:rPr>
                <w:sz w:val="14"/>
                <w:szCs w:val="14"/>
                <w:color w:val="auto"/>
              </w:rPr>
            </w:pPr>
          </w:p>
        </w:tc>
        <w:tc>
          <w:tcPr>
            <w:tcW w:w="506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(I.R.S. employer</w:t>
            </w:r>
          </w:p>
        </w:tc>
      </w:tr>
      <w:tr>
        <w:trPr>
          <w:trHeight w:val="183"/>
        </w:trPr>
        <w:tc>
          <w:tcPr>
            <w:tcW w:w="326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980" w:type="dxa"/>
            <w:vAlign w:val="bottom"/>
            <w:tcBorders>
              <w:bottom w:val="single" w:sz="8" w:color="auto"/>
            </w:tcBorders>
          </w:tcPr>
          <w:p>
            <w:pPr>
              <w:spacing w:after="0"/>
              <w:rPr>
                <w:sz w:val="15"/>
                <w:szCs w:val="15"/>
                <w:color w:val="auto"/>
              </w:rPr>
            </w:pPr>
          </w:p>
        </w:tc>
        <w:tc>
          <w:tcPr>
            <w:tcW w:w="2000" w:type="dxa"/>
            <w:vAlign w:val="bottom"/>
            <w:tcBorders>
              <w:bottom w:val="single" w:sz="8" w:color="auto"/>
              <w:right w:val="single" w:sz="8" w:color="auto"/>
            </w:tcBorders>
          </w:tcPr>
          <w:p>
            <w:pPr>
              <w:spacing w:after="0"/>
              <w:rPr>
                <w:sz w:val="15"/>
                <w:szCs w:val="15"/>
                <w:color w:val="auto"/>
              </w:rPr>
            </w:pPr>
          </w:p>
        </w:tc>
        <w:tc>
          <w:tcPr>
            <w:tcW w:w="50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144"/>
        </w:trPr>
        <w:tc>
          <w:tcPr>
            <w:tcW w:w="3260" w:type="dxa"/>
            <w:vAlign w:val="bottom"/>
            <w:tcBorders>
              <w:left w:val="single" w:sz="8" w:color="auto"/>
            </w:tcBorders>
          </w:tcPr>
          <w:p>
            <w:pPr>
              <w:ind w:left="100"/>
              <w:spacing w:after="0" w:line="144" w:lineRule="exact"/>
              <w:rPr>
                <w:sz w:val="20"/>
                <w:szCs w:val="20"/>
                <w:color w:val="auto"/>
              </w:rPr>
            </w:pPr>
            <w:r>
              <w:rPr>
                <w:rFonts w:ascii="Times New Roman" w:cs="Times New Roman" w:eastAsia="Times New Roman" w:hAnsi="Times New Roman"/>
                <w:sz w:val="14"/>
                <w:szCs w:val="14"/>
                <w:color w:val="auto"/>
              </w:rPr>
              <w:t>1111 Louisiana Street</w:t>
            </w:r>
          </w:p>
        </w:tc>
        <w:tc>
          <w:tcPr>
            <w:tcW w:w="980" w:type="dxa"/>
            <w:vAlign w:val="bottom"/>
          </w:tcPr>
          <w:p>
            <w:pPr>
              <w:spacing w:after="0"/>
              <w:rPr>
                <w:sz w:val="12"/>
                <w:szCs w:val="12"/>
                <w:color w:val="auto"/>
              </w:rPr>
            </w:pPr>
          </w:p>
        </w:tc>
        <w:tc>
          <w:tcPr>
            <w:tcW w:w="200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4240" w:type="dxa"/>
            <w:vAlign w:val="bottom"/>
            <w:tcBorders>
              <w:right w:val="single" w:sz="8" w:color="auto"/>
            </w:tcBorders>
          </w:tcPr>
          <w:p>
            <w:pPr>
              <w:spacing w:after="0"/>
              <w:rPr>
                <w:sz w:val="12"/>
                <w:szCs w:val="12"/>
                <w:color w:val="auto"/>
              </w:rPr>
            </w:pPr>
          </w:p>
        </w:tc>
      </w:tr>
      <w:tr>
        <w:trPr>
          <w:trHeight w:val="168"/>
        </w:trPr>
        <w:tc>
          <w:tcPr>
            <w:tcW w:w="32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Houston, Texas</w:t>
            </w:r>
          </w:p>
        </w:tc>
        <w:tc>
          <w:tcPr>
            <w:tcW w:w="980" w:type="dxa"/>
            <w:vAlign w:val="bottom"/>
          </w:tcPr>
          <w:p>
            <w:pPr>
              <w:spacing w:after="0"/>
              <w:rPr>
                <w:sz w:val="14"/>
                <w:szCs w:val="14"/>
                <w:color w:val="auto"/>
              </w:rPr>
            </w:pPr>
          </w:p>
        </w:tc>
        <w:tc>
          <w:tcPr>
            <w:tcW w:w="2000" w:type="dxa"/>
            <w:vAlign w:val="bottom"/>
            <w:tcBorders>
              <w:right w:val="single" w:sz="8" w:color="auto"/>
            </w:tcBorders>
          </w:tcPr>
          <w:p>
            <w:pPr>
              <w:spacing w:after="0"/>
              <w:rPr>
                <w:sz w:val="14"/>
                <w:szCs w:val="14"/>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77002</w:t>
            </w:r>
          </w:p>
        </w:tc>
        <w:tc>
          <w:tcPr>
            <w:tcW w:w="4240" w:type="dxa"/>
            <w:vAlign w:val="bottom"/>
            <w:tcBorders>
              <w:right w:val="single" w:sz="8" w:color="auto"/>
            </w:tcBorders>
          </w:tcPr>
          <w:p>
            <w:pPr>
              <w:spacing w:after="0"/>
              <w:rPr>
                <w:sz w:val="14"/>
                <w:szCs w:val="14"/>
                <w:color w:val="auto"/>
              </w:rPr>
            </w:pPr>
          </w:p>
        </w:tc>
      </w:tr>
      <w:tr>
        <w:trPr>
          <w:trHeight w:val="183"/>
        </w:trPr>
        <w:tc>
          <w:tcPr>
            <w:tcW w:w="326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980" w:type="dxa"/>
            <w:vAlign w:val="bottom"/>
            <w:tcBorders>
              <w:bottom w:val="single" w:sz="8" w:color="auto"/>
            </w:tcBorders>
          </w:tcPr>
          <w:p>
            <w:pPr>
              <w:spacing w:after="0"/>
              <w:rPr>
                <w:sz w:val="15"/>
                <w:szCs w:val="15"/>
                <w:color w:val="auto"/>
              </w:rPr>
            </w:pPr>
          </w:p>
        </w:tc>
        <w:tc>
          <w:tcPr>
            <w:tcW w:w="2000" w:type="dxa"/>
            <w:vAlign w:val="bottom"/>
            <w:tcBorders>
              <w:bottom w:val="single" w:sz="8" w:color="auto"/>
              <w:right w:val="single" w:sz="8" w:color="auto"/>
            </w:tcBorders>
          </w:tcPr>
          <w:p>
            <w:pPr>
              <w:spacing w:after="0"/>
              <w:rPr>
                <w:sz w:val="15"/>
                <w:szCs w:val="15"/>
                <w:color w:val="auto"/>
              </w:rPr>
            </w:pPr>
          </w:p>
        </w:tc>
        <w:tc>
          <w:tcPr>
            <w:tcW w:w="506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(Zip code)</w:t>
            </w:r>
          </w:p>
        </w:tc>
      </w:tr>
      <w:tr>
        <w:trPr>
          <w:trHeight w:val="201"/>
        </w:trPr>
        <w:tc>
          <w:tcPr>
            <w:tcW w:w="3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20" w:type="dxa"/>
            <w:vAlign w:val="bottom"/>
            <w:tcBorders>
              <w:bottom w:val="single" w:sz="8" w:color="auto"/>
            </w:tcBorders>
            <w:gridSpan w:val="2"/>
          </w:tcPr>
          <w:p>
            <w:pPr>
              <w:spacing w:after="0"/>
              <w:rPr>
                <w:sz w:val="17"/>
                <w:szCs w:val="17"/>
                <w:color w:val="auto"/>
              </w:rPr>
            </w:pPr>
          </w:p>
        </w:tc>
        <w:tc>
          <w:tcPr>
            <w:tcW w:w="4240" w:type="dxa"/>
            <w:vAlign w:val="bottom"/>
          </w:tcPr>
          <w:p>
            <w:pPr>
              <w:spacing w:after="0"/>
              <w:rPr>
                <w:sz w:val="17"/>
                <w:szCs w:val="17"/>
                <w:color w:val="auto"/>
              </w:rPr>
            </w:pPr>
          </w:p>
        </w:tc>
      </w:tr>
      <w:tr>
        <w:trPr>
          <w:trHeight w:val="365"/>
        </w:trPr>
        <w:tc>
          <w:tcPr>
            <w:tcW w:w="3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60" w:type="dxa"/>
            <w:vAlign w:val="bottom"/>
            <w:gridSpan w:val="3"/>
          </w:tcPr>
          <w:p>
            <w:pPr>
              <w:jc w:val="center"/>
              <w:ind w:right="4240"/>
              <w:spacing w:after="0"/>
              <w:rPr>
                <w:sz w:val="20"/>
                <w:szCs w:val="20"/>
                <w:color w:val="auto"/>
              </w:rPr>
            </w:pPr>
            <w:r>
              <w:rPr>
                <w:rFonts w:ascii="Times New Roman" w:cs="Times New Roman" w:eastAsia="Times New Roman" w:hAnsi="Times New Roman"/>
                <w:sz w:val="14"/>
                <w:szCs w:val="14"/>
                <w:color w:val="auto"/>
                <w:w w:val="99"/>
              </w:rPr>
              <w:t>Senior Debt Securities</w:t>
            </w:r>
          </w:p>
        </w:tc>
      </w:tr>
      <w:tr>
        <w:trPr>
          <w:trHeight w:val="183"/>
        </w:trPr>
        <w:tc>
          <w:tcPr>
            <w:tcW w:w="3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060" w:type="dxa"/>
            <w:vAlign w:val="bottom"/>
            <w:gridSpan w:val="3"/>
          </w:tcPr>
          <w:p>
            <w:pPr>
              <w:jc w:val="center"/>
              <w:ind w:right="4260"/>
              <w:spacing w:after="0"/>
              <w:rPr>
                <w:sz w:val="20"/>
                <w:szCs w:val="20"/>
                <w:color w:val="auto"/>
              </w:rPr>
            </w:pPr>
            <w:r>
              <w:rPr>
                <w:rFonts w:ascii="Times New Roman" w:cs="Times New Roman" w:eastAsia="Times New Roman" w:hAnsi="Times New Roman"/>
                <w:sz w:val="14"/>
                <w:szCs w:val="14"/>
                <w:color w:val="auto"/>
                <w:w w:val="99"/>
              </w:rPr>
              <w:t>(Title of the indenture securities)</w:t>
            </w:r>
          </w:p>
        </w:tc>
      </w:tr>
      <w:tr>
        <w:trPr>
          <w:trHeight w:val="211"/>
        </w:trPr>
        <w:tc>
          <w:tcPr>
            <w:tcW w:w="3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40" w:type="dxa"/>
            <w:vAlign w:val="bottom"/>
            <w:tcBorders>
              <w:bottom w:val="single" w:sz="8" w:color="auto"/>
            </w:tcBorders>
          </w:tcPr>
          <w:p>
            <w:pPr>
              <w:spacing w:after="0"/>
              <w:rPr>
                <w:sz w:val="18"/>
                <w:szCs w:val="18"/>
                <w:color w:val="auto"/>
              </w:rPr>
            </w:pPr>
          </w:p>
        </w:tc>
      </w:tr>
      <w:tr>
        <w:trPr>
          <w:trHeight w:val="20"/>
        </w:trPr>
        <w:tc>
          <w:tcPr>
            <w:tcW w:w="3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r>
      <w:tr>
        <w:trPr>
          <w:trHeight w:val="329"/>
        </w:trPr>
        <w:tc>
          <w:tcPr>
            <w:tcW w:w="3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15" w:right="319" w:bottom="1440" w:gutter="0" w:footer="0" w:header="0"/>
        </w:sectPr>
      </w:pPr>
    </w:p>
    <w:bookmarkStart w:id="123" w:name="page124"/>
    <w:bookmarkEnd w:id="123"/>
    <w:p>
      <w:pPr>
        <w:ind w:left="496" w:hanging="496"/>
        <w:spacing w:after="0"/>
        <w:tabs>
          <w:tab w:leader="none" w:pos="496" w:val="left"/>
        </w:tabs>
        <w:numPr>
          <w:ilvl w:val="0"/>
          <w:numId w:val="15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General information. Furnish the following information as to the trustee:</w:t>
      </w:r>
    </w:p>
    <w:p>
      <w:pPr>
        <w:spacing w:after="0" w:line="175" w:lineRule="exact"/>
        <w:rPr>
          <w:rFonts w:ascii="Times New Roman" w:cs="Times New Roman" w:eastAsia="Times New Roman" w:hAnsi="Times New Roman"/>
          <w:sz w:val="14"/>
          <w:szCs w:val="14"/>
          <w:b w:val="1"/>
          <w:bCs w:val="1"/>
          <w:color w:val="auto"/>
        </w:rPr>
      </w:pPr>
    </w:p>
    <w:p>
      <w:pPr>
        <w:ind w:left="1016" w:hanging="511"/>
        <w:spacing w:after="0"/>
        <w:tabs>
          <w:tab w:leader="none" w:pos="1016" w:val="left"/>
        </w:tabs>
        <w:numPr>
          <w:ilvl w:val="1"/>
          <w:numId w:val="15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Name and address of each examining or supervising authority to which it is subject.</w:t>
      </w:r>
    </w:p>
    <w:p>
      <w:pPr>
        <w:spacing w:after="0" w:line="178" w:lineRule="exact"/>
        <w:rPr>
          <w:sz w:val="20"/>
          <w:szCs w:val="20"/>
          <w:color w:val="auto"/>
        </w:rPr>
      </w:pPr>
    </w:p>
    <w:tbl>
      <w:tblPr>
        <w:tblLayout w:type="fixed"/>
        <w:tblInd w:w="496"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300" w:type="dxa"/>
            <w:vAlign w:val="bottom"/>
            <w:tcBorders>
              <w:bottom w:val="single" w:sz="8" w:color="auto"/>
            </w:tcBorders>
          </w:tcPr>
          <w:p>
            <w:pPr>
              <w:ind w:left="2480"/>
              <w:spacing w:after="0"/>
              <w:rPr>
                <w:sz w:val="20"/>
                <w:szCs w:val="20"/>
                <w:color w:val="auto"/>
              </w:rPr>
            </w:pPr>
            <w:r>
              <w:rPr>
                <w:rFonts w:ascii="Times New Roman" w:cs="Times New Roman" w:eastAsia="Times New Roman" w:hAnsi="Times New Roman"/>
                <w:sz w:val="14"/>
                <w:szCs w:val="14"/>
                <w:color w:val="auto"/>
              </w:rPr>
              <w:t>Name</w:t>
            </w:r>
          </w:p>
        </w:tc>
        <w:tc>
          <w:tcPr>
            <w:tcW w:w="300" w:type="dxa"/>
            <w:vAlign w:val="bottom"/>
          </w:tcPr>
          <w:p>
            <w:pPr>
              <w:spacing w:after="0"/>
              <w:rPr>
                <w:sz w:val="16"/>
                <w:szCs w:val="16"/>
                <w:color w:val="auto"/>
              </w:rPr>
            </w:pPr>
          </w:p>
        </w:tc>
        <w:tc>
          <w:tcPr>
            <w:tcW w:w="498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4"/>
                <w:szCs w:val="14"/>
                <w:color w:val="auto"/>
              </w:rPr>
              <w:t>Address</w:t>
            </w:r>
          </w:p>
        </w:tc>
      </w:tr>
      <w:tr>
        <w:trPr>
          <w:trHeight w:val="154"/>
        </w:trPr>
        <w:tc>
          <w:tcPr>
            <w:tcW w:w="20" w:type="dxa"/>
            <w:vAlign w:val="bottom"/>
          </w:tcPr>
          <w:p>
            <w:pPr>
              <w:spacing w:after="0"/>
              <w:rPr>
                <w:sz w:val="13"/>
                <w:szCs w:val="13"/>
                <w:color w:val="auto"/>
              </w:rPr>
            </w:pPr>
          </w:p>
        </w:tc>
        <w:tc>
          <w:tcPr>
            <w:tcW w:w="530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Comptroller of the Currency</w:t>
            </w:r>
          </w:p>
        </w:tc>
        <w:tc>
          <w:tcPr>
            <w:tcW w:w="300" w:type="dxa"/>
            <w:vAlign w:val="bottom"/>
          </w:tcPr>
          <w:p>
            <w:pPr>
              <w:spacing w:after="0"/>
              <w:rPr>
                <w:sz w:val="13"/>
                <w:szCs w:val="13"/>
                <w:color w:val="auto"/>
              </w:rPr>
            </w:pPr>
          </w:p>
        </w:tc>
        <w:tc>
          <w:tcPr>
            <w:tcW w:w="498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Washington, DC 20219</w:t>
            </w:r>
          </w:p>
        </w:tc>
      </w:tr>
      <w:tr>
        <w:trPr>
          <w:trHeight w:val="183"/>
        </w:trPr>
        <w:tc>
          <w:tcPr>
            <w:tcW w:w="5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United States Department of the Treasury</w:t>
            </w:r>
          </w:p>
        </w:tc>
        <w:tc>
          <w:tcPr>
            <w:tcW w:w="300" w:type="dxa"/>
            <w:vAlign w:val="bottom"/>
          </w:tcPr>
          <w:p>
            <w:pPr>
              <w:spacing w:after="0"/>
              <w:rPr>
                <w:sz w:val="15"/>
                <w:szCs w:val="15"/>
                <w:color w:val="auto"/>
              </w:rPr>
            </w:pPr>
          </w:p>
        </w:tc>
        <w:tc>
          <w:tcPr>
            <w:tcW w:w="4980" w:type="dxa"/>
            <w:vAlign w:val="bottom"/>
          </w:tcPr>
          <w:p>
            <w:pPr>
              <w:spacing w:after="0"/>
              <w:rPr>
                <w:sz w:val="15"/>
                <w:szCs w:val="15"/>
                <w:color w:val="auto"/>
              </w:rPr>
            </w:pPr>
          </w:p>
        </w:tc>
      </w:tr>
      <w:tr>
        <w:trPr>
          <w:trHeight w:val="337"/>
        </w:trPr>
        <w:tc>
          <w:tcPr>
            <w:tcW w:w="5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Federal Reserve Bank</w:t>
            </w:r>
          </w:p>
        </w:tc>
        <w:tc>
          <w:tcPr>
            <w:tcW w:w="52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San Francisco, CA 94105</w:t>
            </w:r>
          </w:p>
        </w:tc>
      </w:tr>
      <w:tr>
        <w:trPr>
          <w:trHeight w:val="337"/>
        </w:trPr>
        <w:tc>
          <w:tcPr>
            <w:tcW w:w="5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Federal Deposit Insurance Corporation</w:t>
            </w:r>
          </w:p>
        </w:tc>
        <w:tc>
          <w:tcPr>
            <w:tcW w:w="528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Washington, DC 20429</w:t>
            </w:r>
          </w:p>
        </w:tc>
      </w:tr>
    </w:tbl>
    <w:p>
      <w:pPr>
        <w:spacing w:after="0" w:line="173" w:lineRule="exact"/>
        <w:rPr>
          <w:sz w:val="20"/>
          <w:szCs w:val="20"/>
          <w:color w:val="auto"/>
        </w:rPr>
      </w:pPr>
    </w:p>
    <w:p>
      <w:pPr>
        <w:ind w:left="1016" w:hanging="511"/>
        <w:spacing w:after="0"/>
        <w:tabs>
          <w:tab w:leader="none" w:pos="1016" w:val="left"/>
        </w:tabs>
        <w:numPr>
          <w:ilvl w:val="0"/>
          <w:numId w:val="15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Whether it is authorized to exercise corporate trust powers.</w:t>
      </w:r>
    </w:p>
    <w:p>
      <w:pPr>
        <w:spacing w:after="0" w:line="178" w:lineRule="exact"/>
        <w:rPr>
          <w:sz w:val="20"/>
          <w:szCs w:val="20"/>
          <w:color w:val="auto"/>
        </w:rPr>
      </w:pPr>
    </w:p>
    <w:p>
      <w:pPr>
        <w:ind w:left="496"/>
        <w:spacing w:after="0"/>
        <w:rPr>
          <w:sz w:val="20"/>
          <w:szCs w:val="20"/>
          <w:color w:val="auto"/>
        </w:rPr>
      </w:pPr>
      <w:r>
        <w:rPr>
          <w:rFonts w:ascii="Times New Roman" w:cs="Times New Roman" w:eastAsia="Times New Roman" w:hAnsi="Times New Roman"/>
          <w:sz w:val="14"/>
          <w:szCs w:val="14"/>
          <w:color w:val="auto"/>
        </w:rPr>
        <w:t>Yes.</w:t>
      </w:r>
    </w:p>
    <w:p>
      <w:pPr>
        <w:spacing w:after="0" w:line="174" w:lineRule="exact"/>
        <w:rPr>
          <w:sz w:val="20"/>
          <w:szCs w:val="20"/>
          <w:color w:val="auto"/>
        </w:rPr>
      </w:pPr>
    </w:p>
    <w:p>
      <w:pPr>
        <w:ind w:left="496" w:hanging="496"/>
        <w:spacing w:after="0"/>
        <w:tabs>
          <w:tab w:leader="none" w:pos="496" w:val="left"/>
        </w:tabs>
        <w:numPr>
          <w:ilvl w:val="0"/>
          <w:numId w:val="15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Affiliations with Obligor.</w:t>
      </w:r>
    </w:p>
    <w:p>
      <w:pPr>
        <w:spacing w:after="0" w:line="176" w:lineRule="exact"/>
        <w:rPr>
          <w:sz w:val="20"/>
          <w:szCs w:val="20"/>
          <w:color w:val="auto"/>
        </w:rPr>
      </w:pPr>
    </w:p>
    <w:p>
      <w:pPr>
        <w:ind w:left="496"/>
        <w:spacing w:after="0"/>
        <w:rPr>
          <w:sz w:val="20"/>
          <w:szCs w:val="20"/>
          <w:color w:val="auto"/>
        </w:rPr>
      </w:pPr>
      <w:r>
        <w:rPr>
          <w:rFonts w:ascii="Times New Roman" w:cs="Times New Roman" w:eastAsia="Times New Roman" w:hAnsi="Times New Roman"/>
          <w:sz w:val="14"/>
          <w:szCs w:val="14"/>
          <w:b w:val="1"/>
          <w:bCs w:val="1"/>
          <w:color w:val="auto"/>
        </w:rPr>
        <w:t>If the obligor is an affiliate of the trustee, describe each such affiliation.</w:t>
      </w:r>
    </w:p>
    <w:p>
      <w:pPr>
        <w:spacing w:after="0" w:line="178" w:lineRule="exact"/>
        <w:rPr>
          <w:sz w:val="20"/>
          <w:szCs w:val="20"/>
          <w:color w:val="auto"/>
        </w:rPr>
      </w:pPr>
    </w:p>
    <w:p>
      <w:pPr>
        <w:ind w:left="496"/>
        <w:spacing w:after="0"/>
        <w:rPr>
          <w:sz w:val="20"/>
          <w:szCs w:val="20"/>
          <w:color w:val="auto"/>
        </w:rPr>
      </w:pPr>
      <w:r>
        <w:rPr>
          <w:rFonts w:ascii="Times New Roman" w:cs="Times New Roman" w:eastAsia="Times New Roman" w:hAnsi="Times New Roman"/>
          <w:sz w:val="14"/>
          <w:szCs w:val="14"/>
          <w:color w:val="auto"/>
        </w:rPr>
        <w:t>None.</w:t>
      </w:r>
    </w:p>
    <w:p>
      <w:pPr>
        <w:spacing w:after="0" w:line="174" w:lineRule="exact"/>
        <w:rPr>
          <w:sz w:val="20"/>
          <w:szCs w:val="20"/>
          <w:color w:val="auto"/>
        </w:rPr>
      </w:pPr>
    </w:p>
    <w:p>
      <w:pPr>
        <w:ind w:left="496" w:hanging="496"/>
        <w:spacing w:after="0"/>
        <w:tabs>
          <w:tab w:leader="none" w:pos="496" w:val="left"/>
        </w:tabs>
        <w:numPr>
          <w:ilvl w:val="0"/>
          <w:numId w:val="15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List of Exhibits.</w:t>
      </w:r>
    </w:p>
    <w:p>
      <w:pPr>
        <w:spacing w:after="0" w:line="175" w:lineRule="exact"/>
        <w:rPr>
          <w:rFonts w:ascii="Times New Roman" w:cs="Times New Roman" w:eastAsia="Times New Roman" w:hAnsi="Times New Roman"/>
          <w:sz w:val="14"/>
          <w:szCs w:val="14"/>
          <w:b w:val="1"/>
          <w:bCs w:val="1"/>
          <w:color w:val="auto"/>
        </w:rPr>
      </w:pPr>
    </w:p>
    <w:p>
      <w:pPr>
        <w:ind w:left="496"/>
        <w:spacing w:after="0" w:line="28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Exhibits identified in parentheses below, on file with the Commission, are incorporated herein by reference as an exhibit hereto, pursuant to Rule 7a-29 under the Trust Indenture Act of 1939 (the "Act").</w:t>
      </w:r>
    </w:p>
    <w:p>
      <w:pPr>
        <w:spacing w:after="0" w:line="123" w:lineRule="exact"/>
        <w:rPr>
          <w:rFonts w:ascii="Times New Roman" w:cs="Times New Roman" w:eastAsia="Times New Roman" w:hAnsi="Times New Roman"/>
          <w:sz w:val="14"/>
          <w:szCs w:val="14"/>
          <w:b w:val="1"/>
          <w:bCs w:val="1"/>
          <w:color w:val="auto"/>
        </w:rPr>
      </w:pPr>
    </w:p>
    <w:p>
      <w:pPr>
        <w:ind w:left="1016" w:hanging="511"/>
        <w:spacing w:after="0" w:line="283" w:lineRule="auto"/>
        <w:tabs>
          <w:tab w:leader="none" w:pos="1016" w:val="left"/>
        </w:tabs>
        <w:numPr>
          <w:ilvl w:val="1"/>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articles of association of The Bank of New York Mellon Trust Company, N.A., formerly known as The Bank of New York Trust Company, N.A. (Exhibit 1 to Form T-1 filed with Registration Statement No. 333-121948 and Exhibit 1 to Form T-1 filed with Registration Statement No. 333-152875).</w:t>
      </w:r>
    </w:p>
    <w:p>
      <w:pPr>
        <w:spacing w:after="0" w:line="125" w:lineRule="exact"/>
        <w:rPr>
          <w:rFonts w:ascii="Times New Roman" w:cs="Times New Roman" w:eastAsia="Times New Roman" w:hAnsi="Times New Roman"/>
          <w:sz w:val="14"/>
          <w:szCs w:val="14"/>
          <w:color w:val="auto"/>
        </w:rPr>
      </w:pPr>
    </w:p>
    <w:p>
      <w:pPr>
        <w:ind w:left="1016" w:hanging="511"/>
        <w:spacing w:after="0"/>
        <w:tabs>
          <w:tab w:leader="none" w:pos="1016" w:val="left"/>
        </w:tabs>
        <w:numPr>
          <w:ilvl w:val="1"/>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certificate of authority of the trustee to commence business. (Exhibit 2 to Form T-1 filed with Registration Statement No. 333-121948).</w:t>
      </w:r>
    </w:p>
    <w:p>
      <w:pPr>
        <w:spacing w:after="0" w:line="175" w:lineRule="exact"/>
        <w:rPr>
          <w:rFonts w:ascii="Times New Roman" w:cs="Times New Roman" w:eastAsia="Times New Roman" w:hAnsi="Times New Roman"/>
          <w:sz w:val="14"/>
          <w:szCs w:val="14"/>
          <w:color w:val="auto"/>
        </w:rPr>
      </w:pPr>
    </w:p>
    <w:p>
      <w:pPr>
        <w:ind w:left="1016" w:hanging="511"/>
        <w:spacing w:after="0"/>
        <w:tabs>
          <w:tab w:leader="none" w:pos="1016" w:val="left"/>
        </w:tabs>
        <w:numPr>
          <w:ilvl w:val="1"/>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authorization of the trustee to exercise corporate trust powers (Exhibit 3 to Form T-1 filed with Registration Statement No. 333-152875).</w:t>
      </w:r>
    </w:p>
    <w:p>
      <w:pPr>
        <w:spacing w:after="0" w:line="344" w:lineRule="exact"/>
        <w:rPr>
          <w:rFonts w:ascii="Times New Roman" w:cs="Times New Roman" w:eastAsia="Times New Roman" w:hAnsi="Times New Roman"/>
          <w:sz w:val="14"/>
          <w:szCs w:val="14"/>
          <w:color w:val="auto"/>
        </w:rPr>
      </w:pPr>
    </w:p>
    <w:p>
      <w:pPr>
        <w:ind w:left="5596" w:hanging="73"/>
        <w:spacing w:after="0"/>
        <w:tabs>
          <w:tab w:leader="none" w:pos="5596" w:val="left"/>
        </w:tabs>
        <w:numPr>
          <w:ilvl w:val="2"/>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162800"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1">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76"/>
          </w:cols>
          <w:pgMar w:left="304" w:top="733" w:right="319" w:bottom="1440" w:gutter="0" w:footer="0" w:header="0"/>
        </w:sectPr>
      </w:pPr>
    </w:p>
    <w:bookmarkStart w:id="124" w:name="page125"/>
    <w:bookmarkEnd w:id="124"/>
    <w:p>
      <w:pPr>
        <w:ind w:left="511" w:hanging="511"/>
        <w:spacing w:after="0"/>
        <w:tabs>
          <w:tab w:leader="none" w:pos="511"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existing by-laws of the trustee (Exhibit 4 to Form T-1 filed with Registration Statement No. 333-229762).</w:t>
      </w:r>
    </w:p>
    <w:p>
      <w:pPr>
        <w:spacing w:after="0" w:line="176" w:lineRule="exact"/>
        <w:rPr>
          <w:sz w:val="20"/>
          <w:szCs w:val="20"/>
          <w:color w:val="auto"/>
        </w:rPr>
      </w:pPr>
    </w:p>
    <w:p>
      <w:pPr>
        <w:ind w:left="511" w:hanging="511"/>
        <w:spacing w:after="0"/>
        <w:tabs>
          <w:tab w:leader="none" w:pos="511"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consent of the trustee required by Section 321(b) of the Act (Exhibit 6 to Form T-1 filed with Registration Statement No. 333-152875).</w:t>
      </w:r>
    </w:p>
    <w:p>
      <w:pPr>
        <w:spacing w:after="0" w:line="175" w:lineRule="exact"/>
        <w:rPr>
          <w:rFonts w:ascii="Times New Roman" w:cs="Times New Roman" w:eastAsia="Times New Roman" w:hAnsi="Times New Roman"/>
          <w:sz w:val="14"/>
          <w:szCs w:val="14"/>
          <w:color w:val="auto"/>
        </w:rPr>
      </w:pPr>
    </w:p>
    <w:p>
      <w:pPr>
        <w:ind w:left="511" w:hanging="511"/>
        <w:spacing w:after="0"/>
        <w:tabs>
          <w:tab w:leader="none" w:pos="511"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copy of the latest report of condition of the Trustee published pursuant to law or to the requirements of its supervising or examining authority.</w:t>
      </w:r>
    </w:p>
    <w:p>
      <w:pPr>
        <w:spacing w:after="0" w:line="355" w:lineRule="exact"/>
        <w:rPr>
          <w:rFonts w:ascii="Times New Roman" w:cs="Times New Roman" w:eastAsia="Times New Roman" w:hAnsi="Times New Roman"/>
          <w:sz w:val="13"/>
          <w:szCs w:val="13"/>
          <w:color w:val="auto"/>
        </w:rPr>
      </w:pPr>
    </w:p>
    <w:p>
      <w:pPr>
        <w:ind w:left="5091" w:hanging="73"/>
        <w:spacing w:after="0"/>
        <w:tabs>
          <w:tab w:leader="none" w:pos="5091" w:val="left"/>
        </w:tabs>
        <w:numPr>
          <w:ilvl w:val="1"/>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13970</wp:posOffset>
            </wp:positionV>
            <wp:extent cx="716280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2">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9650"/>
          </w:cols>
          <w:pgMar w:left="809" w:top="735" w:right="1440"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4"/>
          <w:szCs w:val="14"/>
          <w:color w:val="auto"/>
        </w:rPr>
        <w:t>SIGNATURE</w:t>
      </w:r>
    </w:p>
    <w:p>
      <w:pPr>
        <w:spacing w:after="0" w:line="176"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Houston, and State of Texas, on the 8th day of May, 2026.</w:t>
      </w:r>
    </w:p>
    <w:p>
      <w:pPr>
        <w:spacing w:after="0" w:line="13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THE BANK OF NEW YORK MELLON TRUST COMPANY, N.A.</w:t>
      </w:r>
    </w:p>
    <w:p>
      <w:pPr>
        <w:spacing w:after="0" w:line="344" w:lineRule="exact"/>
        <w:rPr>
          <w:sz w:val="20"/>
          <w:szCs w:val="20"/>
          <w:color w:val="auto"/>
        </w:rPr>
      </w:pPr>
    </w:p>
    <w:p>
      <w:pPr>
        <w:ind w:left="5660"/>
        <w:spacing w:after="0"/>
        <w:tabs>
          <w:tab w:leader="none" w:pos="59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Peggy Guel</w:t>
      </w:r>
    </w:p>
    <w:p>
      <w:pPr>
        <w:spacing w:after="0" w:line="2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color w:val="auto"/>
        </w:rPr>
        <w:t>Name: Peggy Guel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-101600</wp:posOffset>
            </wp:positionV>
            <wp:extent cx="3361055"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3">
                      <a:extLst>
                        <a:ext uri="{28A0092B-C50C-407E-A947-70E740481C1C}"/>
                      </a:extLst>
                    </a:blip>
                    <a:srcRect/>
                    <a:stretch>
                      <a:fillRect/>
                    </a:stretch>
                  </pic:blipFill>
                  <pic:spPr bwMode="auto">
                    <a:xfrm>
                      <a:off x="0" y="0"/>
                      <a:ext cx="3361055" cy="6985"/>
                    </a:xfrm>
                    <a:prstGeom prst="rect">
                      <a:avLst/>
                    </a:prstGeom>
                    <a:noFill/>
                  </pic:spPr>
                </pic:pic>
              </a:graphicData>
            </a:graphic>
          </wp:anchor>
        </w:drawing>
      </w:r>
    </w:p>
    <w:p>
      <w:pPr>
        <w:ind w:left="6000"/>
        <w:spacing w:after="0"/>
        <w:rPr>
          <w:sz w:val="20"/>
          <w:szCs w:val="20"/>
          <w:color w:val="auto"/>
        </w:rPr>
      </w:pPr>
      <w:r>
        <w:rPr>
          <w:rFonts w:ascii="Times New Roman" w:cs="Times New Roman" w:eastAsia="Times New Roman" w:hAnsi="Times New Roman"/>
          <w:sz w:val="14"/>
          <w:szCs w:val="14"/>
          <w:color w:val="auto"/>
        </w:rPr>
        <w:t>Title:  Vice President</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62800"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4">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ectPr>
          <w:pgSz w:w="11900" w:h="16838" w:orient="portrait"/>
          <w:cols w:equalWidth="0" w:num="1">
            <w:col w:w="11280"/>
          </w:cols>
          <w:pgMar w:left="300" w:top="735" w:right="31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185"/>
        </w:trPr>
        <w:tc>
          <w:tcPr>
            <w:tcW w:w="520" w:type="dxa"/>
            <w:vAlign w:val="bottom"/>
          </w:tcPr>
          <w:p>
            <w:pPr>
              <w:spacing w:after="0"/>
              <w:rPr>
                <w:sz w:val="16"/>
                <w:szCs w:val="16"/>
                <w:color w:val="auto"/>
              </w:rPr>
            </w:pPr>
          </w:p>
        </w:tc>
        <w:tc>
          <w:tcPr>
            <w:tcW w:w="9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w w:val="96"/>
              </w:rPr>
              <w:t>EXHIBIT 7</w:t>
            </w:r>
          </w:p>
        </w:tc>
      </w:tr>
      <w:tr>
        <w:trPr>
          <w:trHeight w:val="322"/>
        </w:trPr>
        <w:tc>
          <w:tcPr>
            <w:tcW w:w="520" w:type="dxa"/>
            <w:vAlign w:val="bottom"/>
          </w:tcPr>
          <w:p>
            <w:pPr>
              <w:spacing w:after="0"/>
              <w:rPr>
                <w:sz w:val="24"/>
                <w:szCs w:val="24"/>
                <w:color w:val="auto"/>
              </w:rPr>
            </w:pPr>
          </w:p>
        </w:tc>
        <w:tc>
          <w:tcPr>
            <w:tcW w:w="9200" w:type="dxa"/>
            <w:vAlign w:val="bottom"/>
          </w:tcPr>
          <w:p>
            <w:pPr>
              <w:jc w:val="center"/>
              <w:ind w:left="990"/>
              <w:spacing w:after="0"/>
              <w:rPr>
                <w:sz w:val="20"/>
                <w:szCs w:val="20"/>
                <w:color w:val="auto"/>
              </w:rPr>
            </w:pPr>
            <w:r>
              <w:rPr>
                <w:rFonts w:ascii="Times New Roman" w:cs="Times New Roman" w:eastAsia="Times New Roman" w:hAnsi="Times New Roman"/>
                <w:sz w:val="14"/>
                <w:szCs w:val="14"/>
                <w:color w:val="auto"/>
              </w:rPr>
              <w:t>Consolidated Report of Condition of</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8"/>
        </w:trPr>
        <w:tc>
          <w:tcPr>
            <w:tcW w:w="520" w:type="dxa"/>
            <w:vAlign w:val="bottom"/>
          </w:tcPr>
          <w:p>
            <w:pPr>
              <w:spacing w:after="0"/>
              <w:rPr>
                <w:sz w:val="14"/>
                <w:szCs w:val="14"/>
                <w:color w:val="auto"/>
              </w:rPr>
            </w:pPr>
          </w:p>
        </w:tc>
        <w:tc>
          <w:tcPr>
            <w:tcW w:w="9200" w:type="dxa"/>
            <w:vAlign w:val="bottom"/>
          </w:tcPr>
          <w:p>
            <w:pPr>
              <w:jc w:val="center"/>
              <w:ind w:left="990"/>
              <w:spacing w:after="0"/>
              <w:rPr>
                <w:sz w:val="20"/>
                <w:szCs w:val="20"/>
                <w:color w:val="auto"/>
              </w:rPr>
            </w:pPr>
            <w:r>
              <w:rPr>
                <w:rFonts w:ascii="Times New Roman" w:cs="Times New Roman" w:eastAsia="Times New Roman" w:hAnsi="Times New Roman"/>
                <w:sz w:val="14"/>
                <w:szCs w:val="14"/>
                <w:color w:val="auto"/>
                <w:w w:val="99"/>
              </w:rPr>
              <w:t>THE BANK OF NEW YORK MELLON TRUST COMPANY, N.A.</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520" w:type="dxa"/>
            <w:vAlign w:val="bottom"/>
          </w:tcPr>
          <w:p>
            <w:pPr>
              <w:spacing w:after="0"/>
              <w:rPr>
                <w:sz w:val="15"/>
                <w:szCs w:val="15"/>
                <w:color w:val="auto"/>
              </w:rPr>
            </w:pPr>
          </w:p>
        </w:tc>
        <w:tc>
          <w:tcPr>
            <w:tcW w:w="9200" w:type="dxa"/>
            <w:vAlign w:val="bottom"/>
          </w:tcPr>
          <w:p>
            <w:pPr>
              <w:jc w:val="center"/>
              <w:ind w:left="970"/>
              <w:spacing w:after="0"/>
              <w:rPr>
                <w:sz w:val="20"/>
                <w:szCs w:val="20"/>
                <w:color w:val="auto"/>
              </w:rPr>
            </w:pPr>
            <w:r>
              <w:rPr>
                <w:rFonts w:ascii="Times New Roman" w:cs="Times New Roman" w:eastAsia="Times New Roman" w:hAnsi="Times New Roman"/>
                <w:sz w:val="14"/>
                <w:szCs w:val="14"/>
                <w:color w:val="auto"/>
              </w:rPr>
              <w:t>of 333 South Hope Street, Suite 2525, Los Angeles, CA 90071</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7"/>
        </w:trPr>
        <w:tc>
          <w:tcPr>
            <w:tcW w:w="97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At the close of business December 31, 2025, published in accordance with Federal regulatory authority instructions.</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3"/>
        </w:trPr>
        <w:tc>
          <w:tcPr>
            <w:tcW w:w="52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9"/>
              </w:rPr>
              <w:t>Dollar amounts</w:t>
            </w:r>
          </w:p>
        </w:tc>
      </w:tr>
      <w:tr>
        <w:trPr>
          <w:trHeight w:val="183"/>
        </w:trPr>
        <w:tc>
          <w:tcPr>
            <w:tcW w:w="52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9"/>
              </w:rPr>
              <w:t>in thousands</w:t>
            </w:r>
          </w:p>
        </w:tc>
      </w:tr>
      <w:tr>
        <w:trPr>
          <w:trHeight w:val="139"/>
        </w:trPr>
        <w:tc>
          <w:tcPr>
            <w:tcW w:w="9720" w:type="dxa"/>
            <w:vAlign w:val="bottom"/>
            <w:tcBorders>
              <w:top w:val="single" w:sz="8" w:color="CCEEFF"/>
            </w:tcBorders>
            <w:gridSpan w:val="2"/>
            <w:shd w:val="clear" w:color="auto" w:fill="CCEEFF"/>
          </w:tcPr>
          <w:p>
            <w:pPr>
              <w:spacing w:after="0" w:line="127" w:lineRule="exact"/>
              <w:rPr>
                <w:sz w:val="20"/>
                <w:szCs w:val="20"/>
                <w:color w:val="auto"/>
              </w:rPr>
            </w:pPr>
            <w:r>
              <w:rPr>
                <w:rFonts w:ascii="Times New Roman" w:cs="Times New Roman" w:eastAsia="Times New Roman" w:hAnsi="Times New Roman"/>
                <w:sz w:val="14"/>
                <w:szCs w:val="14"/>
                <w:color w:val="auto"/>
              </w:rPr>
              <w:t>ASSETS</w:t>
            </w:r>
          </w:p>
        </w:tc>
        <w:tc>
          <w:tcPr>
            <w:tcW w:w="18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68"/>
        </w:trPr>
        <w:tc>
          <w:tcPr>
            <w:tcW w:w="520" w:type="dxa"/>
            <w:vAlign w:val="bottom"/>
            <w:tcBorders>
              <w:top w:val="single" w:sz="8" w:color="auto"/>
            </w:tcBorders>
          </w:tcPr>
          <w:p>
            <w:pPr>
              <w:spacing w:after="0"/>
              <w:rPr>
                <w:sz w:val="14"/>
                <w:szCs w:val="14"/>
                <w:color w:val="auto"/>
              </w:rPr>
            </w:pPr>
          </w:p>
        </w:tc>
        <w:tc>
          <w:tcPr>
            <w:tcW w:w="920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28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68"/>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balances due from depository institutions:</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Noninterest-bearing balances and currency and coin</w:t>
            </w:r>
          </w:p>
        </w:tc>
        <w:tc>
          <w:tcPr>
            <w:tcW w:w="18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34,663</w:t>
            </w:r>
          </w:p>
        </w:tc>
      </w:tr>
      <w:tr>
        <w:trPr>
          <w:trHeight w:val="168"/>
        </w:trPr>
        <w:tc>
          <w:tcPr>
            <w:tcW w:w="9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Interest-bearing balances</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219,768</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9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Held-to-maturity securities</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Available-for-sale debt securities</w:t>
            </w:r>
          </w:p>
        </w:tc>
        <w:tc>
          <w:tcPr>
            <w:tcW w:w="18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98,977</w:t>
            </w:r>
          </w:p>
        </w:tc>
      </w:tr>
      <w:tr>
        <w:trPr>
          <w:trHeight w:val="168"/>
        </w:trPr>
        <w:tc>
          <w:tcPr>
            <w:tcW w:w="9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Equity securities with readily determinable fair values not held for trading</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Federal funds sold and securities purchased under agreements to resell:</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9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Federal funds sold in domestic offices</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r>
      <w:tr>
        <w:trPr>
          <w:trHeight w:val="168"/>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and lease financing receivables:</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Loans and leases held for sale</w:t>
            </w: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r>
      <w:tr>
        <w:trPr>
          <w:trHeight w:val="168"/>
        </w:trPr>
        <w:tc>
          <w:tcPr>
            <w:tcW w:w="9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Loans and leases held for investment</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LESS: Allowance for credit losses on loans and leases</w:t>
            </w: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r>
      <w:tr>
        <w:trPr>
          <w:trHeight w:val="168"/>
        </w:trPr>
        <w:tc>
          <w:tcPr>
            <w:tcW w:w="97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Loans and leases held for investment, net of allowance</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Trading assets</w:t>
            </w: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r>
      <w:tr>
        <w:trPr>
          <w:trHeight w:val="168"/>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Premises and fixed assets (including right-of-use assets)</w:t>
            </w:r>
          </w:p>
        </w:tc>
        <w:tc>
          <w:tcPr>
            <w:tcW w:w="1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13,036</w:t>
            </w:r>
          </w:p>
        </w:tc>
      </w:tr>
      <w:tr>
        <w:trPr>
          <w:trHeight w:val="168"/>
        </w:trPr>
        <w:tc>
          <w:tcPr>
            <w:tcW w:w="9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real estate owned</w:t>
            </w: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r>
      <w:tr>
        <w:trPr>
          <w:trHeight w:val="168"/>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Investments in unconsolidated subsidiaries and associated companies</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Direct and indirect investments in real estate ventures</w:t>
            </w:r>
          </w:p>
        </w:tc>
        <w:tc>
          <w:tcPr>
            <w:tcW w:w="1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r>
      <w:tr>
        <w:trPr>
          <w:trHeight w:val="168"/>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856,313</w:t>
            </w:r>
          </w:p>
        </w:tc>
        <w:tc>
          <w:tcPr>
            <w:tcW w:w="100" w:type="dxa"/>
            <w:vAlign w:val="bottom"/>
            <w:shd w:val="clear" w:color="auto" w:fill="CCEEFF"/>
          </w:tcPr>
          <w:p>
            <w:pPr>
              <w:spacing w:after="0"/>
              <w:rPr>
                <w:sz w:val="14"/>
                <w:szCs w:val="14"/>
                <w:color w:val="auto"/>
              </w:rPr>
            </w:pPr>
          </w:p>
        </w:tc>
      </w:tr>
      <w:tr>
        <w:trPr>
          <w:trHeight w:val="179"/>
        </w:trPr>
        <w:tc>
          <w:tcPr>
            <w:tcW w:w="9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128,734</w:t>
            </w:r>
          </w:p>
        </w:tc>
        <w:tc>
          <w:tcPr>
            <w:tcW w:w="100" w:type="dxa"/>
            <w:vAlign w:val="bottom"/>
            <w:tcBorders>
              <w:bottom w:val="single" w:sz="8" w:color="CCEEFF"/>
            </w:tcBorders>
          </w:tcPr>
          <w:p>
            <w:pPr>
              <w:spacing w:after="0"/>
              <w:rPr>
                <w:sz w:val="15"/>
                <w:szCs w:val="15"/>
                <w:color w:val="auto"/>
              </w:rPr>
            </w:pPr>
          </w:p>
        </w:tc>
      </w:tr>
      <w:tr>
        <w:trPr>
          <w:trHeight w:val="159"/>
        </w:trPr>
        <w:tc>
          <w:tcPr>
            <w:tcW w:w="520" w:type="dxa"/>
            <w:vAlign w:val="bottom"/>
            <w:shd w:val="clear" w:color="auto" w:fill="CCEEFF"/>
          </w:tcPr>
          <w:p>
            <w:pPr>
              <w:spacing w:after="0"/>
              <w:rPr>
                <w:sz w:val="13"/>
                <w:szCs w:val="13"/>
                <w:color w:val="auto"/>
              </w:rPr>
            </w:pPr>
          </w:p>
        </w:tc>
        <w:tc>
          <w:tcPr>
            <w:tcW w:w="9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89"/>
        </w:trPr>
        <w:tc>
          <w:tcPr>
            <w:tcW w:w="9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1,351,491</w:t>
            </w:r>
          </w:p>
        </w:tc>
        <w:tc>
          <w:tcPr>
            <w:tcW w:w="100" w:type="dxa"/>
            <w:vAlign w:val="bottom"/>
          </w:tcPr>
          <w:p>
            <w:pPr>
              <w:spacing w:after="0"/>
              <w:rPr>
                <w:sz w:val="16"/>
                <w:szCs w:val="16"/>
                <w:color w:val="auto"/>
              </w:rPr>
            </w:pPr>
          </w:p>
        </w:tc>
      </w:tr>
      <w:tr>
        <w:trPr>
          <w:trHeight w:val="20"/>
        </w:trPr>
        <w:tc>
          <w:tcPr>
            <w:tcW w:w="5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8"/>
        </w:trPr>
        <w:tc>
          <w:tcPr>
            <w:tcW w:w="520" w:type="dxa"/>
            <w:vAlign w:val="bottom"/>
            <w:tcBorders>
              <w:bottom w:val="single" w:sz="8" w:color="auto"/>
            </w:tcBorders>
          </w:tcPr>
          <w:p>
            <w:pPr>
              <w:spacing w:after="0"/>
              <w:rPr>
                <w:sz w:val="24"/>
                <w:szCs w:val="24"/>
                <w:color w:val="auto"/>
              </w:rPr>
            </w:pPr>
          </w:p>
        </w:tc>
        <w:tc>
          <w:tcPr>
            <w:tcW w:w="9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65" w:right="319" w:bottom="1440" w:gutter="0" w:footer="0" w:header="0"/>
        </w:sectPr>
      </w:pPr>
    </w:p>
    <w:bookmarkStart w:id="127" w:name="page128"/>
    <w:bookmarkEnd w:id="1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LIABILITIES</w:t>
            </w: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68"/>
        </w:trPr>
        <w:tc>
          <w:tcPr>
            <w:tcW w:w="800" w:type="dxa"/>
            <w:vAlign w:val="bottom"/>
            <w:tcBorders>
              <w:top w:val="single" w:sz="8" w:color="auto"/>
            </w:tcBorders>
          </w:tcPr>
          <w:p>
            <w:pPr>
              <w:spacing w:after="0"/>
              <w:rPr>
                <w:sz w:val="14"/>
                <w:szCs w:val="14"/>
                <w:color w:val="auto"/>
              </w:rPr>
            </w:pPr>
          </w:p>
        </w:tc>
        <w:tc>
          <w:tcPr>
            <w:tcW w:w="340" w:type="dxa"/>
            <w:vAlign w:val="bottom"/>
            <w:tcBorders>
              <w:top w:val="single" w:sz="8" w:color="CCEEFF"/>
            </w:tcBorders>
          </w:tcPr>
          <w:p>
            <w:pPr>
              <w:spacing w:after="0"/>
              <w:rPr>
                <w:sz w:val="14"/>
                <w:szCs w:val="14"/>
                <w:color w:val="auto"/>
              </w:rPr>
            </w:pPr>
          </w:p>
        </w:tc>
        <w:tc>
          <w:tcPr>
            <w:tcW w:w="8580" w:type="dxa"/>
            <w:vAlign w:val="bottom"/>
            <w:tcBorders>
              <w:top w:val="single" w:sz="8" w:color="CCEEFF"/>
            </w:tcBorders>
          </w:tcPr>
          <w:p>
            <w:pPr>
              <w:spacing w:after="0"/>
              <w:rPr>
                <w:sz w:val="14"/>
                <w:szCs w:val="14"/>
                <w:color w:val="auto"/>
              </w:rPr>
            </w:pPr>
          </w:p>
        </w:tc>
        <w:tc>
          <w:tcPr>
            <w:tcW w:w="14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68"/>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Deposits:</w:t>
            </w: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In domestic offices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100" w:type="dxa"/>
            <w:vAlign w:val="bottom"/>
          </w:tcPr>
          <w:p>
            <w:pPr>
              <w:spacing w:after="0"/>
              <w:rPr>
                <w:sz w:val="14"/>
                <w:szCs w:val="14"/>
                <w:color w:val="auto"/>
              </w:rPr>
            </w:pPr>
          </w:p>
        </w:tc>
      </w:tr>
      <w:tr>
        <w:trPr>
          <w:trHeight w:val="168"/>
        </w:trPr>
        <w:tc>
          <w:tcPr>
            <w:tcW w:w="972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Noninterest-bearing</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ind w:left="500"/>
              <w:spacing w:after="0"/>
              <w:rPr>
                <w:sz w:val="20"/>
                <w:szCs w:val="20"/>
                <w:color w:val="auto"/>
              </w:rPr>
            </w:pPr>
            <w:r>
              <w:rPr>
                <w:rFonts w:ascii="Times New Roman" w:cs="Times New Roman" w:eastAsia="Times New Roman" w:hAnsi="Times New Roman"/>
                <w:sz w:val="14"/>
                <w:szCs w:val="14"/>
                <w:color w:val="auto"/>
              </w:rPr>
              <w:t>Interest-bearing</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r>
      <w:tr>
        <w:trPr>
          <w:trHeight w:val="168"/>
        </w:trPr>
        <w:tc>
          <w:tcPr>
            <w:tcW w:w="8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5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Federal funds purchased and securities sold under agreements to repurchase:</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972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Federal funds purchased in domestic offices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ind w:left="50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r>
      <w:tr>
        <w:trPr>
          <w:trHeight w:val="168"/>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Trading liabilities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Other borrowed money:</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(includes mortgage indebtedness)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Subordinated notes and debentures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r>
      <w:tr>
        <w:trPr>
          <w:trHeight w:val="168"/>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268,400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269,820</w:t>
            </w:r>
          </w:p>
        </w:tc>
        <w:tc>
          <w:tcPr>
            <w:tcW w:w="100" w:type="dxa"/>
            <w:vAlign w:val="bottom"/>
          </w:tcPr>
          <w:p>
            <w:pPr>
              <w:spacing w:after="0"/>
              <w:rPr>
                <w:sz w:val="14"/>
                <w:szCs w:val="14"/>
                <w:color w:val="auto"/>
              </w:rPr>
            </w:pPr>
          </w:p>
        </w:tc>
      </w:tr>
      <w:tr>
        <w:trPr>
          <w:trHeight w:val="168"/>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Not applicable</w:t>
            </w: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9720" w:type="dxa"/>
            <w:vAlign w:val="bottom"/>
            <w:gridSpan w:val="3"/>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EQUITY CAPITAL</w:t>
            </w: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8"/>
        </w:trPr>
        <w:tc>
          <w:tcPr>
            <w:tcW w:w="8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580" w:type="dxa"/>
            <w:vAlign w:val="bottom"/>
            <w:tcBorders>
              <w:top w:val="single" w:sz="8" w:color="CCEEFF"/>
            </w:tcBorders>
          </w:tcPr>
          <w:p>
            <w:pPr>
              <w:spacing w:after="0"/>
              <w:rPr>
                <w:sz w:val="14"/>
                <w:szCs w:val="14"/>
                <w:color w:val="auto"/>
              </w:rPr>
            </w:pPr>
          </w:p>
        </w:tc>
        <w:tc>
          <w:tcPr>
            <w:tcW w:w="146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168"/>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Perpetual preferred stock and related surplus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4"/>
                <w:szCs w:val="14"/>
                <w:color w:val="auto"/>
              </w:rPr>
            </w:pPr>
          </w:p>
        </w:tc>
      </w:tr>
      <w:tr>
        <w:trPr>
          <w:trHeight w:val="168"/>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Surplus (exclude all surplus related to preferred stock)</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108,284</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 available</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97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Retained earnings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972,372</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4"/>
                <w:szCs w:val="14"/>
                <w:color w:val="auto"/>
              </w:rPr>
            </w:pPr>
          </w:p>
        </w:tc>
      </w:tr>
      <w:tr>
        <w:trPr>
          <w:trHeight w:val="168"/>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equity capital components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Not available</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8"/>
        </w:trPr>
        <w:tc>
          <w:tcPr>
            <w:tcW w:w="97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bank equity capital</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1,081,671</w:t>
            </w:r>
          </w:p>
        </w:tc>
        <w:tc>
          <w:tcPr>
            <w:tcW w:w="100" w:type="dxa"/>
            <w:vAlign w:val="bottom"/>
            <w:shd w:val="clear" w:color="auto" w:fill="CCEEFF"/>
          </w:tcPr>
          <w:p>
            <w:pPr>
              <w:spacing w:after="0"/>
              <w:rPr>
                <w:sz w:val="14"/>
                <w:szCs w:val="14"/>
                <w:color w:val="auto"/>
              </w:rPr>
            </w:pPr>
          </w:p>
        </w:tc>
      </w:tr>
      <w:tr>
        <w:trPr>
          <w:trHeight w:val="168"/>
        </w:trPr>
        <w:tc>
          <w:tcPr>
            <w:tcW w:w="97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Noncontrolling (minority) interests in consolidated subsidiaries</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4"/>
                <w:szCs w:val="14"/>
                <w:color w:val="auto"/>
              </w:rPr>
            </w:pPr>
          </w:p>
        </w:tc>
      </w:tr>
      <w:tr>
        <w:trPr>
          <w:trHeight w:val="179"/>
        </w:trPr>
        <w:tc>
          <w:tcPr>
            <w:tcW w:w="9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equity capital</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1,081,671</w:t>
            </w:r>
          </w:p>
        </w:tc>
        <w:tc>
          <w:tcPr>
            <w:tcW w:w="100" w:type="dxa"/>
            <w:vAlign w:val="bottom"/>
            <w:shd w:val="clear" w:color="auto" w:fill="CCEEFF"/>
          </w:tcPr>
          <w:p>
            <w:pPr>
              <w:spacing w:after="0"/>
              <w:rPr>
                <w:sz w:val="15"/>
                <w:szCs w:val="15"/>
                <w:color w:val="auto"/>
              </w:rPr>
            </w:pPr>
          </w:p>
        </w:tc>
      </w:tr>
      <w:tr>
        <w:trPr>
          <w:trHeight w:val="169"/>
        </w:trPr>
        <w:tc>
          <w:tcPr>
            <w:tcW w:w="9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liabilities and equity capital</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1,351,491</w:t>
            </w:r>
          </w:p>
        </w:tc>
        <w:tc>
          <w:tcPr>
            <w:tcW w:w="100" w:type="dxa"/>
            <w:vAlign w:val="bottom"/>
          </w:tcPr>
          <w:p>
            <w:pPr>
              <w:spacing w:after="0"/>
              <w:rPr>
                <w:sz w:val="14"/>
                <w:szCs w:val="14"/>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80" w:firstLine="505"/>
        <w:spacing w:after="0" w:line="283" w:lineRule="auto"/>
        <w:rPr>
          <w:sz w:val="20"/>
          <w:szCs w:val="20"/>
          <w:color w:val="auto"/>
        </w:rPr>
      </w:pPr>
      <w:r>
        <w:rPr>
          <w:rFonts w:ascii="Times New Roman" w:cs="Times New Roman" w:eastAsia="Times New Roman" w:hAnsi="Times New Roman"/>
          <w:sz w:val="14"/>
          <w:szCs w:val="14"/>
          <w:color w:val="auto"/>
        </w:rPr>
        <w:t>I, Natalie Bobnar, CFO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spacing w:after="0" w:line="125" w:lineRule="exact"/>
        <w:rPr>
          <w:sz w:val="20"/>
          <w:szCs w:val="20"/>
          <w:color w:val="auto"/>
        </w:rPr>
      </w:pPr>
    </w:p>
    <w:p>
      <w:pPr>
        <w:ind w:left="500"/>
        <w:spacing w:after="0"/>
        <w:tabs>
          <w:tab w:leader="none" w:pos="1560" w:val="left"/>
          <w:tab w:leader="none" w:pos="1980" w:val="left"/>
        </w:tabs>
        <w:rPr>
          <w:sz w:val="20"/>
          <w:szCs w:val="20"/>
          <w:color w:val="auto"/>
        </w:rPr>
      </w:pPr>
      <w:r>
        <w:rPr>
          <w:rFonts w:ascii="Times New Roman" w:cs="Times New Roman" w:eastAsia="Times New Roman" w:hAnsi="Times New Roman"/>
          <w:sz w:val="14"/>
          <w:szCs w:val="14"/>
          <w:color w:val="auto"/>
        </w:rPr>
        <w:t>Natalie Bobnar</w:t>
        <w:tab/>
        <w:t>)</w:t>
      </w:r>
      <w:r>
        <w:rPr>
          <w:sz w:val="20"/>
          <w:szCs w:val="20"/>
          <w:color w:val="auto"/>
        </w:rPr>
        <w:tab/>
      </w:r>
      <w:r>
        <w:rPr>
          <w:rFonts w:ascii="Times New Roman" w:cs="Times New Roman" w:eastAsia="Times New Roman" w:hAnsi="Times New Roman"/>
          <w:sz w:val="14"/>
          <w:szCs w:val="14"/>
          <w:color w:val="auto"/>
        </w:rPr>
        <w:t>CFO</w:t>
      </w:r>
    </w:p>
    <w:p>
      <w:pPr>
        <w:spacing w:after="0" w:line="176" w:lineRule="exact"/>
        <w:rPr>
          <w:sz w:val="20"/>
          <w:szCs w:val="20"/>
          <w:color w:val="auto"/>
        </w:rPr>
      </w:pPr>
    </w:p>
    <w:p>
      <w:pPr>
        <w:ind w:right="20" w:firstLine="505"/>
        <w:spacing w:after="0" w:line="283" w:lineRule="auto"/>
        <w:rPr>
          <w:sz w:val="20"/>
          <w:szCs w:val="20"/>
          <w:color w:val="auto"/>
        </w:rPr>
      </w:pPr>
      <w:r>
        <w:rPr>
          <w:rFonts w:ascii="Times New Roman" w:cs="Times New Roman" w:eastAsia="Times New Roman" w:hAnsi="Times New Roman"/>
          <w:sz w:val="14"/>
          <w:szCs w:val="14"/>
          <w:color w:val="auto"/>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3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Elizabeth Lyndon, Managing Director</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7020" w:type="dxa"/>
            <w:vAlign w:val="bottom"/>
          </w:tcPr>
          <w:p>
            <w:pPr>
              <w:spacing w:after="0"/>
              <w:rPr>
                <w:sz w:val="14"/>
                <w:szCs w:val="14"/>
                <w:color w:val="auto"/>
              </w:rPr>
            </w:pPr>
          </w:p>
        </w:tc>
      </w:tr>
      <w:tr>
        <w:trPr>
          <w:trHeight w:val="168"/>
        </w:trPr>
        <w:tc>
          <w:tcPr>
            <w:tcW w:w="33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Kevin C. Weeks, President</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7020" w:type="dxa"/>
            <w:vAlign w:val="bottom"/>
          </w:tcPr>
          <w:p>
            <w:pPr>
              <w:jc w:val="right"/>
              <w:ind w:right="5570"/>
              <w:spacing w:after="0"/>
              <w:rPr>
                <w:sz w:val="20"/>
                <w:szCs w:val="20"/>
                <w:color w:val="auto"/>
              </w:rPr>
            </w:pPr>
            <w:r>
              <w:rPr>
                <w:rFonts w:ascii="Times New Roman" w:cs="Times New Roman" w:eastAsia="Times New Roman" w:hAnsi="Times New Roman"/>
                <w:sz w:val="14"/>
                <w:szCs w:val="14"/>
                <w:color w:val="auto"/>
              </w:rPr>
              <w:t>Directors (Trustees)</w:t>
            </w:r>
          </w:p>
        </w:tc>
      </w:tr>
      <w:tr>
        <w:trPr>
          <w:trHeight w:val="183"/>
        </w:trPr>
        <w:tc>
          <w:tcPr>
            <w:tcW w:w="33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Fernando A. Costa, Managing Director</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7020" w:type="dxa"/>
            <w:vAlign w:val="bottom"/>
          </w:tcPr>
          <w:p>
            <w:pPr>
              <w:spacing w:after="0"/>
              <w:rPr>
                <w:sz w:val="15"/>
                <w:szCs w:val="15"/>
                <w:color w:val="auto"/>
              </w:rPr>
            </w:pPr>
          </w:p>
        </w:tc>
      </w:tr>
      <w:tr>
        <w:trPr>
          <w:trHeight w:val="526"/>
        </w:trPr>
        <w:tc>
          <w:tcPr>
            <w:tcW w:w="3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jc w:val="right"/>
              <w:ind w:right="5530"/>
              <w:spacing w:after="0"/>
              <w:rPr>
                <w:sz w:val="20"/>
                <w:szCs w:val="20"/>
                <w:color w:val="auto"/>
              </w:rPr>
            </w:pPr>
            <w:r>
              <w:rPr>
                <w:rFonts w:ascii="Times New Roman" w:cs="Times New Roman" w:eastAsia="Times New Roman" w:hAnsi="Times New Roman"/>
                <w:sz w:val="14"/>
                <w:szCs w:val="14"/>
                <w:color w:val="auto"/>
              </w:rPr>
              <w:t>2</w:t>
            </w:r>
          </w:p>
        </w:tc>
      </w:tr>
    </w:tbl>
    <w:p>
      <w:pPr>
        <w:sectPr>
          <w:pgSz w:w="11900" w:h="16838" w:orient="portrait"/>
          <w:cols w:equalWidth="0" w:num="1">
            <w:col w:w="11280"/>
          </w:cols>
          <w:pgMar w:left="300" w:top="726" w:right="319" w:bottom="1440" w:gutter="0" w:footer="0" w:header="0"/>
        </w:sectPr>
      </w:pPr>
    </w:p>
    <w:bookmarkStart w:id="128" w:name="page129"/>
    <w:bookmarkEnd w:id="128"/>
    <w:p>
      <w:pPr>
        <w:spacing w:after="0" w:line="54" w:lineRule="exact"/>
        <w:rPr>
          <w:sz w:val="20"/>
          <w:szCs w:val="20"/>
          <w:color w:val="auto"/>
        </w:rPr>
      </w:pPr>
    </w:p>
    <w:p>
      <w:pPr>
        <w:ind w:left="3460"/>
        <w:spacing w:after="0"/>
        <w:rPr>
          <w:sz w:val="20"/>
          <w:szCs w:val="20"/>
          <w:color w:val="auto"/>
        </w:rPr>
      </w:pPr>
      <w:r>
        <w:rPr>
          <w:rFonts w:ascii="Arial" w:cs="Arial" w:eastAsia="Arial" w:hAnsi="Arial"/>
          <w:sz w:val="28"/>
          <w:szCs w:val="28"/>
          <w:b w:val="1"/>
          <w:bCs w:val="1"/>
          <w:color w:val="auto"/>
        </w:rPr>
        <w:t>Calculation of Filing Fee Tables</w:t>
      </w:r>
    </w:p>
    <w:p>
      <w:pPr>
        <w:spacing w:after="0" w:line="173" w:lineRule="exact"/>
        <w:rPr>
          <w:sz w:val="20"/>
          <w:szCs w:val="20"/>
          <w:color w:val="auto"/>
        </w:rPr>
      </w:pPr>
    </w:p>
    <w:p>
      <w:pPr>
        <w:ind w:left="5320"/>
        <w:spacing w:after="0"/>
        <w:rPr>
          <w:sz w:val="20"/>
          <w:szCs w:val="20"/>
          <w:color w:val="auto"/>
        </w:rPr>
      </w:pPr>
      <w:r>
        <w:rPr>
          <w:rFonts w:ascii="Arial" w:cs="Arial" w:eastAsia="Arial" w:hAnsi="Arial"/>
          <w:sz w:val="28"/>
          <w:szCs w:val="28"/>
          <w:b w:val="1"/>
          <w:bCs w:val="1"/>
          <w:color w:val="auto"/>
        </w:rPr>
        <w:t>S-3</w:t>
      </w:r>
    </w:p>
    <w:p>
      <w:pPr>
        <w:spacing w:after="0" w:line="99"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CENTERPOINT ENERGY INC</w:t>
      </w:r>
    </w:p>
    <w:p>
      <w:pPr>
        <w:spacing w:after="0" w:line="101" w:lineRule="exact"/>
        <w:rPr>
          <w:sz w:val="20"/>
          <w:szCs w:val="20"/>
          <w:color w:val="auto"/>
        </w:rPr>
      </w:pPr>
    </w:p>
    <w:p>
      <w:pPr>
        <w:spacing w:after="0" w:line="196" w:lineRule="exact"/>
        <w:tabs>
          <w:tab w:leader="none" w:pos="9860" w:val="left"/>
        </w:tabs>
        <w:rPr>
          <w:sz w:val="20"/>
          <w:szCs w:val="20"/>
          <w:color w:val="auto"/>
        </w:rPr>
      </w:pPr>
      <w:r>
        <w:rPr>
          <w:rFonts w:ascii="Arial" w:cs="Arial" w:eastAsia="Arial" w:hAnsi="Arial"/>
          <w:sz w:val="17"/>
          <w:szCs w:val="17"/>
          <w:b w:val="1"/>
          <w:bCs w:val="1"/>
          <w:color w:val="auto"/>
        </w:rPr>
        <w:t>Table 1: Newly Registered and Carry Forward Securities</w:t>
      </w:r>
      <w:r>
        <w:rPr>
          <w:sz w:val="20"/>
          <w:szCs w:val="20"/>
          <w:color w:val="auto"/>
        </w:rPr>
        <w:tab/>
      </w: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50800</wp:posOffset>
            </wp:positionV>
            <wp:extent cx="7214235" cy="94894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5">
                      <a:extLst>
                        <a:ext uri="{28A0092B-C50C-407E-A947-70E740481C1C}"/>
                      </a:extLst>
                    </a:blip>
                    <a:srcRect/>
                    <a:stretch>
                      <a:fillRect/>
                    </a:stretch>
                  </pic:blipFill>
                  <pic:spPr bwMode="auto">
                    <a:xfrm>
                      <a:off x="0" y="0"/>
                      <a:ext cx="7214235" cy="9489440"/>
                    </a:xfrm>
                    <a:prstGeom prst="rect">
                      <a:avLst/>
                    </a:prstGeom>
                    <a:noFill/>
                  </pic:spPr>
                </pic:pic>
              </a:graphicData>
            </a:graphic>
          </wp:anchor>
        </w:drawing>
      </w:r>
    </w:p>
    <w:p>
      <w:pPr>
        <w:sectPr>
          <w:pgSz w:w="11900" w:h="16892" w:orient="portrait"/>
          <w:cols w:equalWidth="0" w:num="1">
            <w:col w:w="11280"/>
          </w:cols>
          <w:pgMar w:left="340" w:top="142" w:right="279" w:bottom="0" w:gutter="0" w:footer="0" w:header="0"/>
        </w:sectPr>
      </w:pPr>
    </w:p>
    <w:p>
      <w:pPr>
        <w:spacing w:after="0" w:line="116" w:lineRule="exact"/>
        <w:rPr>
          <w:sz w:val="20"/>
          <w:szCs w:val="20"/>
          <w:color w:val="auto"/>
        </w:rPr>
      </w:pPr>
    </w:p>
    <w:tbl>
      <w:tblPr>
        <w:tblLayout w:type="fixed"/>
        <w:tblInd w:w="960" w:type="dxa"/>
        <w:tblCellMar>
          <w:top w:w="0" w:type="dxa"/>
          <w:left w:w="0" w:type="dxa"/>
          <w:bottom w:w="0" w:type="dxa"/>
          <w:right w:w="0" w:type="dxa"/>
        </w:tblCellMar>
      </w:tblPr>
      <w:tr>
        <w:trPr>
          <w:trHeight w:val="652"/>
        </w:trPr>
        <w:tc>
          <w:tcPr>
            <w:tcW w:w="6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24"/>
                <w:szCs w:val="24"/>
                <w:color w:val="auto"/>
              </w:rPr>
            </w:pPr>
          </w:p>
        </w:tc>
        <w:tc>
          <w:tcPr>
            <w:tcW w:w="9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24"/>
                <w:szCs w:val="24"/>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24"/>
                <w:szCs w:val="24"/>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0" w:type="dxa"/>
            <w:vAlign w:val="bottom"/>
          </w:tcPr>
          <w:p>
            <w:pPr>
              <w:spacing w:after="0"/>
              <w:rPr>
                <w:sz w:val="1"/>
                <w:szCs w:val="1"/>
                <w:color w:val="auto"/>
              </w:rPr>
            </w:pPr>
          </w:p>
        </w:tc>
      </w:tr>
      <w:tr>
        <w:trPr>
          <w:trHeight w:val="168"/>
        </w:trPr>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10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8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20" w:type="dxa"/>
            <w:vAlign w:val="bottom"/>
            <w:shd w:val="clear" w:color="auto" w:fill="9ADAF6"/>
          </w:tcPr>
          <w:p>
            <w:pPr>
              <w:ind w:left="60"/>
              <w:spacing w:after="0" w:line="189" w:lineRule="exact"/>
              <w:rPr>
                <w:sz w:val="20"/>
                <w:szCs w:val="20"/>
                <w:color w:val="auto"/>
              </w:rPr>
            </w:pPr>
            <w:r>
              <w:rPr>
                <w:rFonts w:ascii="Arial" w:cs="Arial" w:eastAsia="Arial" w:hAnsi="Arial"/>
                <w:sz w:val="17"/>
                <w:szCs w:val="17"/>
                <w:b w:val="1"/>
                <w:bCs w:val="1"/>
                <w:color w:val="auto"/>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189"/>
        </w:trPr>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10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Class 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8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File</w:t>
            </w:r>
          </w:p>
        </w:tc>
        <w:tc>
          <w:tcPr>
            <w:tcW w:w="0" w:type="dxa"/>
            <w:vAlign w:val="bottom"/>
          </w:tcPr>
          <w:p>
            <w:pPr>
              <w:spacing w:after="0"/>
              <w:rPr>
                <w:sz w:val="1"/>
                <w:szCs w:val="1"/>
                <w:color w:val="auto"/>
              </w:rPr>
            </w:pPr>
          </w:p>
        </w:tc>
      </w:tr>
      <w:tr>
        <w:trPr>
          <w:trHeight w:val="189"/>
        </w:trPr>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8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0" w:type="dxa"/>
            <w:vAlign w:val="bottom"/>
          </w:tcPr>
          <w:p>
            <w:pPr>
              <w:spacing w:after="0"/>
              <w:rPr>
                <w:sz w:val="1"/>
                <w:szCs w:val="1"/>
                <w:color w:val="auto"/>
              </w:rPr>
            </w:pPr>
          </w:p>
        </w:tc>
      </w:tr>
      <w:tr>
        <w:trPr>
          <w:trHeight w:val="62"/>
        </w:trPr>
        <w:tc>
          <w:tcPr>
            <w:tcW w:w="68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vMerge w:val="continue"/>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vMerge w:val="continue"/>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9ADAF6"/>
          </w:tcPr>
          <w:p>
            <w:pPr>
              <w:spacing w:after="0"/>
              <w:rPr>
                <w:sz w:val="5"/>
                <w:szCs w:val="5"/>
                <w:color w:val="auto"/>
              </w:rPr>
            </w:pPr>
          </w:p>
        </w:tc>
        <w:tc>
          <w:tcPr>
            <w:tcW w:w="0" w:type="dxa"/>
            <w:vAlign w:val="bottom"/>
          </w:tcPr>
          <w:p>
            <w:pPr>
              <w:spacing w:after="0"/>
              <w:rPr>
                <w:sz w:val="1"/>
                <w:szCs w:val="1"/>
                <w:color w:val="auto"/>
              </w:rPr>
            </w:pPr>
          </w:p>
        </w:tc>
      </w:tr>
      <w:tr>
        <w:trPr>
          <w:trHeight w:val="464"/>
        </w:trPr>
        <w:tc>
          <w:tcPr>
            <w:tcW w:w="6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Newly Registered Securities</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Filing Fee</w:t>
      </w:r>
    </w:p>
    <w:p>
      <w:pPr>
        <w:spacing w:after="0" w:line="4"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Previously</w:t>
      </w:r>
    </w:p>
    <w:p>
      <w:pPr>
        <w:ind w:left="20" w:firstLine="112"/>
        <w:spacing w:after="0" w:line="219" w:lineRule="auto"/>
        <w:rPr>
          <w:sz w:val="20"/>
          <w:szCs w:val="20"/>
          <w:color w:val="auto"/>
        </w:rPr>
      </w:pPr>
      <w:r>
        <w:rPr>
          <w:rFonts w:ascii="Arial" w:cs="Arial" w:eastAsia="Arial" w:hAnsi="Arial"/>
          <w:sz w:val="23"/>
          <w:szCs w:val="23"/>
          <w:b w:val="1"/>
          <w:bCs w:val="1"/>
          <w:color w:val="auto"/>
          <w:vertAlign w:val="subscript"/>
        </w:rPr>
        <w:t>Carry</w:t>
      </w:r>
      <w:r>
        <w:rPr>
          <w:rFonts w:ascii="Arial" w:cs="Arial" w:eastAsia="Arial" w:hAnsi="Arial"/>
          <w:sz w:val="13"/>
          <w:szCs w:val="13"/>
          <w:b w:val="1"/>
          <w:bCs w:val="1"/>
          <w:color w:val="auto"/>
        </w:rPr>
        <w:t xml:space="preserve"> Paid in </w:t>
      </w:r>
      <w:r>
        <w:rPr>
          <w:rFonts w:ascii="Arial" w:cs="Arial" w:eastAsia="Arial" w:hAnsi="Arial"/>
          <w:sz w:val="23"/>
          <w:szCs w:val="23"/>
          <w:b w:val="1"/>
          <w:bCs w:val="1"/>
          <w:color w:val="auto"/>
          <w:vertAlign w:val="subscript"/>
        </w:rPr>
        <w:t>Forward</w:t>
      </w:r>
      <w:r>
        <w:rPr>
          <w:rFonts w:ascii="Arial" w:cs="Arial" w:eastAsia="Arial" w:hAnsi="Arial"/>
          <w:sz w:val="13"/>
          <w:szCs w:val="13"/>
          <w:b w:val="1"/>
          <w:bCs w:val="1"/>
          <w:color w:val="auto"/>
        </w:rPr>
        <w:t xml:space="preserve"> Connection</w:t>
      </w:r>
    </w:p>
    <w:p>
      <w:pPr>
        <w:spacing w:after="0" w:line="1" w:lineRule="exact"/>
        <w:rPr>
          <w:sz w:val="20"/>
          <w:szCs w:val="20"/>
          <w:color w:val="auto"/>
        </w:rPr>
      </w:pPr>
    </w:p>
    <w:p>
      <w:pPr>
        <w:ind w:right="180" w:firstLine="131"/>
        <w:spacing w:after="0" w:line="188" w:lineRule="auto"/>
        <w:rPr>
          <w:sz w:val="20"/>
          <w:szCs w:val="20"/>
          <w:color w:val="auto"/>
        </w:rPr>
      </w:pPr>
      <w:r>
        <w:rPr>
          <w:rFonts w:ascii="Arial" w:cs="Arial" w:eastAsia="Arial" w:hAnsi="Arial"/>
          <w:sz w:val="13"/>
          <w:szCs w:val="13"/>
          <w:b w:val="1"/>
          <w:bCs w:val="1"/>
          <w:color w:val="auto"/>
        </w:rPr>
        <w:t xml:space="preserve">Initial </w:t>
      </w:r>
      <w:r>
        <w:rPr>
          <w:rFonts w:ascii="Arial" w:cs="Arial" w:eastAsia="Arial" w:hAnsi="Arial"/>
          <w:sz w:val="21"/>
          <w:szCs w:val="21"/>
          <w:b w:val="1"/>
          <w:bCs w:val="1"/>
          <w:color w:val="auto"/>
          <w:vertAlign w:val="superscript"/>
        </w:rPr>
        <w:t>with</w:t>
      </w:r>
      <w:r>
        <w:rPr>
          <w:rFonts w:ascii="Arial" w:cs="Arial" w:eastAsia="Arial" w:hAnsi="Arial"/>
          <w:sz w:val="13"/>
          <w:szCs w:val="13"/>
          <w:b w:val="1"/>
          <w:bCs w:val="1"/>
          <w:color w:val="auto"/>
        </w:rPr>
        <w:t xml:space="preserve"> Effective </w:t>
      </w:r>
      <w:r>
        <w:rPr>
          <w:rFonts w:ascii="Arial" w:cs="Arial" w:eastAsia="Arial" w:hAnsi="Arial"/>
          <w:sz w:val="21"/>
          <w:szCs w:val="21"/>
          <w:b w:val="1"/>
          <w:bCs w:val="1"/>
          <w:color w:val="auto"/>
          <w:vertAlign w:val="superscript"/>
        </w:rPr>
        <w:t>Unsold</w:t>
      </w:r>
    </w:p>
    <w:p>
      <w:pPr>
        <w:ind w:left="160"/>
        <w:spacing w:after="0" w:line="180" w:lineRule="auto"/>
        <w:tabs>
          <w:tab w:leader="none" w:pos="780" w:val="left"/>
        </w:tabs>
        <w:rPr>
          <w:sz w:val="20"/>
          <w:szCs w:val="20"/>
          <w:color w:val="auto"/>
        </w:rPr>
      </w:pPr>
      <w:r>
        <w:rPr>
          <w:rFonts w:ascii="Arial" w:cs="Arial" w:eastAsia="Arial" w:hAnsi="Arial"/>
          <w:sz w:val="22"/>
          <w:szCs w:val="22"/>
          <w:b w:val="1"/>
          <w:bCs w:val="1"/>
          <w:color w:val="auto"/>
          <w:vertAlign w:val="subscript"/>
        </w:rPr>
        <w:t>Date</w:t>
      </w:r>
      <w:r>
        <w:rPr>
          <w:sz w:val="20"/>
          <w:szCs w:val="20"/>
          <w:color w:val="auto"/>
        </w:rPr>
        <w:tab/>
      </w:r>
      <w:r>
        <w:rPr>
          <w:rFonts w:ascii="Arial" w:cs="Arial" w:eastAsia="Arial" w:hAnsi="Arial"/>
          <w:sz w:val="13"/>
          <w:szCs w:val="13"/>
          <w:b w:val="1"/>
          <w:bCs w:val="1"/>
          <w:color w:val="auto"/>
        </w:rPr>
        <w:t>Securities</w:t>
      </w:r>
    </w:p>
    <w:p>
      <w:pPr>
        <w:ind w:left="1000"/>
        <w:spacing w:after="0" w:line="232" w:lineRule="auto"/>
        <w:rPr>
          <w:sz w:val="20"/>
          <w:szCs w:val="20"/>
          <w:color w:val="auto"/>
        </w:rPr>
      </w:pPr>
      <w:r>
        <w:rPr>
          <w:rFonts w:ascii="Arial" w:cs="Arial" w:eastAsia="Arial" w:hAnsi="Arial"/>
          <w:sz w:val="17"/>
          <w:szCs w:val="17"/>
          <w:b w:val="1"/>
          <w:bCs w:val="1"/>
          <w:color w:val="auto"/>
        </w:rPr>
        <w:t>to be</w:t>
      </w:r>
    </w:p>
    <w:p>
      <w:pPr>
        <w:ind w:left="900"/>
        <w:spacing w:after="0" w:line="233" w:lineRule="auto"/>
        <w:rPr>
          <w:sz w:val="20"/>
          <w:szCs w:val="20"/>
          <w:color w:val="auto"/>
        </w:rPr>
      </w:pPr>
      <w:r>
        <w:rPr>
          <w:rFonts w:ascii="Arial" w:cs="Arial" w:eastAsia="Arial" w:hAnsi="Arial"/>
          <w:sz w:val="17"/>
          <w:szCs w:val="17"/>
          <w:b w:val="1"/>
          <w:bCs w:val="1"/>
          <w:color w:val="auto"/>
        </w:rPr>
        <w:t>Carried</w:t>
      </w:r>
    </w:p>
    <w:p>
      <w:pPr>
        <w:ind w:left="880"/>
        <w:spacing w:after="0"/>
        <w:rPr>
          <w:sz w:val="20"/>
          <w:szCs w:val="20"/>
          <w:color w:val="auto"/>
        </w:rPr>
      </w:pPr>
      <w:r>
        <w:rPr>
          <w:rFonts w:ascii="Arial" w:cs="Arial" w:eastAsia="Arial" w:hAnsi="Arial"/>
          <w:sz w:val="17"/>
          <w:szCs w:val="17"/>
          <w:b w:val="1"/>
          <w:bCs w:val="1"/>
          <w:color w:val="auto"/>
        </w:rPr>
        <w:t>Forward</w:t>
      </w:r>
    </w:p>
    <w:p>
      <w:pPr>
        <w:spacing w:after="0" w:line="251" w:lineRule="exact"/>
        <w:rPr>
          <w:sz w:val="20"/>
          <w:szCs w:val="20"/>
          <w:color w:val="auto"/>
        </w:rPr>
      </w:pPr>
    </w:p>
    <w:p>
      <w:pPr>
        <w:sectPr>
          <w:pgSz w:w="11900" w:h="16892" w:orient="portrait"/>
          <w:cols w:equalWidth="0" w:num="2">
            <w:col w:w="9580" w:space="40"/>
            <w:col w:w="1660"/>
          </w:cols>
          <w:pgMar w:left="340" w:top="142" w:right="279" w:bottom="0" w:gutter="0" w:footer="0" w:header="0"/>
          <w:type w:val="continuous"/>
        </w:sectPr>
      </w:pPr>
    </w:p>
    <w:p>
      <w:pPr>
        <w:spacing w:after="0" w:line="379"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Fees to be Paid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Fees to be Paid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Fees to be Paid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Fees to be Paid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Fees to be Paid</w:t>
      </w:r>
    </w:p>
    <w:p>
      <w:pPr>
        <w:spacing w:after="0" w:line="200" w:lineRule="exact"/>
        <w:rPr>
          <w:sz w:val="20"/>
          <w:szCs w:val="20"/>
          <w:color w:val="auto"/>
        </w:rPr>
      </w:pPr>
    </w:p>
    <w:p>
      <w:pPr>
        <w:spacing w:after="0" w:line="263"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Fees to be Paid</w:t>
      </w:r>
    </w:p>
    <w:p>
      <w:pPr>
        <w:spacing w:after="0" w:line="368"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Fees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Fees to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Fees to be Paid</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color w:val="auto"/>
        </w:rPr>
        <w:t>Fees</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Previously</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Paid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ind w:left="140" w:hanging="133"/>
        <w:spacing w:after="0"/>
        <w:tabs>
          <w:tab w:leader="none" w:pos="14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Debt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8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2 Debt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8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3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4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color w:val="auto"/>
        </w:rPr>
        <w:t>5 Other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40" w:hanging="133"/>
        <w:spacing w:after="0"/>
        <w:tabs>
          <w:tab w:leader="none" w:pos="14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Other</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7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40" w:hanging="133"/>
        <w:spacing w:after="0"/>
        <w:tabs>
          <w:tab w:leader="none" w:pos="14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Debt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9 Debt</w:t>
      </w:r>
    </w:p>
    <w:p>
      <w:pPr>
        <w:spacing w:after="0" w:line="20" w:lineRule="exact"/>
        <w:rPr>
          <w:sz w:val="20"/>
          <w:szCs w:val="20"/>
          <w:color w:val="auto"/>
        </w:rPr>
      </w:pPr>
      <w:r>
        <w:rPr>
          <w:sz w:val="20"/>
          <w:szCs w:val="20"/>
          <w:color w:val="auto"/>
        </w:rPr>
        <w:br w:type="column"/>
      </w:r>
    </w:p>
    <w:p>
      <w:pPr>
        <w:jc w:val="both"/>
        <w:ind w:right="80"/>
        <w:spacing w:after="0" w:line="252" w:lineRule="auto"/>
        <w:rPr>
          <w:sz w:val="20"/>
          <w:szCs w:val="20"/>
          <w:color w:val="auto"/>
        </w:rPr>
      </w:pPr>
      <w:r>
        <w:rPr>
          <w:rFonts w:ascii="Arial" w:cs="Arial" w:eastAsia="Arial" w:hAnsi="Arial"/>
          <w:sz w:val="16"/>
          <w:szCs w:val="16"/>
          <w:color w:val="auto"/>
        </w:rPr>
        <w:t>Senior Debt Securities of CenterPoint Energy, Inc.</w:t>
      </w:r>
    </w:p>
    <w:p>
      <w:pPr>
        <w:spacing w:after="0" w:line="1"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("CenterPoint Energy")</w:t>
      </w:r>
    </w:p>
    <w:p>
      <w:pPr>
        <w:spacing w:after="0"/>
        <w:rPr>
          <w:sz w:val="20"/>
          <w:szCs w:val="20"/>
          <w:color w:val="auto"/>
        </w:rPr>
      </w:pPr>
      <w:r>
        <w:rPr>
          <w:rFonts w:ascii="Arial" w:cs="Arial" w:eastAsia="Arial" w:hAnsi="Arial"/>
          <w:sz w:val="17"/>
          <w:szCs w:val="17"/>
          <w:color w:val="auto"/>
        </w:rPr>
        <w:t>Junior</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Subordinated</w:t>
      </w:r>
    </w:p>
    <w:p>
      <w:pPr>
        <w:spacing w:after="0"/>
        <w:rPr>
          <w:sz w:val="20"/>
          <w:szCs w:val="20"/>
          <w:color w:val="auto"/>
        </w:rPr>
      </w:pPr>
      <w:r>
        <w:rPr>
          <w:rFonts w:ascii="Arial" w:cs="Arial" w:eastAsia="Arial" w:hAnsi="Arial"/>
          <w:sz w:val="17"/>
          <w:szCs w:val="17"/>
          <w:color w:val="auto"/>
        </w:rPr>
        <w:t>Debt</w:t>
      </w:r>
    </w:p>
    <w:p>
      <w:pPr>
        <w:spacing w:after="0" w:line="232" w:lineRule="auto"/>
        <w:rPr>
          <w:sz w:val="20"/>
          <w:szCs w:val="20"/>
          <w:color w:val="auto"/>
        </w:rPr>
      </w:pPr>
      <w:r>
        <w:rPr>
          <w:rFonts w:ascii="Arial" w:cs="Arial" w:eastAsia="Arial" w:hAnsi="Arial"/>
          <w:sz w:val="17"/>
          <w:szCs w:val="17"/>
          <w:color w:val="auto"/>
        </w:rPr>
        <w:t>Securities of</w:t>
      </w:r>
    </w:p>
    <w:p>
      <w:pPr>
        <w:spacing w:after="0" w:line="233" w:lineRule="auto"/>
        <w:rPr>
          <w:sz w:val="20"/>
          <w:szCs w:val="20"/>
          <w:color w:val="auto"/>
        </w:rPr>
      </w:pPr>
      <w:r>
        <w:rPr>
          <w:rFonts w:ascii="Arial" w:cs="Arial" w:eastAsia="Arial" w:hAnsi="Arial"/>
          <w:sz w:val="17"/>
          <w:szCs w:val="17"/>
          <w:color w:val="auto"/>
        </w:rPr>
        <w:t>CenterPoint</w:t>
      </w:r>
    </w:p>
    <w:p>
      <w:pPr>
        <w:spacing w:after="0"/>
        <w:rPr>
          <w:sz w:val="20"/>
          <w:szCs w:val="20"/>
          <w:color w:val="auto"/>
        </w:rPr>
      </w:pPr>
      <w:r>
        <w:rPr>
          <w:rFonts w:ascii="Arial" w:cs="Arial" w:eastAsia="Arial" w:hAnsi="Arial"/>
          <w:sz w:val="17"/>
          <w:szCs w:val="17"/>
          <w:color w:val="auto"/>
        </w:rPr>
        <w:t>Energy</w:t>
      </w:r>
    </w:p>
    <w:p>
      <w:pPr>
        <w:spacing w:after="0" w:line="20"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Common Stock of CenterPoint Energy, $0.01 par value</w:t>
      </w:r>
    </w:p>
    <w:p>
      <w:pPr>
        <w:spacing w:after="0" w:line="1"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Preferred Stock of CenterPoint Energy, $0.01 par value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Stock</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Purchase</w:t>
      </w:r>
    </w:p>
    <w:p>
      <w:pPr>
        <w:spacing w:after="0" w:line="232" w:lineRule="auto"/>
        <w:rPr>
          <w:sz w:val="20"/>
          <w:szCs w:val="20"/>
          <w:color w:val="auto"/>
        </w:rPr>
      </w:pPr>
      <w:r>
        <w:rPr>
          <w:rFonts w:ascii="Arial" w:cs="Arial" w:eastAsia="Arial" w:hAnsi="Arial"/>
          <w:sz w:val="17"/>
          <w:szCs w:val="17"/>
          <w:color w:val="auto"/>
        </w:rPr>
        <w:t>Contracts of</w:t>
      </w:r>
    </w:p>
    <w:p>
      <w:pPr>
        <w:spacing w:after="0" w:line="233" w:lineRule="auto"/>
        <w:rPr>
          <w:sz w:val="20"/>
          <w:szCs w:val="20"/>
          <w:color w:val="auto"/>
        </w:rPr>
      </w:pPr>
      <w:r>
        <w:rPr>
          <w:rFonts w:ascii="Arial" w:cs="Arial" w:eastAsia="Arial" w:hAnsi="Arial"/>
          <w:sz w:val="17"/>
          <w:szCs w:val="17"/>
          <w:color w:val="auto"/>
        </w:rPr>
        <w:t>CenterPoint</w:t>
      </w:r>
    </w:p>
    <w:p>
      <w:pPr>
        <w:spacing w:after="0"/>
        <w:rPr>
          <w:sz w:val="20"/>
          <w:szCs w:val="20"/>
          <w:color w:val="auto"/>
        </w:rPr>
      </w:pPr>
      <w:r>
        <w:rPr>
          <w:rFonts w:ascii="Arial" w:cs="Arial" w:eastAsia="Arial" w:hAnsi="Arial"/>
          <w:sz w:val="17"/>
          <w:szCs w:val="17"/>
          <w:color w:val="auto"/>
        </w:rPr>
        <w:t>Energy</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Equity Units</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of</w:t>
      </w:r>
    </w:p>
    <w:p>
      <w:pPr>
        <w:spacing w:after="0" w:line="232" w:lineRule="auto"/>
        <w:rPr>
          <w:sz w:val="20"/>
          <w:szCs w:val="20"/>
          <w:color w:val="auto"/>
        </w:rPr>
      </w:pPr>
      <w:r>
        <w:rPr>
          <w:rFonts w:ascii="Arial" w:cs="Arial" w:eastAsia="Arial" w:hAnsi="Arial"/>
          <w:sz w:val="17"/>
          <w:szCs w:val="17"/>
          <w:color w:val="auto"/>
        </w:rPr>
        <w:t>CenterPoint</w:t>
      </w:r>
    </w:p>
    <w:p>
      <w:pPr>
        <w:spacing w:after="0"/>
        <w:rPr>
          <w:sz w:val="20"/>
          <w:szCs w:val="20"/>
          <w:color w:val="auto"/>
        </w:rPr>
      </w:pPr>
      <w:r>
        <w:rPr>
          <w:rFonts w:ascii="Arial" w:cs="Arial" w:eastAsia="Arial" w:hAnsi="Arial"/>
          <w:sz w:val="17"/>
          <w:szCs w:val="17"/>
          <w:color w:val="auto"/>
        </w:rPr>
        <w:t>Energy</w:t>
      </w:r>
    </w:p>
    <w:p>
      <w:pPr>
        <w:spacing w:after="0" w:line="20"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Depositary Shares of CenterPoint Energy</w:t>
      </w:r>
    </w:p>
    <w:p>
      <w:pPr>
        <w:spacing w:after="0" w:line="2" w:lineRule="exact"/>
        <w:rPr>
          <w:sz w:val="20"/>
          <w:szCs w:val="20"/>
          <w:color w:val="auto"/>
        </w:rPr>
      </w:pPr>
    </w:p>
    <w:p>
      <w:pPr>
        <w:ind w:right="280"/>
        <w:spacing w:after="0" w:line="242" w:lineRule="auto"/>
        <w:rPr>
          <w:sz w:val="20"/>
          <w:szCs w:val="20"/>
          <w:color w:val="auto"/>
        </w:rPr>
      </w:pPr>
      <w:r>
        <w:rPr>
          <w:rFonts w:ascii="Arial" w:cs="Arial" w:eastAsia="Arial" w:hAnsi="Arial"/>
          <w:sz w:val="17"/>
          <w:szCs w:val="17"/>
          <w:color w:val="auto"/>
        </w:rPr>
        <w:t>General Mortgage</w:t>
      </w:r>
    </w:p>
    <w:p>
      <w:pPr>
        <w:spacing w:after="0" w:line="1"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Bonds of CenterPoint Energy Houston Electric, LLC ("Houston Electric")</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Senior Debt</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Securities of</w:t>
      </w:r>
    </w:p>
    <w:p>
      <w:pPr>
        <w:spacing w:after="0" w:line="232" w:lineRule="auto"/>
        <w:rPr>
          <w:sz w:val="20"/>
          <w:szCs w:val="20"/>
          <w:color w:val="auto"/>
        </w:rPr>
      </w:pPr>
      <w:r>
        <w:rPr>
          <w:rFonts w:ascii="Arial" w:cs="Arial" w:eastAsia="Arial" w:hAnsi="Arial"/>
          <w:sz w:val="17"/>
          <w:szCs w:val="17"/>
          <w:color w:val="auto"/>
        </w:rPr>
        <w:t>CenterPoint</w:t>
      </w:r>
    </w:p>
    <w:p>
      <w:pPr>
        <w:spacing w:after="0" w:line="233" w:lineRule="auto"/>
        <w:rPr>
          <w:sz w:val="20"/>
          <w:szCs w:val="20"/>
          <w:color w:val="auto"/>
        </w:rPr>
      </w:pPr>
      <w:r>
        <w:rPr>
          <w:rFonts w:ascii="Arial" w:cs="Arial" w:eastAsia="Arial" w:hAnsi="Arial"/>
          <w:sz w:val="17"/>
          <w:szCs w:val="17"/>
          <w:color w:val="auto"/>
        </w:rPr>
        <w:t>Energy</w:t>
      </w:r>
    </w:p>
    <w:p>
      <w:pPr>
        <w:spacing w:after="0" w:line="232" w:lineRule="auto"/>
        <w:rPr>
          <w:sz w:val="20"/>
          <w:szCs w:val="20"/>
          <w:color w:val="auto"/>
        </w:rPr>
      </w:pPr>
      <w:r>
        <w:rPr>
          <w:rFonts w:ascii="Arial" w:cs="Arial" w:eastAsia="Arial" w:hAnsi="Arial"/>
          <w:sz w:val="17"/>
          <w:szCs w:val="17"/>
          <w:color w:val="auto"/>
        </w:rPr>
        <w:t>Resources</w:t>
      </w:r>
    </w:p>
    <w:p>
      <w:pPr>
        <w:spacing w:after="0" w:line="233" w:lineRule="auto"/>
        <w:rPr>
          <w:sz w:val="20"/>
          <w:szCs w:val="20"/>
          <w:color w:val="auto"/>
        </w:rPr>
      </w:pPr>
      <w:r>
        <w:rPr>
          <w:rFonts w:ascii="Arial" w:cs="Arial" w:eastAsia="Arial" w:hAnsi="Arial"/>
          <w:sz w:val="17"/>
          <w:szCs w:val="17"/>
          <w:color w:val="auto"/>
        </w:rPr>
        <w:t>Corp.</w:t>
      </w:r>
    </w:p>
    <w:p>
      <w:pPr>
        <w:spacing w:after="0" w:line="232" w:lineRule="auto"/>
        <w:rPr>
          <w:sz w:val="20"/>
          <w:szCs w:val="20"/>
          <w:color w:val="auto"/>
        </w:rPr>
      </w:pPr>
      <w:r>
        <w:rPr>
          <w:rFonts w:ascii="Arial" w:cs="Arial" w:eastAsia="Arial" w:hAnsi="Arial"/>
          <w:sz w:val="17"/>
          <w:szCs w:val="17"/>
          <w:color w:val="auto"/>
        </w:rPr>
        <w:t>("CERC</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Corp.")</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677"/>
        </w:trPr>
        <w:tc>
          <w:tcPr>
            <w:tcW w:w="940" w:type="dxa"/>
            <w:vAlign w:val="bottom"/>
            <w:shd w:val="clear" w:color="auto" w:fill="E7E7E2"/>
          </w:tcPr>
          <w:p>
            <w:pPr>
              <w:ind w:left="240"/>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24"/>
                <w:szCs w:val="24"/>
                <w:color w:val="auto"/>
              </w:rPr>
            </w:pPr>
          </w:p>
        </w:tc>
        <w:tc>
          <w:tcPr>
            <w:tcW w:w="9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E7E7E2"/>
          </w:tcPr>
          <w:p>
            <w:pPr>
              <w:jc w:val="right"/>
              <w:spacing w:after="0"/>
              <w:rPr>
                <w:sz w:val="20"/>
                <w:szCs w:val="20"/>
                <w:color w:val="auto"/>
              </w:rPr>
            </w:pPr>
            <w:r>
              <w:rPr>
                <w:rFonts w:ascii="Arial" w:cs="Arial" w:eastAsia="Arial" w:hAnsi="Arial"/>
                <w:sz w:val="17"/>
                <w:szCs w:val="17"/>
                <w:color w:val="auto"/>
                <w:w w:val="97"/>
              </w:rPr>
              <w:t>0.0001381</w:t>
            </w:r>
          </w:p>
        </w:tc>
      </w:tr>
      <w:tr>
        <w:trPr>
          <w:trHeight w:val="472"/>
        </w:trPr>
        <w:tc>
          <w:tcPr>
            <w:tcW w:w="9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E7E7E2"/>
          </w:tcPr>
          <w:p>
            <w:pPr>
              <w:spacing w:after="0"/>
              <w:rPr>
                <w:sz w:val="24"/>
                <w:szCs w:val="24"/>
                <w:color w:val="auto"/>
              </w:rPr>
            </w:pPr>
          </w:p>
        </w:tc>
      </w:tr>
      <w:tr>
        <w:trPr>
          <w:trHeight w:val="21"/>
        </w:trPr>
        <w:tc>
          <w:tcPr>
            <w:tcW w:w="940" w:type="dxa"/>
            <w:vAlign w:val="bottom"/>
          </w:tcPr>
          <w:p>
            <w:pPr>
              <w:spacing w:after="0" w:line="20" w:lineRule="exact"/>
              <w:rPr>
                <w:sz w:val="1"/>
                <w:szCs w:val="1"/>
                <w:color w:val="auto"/>
              </w:rPr>
            </w:pPr>
          </w:p>
        </w:tc>
        <w:tc>
          <w:tcPr>
            <w:tcW w:w="3460" w:type="dxa"/>
            <w:vAlign w:val="bottom"/>
            <w:gridSpan w:val="8"/>
          </w:tcPr>
          <w:p>
            <w:pPr>
              <w:spacing w:after="0" w:line="20" w:lineRule="exact"/>
              <w:rPr>
                <w:sz w:val="1"/>
                <w:szCs w:val="1"/>
                <w:color w:val="auto"/>
              </w:rPr>
            </w:pPr>
          </w:p>
        </w:tc>
      </w:tr>
      <w:tr>
        <w:trPr>
          <w:trHeight w:val="685"/>
        </w:trPr>
        <w:tc>
          <w:tcPr>
            <w:tcW w:w="940" w:type="dxa"/>
            <w:vAlign w:val="bottom"/>
            <w:shd w:val="clear" w:color="auto" w:fill="E7E7E2"/>
          </w:tcPr>
          <w:p>
            <w:pPr>
              <w:ind w:left="240"/>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24"/>
                <w:szCs w:val="24"/>
                <w:color w:val="auto"/>
              </w:rPr>
            </w:pPr>
          </w:p>
        </w:tc>
        <w:tc>
          <w:tcPr>
            <w:tcW w:w="9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E7E7E2"/>
          </w:tcPr>
          <w:p>
            <w:pPr>
              <w:jc w:val="right"/>
              <w:spacing w:after="0"/>
              <w:rPr>
                <w:sz w:val="20"/>
                <w:szCs w:val="20"/>
                <w:color w:val="auto"/>
              </w:rPr>
            </w:pPr>
            <w:r>
              <w:rPr>
                <w:rFonts w:ascii="Arial" w:cs="Arial" w:eastAsia="Arial" w:hAnsi="Arial"/>
                <w:sz w:val="17"/>
                <w:szCs w:val="17"/>
                <w:color w:val="auto"/>
                <w:w w:val="97"/>
              </w:rPr>
              <w:t>0.0001381</w:t>
            </w:r>
          </w:p>
        </w:tc>
      </w:tr>
      <w:tr>
        <w:trPr>
          <w:trHeight w:val="472"/>
        </w:trPr>
        <w:tc>
          <w:tcPr>
            <w:tcW w:w="9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E7E7E2"/>
          </w:tcPr>
          <w:p>
            <w:pPr>
              <w:spacing w:after="0"/>
              <w:rPr>
                <w:sz w:val="24"/>
                <w:szCs w:val="24"/>
                <w:color w:val="auto"/>
              </w:rPr>
            </w:pPr>
          </w:p>
        </w:tc>
      </w:tr>
      <w:tr>
        <w:trPr>
          <w:trHeight w:val="21"/>
        </w:trPr>
        <w:tc>
          <w:tcPr>
            <w:tcW w:w="940" w:type="dxa"/>
            <w:vAlign w:val="bottom"/>
          </w:tcPr>
          <w:p>
            <w:pPr>
              <w:spacing w:after="0" w:line="20" w:lineRule="exact"/>
              <w:rPr>
                <w:sz w:val="1"/>
                <w:szCs w:val="1"/>
                <w:color w:val="auto"/>
              </w:rPr>
            </w:pPr>
          </w:p>
        </w:tc>
        <w:tc>
          <w:tcPr>
            <w:tcW w:w="3460" w:type="dxa"/>
            <w:vAlign w:val="bottom"/>
            <w:gridSpan w:val="8"/>
          </w:tcPr>
          <w:p>
            <w:pPr>
              <w:spacing w:after="0" w:line="20" w:lineRule="exact"/>
              <w:rPr>
                <w:sz w:val="1"/>
                <w:szCs w:val="1"/>
                <w:color w:val="auto"/>
              </w:rPr>
            </w:pPr>
          </w:p>
        </w:tc>
      </w:tr>
      <w:tr>
        <w:trPr>
          <w:trHeight w:val="685"/>
        </w:trPr>
        <w:tc>
          <w:tcPr>
            <w:tcW w:w="940" w:type="dxa"/>
            <w:vAlign w:val="bottom"/>
            <w:shd w:val="clear" w:color="auto" w:fill="E7E7E2"/>
          </w:tcPr>
          <w:p>
            <w:pPr>
              <w:ind w:left="240"/>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24"/>
                <w:szCs w:val="24"/>
                <w:color w:val="auto"/>
              </w:rPr>
            </w:pPr>
          </w:p>
        </w:tc>
        <w:tc>
          <w:tcPr>
            <w:tcW w:w="9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E7E7E2"/>
          </w:tcPr>
          <w:p>
            <w:pPr>
              <w:jc w:val="right"/>
              <w:spacing w:after="0"/>
              <w:rPr>
                <w:sz w:val="20"/>
                <w:szCs w:val="20"/>
                <w:color w:val="auto"/>
              </w:rPr>
            </w:pPr>
            <w:r>
              <w:rPr>
                <w:rFonts w:ascii="Arial" w:cs="Arial" w:eastAsia="Arial" w:hAnsi="Arial"/>
                <w:sz w:val="17"/>
                <w:szCs w:val="17"/>
                <w:color w:val="auto"/>
                <w:w w:val="97"/>
              </w:rPr>
              <w:t>0.0001381</w:t>
            </w:r>
          </w:p>
        </w:tc>
      </w:tr>
      <w:tr>
        <w:trPr>
          <w:trHeight w:val="472"/>
        </w:trPr>
        <w:tc>
          <w:tcPr>
            <w:tcW w:w="9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E7E7E2"/>
          </w:tcPr>
          <w:p>
            <w:pPr>
              <w:spacing w:after="0"/>
              <w:rPr>
                <w:sz w:val="24"/>
                <w:szCs w:val="24"/>
                <w:color w:val="auto"/>
              </w:rPr>
            </w:pPr>
          </w:p>
        </w:tc>
      </w:tr>
      <w:tr>
        <w:trPr>
          <w:trHeight w:val="21"/>
        </w:trPr>
        <w:tc>
          <w:tcPr>
            <w:tcW w:w="940" w:type="dxa"/>
            <w:vAlign w:val="bottom"/>
          </w:tcPr>
          <w:p>
            <w:pPr>
              <w:spacing w:after="0" w:line="20" w:lineRule="exact"/>
              <w:rPr>
                <w:sz w:val="1"/>
                <w:szCs w:val="1"/>
                <w:color w:val="auto"/>
              </w:rPr>
            </w:pPr>
          </w:p>
        </w:tc>
        <w:tc>
          <w:tcPr>
            <w:tcW w:w="3460" w:type="dxa"/>
            <w:vAlign w:val="bottom"/>
            <w:gridSpan w:val="8"/>
          </w:tcPr>
          <w:p>
            <w:pPr>
              <w:spacing w:after="0" w:line="20" w:lineRule="exact"/>
              <w:rPr>
                <w:sz w:val="1"/>
                <w:szCs w:val="1"/>
                <w:color w:val="auto"/>
              </w:rPr>
            </w:pPr>
          </w:p>
        </w:tc>
      </w:tr>
      <w:tr>
        <w:trPr>
          <w:trHeight w:val="685"/>
        </w:trPr>
        <w:tc>
          <w:tcPr>
            <w:tcW w:w="940" w:type="dxa"/>
            <w:vAlign w:val="bottom"/>
            <w:shd w:val="clear" w:color="auto" w:fill="E7E7E2"/>
          </w:tcPr>
          <w:p>
            <w:pPr>
              <w:ind w:left="240"/>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24"/>
                <w:szCs w:val="24"/>
                <w:color w:val="auto"/>
              </w:rPr>
            </w:pPr>
          </w:p>
        </w:tc>
        <w:tc>
          <w:tcPr>
            <w:tcW w:w="9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E7E7E2"/>
          </w:tcPr>
          <w:p>
            <w:pPr>
              <w:jc w:val="right"/>
              <w:spacing w:after="0"/>
              <w:rPr>
                <w:sz w:val="20"/>
                <w:szCs w:val="20"/>
                <w:color w:val="auto"/>
              </w:rPr>
            </w:pPr>
            <w:r>
              <w:rPr>
                <w:rFonts w:ascii="Arial" w:cs="Arial" w:eastAsia="Arial" w:hAnsi="Arial"/>
                <w:sz w:val="17"/>
                <w:szCs w:val="17"/>
                <w:color w:val="auto"/>
                <w:w w:val="97"/>
              </w:rPr>
              <w:t>0.0001381</w:t>
            </w:r>
          </w:p>
        </w:tc>
      </w:tr>
      <w:tr>
        <w:trPr>
          <w:trHeight w:val="472"/>
        </w:trPr>
        <w:tc>
          <w:tcPr>
            <w:tcW w:w="9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E7E7E2"/>
          </w:tcPr>
          <w:p>
            <w:pPr>
              <w:spacing w:after="0"/>
              <w:rPr>
                <w:sz w:val="24"/>
                <w:szCs w:val="24"/>
                <w:color w:val="auto"/>
              </w:rPr>
            </w:pPr>
          </w:p>
        </w:tc>
      </w:tr>
      <w:tr>
        <w:trPr>
          <w:trHeight w:val="21"/>
        </w:trPr>
        <w:tc>
          <w:tcPr>
            <w:tcW w:w="940" w:type="dxa"/>
            <w:vAlign w:val="bottom"/>
          </w:tcPr>
          <w:p>
            <w:pPr>
              <w:spacing w:after="0" w:line="20" w:lineRule="exact"/>
              <w:rPr>
                <w:sz w:val="1"/>
                <w:szCs w:val="1"/>
                <w:color w:val="auto"/>
              </w:rPr>
            </w:pPr>
          </w:p>
        </w:tc>
        <w:tc>
          <w:tcPr>
            <w:tcW w:w="3460" w:type="dxa"/>
            <w:vAlign w:val="bottom"/>
            <w:gridSpan w:val="8"/>
          </w:tcPr>
          <w:p>
            <w:pPr>
              <w:spacing w:after="0" w:line="20" w:lineRule="exact"/>
              <w:rPr>
                <w:sz w:val="1"/>
                <w:szCs w:val="1"/>
                <w:color w:val="auto"/>
              </w:rPr>
            </w:pPr>
          </w:p>
        </w:tc>
      </w:tr>
      <w:tr>
        <w:trPr>
          <w:trHeight w:val="591"/>
        </w:trPr>
        <w:tc>
          <w:tcPr>
            <w:tcW w:w="940" w:type="dxa"/>
            <w:vAlign w:val="bottom"/>
            <w:shd w:val="clear" w:color="auto" w:fill="E7E7E2"/>
          </w:tcPr>
          <w:p>
            <w:pPr>
              <w:ind w:left="240"/>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24"/>
                <w:szCs w:val="24"/>
                <w:color w:val="auto"/>
              </w:rPr>
            </w:pPr>
          </w:p>
        </w:tc>
        <w:tc>
          <w:tcPr>
            <w:tcW w:w="9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E7E7E2"/>
          </w:tcPr>
          <w:p>
            <w:pPr>
              <w:jc w:val="right"/>
              <w:spacing w:after="0"/>
              <w:rPr>
                <w:sz w:val="20"/>
                <w:szCs w:val="20"/>
                <w:color w:val="auto"/>
              </w:rPr>
            </w:pPr>
            <w:r>
              <w:rPr>
                <w:rFonts w:ascii="Arial" w:cs="Arial" w:eastAsia="Arial" w:hAnsi="Arial"/>
                <w:sz w:val="17"/>
                <w:szCs w:val="17"/>
                <w:color w:val="auto"/>
                <w:w w:val="97"/>
              </w:rPr>
              <w:t>0.0001381</w:t>
            </w:r>
          </w:p>
        </w:tc>
      </w:tr>
      <w:tr>
        <w:trPr>
          <w:trHeight w:val="377"/>
        </w:trPr>
        <w:tc>
          <w:tcPr>
            <w:tcW w:w="9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E7E7E2"/>
          </w:tcPr>
          <w:p>
            <w:pPr>
              <w:spacing w:after="0"/>
              <w:rPr>
                <w:sz w:val="24"/>
                <w:szCs w:val="24"/>
                <w:color w:val="auto"/>
              </w:rPr>
            </w:pPr>
          </w:p>
        </w:tc>
      </w:tr>
      <w:tr>
        <w:trPr>
          <w:trHeight w:val="21"/>
        </w:trPr>
        <w:tc>
          <w:tcPr>
            <w:tcW w:w="940" w:type="dxa"/>
            <w:vAlign w:val="bottom"/>
          </w:tcPr>
          <w:p>
            <w:pPr>
              <w:spacing w:after="0" w:line="20" w:lineRule="exact"/>
              <w:rPr>
                <w:sz w:val="1"/>
                <w:szCs w:val="1"/>
                <w:color w:val="auto"/>
              </w:rPr>
            </w:pPr>
          </w:p>
        </w:tc>
        <w:tc>
          <w:tcPr>
            <w:tcW w:w="3460" w:type="dxa"/>
            <w:vAlign w:val="bottom"/>
            <w:gridSpan w:val="8"/>
          </w:tcPr>
          <w:p>
            <w:pPr>
              <w:spacing w:after="0" w:line="20" w:lineRule="exact"/>
              <w:rPr>
                <w:sz w:val="1"/>
                <w:szCs w:val="1"/>
                <w:color w:val="auto"/>
              </w:rPr>
            </w:pPr>
          </w:p>
        </w:tc>
      </w:tr>
      <w:tr>
        <w:trPr>
          <w:trHeight w:val="496"/>
        </w:trPr>
        <w:tc>
          <w:tcPr>
            <w:tcW w:w="940" w:type="dxa"/>
            <w:vAlign w:val="bottom"/>
            <w:shd w:val="clear" w:color="auto" w:fill="E7E7E2"/>
          </w:tcPr>
          <w:p>
            <w:pPr>
              <w:ind w:left="240"/>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24"/>
                <w:szCs w:val="24"/>
                <w:color w:val="auto"/>
              </w:rPr>
            </w:pPr>
          </w:p>
        </w:tc>
        <w:tc>
          <w:tcPr>
            <w:tcW w:w="9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E7E7E2"/>
          </w:tcPr>
          <w:p>
            <w:pPr>
              <w:jc w:val="right"/>
              <w:spacing w:after="0"/>
              <w:rPr>
                <w:sz w:val="20"/>
                <w:szCs w:val="20"/>
                <w:color w:val="auto"/>
              </w:rPr>
            </w:pPr>
            <w:r>
              <w:rPr>
                <w:rFonts w:ascii="Arial" w:cs="Arial" w:eastAsia="Arial" w:hAnsi="Arial"/>
                <w:sz w:val="17"/>
                <w:szCs w:val="17"/>
                <w:color w:val="auto"/>
                <w:w w:val="97"/>
              </w:rPr>
              <w:t>0.0001381</w:t>
            </w:r>
          </w:p>
        </w:tc>
      </w:tr>
      <w:tr>
        <w:trPr>
          <w:trHeight w:val="283"/>
        </w:trPr>
        <w:tc>
          <w:tcPr>
            <w:tcW w:w="9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E7E7E2"/>
          </w:tcPr>
          <w:p>
            <w:pPr>
              <w:spacing w:after="0"/>
              <w:rPr>
                <w:sz w:val="24"/>
                <w:szCs w:val="24"/>
                <w:color w:val="auto"/>
              </w:rPr>
            </w:pPr>
          </w:p>
        </w:tc>
      </w:tr>
      <w:tr>
        <w:trPr>
          <w:trHeight w:val="21"/>
        </w:trPr>
        <w:tc>
          <w:tcPr>
            <w:tcW w:w="940" w:type="dxa"/>
            <w:vAlign w:val="bottom"/>
          </w:tcPr>
          <w:p>
            <w:pPr>
              <w:spacing w:after="0" w:line="20" w:lineRule="exact"/>
              <w:rPr>
                <w:sz w:val="1"/>
                <w:szCs w:val="1"/>
                <w:color w:val="auto"/>
              </w:rPr>
            </w:pPr>
          </w:p>
        </w:tc>
        <w:tc>
          <w:tcPr>
            <w:tcW w:w="3460" w:type="dxa"/>
            <w:vAlign w:val="bottom"/>
            <w:gridSpan w:val="8"/>
          </w:tcPr>
          <w:p>
            <w:pPr>
              <w:spacing w:after="0" w:line="20" w:lineRule="exact"/>
              <w:rPr>
                <w:sz w:val="1"/>
                <w:szCs w:val="1"/>
                <w:color w:val="auto"/>
              </w:rPr>
            </w:pPr>
          </w:p>
        </w:tc>
      </w:tr>
      <w:tr>
        <w:trPr>
          <w:trHeight w:val="496"/>
        </w:trPr>
        <w:tc>
          <w:tcPr>
            <w:tcW w:w="940" w:type="dxa"/>
            <w:vAlign w:val="bottom"/>
            <w:shd w:val="clear" w:color="auto" w:fill="E7E7E2"/>
          </w:tcPr>
          <w:p>
            <w:pPr>
              <w:ind w:left="240"/>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24"/>
                <w:szCs w:val="24"/>
                <w:color w:val="auto"/>
              </w:rPr>
            </w:pPr>
          </w:p>
        </w:tc>
        <w:tc>
          <w:tcPr>
            <w:tcW w:w="9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E7E7E2"/>
          </w:tcPr>
          <w:p>
            <w:pPr>
              <w:jc w:val="right"/>
              <w:spacing w:after="0"/>
              <w:rPr>
                <w:sz w:val="20"/>
                <w:szCs w:val="20"/>
                <w:color w:val="auto"/>
              </w:rPr>
            </w:pPr>
            <w:r>
              <w:rPr>
                <w:rFonts w:ascii="Arial" w:cs="Arial" w:eastAsia="Arial" w:hAnsi="Arial"/>
                <w:sz w:val="17"/>
                <w:szCs w:val="17"/>
                <w:color w:val="auto"/>
                <w:w w:val="97"/>
              </w:rPr>
              <w:t>0.0001381</w:t>
            </w:r>
          </w:p>
        </w:tc>
      </w:tr>
      <w:tr>
        <w:trPr>
          <w:trHeight w:val="283"/>
        </w:trPr>
        <w:tc>
          <w:tcPr>
            <w:tcW w:w="9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E7E7E2"/>
          </w:tcPr>
          <w:p>
            <w:pPr>
              <w:spacing w:after="0"/>
              <w:rPr>
                <w:sz w:val="24"/>
                <w:szCs w:val="24"/>
                <w:color w:val="auto"/>
              </w:rPr>
            </w:pPr>
          </w:p>
        </w:tc>
      </w:tr>
      <w:tr>
        <w:trPr>
          <w:trHeight w:val="21"/>
        </w:trPr>
        <w:tc>
          <w:tcPr>
            <w:tcW w:w="940" w:type="dxa"/>
            <w:vAlign w:val="bottom"/>
          </w:tcPr>
          <w:p>
            <w:pPr>
              <w:spacing w:after="0" w:line="20" w:lineRule="exact"/>
              <w:rPr>
                <w:sz w:val="1"/>
                <w:szCs w:val="1"/>
                <w:color w:val="auto"/>
              </w:rPr>
            </w:pPr>
          </w:p>
        </w:tc>
        <w:tc>
          <w:tcPr>
            <w:tcW w:w="3460" w:type="dxa"/>
            <w:vAlign w:val="bottom"/>
            <w:gridSpan w:val="8"/>
          </w:tcPr>
          <w:p>
            <w:pPr>
              <w:spacing w:after="0" w:line="20" w:lineRule="exact"/>
              <w:rPr>
                <w:sz w:val="1"/>
                <w:szCs w:val="1"/>
                <w:color w:val="auto"/>
              </w:rPr>
            </w:pPr>
          </w:p>
        </w:tc>
      </w:tr>
      <w:tr>
        <w:trPr>
          <w:trHeight w:val="969"/>
        </w:trPr>
        <w:tc>
          <w:tcPr>
            <w:tcW w:w="940" w:type="dxa"/>
            <w:vAlign w:val="bottom"/>
            <w:shd w:val="clear" w:color="auto" w:fill="E7E7E2"/>
          </w:tcPr>
          <w:p>
            <w:pPr>
              <w:ind w:left="240"/>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24"/>
                <w:szCs w:val="24"/>
                <w:color w:val="auto"/>
              </w:rPr>
            </w:pPr>
          </w:p>
        </w:tc>
        <w:tc>
          <w:tcPr>
            <w:tcW w:w="9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E7E7E2"/>
          </w:tcPr>
          <w:p>
            <w:pPr>
              <w:jc w:val="right"/>
              <w:spacing w:after="0"/>
              <w:rPr>
                <w:sz w:val="20"/>
                <w:szCs w:val="20"/>
                <w:color w:val="auto"/>
              </w:rPr>
            </w:pPr>
            <w:r>
              <w:rPr>
                <w:rFonts w:ascii="Arial" w:cs="Arial" w:eastAsia="Arial" w:hAnsi="Arial"/>
                <w:sz w:val="17"/>
                <w:szCs w:val="17"/>
                <w:color w:val="auto"/>
                <w:w w:val="97"/>
              </w:rPr>
              <w:t>0.0001381</w:t>
            </w:r>
          </w:p>
        </w:tc>
      </w:tr>
      <w:tr>
        <w:trPr>
          <w:trHeight w:val="756"/>
        </w:trPr>
        <w:tc>
          <w:tcPr>
            <w:tcW w:w="9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E7E7E2"/>
          </w:tcPr>
          <w:p>
            <w:pPr>
              <w:spacing w:after="0"/>
              <w:rPr>
                <w:sz w:val="24"/>
                <w:szCs w:val="24"/>
                <w:color w:val="auto"/>
              </w:rPr>
            </w:pPr>
          </w:p>
        </w:tc>
      </w:tr>
      <w:tr>
        <w:trPr>
          <w:trHeight w:val="21"/>
        </w:trPr>
        <w:tc>
          <w:tcPr>
            <w:tcW w:w="940" w:type="dxa"/>
            <w:vAlign w:val="bottom"/>
          </w:tcPr>
          <w:p>
            <w:pPr>
              <w:spacing w:after="0" w:line="20" w:lineRule="exact"/>
              <w:rPr>
                <w:sz w:val="1"/>
                <w:szCs w:val="1"/>
                <w:color w:val="auto"/>
              </w:rPr>
            </w:pPr>
          </w:p>
        </w:tc>
        <w:tc>
          <w:tcPr>
            <w:tcW w:w="3460" w:type="dxa"/>
            <w:vAlign w:val="bottom"/>
            <w:gridSpan w:val="8"/>
          </w:tcPr>
          <w:p>
            <w:pPr>
              <w:spacing w:after="0" w:line="20" w:lineRule="exact"/>
              <w:rPr>
                <w:sz w:val="1"/>
                <w:szCs w:val="1"/>
                <w:color w:val="auto"/>
              </w:rPr>
            </w:pPr>
          </w:p>
        </w:tc>
      </w:tr>
      <w:tr>
        <w:trPr>
          <w:trHeight w:val="875"/>
        </w:trPr>
        <w:tc>
          <w:tcPr>
            <w:tcW w:w="940" w:type="dxa"/>
            <w:vAlign w:val="bottom"/>
            <w:shd w:val="clear" w:color="auto" w:fill="E7E7E2"/>
          </w:tcPr>
          <w:p>
            <w:pPr>
              <w:ind w:left="240"/>
              <w:spacing w:after="0"/>
              <w:rPr>
                <w:sz w:val="20"/>
                <w:szCs w:val="20"/>
                <w:color w:val="auto"/>
              </w:rPr>
            </w:pPr>
            <w:r>
              <w:rPr>
                <w:rFonts w:ascii="Arial" w:cs="Arial" w:eastAsia="Arial" w:hAnsi="Arial"/>
                <w:sz w:val="17"/>
                <w:szCs w:val="17"/>
                <w:color w:val="auto"/>
              </w:rPr>
              <w:t>457(r)</w:t>
            </w:r>
          </w:p>
        </w:tc>
        <w:tc>
          <w:tcPr>
            <w:tcW w:w="20" w:type="dxa"/>
            <w:vAlign w:val="bottom"/>
          </w:tcPr>
          <w:p>
            <w:pPr>
              <w:spacing w:after="0"/>
              <w:rPr>
                <w:sz w:val="24"/>
                <w:szCs w:val="24"/>
                <w:color w:val="auto"/>
              </w:rPr>
            </w:pPr>
          </w:p>
        </w:tc>
        <w:tc>
          <w:tcPr>
            <w:tcW w:w="9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E7E7E2"/>
          </w:tcPr>
          <w:p>
            <w:pPr>
              <w:jc w:val="right"/>
              <w:spacing w:after="0"/>
              <w:rPr>
                <w:sz w:val="20"/>
                <w:szCs w:val="20"/>
                <w:color w:val="auto"/>
              </w:rPr>
            </w:pPr>
            <w:r>
              <w:rPr>
                <w:rFonts w:ascii="Arial" w:cs="Arial" w:eastAsia="Arial" w:hAnsi="Arial"/>
                <w:sz w:val="17"/>
                <w:szCs w:val="17"/>
                <w:color w:val="auto"/>
                <w:w w:val="97"/>
              </w:rPr>
              <w:t>0.0001381</w:t>
            </w:r>
          </w:p>
        </w:tc>
      </w:tr>
      <w:tr>
        <w:trPr>
          <w:trHeight w:val="661"/>
        </w:trPr>
        <w:tc>
          <w:tcPr>
            <w:tcW w:w="9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E7E7E2"/>
          </w:tcPr>
          <w:p>
            <w:pPr>
              <w:spacing w:after="0"/>
              <w:rPr>
                <w:sz w:val="24"/>
                <w:szCs w:val="24"/>
                <w:color w:val="auto"/>
              </w:rPr>
            </w:pPr>
          </w:p>
        </w:tc>
      </w:tr>
      <w:tr>
        <w:trPr>
          <w:trHeight w:val="21"/>
        </w:trPr>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589"/>
        </w:trPr>
        <w:tc>
          <w:tcPr>
            <w:tcW w:w="9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E7E7E2"/>
          </w:tcPr>
          <w:p>
            <w:pPr>
              <w:spacing w:after="0"/>
              <w:rPr>
                <w:sz w:val="24"/>
                <w:szCs w:val="24"/>
                <w:color w:val="auto"/>
              </w:rPr>
            </w:pPr>
          </w:p>
        </w:tc>
      </w:tr>
    </w:tbl>
    <w:p>
      <w:pPr>
        <w:spacing w:after="0" w:line="11" w:lineRule="exact"/>
        <w:rPr>
          <w:sz w:val="20"/>
          <w:szCs w:val="20"/>
          <w:color w:val="auto"/>
        </w:rPr>
      </w:pPr>
    </w:p>
    <w:p>
      <w:pPr>
        <w:sectPr>
          <w:pgSz w:w="11900" w:h="16892" w:orient="portrait"/>
          <w:cols w:equalWidth="0" w:num="4">
            <w:col w:w="780" w:space="40"/>
            <w:col w:w="620" w:space="240"/>
            <w:col w:w="1000" w:space="40"/>
            <w:col w:w="8560"/>
          </w:cols>
          <w:pgMar w:left="340" w:top="142" w:right="279" w:bottom="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20" w:type="dxa"/>
            <w:vAlign w:val="bottom"/>
            <w:gridSpan w:val="5"/>
          </w:tcPr>
          <w:p>
            <w:pPr>
              <w:ind w:left="40"/>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91"/>
        </w:trPr>
        <w:tc>
          <w:tcPr>
            <w:tcW w:w="800" w:type="dxa"/>
            <w:vAlign w:val="bottom"/>
            <w:shd w:val="clear" w:color="auto" w:fill="E7E7E2"/>
          </w:tcPr>
          <w:p>
            <w:pPr>
              <w:spacing w:after="0" w:line="190"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r>
      <w:tr>
        <w:trPr>
          <w:trHeight w:val="189"/>
        </w:trPr>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r>
      <w:tr>
        <w:trPr>
          <w:trHeight w:val="221"/>
        </w:trPr>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r>
      <w:tr>
        <w:trPr>
          <w:trHeight w:val="233"/>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ind w:right="20"/>
              <w:spacing w:after="0"/>
              <w:rPr>
                <w:sz w:val="20"/>
                <w:szCs w:val="20"/>
                <w:color w:val="auto"/>
              </w:rPr>
            </w:pPr>
            <w:r>
              <w:rPr>
                <w:rFonts w:ascii="Arial" w:cs="Arial" w:eastAsia="Arial" w:hAnsi="Arial"/>
                <w:sz w:val="17"/>
                <w:szCs w:val="17"/>
                <w:color w:val="auto"/>
              </w:rPr>
              <w:t>Total Offering Amounts:</w:t>
            </w:r>
          </w:p>
        </w:tc>
        <w:tc>
          <w:tcPr>
            <w:tcW w:w="1700" w:type="dxa"/>
            <w:vAlign w:val="bottom"/>
            <w:gridSpan w:val="4"/>
          </w:tcPr>
          <w:p>
            <w:pPr>
              <w:jc w:val="right"/>
              <w:ind w:right="20"/>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$ 0.00</w:t>
            </w:r>
          </w:p>
        </w:tc>
      </w:tr>
      <w:tr>
        <w:trPr>
          <w:trHeight w:val="231"/>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920" w:type="dxa"/>
            <w:vAlign w:val="bottom"/>
            <w:gridSpan w:val="5"/>
          </w:tcPr>
          <w:p>
            <w:pPr>
              <w:jc w:val="right"/>
              <w:ind w:right="20"/>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$ 0.00</w:t>
            </w:r>
          </w:p>
        </w:tc>
      </w:tr>
      <w:tr>
        <w:trPr>
          <w:trHeight w:val="231"/>
        </w:trPr>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ind w:right="20"/>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$ 0.00</w:t>
            </w:r>
          </w:p>
        </w:tc>
      </w:tr>
    </w:tbl>
    <w:p>
      <w:pPr>
        <w:sectPr>
          <w:pgSz w:w="11900" w:h="16892" w:orient="portrait"/>
          <w:cols w:equalWidth="0" w:num="1">
            <w:col w:w="11280"/>
          </w:cols>
          <w:pgMar w:left="340" w:top="142" w:right="279" w:bottom="0" w:gutter="0" w:footer="0" w:header="0"/>
          <w:type w:val="continuous"/>
        </w:sectPr>
      </w:pPr>
    </w:p>
    <w:bookmarkStart w:id="129" w:name="page130"/>
    <w:bookmarkEnd w:id="12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6160" w:type="dxa"/>
            <w:vAlign w:val="bottom"/>
            <w:tcBorders>
              <w:left w:val="single" w:sz="8" w:color="auto"/>
              <w:bottom w:val="single" w:sz="8" w:color="auto"/>
            </w:tcBorders>
          </w:tcPr>
          <w:p>
            <w:pPr>
              <w:ind w:left="3600"/>
              <w:spacing w:after="0"/>
              <w:rPr>
                <w:sz w:val="20"/>
                <w:szCs w:val="20"/>
                <w:color w:val="auto"/>
              </w:rPr>
            </w:pPr>
            <w:r>
              <w:rPr>
                <w:rFonts w:ascii="Arial" w:cs="Arial" w:eastAsia="Arial" w:hAnsi="Arial"/>
                <w:sz w:val="17"/>
                <w:szCs w:val="17"/>
                <w:color w:val="auto"/>
              </w:rPr>
              <w:t>Net Fee Due:</w:t>
            </w:r>
          </w:p>
        </w:tc>
        <w:tc>
          <w:tcPr>
            <w:tcW w:w="5220" w:type="dxa"/>
            <w:vAlign w:val="bottom"/>
            <w:tcBorders>
              <w:bottom w:val="single" w:sz="8" w:color="auto"/>
              <w:right w:val="single" w:sz="8" w:color="auto"/>
            </w:tcBorders>
          </w:tcPr>
          <w:p>
            <w:pPr>
              <w:jc w:val="right"/>
              <w:ind w:right="3116"/>
              <w:spacing w:after="0"/>
              <w:rPr>
                <w:sz w:val="20"/>
                <w:szCs w:val="20"/>
                <w:color w:val="auto"/>
              </w:rPr>
            </w:pPr>
            <w:r>
              <w:rPr>
                <w:rFonts w:ascii="Arial" w:cs="Arial" w:eastAsia="Arial" w:hAnsi="Arial"/>
                <w:sz w:val="17"/>
                <w:szCs w:val="17"/>
                <w:color w:val="auto"/>
              </w:rPr>
              <w:t>$ 0.00</w:t>
            </w: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2" w:lineRule="exact"/>
        <w:rPr>
          <w:sz w:val="20"/>
          <w:szCs w:val="20"/>
          <w:color w:val="auto"/>
        </w:rPr>
      </w:pPr>
    </w:p>
    <w:p>
      <w:pPr>
        <w:ind w:left="220" w:right="120"/>
        <w:spacing w:after="0" w:line="237" w:lineRule="auto"/>
        <w:rPr>
          <w:sz w:val="20"/>
          <w:szCs w:val="20"/>
          <w:color w:val="auto"/>
        </w:rPr>
      </w:pPr>
      <w:r>
        <w:rPr>
          <w:rFonts w:ascii="Arial" w:cs="Arial" w:eastAsia="Arial" w:hAnsi="Arial"/>
          <w:sz w:val="17"/>
          <w:szCs w:val="17"/>
          <w:color w:val="auto"/>
        </w:rPr>
        <w:t>An indeterminate number or amount of the securities of each identified class is being registered as may from time to time be sold at unspecified prices. Separate consideration may or may not be received for securities that are issuable upon exercise, settlement, exchange, redemption or conversion of other securities. Any securities registered under this registration statement may be sold separately or as units with other securities registered under this registration statement. The securities registered also include such indeterminate amounts and numbers of securities as may be issued upon exercise, settlement, exchange, redemption or conversion of securities offered hereunder, including under any applicable anti-dilution provisions. Pursuant to Rule 416 under the Securities Act, the shares being registered hereunder include such indeterminate number of shares of common stock as may be issuable with respect to the shares being registered hereunder as a result of stock splits, stock dividends or similar transactions.</w:t>
      </w:r>
    </w:p>
    <w:p>
      <w:pPr>
        <w:spacing w:after="0" w:line="160" w:lineRule="exact"/>
        <w:rPr>
          <w:sz w:val="20"/>
          <w:szCs w:val="20"/>
          <w:color w:val="auto"/>
        </w:rPr>
      </w:pPr>
    </w:p>
    <w:p>
      <w:pPr>
        <w:ind w:left="220" w:right="160"/>
        <w:spacing w:after="0" w:line="243" w:lineRule="auto"/>
        <w:rPr>
          <w:sz w:val="20"/>
          <w:szCs w:val="20"/>
          <w:color w:val="auto"/>
        </w:rPr>
      </w:pPr>
      <w:r>
        <w:rPr>
          <w:rFonts w:ascii="Arial" w:cs="Arial" w:eastAsia="Arial" w:hAnsi="Arial"/>
          <w:sz w:val="17"/>
          <w:szCs w:val="17"/>
          <w:color w:val="auto"/>
        </w:rPr>
        <w:t>In accordance with Rule 456(b) and Rule 457(r) under the Securities Act of 1933, as amended, the registrants are deferring payment of the registration fee required in connection with this registration statement and will pay such fees on a pay-as-you-go basis. The registrants will calculate the registration fee applicable to an offer of securities pursuant to this registration statement based on the fee payment rate in effect on the date of such fee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179705</wp:posOffset>
            </wp:positionV>
            <wp:extent cx="714819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6">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1"/>
          <w:szCs w:val="11"/>
          <w:color w:val="auto"/>
        </w:rPr>
        <w:t>2</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76835</wp:posOffset>
            </wp:positionV>
            <wp:extent cx="714819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7">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58" w:lineRule="exact"/>
        <w:rPr>
          <w:sz w:val="20"/>
          <w:szCs w:val="20"/>
          <w:color w:val="auto"/>
        </w:rPr>
      </w:pPr>
    </w:p>
    <w:p>
      <w:pPr>
        <w:ind w:left="40"/>
        <w:spacing w:after="0"/>
        <w:rPr>
          <w:sz w:val="20"/>
          <w:szCs w:val="20"/>
          <w:color w:val="auto"/>
        </w:rPr>
      </w:pPr>
      <w:r>
        <w:rPr>
          <w:rFonts w:ascii="Arial" w:cs="Arial" w:eastAsia="Arial" w:hAnsi="Arial"/>
          <w:sz w:val="11"/>
          <w:szCs w:val="11"/>
          <w:color w:val="auto"/>
        </w:rPr>
        <w:t>3</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76835</wp:posOffset>
            </wp:positionV>
            <wp:extent cx="714819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8">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58" w:lineRule="exact"/>
        <w:rPr>
          <w:sz w:val="20"/>
          <w:szCs w:val="20"/>
          <w:color w:val="auto"/>
        </w:rPr>
      </w:pPr>
    </w:p>
    <w:p>
      <w:pPr>
        <w:ind w:left="40"/>
        <w:spacing w:after="0"/>
        <w:rPr>
          <w:sz w:val="20"/>
          <w:szCs w:val="20"/>
          <w:color w:val="auto"/>
        </w:rPr>
      </w:pPr>
      <w:r>
        <w:rPr>
          <w:rFonts w:ascii="Arial" w:cs="Arial" w:eastAsia="Arial" w:hAnsi="Arial"/>
          <w:sz w:val="11"/>
          <w:szCs w:val="11"/>
          <w:color w:val="auto"/>
        </w:rPr>
        <w:t>4</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76835</wp:posOffset>
            </wp:positionV>
            <wp:extent cx="714819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9">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58" w:lineRule="exact"/>
        <w:rPr>
          <w:sz w:val="20"/>
          <w:szCs w:val="20"/>
          <w:color w:val="auto"/>
        </w:rPr>
      </w:pPr>
    </w:p>
    <w:p>
      <w:pPr>
        <w:ind w:left="40"/>
        <w:spacing w:after="0"/>
        <w:rPr>
          <w:sz w:val="20"/>
          <w:szCs w:val="20"/>
          <w:color w:val="auto"/>
        </w:rPr>
      </w:pPr>
      <w:r>
        <w:rPr>
          <w:rFonts w:ascii="Arial" w:cs="Arial" w:eastAsia="Arial" w:hAnsi="Arial"/>
          <w:sz w:val="11"/>
          <w:szCs w:val="11"/>
          <w:color w:val="auto"/>
        </w:rPr>
        <w:t>5</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76835</wp:posOffset>
            </wp:positionV>
            <wp:extent cx="714819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0">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58" w:lineRule="exact"/>
        <w:rPr>
          <w:sz w:val="20"/>
          <w:szCs w:val="20"/>
          <w:color w:val="auto"/>
        </w:rPr>
      </w:pPr>
    </w:p>
    <w:p>
      <w:pPr>
        <w:ind w:left="40"/>
        <w:spacing w:after="0"/>
        <w:rPr>
          <w:sz w:val="20"/>
          <w:szCs w:val="20"/>
          <w:color w:val="auto"/>
        </w:rPr>
      </w:pPr>
      <w:r>
        <w:rPr>
          <w:rFonts w:ascii="Arial" w:cs="Arial" w:eastAsia="Arial" w:hAnsi="Arial"/>
          <w:sz w:val="11"/>
          <w:szCs w:val="11"/>
          <w:color w:val="auto"/>
        </w:rPr>
        <w:t>6</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76835</wp:posOffset>
            </wp:positionV>
            <wp:extent cx="714819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1">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58" w:lineRule="exact"/>
        <w:rPr>
          <w:sz w:val="20"/>
          <w:szCs w:val="20"/>
          <w:color w:val="auto"/>
        </w:rPr>
      </w:pPr>
    </w:p>
    <w:p>
      <w:pPr>
        <w:ind w:left="40"/>
        <w:spacing w:after="0"/>
        <w:rPr>
          <w:sz w:val="20"/>
          <w:szCs w:val="20"/>
          <w:color w:val="auto"/>
        </w:rPr>
      </w:pPr>
      <w:r>
        <w:rPr>
          <w:rFonts w:ascii="Arial" w:cs="Arial" w:eastAsia="Arial" w:hAnsi="Arial"/>
          <w:sz w:val="11"/>
          <w:szCs w:val="11"/>
          <w:color w:val="auto"/>
        </w:rPr>
        <w:t>7</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76835</wp:posOffset>
            </wp:positionV>
            <wp:extent cx="714819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2">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58" w:lineRule="exact"/>
        <w:rPr>
          <w:sz w:val="20"/>
          <w:szCs w:val="20"/>
          <w:color w:val="auto"/>
        </w:rPr>
      </w:pPr>
    </w:p>
    <w:p>
      <w:pPr>
        <w:ind w:left="40"/>
        <w:spacing w:after="0"/>
        <w:rPr>
          <w:sz w:val="20"/>
          <w:szCs w:val="20"/>
          <w:color w:val="auto"/>
        </w:rPr>
      </w:pPr>
      <w:r>
        <w:rPr>
          <w:rFonts w:ascii="Arial" w:cs="Arial" w:eastAsia="Arial" w:hAnsi="Arial"/>
          <w:sz w:val="11"/>
          <w:szCs w:val="11"/>
          <w:color w:val="auto"/>
        </w:rPr>
        <w:t>8</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76835</wp:posOffset>
            </wp:positionV>
            <wp:extent cx="714819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3">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58" w:lineRule="exact"/>
        <w:rPr>
          <w:sz w:val="20"/>
          <w:szCs w:val="20"/>
          <w:color w:val="auto"/>
        </w:rPr>
      </w:pPr>
    </w:p>
    <w:p>
      <w:pPr>
        <w:ind w:left="40"/>
        <w:spacing w:after="0"/>
        <w:rPr>
          <w:sz w:val="20"/>
          <w:szCs w:val="20"/>
          <w:color w:val="auto"/>
        </w:rPr>
      </w:pPr>
      <w:r>
        <w:rPr>
          <w:rFonts w:ascii="Arial" w:cs="Arial" w:eastAsia="Arial" w:hAnsi="Arial"/>
          <w:sz w:val="11"/>
          <w:szCs w:val="11"/>
          <w:color w:val="auto"/>
        </w:rPr>
        <w:t>9</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Offering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76835</wp:posOffset>
            </wp:positionV>
            <wp:extent cx="714819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4">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40" w:type="dxa"/>
            <w:vAlign w:val="bottom"/>
            <w:tcBorders>
              <w:bottom w:val="single" w:sz="8" w:color="auto"/>
            </w:tcBorders>
          </w:tcPr>
          <w:p>
            <w:pPr>
              <w:spacing w:after="0"/>
              <w:rPr>
                <w:sz w:val="23"/>
                <w:szCs w:val="23"/>
                <w:color w:val="auto"/>
              </w:rPr>
            </w:pPr>
          </w:p>
        </w:tc>
        <w:tc>
          <w:tcPr>
            <w:tcW w:w="328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6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Registrant or Filer</w:t>
            </w:r>
          </w:p>
        </w:tc>
        <w:tc>
          <w:tcPr>
            <w:tcW w:w="4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6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ind w:right="20"/>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60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jc w:val="center"/>
              <w:ind w:right="216"/>
              <w:spacing w:after="0" w:line="189" w:lineRule="exact"/>
              <w:rPr>
                <w:sz w:val="20"/>
                <w:szCs w:val="20"/>
                <w:color w:val="auto"/>
              </w:rPr>
            </w:pPr>
            <w:r>
              <w:rPr>
                <w:rFonts w:ascii="Arial" w:cs="Arial" w:eastAsia="Arial" w:hAnsi="Arial"/>
                <w:sz w:val="17"/>
                <w:szCs w:val="17"/>
                <w:b w:val="1"/>
                <w:bCs w:val="1"/>
                <w:color w:val="auto"/>
                <w:w w:val="99"/>
              </w:rPr>
              <w:t>Name</w:t>
            </w:r>
          </w:p>
        </w:tc>
        <w:tc>
          <w:tcPr>
            <w:tcW w:w="4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500" w:type="dxa"/>
            <w:vAlign w:val="bottom"/>
            <w:gridSpan w:val="2"/>
            <w:shd w:val="clear" w:color="auto" w:fill="9ADAF6"/>
          </w:tcPr>
          <w:p>
            <w:pPr>
              <w:jc w:val="center"/>
              <w:ind w:right="36"/>
              <w:spacing w:after="0" w:line="189"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80" w:type="dxa"/>
            <w:vAlign w:val="bottom"/>
            <w:gridSpan w:val="4"/>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4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4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4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4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gridSpan w:val="12"/>
          </w:tcPr>
          <w:p>
            <w:pPr>
              <w:ind w:left="580"/>
              <w:spacing w:after="0"/>
              <w:rPr>
                <w:sz w:val="20"/>
                <w:szCs w:val="20"/>
                <w:color w:val="auto"/>
              </w:rPr>
            </w:pPr>
            <w:r>
              <w:rPr>
                <w:rFonts w:ascii="Arial" w:cs="Arial" w:eastAsia="Arial" w:hAnsi="Arial"/>
                <w:sz w:val="17"/>
                <w:szCs w:val="17"/>
                <w:b w:val="1"/>
                <w:bCs w:val="1"/>
                <w:color w:val="auto"/>
                <w:w w:val="97"/>
              </w:rPr>
              <w:t>Rules 457(b) and 0-11(a)(2)</w:t>
            </w: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5"/>
          </w:tcPr>
          <w:p>
            <w:pPr>
              <w:ind w:left="300"/>
              <w:spacing w:after="0"/>
              <w:rPr>
                <w:sz w:val="20"/>
                <w:szCs w:val="20"/>
                <w:color w:val="auto"/>
              </w:rPr>
            </w:pPr>
            <w:r>
              <w:rPr>
                <w:rFonts w:ascii="Arial" w:cs="Arial" w:eastAsia="Arial" w:hAnsi="Arial"/>
                <w:sz w:val="17"/>
                <w:szCs w:val="17"/>
                <w:b w:val="1"/>
                <w:bCs w:val="1"/>
                <w:color w:val="auto"/>
                <w:w w:val="98"/>
              </w:rPr>
              <w:t>Rule 457(p)</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5"/>
            <w:shd w:val="clear" w:color="auto" w:fill="9ADAF6"/>
          </w:tcPr>
          <w:p>
            <w:pPr>
              <w:ind w:left="360"/>
              <w:spacing w:after="0"/>
              <w:rPr>
                <w:sz w:val="20"/>
                <w:szCs w:val="20"/>
                <w:color w:val="auto"/>
              </w:rPr>
            </w:pPr>
            <w:r>
              <w:rPr>
                <w:rFonts w:ascii="Arial" w:cs="Arial" w:eastAsia="Arial" w:hAnsi="Arial"/>
                <w:sz w:val="17"/>
                <w:szCs w:val="17"/>
                <w:b w:val="1"/>
                <w:bCs w:val="1"/>
                <w:color w:val="auto"/>
                <w:w w:val="98"/>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restart"/>
            <w:shd w:val="clear" w:color="auto" w:fill="9ADAF6"/>
          </w:tcPr>
          <w:p>
            <w:pPr>
              <w:jc w:val="center"/>
              <w:ind w:right="159"/>
              <w:spacing w:after="0" w:line="189"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spacing w:after="0" w:line="189" w:lineRule="exact"/>
              <w:rPr>
                <w:sz w:val="20"/>
                <w:szCs w:val="20"/>
                <w:color w:val="auto"/>
              </w:rPr>
            </w:pPr>
            <w:r>
              <w:rPr>
                <w:rFonts w:ascii="Arial" w:cs="Arial" w:eastAsia="Arial" w:hAnsi="Arial"/>
                <w:sz w:val="17"/>
                <w:szCs w:val="17"/>
                <w:b w:val="1"/>
                <w:bCs w:val="1"/>
                <w:color w:val="auto"/>
              </w:rPr>
              <w:t>Form</w:t>
            </w:r>
          </w:p>
        </w:tc>
        <w:tc>
          <w:tcPr>
            <w:tcW w:w="4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60" w:type="dxa"/>
            <w:vAlign w:val="bottom"/>
            <w:gridSpan w:val="5"/>
            <w:vMerge w:val="restart"/>
            <w:shd w:val="clear" w:color="auto" w:fill="9ADAF6"/>
          </w:tcPr>
          <w:p>
            <w:pPr>
              <w:ind w:left="620"/>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6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w w:val="97"/>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Type</w:t>
            </w:r>
          </w:p>
        </w:tc>
        <w:tc>
          <w:tcPr>
            <w:tcW w:w="4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5"/>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w w:val="97"/>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60" w:type="dxa"/>
            <w:vAlign w:val="bottom"/>
            <w:gridSpan w:val="3"/>
            <w:vMerge w:val="restart"/>
            <w:shd w:val="clear" w:color="auto" w:fill="9ADAF6"/>
          </w:tcPr>
          <w:p>
            <w:pPr>
              <w:jc w:val="center"/>
              <w:ind w:right="179"/>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5"/>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40" w:type="dxa"/>
            <w:vAlign w:val="bottom"/>
            <w:tcBorders>
              <w:bottom w:val="single" w:sz="8" w:color="E7E7E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5EE64"/>
    <w:multiLevelType w:val="hybridMultilevel"/>
    <w:lvl w:ilvl="0">
      <w:lvlJc w:val="left"/>
      <w:lvlText w:val="​"/>
      <w:numFmt w:val="bullet"/>
      <w:start w:val="1"/>
    </w:lvl>
  </w:abstractNum>
  <w:abstractNum w:abstractNumId="1">
    <w:nsid w:val="14330624"/>
    <w:multiLevelType w:val="hybridMultilevel"/>
    <w:lvl w:ilvl="0">
      <w:lvlJc w:val="left"/>
      <w:lvlText w:val="​"/>
      <w:numFmt w:val="bullet"/>
      <w:start w:val="1"/>
    </w:lvl>
  </w:abstractNum>
  <w:abstractNum w:abstractNumId="2">
    <w:nsid w:val="7FFFCA11"/>
    <w:multiLevelType w:val="hybridMultilevel"/>
    <w:lvl w:ilvl="0">
      <w:lvlJc w:val="left"/>
      <w:lvlText w:val="​"/>
      <w:numFmt w:val="bullet"/>
      <w:start w:val="1"/>
    </w:lvl>
  </w:abstractNum>
  <w:abstractNum w:abstractNumId="3">
    <w:nsid w:val="1A27709E"/>
    <w:multiLevelType w:val="hybridMultilevel"/>
    <w:lvl w:ilvl="0">
      <w:lvlJc w:val="left"/>
      <w:lvlText w:val="%1."/>
      <w:numFmt w:val="decimal"/>
      <w:start w:val="1"/>
    </w:lvl>
  </w:abstractNum>
  <w:abstractNum w:abstractNumId="4">
    <w:nsid w:val="71EA1109"/>
    <w:multiLevelType w:val="hybridMultilevel"/>
    <w:lvl w:ilvl="0">
      <w:lvlJc w:val="left"/>
      <w:lvlText w:val="•"/>
      <w:numFmt w:val="bullet"/>
      <w:start w:val="1"/>
    </w:lvl>
  </w:abstractNum>
  <w:abstractNum w:abstractNumId="5">
    <w:nsid w:val="100F59DC"/>
    <w:multiLevelType w:val="hybridMultilevel"/>
    <w:lvl w:ilvl="0">
      <w:lvlJc w:val="left"/>
      <w:lvlText w:val="•"/>
      <w:numFmt w:val="bullet"/>
      <w:start w:val="1"/>
    </w:lvl>
  </w:abstractNum>
  <w:abstractNum w:abstractNumId="6">
    <w:nsid w:val="7FB7E0AA"/>
    <w:multiLevelType w:val="hybridMultilevel"/>
    <w:lvl w:ilvl="0">
      <w:lvlJc w:val="left"/>
      <w:lvlText w:val="•"/>
      <w:numFmt w:val="bullet"/>
      <w:start w:val="1"/>
    </w:lvl>
  </w:abstractNum>
  <w:abstractNum w:abstractNumId="7">
    <w:nsid w:val="6EB5BD4"/>
    <w:multiLevelType w:val="hybridMultilevel"/>
    <w:lvl w:ilvl="0">
      <w:lvlJc w:val="left"/>
      <w:lvlText w:val="•"/>
      <w:numFmt w:val="bullet"/>
      <w:start w:val="1"/>
    </w:lvl>
  </w:abstractNum>
  <w:abstractNum w:abstractNumId="8">
    <w:nsid w:val="6F6DD9AC"/>
    <w:multiLevelType w:val="hybridMultilevel"/>
    <w:lvl w:ilvl="0">
      <w:lvlJc w:val="left"/>
      <w:lvlText w:val="•"/>
      <w:numFmt w:val="bullet"/>
      <w:start w:val="1"/>
    </w:lvl>
  </w:abstractNum>
  <w:abstractNum w:abstractNumId="9">
    <w:nsid w:val="94211F2"/>
    <w:multiLevelType w:val="hybridMultilevel"/>
    <w:lvl w:ilvl="0">
      <w:lvlJc w:val="left"/>
      <w:lvlText w:val="•"/>
      <w:numFmt w:val="bullet"/>
      <w:start w:val="1"/>
    </w:lvl>
  </w:abstractNum>
  <w:abstractNum w:abstractNumId="10">
    <w:nsid w:val="885E1B"/>
    <w:multiLevelType w:val="hybridMultilevel"/>
    <w:lvl w:ilvl="0">
      <w:lvlJc w:val="left"/>
      <w:lvlText w:val="•"/>
      <w:numFmt w:val="bullet"/>
      <w:start w:val="1"/>
    </w:lvl>
  </w:abstractNum>
  <w:abstractNum w:abstractNumId="11">
    <w:nsid w:val="76272110"/>
    <w:multiLevelType w:val="hybridMultilevel"/>
    <w:lvl w:ilvl="0">
      <w:lvlJc w:val="left"/>
      <w:lvlText w:val="•"/>
      <w:numFmt w:val="bullet"/>
      <w:start w:val="1"/>
    </w:lvl>
  </w:abstractNum>
  <w:abstractNum w:abstractNumId="12">
    <w:nsid w:val="4C04A8AF"/>
    <w:multiLevelType w:val="hybridMultilevel"/>
    <w:lvl w:ilvl="0">
      <w:lvlJc w:val="left"/>
      <w:lvlText w:val="•"/>
      <w:numFmt w:val="bullet"/>
      <w:start w:val="1"/>
    </w:lvl>
  </w:abstractNum>
  <w:abstractNum w:abstractNumId="13">
    <w:nsid w:val="1716703B"/>
    <w:multiLevelType w:val="hybridMultilevel"/>
    <w:lvl w:ilvl="0">
      <w:lvlJc w:val="left"/>
      <w:lvlText w:val="•"/>
      <w:numFmt w:val="bullet"/>
      <w:start w:val="1"/>
    </w:lvl>
  </w:abstractNum>
  <w:abstractNum w:abstractNumId="14">
    <w:nsid w:val="14E17E33"/>
    <w:multiLevelType w:val="hybridMultilevel"/>
    <w:lvl w:ilvl="0">
      <w:lvlJc w:val="left"/>
      <w:lvlText w:val="•"/>
      <w:numFmt w:val="bullet"/>
      <w:start w:val="1"/>
    </w:lvl>
  </w:abstractNum>
  <w:abstractNum w:abstractNumId="15">
    <w:nsid w:val="3222E7CD"/>
    <w:multiLevelType w:val="hybridMultilevel"/>
    <w:lvl w:ilvl="0">
      <w:lvlJc w:val="left"/>
      <w:lvlText w:val="•"/>
      <w:numFmt w:val="bullet"/>
      <w:start w:val="1"/>
    </w:lvl>
  </w:abstractNum>
  <w:abstractNum w:abstractNumId="16">
    <w:nsid w:val="74DE0EE3"/>
    <w:multiLevelType w:val="hybridMultilevel"/>
    <w:lvl w:ilvl="0">
      <w:lvlJc w:val="left"/>
      <w:lvlText w:val="•"/>
      <w:numFmt w:val="bullet"/>
      <w:start w:val="1"/>
    </w:lvl>
  </w:abstractNum>
  <w:abstractNum w:abstractNumId="17">
    <w:nsid w:val="68EBC550"/>
    <w:multiLevelType w:val="hybridMultilevel"/>
    <w:lvl w:ilvl="0">
      <w:lvlJc w:val="left"/>
      <w:lvlText w:val="•"/>
      <w:numFmt w:val="bullet"/>
      <w:start w:val="1"/>
    </w:lvl>
  </w:abstractNum>
  <w:abstractNum w:abstractNumId="18">
    <w:nsid w:val="2DF6D648"/>
    <w:multiLevelType w:val="hybridMultilevel"/>
    <w:lvl w:ilvl="0">
      <w:lvlJc w:val="left"/>
      <w:lvlText w:val="•"/>
      <w:numFmt w:val="bullet"/>
      <w:start w:val="1"/>
    </w:lvl>
  </w:abstractNum>
  <w:abstractNum w:abstractNumId="19">
    <w:nsid w:val="46B7D447"/>
    <w:multiLevelType w:val="hybridMultilevel"/>
    <w:lvl w:ilvl="0">
      <w:lvlJc w:val="left"/>
      <w:lvlText w:val="•"/>
      <w:numFmt w:val="bullet"/>
      <w:start w:val="1"/>
    </w:lvl>
    <w:lvl w:ilvl="1">
      <w:lvlJc w:val="left"/>
      <w:lvlText w:val="•"/>
      <w:numFmt w:val="bullet"/>
      <w:start w:val="1"/>
    </w:lvl>
  </w:abstractNum>
  <w:abstractNum w:abstractNumId="20">
    <w:nsid w:val="4A2AC315"/>
    <w:multiLevelType w:val="hybridMultilevel"/>
    <w:lvl w:ilvl="0">
      <w:lvlJc w:val="left"/>
      <w:lvlText w:val="•"/>
      <w:numFmt w:val="bullet"/>
      <w:start w:val="1"/>
    </w:lvl>
  </w:abstractNum>
  <w:abstractNum w:abstractNumId="21">
    <w:nsid w:val="39EE015C"/>
    <w:multiLevelType w:val="hybridMultilevel"/>
    <w:lvl w:ilvl="0">
      <w:lvlJc w:val="left"/>
      <w:lvlText w:val="•"/>
      <w:numFmt w:val="bullet"/>
      <w:start w:val="1"/>
    </w:lvl>
  </w:abstractNum>
  <w:abstractNum w:abstractNumId="22">
    <w:nsid w:val="57FC4FBB"/>
    <w:multiLevelType w:val="hybridMultilevel"/>
    <w:lvl w:ilvl="0">
      <w:lvlJc w:val="left"/>
      <w:lvlText w:val="•"/>
      <w:numFmt w:val="bullet"/>
      <w:start w:val="1"/>
    </w:lvl>
  </w:abstractNum>
  <w:abstractNum w:abstractNumId="23">
    <w:nsid w:val="CC1016F"/>
    <w:multiLevelType w:val="hybridMultilevel"/>
    <w:lvl w:ilvl="0">
      <w:lvlJc w:val="left"/>
      <w:lvlText w:val="•"/>
      <w:numFmt w:val="bullet"/>
      <w:start w:val="1"/>
    </w:lvl>
  </w:abstractNum>
  <w:abstractNum w:abstractNumId="24">
    <w:nsid w:val="43F18422"/>
    <w:multiLevelType w:val="hybridMultilevel"/>
    <w:lvl w:ilvl="0">
      <w:lvlJc w:val="left"/>
      <w:lvlText w:val="•"/>
      <w:numFmt w:val="bullet"/>
      <w:start w:val="1"/>
    </w:lvl>
  </w:abstractNum>
  <w:abstractNum w:abstractNumId="25">
    <w:nsid w:val="60EF0119"/>
    <w:multiLevelType w:val="hybridMultilevel"/>
    <w:lvl w:ilvl="0">
      <w:lvlJc w:val="left"/>
      <w:lvlText w:val="•"/>
      <w:numFmt w:val="bullet"/>
      <w:start w:val="1"/>
    </w:lvl>
  </w:abstractNum>
  <w:abstractNum w:abstractNumId="26">
    <w:nsid w:val="26F324BA"/>
    <w:multiLevelType w:val="hybridMultilevel"/>
    <w:lvl w:ilvl="0">
      <w:lvlJc w:val="left"/>
      <w:lvlText w:val="•"/>
      <w:numFmt w:val="bullet"/>
      <w:start w:val="1"/>
    </w:lvl>
  </w:abstractNum>
  <w:abstractNum w:abstractNumId="27">
    <w:nsid w:val="7F01579B"/>
    <w:multiLevelType w:val="hybridMultilevel"/>
    <w:lvl w:ilvl="0">
      <w:lvlJc w:val="left"/>
      <w:lvlText w:val="•"/>
      <w:numFmt w:val="bullet"/>
      <w:start w:val="1"/>
    </w:lvl>
  </w:abstractNum>
  <w:abstractNum w:abstractNumId="28">
    <w:nsid w:val="49DA307D"/>
    <w:multiLevelType w:val="hybridMultilevel"/>
    <w:lvl w:ilvl="0">
      <w:lvlJc w:val="left"/>
      <w:lvlText w:val="•"/>
      <w:numFmt w:val="bullet"/>
      <w:start w:val="1"/>
    </w:lvl>
  </w:abstractNum>
  <w:abstractNum w:abstractNumId="29">
    <w:nsid w:val="7055A5F5"/>
    <w:multiLevelType w:val="hybridMultilevel"/>
    <w:lvl w:ilvl="0">
      <w:lvlJc w:val="left"/>
      <w:lvlText w:val="•"/>
      <w:numFmt w:val="bullet"/>
      <w:start w:val="1"/>
    </w:lvl>
  </w:abstractNum>
  <w:abstractNum w:abstractNumId="30">
    <w:nsid w:val="5FB8370B"/>
    <w:multiLevelType w:val="hybridMultilevel"/>
    <w:lvl w:ilvl="0">
      <w:lvlJc w:val="left"/>
      <w:lvlText w:val="(%1)"/>
      <w:numFmt w:val="lowerRoman"/>
      <w:start w:val="2"/>
    </w:lvl>
  </w:abstractNum>
  <w:abstractNum w:abstractNumId="31">
    <w:nsid w:val="50801EE1"/>
    <w:multiLevelType w:val="hybridMultilevel"/>
    <w:lvl w:ilvl="0">
      <w:lvlJc w:val="left"/>
      <w:lvlText w:val="•"/>
      <w:numFmt w:val="bullet"/>
      <w:start w:val="1"/>
    </w:lvl>
  </w:abstractNum>
  <w:abstractNum w:abstractNumId="32">
    <w:nsid w:val="488AC1A"/>
    <w:multiLevelType w:val="hybridMultilevel"/>
    <w:lvl w:ilvl="0">
      <w:lvlJc w:val="left"/>
      <w:lvlText w:val="(%1)"/>
      <w:numFmt w:val="lowerLetter"/>
      <w:start w:val="25"/>
    </w:lvl>
  </w:abstractNum>
  <w:abstractNum w:abstractNumId="33">
    <w:nsid w:val="5FB8011C"/>
    <w:multiLevelType w:val="hybridMultilevel"/>
    <w:lvl w:ilvl="0">
      <w:lvlJc w:val="left"/>
      <w:lvlText w:val="•"/>
      <w:numFmt w:val="bullet"/>
      <w:start w:val="1"/>
    </w:lvl>
  </w:abstractNum>
  <w:abstractNum w:abstractNumId="34">
    <w:nsid w:val="6AA78F7F"/>
    <w:multiLevelType w:val="hybridMultilevel"/>
    <w:lvl w:ilvl="0">
      <w:lvlJc w:val="left"/>
      <w:lvlText w:val="•"/>
      <w:numFmt w:val="bullet"/>
      <w:start w:val="1"/>
    </w:lvl>
  </w:abstractNum>
  <w:abstractNum w:abstractNumId="35">
    <w:nsid w:val="7672BD23"/>
    <w:multiLevelType w:val="hybridMultilevel"/>
    <w:lvl w:ilvl="0">
      <w:lvlJc w:val="left"/>
      <w:lvlText w:val="•"/>
      <w:numFmt w:val="bullet"/>
      <w:start w:val="1"/>
    </w:lvl>
  </w:abstractNum>
  <w:abstractNum w:abstractNumId="36">
    <w:nsid w:val="6FC75AF8"/>
    <w:multiLevelType w:val="hybridMultilevel"/>
    <w:lvl w:ilvl="0">
      <w:lvlJc w:val="left"/>
      <w:lvlText w:val="•"/>
      <w:numFmt w:val="bullet"/>
      <w:start w:val="1"/>
    </w:lvl>
  </w:abstractNum>
  <w:abstractNum w:abstractNumId="37">
    <w:nsid w:val="6A5F7029"/>
    <w:multiLevelType w:val="hybridMultilevel"/>
    <w:lvl w:ilvl="0">
      <w:lvlJc w:val="left"/>
      <w:lvlText w:val="•"/>
      <w:numFmt w:val="bullet"/>
      <w:start w:val="1"/>
    </w:lvl>
  </w:abstractNum>
  <w:abstractNum w:abstractNumId="38">
    <w:nsid w:val="7D5E18F8"/>
    <w:multiLevelType w:val="hybridMultilevel"/>
    <w:lvl w:ilvl="0">
      <w:lvlJc w:val="left"/>
      <w:lvlText w:val="•"/>
      <w:numFmt w:val="bullet"/>
      <w:start w:val="1"/>
    </w:lvl>
  </w:abstractNum>
  <w:abstractNum w:abstractNumId="39">
    <w:nsid w:val="5F3534A4"/>
    <w:multiLevelType w:val="hybridMultilevel"/>
    <w:lvl w:ilvl="0">
      <w:lvlJc w:val="left"/>
      <w:lvlText w:val="•"/>
      <w:numFmt w:val="bullet"/>
      <w:start w:val="1"/>
    </w:lvl>
  </w:abstractNum>
  <w:abstractNum w:abstractNumId="40">
    <w:nsid w:val="73A1821B"/>
    <w:multiLevelType w:val="hybridMultilevel"/>
    <w:lvl w:ilvl="0">
      <w:lvlJc w:val="left"/>
      <w:lvlText w:val="(%1)"/>
      <w:numFmt w:val="decimal"/>
      <w:start w:val="1"/>
    </w:lvl>
    <w:lvl w:ilvl="1">
      <w:lvlJc w:val="left"/>
      <w:lvlText w:val="•"/>
      <w:numFmt w:val="bullet"/>
      <w:start w:val="1"/>
    </w:lvl>
  </w:abstractNum>
  <w:abstractNum w:abstractNumId="41">
    <w:nsid w:val="7DE67713"/>
    <w:multiLevelType w:val="hybridMultilevel"/>
    <w:lvl w:ilvl="0">
      <w:lvlJc w:val="left"/>
      <w:lvlText w:val="•"/>
      <w:numFmt w:val="bullet"/>
      <w:start w:val="1"/>
    </w:lvl>
  </w:abstractNum>
  <w:abstractNum w:abstractNumId="42">
    <w:nsid w:val="555C55B5"/>
    <w:multiLevelType w:val="hybridMultilevel"/>
    <w:lvl w:ilvl="0">
      <w:lvlJc w:val="left"/>
      <w:lvlText w:val="•"/>
      <w:numFmt w:val="bullet"/>
      <w:start w:val="1"/>
    </w:lvl>
  </w:abstractNum>
  <w:abstractNum w:abstractNumId="43">
    <w:nsid w:val="3FA62ACA"/>
    <w:multiLevelType w:val="hybridMultilevel"/>
    <w:lvl w:ilvl="0">
      <w:lvlJc w:val="left"/>
      <w:lvlText w:val="•"/>
      <w:numFmt w:val="bullet"/>
      <w:start w:val="1"/>
    </w:lvl>
  </w:abstractNum>
  <w:abstractNum w:abstractNumId="44">
    <w:nsid w:val="14FCE74E"/>
    <w:multiLevelType w:val="hybridMultilevel"/>
    <w:lvl w:ilvl="0">
      <w:lvlJc w:val="left"/>
      <w:lvlText w:val="•"/>
      <w:numFmt w:val="bullet"/>
      <w:start w:val="1"/>
    </w:lvl>
  </w:abstractNum>
  <w:abstractNum w:abstractNumId="45">
    <w:nsid w:val="6A3DD3E8"/>
    <w:multiLevelType w:val="hybridMultilevel"/>
    <w:lvl w:ilvl="0">
      <w:lvlJc w:val="left"/>
      <w:lvlText w:val="•"/>
      <w:numFmt w:val="bullet"/>
      <w:start w:val="1"/>
    </w:lvl>
  </w:abstractNum>
  <w:abstractNum w:abstractNumId="46">
    <w:nsid w:val="71C91298"/>
    <w:multiLevelType w:val="hybridMultilevel"/>
    <w:lvl w:ilvl="0">
      <w:lvlJc w:val="left"/>
      <w:lvlText w:val="•"/>
      <w:numFmt w:val="bullet"/>
      <w:start w:val="1"/>
    </w:lvl>
  </w:abstractNum>
  <w:abstractNum w:abstractNumId="47">
    <w:nsid w:val="9DAF632"/>
    <w:multiLevelType w:val="hybridMultilevel"/>
    <w:lvl w:ilvl="0">
      <w:lvlJc w:val="left"/>
      <w:lvlText w:val="•"/>
      <w:numFmt w:val="bullet"/>
      <w:start w:val="1"/>
    </w:lvl>
  </w:abstractNum>
  <w:abstractNum w:abstractNumId="48">
    <w:nsid w:val="53299938"/>
    <w:multiLevelType w:val="hybridMultilevel"/>
    <w:lvl w:ilvl="0">
      <w:lvlJc w:val="left"/>
      <w:lvlText w:val="•"/>
      <w:numFmt w:val="bullet"/>
      <w:start w:val="1"/>
    </w:lvl>
  </w:abstractNum>
  <w:abstractNum w:abstractNumId="49">
    <w:nsid w:val="1FBFE8E0"/>
    <w:multiLevelType w:val="hybridMultilevel"/>
    <w:lvl w:ilvl="0">
      <w:lvlJc w:val="left"/>
      <w:lvlText w:val="•"/>
      <w:numFmt w:val="bullet"/>
      <w:start w:val="1"/>
    </w:lvl>
  </w:abstractNum>
  <w:abstractNum w:abstractNumId="50">
    <w:nsid w:val="5092CA79"/>
    <w:multiLevelType w:val="hybridMultilevel"/>
    <w:lvl w:ilvl="0">
      <w:lvlJc w:val="left"/>
      <w:lvlText w:val="•"/>
      <w:numFmt w:val="bullet"/>
      <w:start w:val="1"/>
    </w:lvl>
  </w:abstractNum>
  <w:abstractNum w:abstractNumId="51">
    <w:nsid w:val="1D545C4D"/>
    <w:multiLevelType w:val="hybridMultilevel"/>
    <w:lvl w:ilvl="0">
      <w:lvlJc w:val="left"/>
      <w:lvlText w:val="•"/>
      <w:numFmt w:val="bullet"/>
      <w:start w:val="1"/>
    </w:lvl>
  </w:abstractNum>
  <w:abstractNum w:abstractNumId="52">
    <w:nsid w:val="59ADEA3D"/>
    <w:multiLevelType w:val="hybridMultilevel"/>
    <w:lvl w:ilvl="0">
      <w:lvlJc w:val="left"/>
      <w:lvlText w:val="•"/>
      <w:numFmt w:val="bullet"/>
      <w:start w:val="1"/>
    </w:lvl>
  </w:abstractNum>
  <w:abstractNum w:abstractNumId="53">
    <w:nsid w:val="288F1A34"/>
    <w:multiLevelType w:val="hybridMultilevel"/>
    <w:lvl w:ilvl="0">
      <w:lvlJc w:val="left"/>
      <w:lvlText w:val="•"/>
      <w:numFmt w:val="bullet"/>
      <w:start w:val="1"/>
    </w:lvl>
  </w:abstractNum>
  <w:abstractNum w:abstractNumId="54">
    <w:nsid w:val="2A155DBC"/>
    <w:multiLevelType w:val="hybridMultilevel"/>
    <w:lvl w:ilvl="0">
      <w:lvlJc w:val="left"/>
      <w:lvlText w:val="•"/>
      <w:numFmt w:val="bullet"/>
      <w:start w:val="1"/>
    </w:lvl>
  </w:abstractNum>
  <w:abstractNum w:abstractNumId="55">
    <w:nsid w:val="1D9F6E5F"/>
    <w:multiLevelType w:val="hybridMultilevel"/>
    <w:lvl w:ilvl="0">
      <w:lvlJc w:val="left"/>
      <w:lvlText w:val="•"/>
      <w:numFmt w:val="bullet"/>
      <w:start w:val="1"/>
    </w:lvl>
    <w:lvl w:ilvl="1">
      <w:lvlJc w:val="left"/>
      <w:lvlText w:val="•"/>
      <w:numFmt w:val="bullet"/>
      <w:start w:val="1"/>
    </w:lvl>
  </w:abstractNum>
  <w:abstractNum w:abstractNumId="56">
    <w:nsid w:val="97E1B4E"/>
    <w:multiLevelType w:val="hybridMultilevel"/>
    <w:lvl w:ilvl="0">
      <w:lvlJc w:val="left"/>
      <w:lvlText w:val="•"/>
      <w:numFmt w:val="bullet"/>
      <w:start w:val="1"/>
    </w:lvl>
  </w:abstractNum>
  <w:abstractNum w:abstractNumId="57">
    <w:nsid w:val="51088277"/>
    <w:multiLevelType w:val="hybridMultilevel"/>
    <w:lvl w:ilvl="0">
      <w:lvlJc w:val="left"/>
      <w:lvlText w:val="•"/>
      <w:numFmt w:val="bullet"/>
      <w:start w:val="1"/>
    </w:lvl>
  </w:abstractNum>
  <w:abstractNum w:abstractNumId="58">
    <w:nsid w:val="1CA0C5FA"/>
    <w:multiLevelType w:val="hybridMultilevel"/>
    <w:lvl w:ilvl="0">
      <w:lvlJc w:val="left"/>
      <w:lvlText w:val="•"/>
      <w:numFmt w:val="bullet"/>
      <w:start w:val="1"/>
    </w:lvl>
  </w:abstractNum>
  <w:abstractNum w:abstractNumId="59">
    <w:nsid w:val="53584BCB"/>
    <w:multiLevelType w:val="hybridMultilevel"/>
    <w:lvl w:ilvl="0">
      <w:lvlJc w:val="left"/>
      <w:lvlText w:val="•"/>
      <w:numFmt w:val="bullet"/>
      <w:start w:val="1"/>
    </w:lvl>
    <w:lvl w:ilvl="1">
      <w:lvlJc w:val="left"/>
      <w:lvlText w:val="•"/>
      <w:numFmt w:val="bullet"/>
      <w:start w:val="1"/>
    </w:lvl>
  </w:abstractNum>
  <w:abstractNum w:abstractNumId="60">
    <w:nsid w:val="415E286C"/>
    <w:multiLevelType w:val="hybridMultilevel"/>
    <w:lvl w:ilvl="0">
      <w:lvlJc w:val="left"/>
      <w:lvlText w:val="•"/>
      <w:numFmt w:val="bullet"/>
      <w:start w:val="1"/>
    </w:lvl>
    <w:lvl w:ilvl="1">
      <w:lvlJc w:val="left"/>
      <w:lvlText w:val="•"/>
      <w:numFmt w:val="bullet"/>
      <w:start w:val="1"/>
    </w:lvl>
  </w:abstractNum>
  <w:abstractNum w:abstractNumId="61">
    <w:nsid w:val="7C58FD05"/>
    <w:multiLevelType w:val="hybridMultilevel"/>
    <w:lvl w:ilvl="0">
      <w:lvlJc w:val="left"/>
      <w:lvlText w:val="•"/>
      <w:numFmt w:val="bullet"/>
      <w:start w:val="1"/>
    </w:lvl>
  </w:abstractNum>
  <w:abstractNum w:abstractNumId="62">
    <w:nsid w:val="23D86AAC"/>
    <w:multiLevelType w:val="hybridMultilevel"/>
    <w:lvl w:ilvl="0">
      <w:lvlJc w:val="left"/>
      <w:lvlText w:val="•"/>
      <w:numFmt w:val="bullet"/>
      <w:start w:val="1"/>
    </w:lvl>
  </w:abstractNum>
  <w:abstractNum w:abstractNumId="63">
    <w:nsid w:val="45E6D486"/>
    <w:multiLevelType w:val="hybridMultilevel"/>
    <w:lvl w:ilvl="0">
      <w:lvlJc w:val="left"/>
      <w:lvlText w:val="•"/>
      <w:numFmt w:val="bullet"/>
      <w:start w:val="1"/>
    </w:lvl>
  </w:abstractNum>
  <w:abstractNum w:abstractNumId="64">
    <w:nsid w:val="5C10FE21"/>
    <w:multiLevelType w:val="hybridMultilevel"/>
    <w:lvl w:ilvl="0">
      <w:lvlJc w:val="left"/>
      <w:lvlText w:val="•"/>
      <w:numFmt w:val="bullet"/>
      <w:start w:val="1"/>
    </w:lvl>
  </w:abstractNum>
  <w:abstractNum w:abstractNumId="65">
    <w:nsid w:val="E7FFA2B"/>
    <w:multiLevelType w:val="hybridMultilevel"/>
    <w:lvl w:ilvl="0">
      <w:lvlJc w:val="left"/>
      <w:lvlText w:val="•"/>
      <w:numFmt w:val="bullet"/>
      <w:start w:val="1"/>
    </w:lvl>
  </w:abstractNum>
  <w:abstractNum w:abstractNumId="66">
    <w:nsid w:val="3C5991AA"/>
    <w:multiLevelType w:val="hybridMultilevel"/>
    <w:lvl w:ilvl="0">
      <w:lvlJc w:val="left"/>
      <w:lvlText w:val="•"/>
      <w:numFmt w:val="bullet"/>
      <w:start w:val="1"/>
    </w:lvl>
  </w:abstractNum>
  <w:abstractNum w:abstractNumId="67">
    <w:nsid w:val="4BD8591A"/>
    <w:multiLevelType w:val="hybridMultilevel"/>
    <w:lvl w:ilvl="0">
      <w:lvlJc w:val="left"/>
      <w:lvlText w:val="•"/>
      <w:numFmt w:val="bullet"/>
      <w:start w:val="1"/>
    </w:lvl>
  </w:abstractNum>
  <w:abstractNum w:abstractNumId="68">
    <w:nsid w:val="78DF6A55"/>
    <w:multiLevelType w:val="hybridMultilevel"/>
    <w:lvl w:ilvl="0">
      <w:lvlJc w:val="left"/>
      <w:lvlText w:val="•"/>
      <w:numFmt w:val="bullet"/>
      <w:start w:val="1"/>
    </w:lvl>
  </w:abstractNum>
  <w:abstractNum w:abstractNumId="69">
    <w:nsid w:val="39B7AAA2"/>
    <w:multiLevelType w:val="hybridMultilevel"/>
    <w:lvl w:ilvl="0">
      <w:lvlJc w:val="left"/>
      <w:lvlText w:val="•"/>
      <w:numFmt w:val="bullet"/>
      <w:start w:val="1"/>
    </w:lvl>
  </w:abstractNum>
  <w:abstractNum w:abstractNumId="70">
    <w:nsid w:val="2B0D8DBE"/>
    <w:multiLevelType w:val="hybridMultilevel"/>
    <w:lvl w:ilvl="0">
      <w:lvlJc w:val="left"/>
      <w:lvlText w:val="•"/>
      <w:numFmt w:val="bullet"/>
      <w:start w:val="1"/>
    </w:lvl>
    <w:lvl w:ilvl="1">
      <w:lvlJc w:val="left"/>
      <w:lvlText w:val="•"/>
      <w:numFmt w:val="bullet"/>
      <w:start w:val="1"/>
    </w:lvl>
  </w:abstractNum>
  <w:abstractNum w:abstractNumId="71">
    <w:nsid w:val="6C80EC7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2">
    <w:nsid w:val="379E21B5"/>
    <w:multiLevelType w:val="hybridMultilevel"/>
    <w:lvl w:ilvl="0">
      <w:lvlJc w:val="left"/>
      <w:lvlText w:val="•"/>
      <w:numFmt w:val="bullet"/>
      <w:start w:val="1"/>
    </w:lvl>
    <w:lvl w:ilvl="1">
      <w:lvlJc w:val="left"/>
      <w:lvlText w:val="•"/>
      <w:numFmt w:val="bullet"/>
      <w:start w:val="1"/>
    </w:lvl>
  </w:abstractNum>
  <w:abstractNum w:abstractNumId="73">
    <w:nsid w:val="69E373"/>
    <w:multiLevelType w:val="hybridMultilevel"/>
    <w:lvl w:ilvl="0">
      <w:lvlJc w:val="left"/>
      <w:lvlText w:val="•"/>
      <w:numFmt w:val="bullet"/>
      <w:start w:val="1"/>
    </w:lvl>
  </w:abstractNum>
  <w:abstractNum w:abstractNumId="74">
    <w:nsid w:val="2C27173B"/>
    <w:multiLevelType w:val="hybridMultilevel"/>
    <w:lvl w:ilvl="0">
      <w:lvlJc w:val="left"/>
      <w:lvlText w:val="•"/>
      <w:numFmt w:val="bullet"/>
      <w:start w:val="1"/>
    </w:lvl>
  </w:abstractNum>
  <w:abstractNum w:abstractNumId="75">
    <w:nsid w:val="4C9B0904"/>
    <w:multiLevelType w:val="hybridMultilevel"/>
    <w:lvl w:ilvl="0">
      <w:lvlJc w:val="left"/>
      <w:lvlText w:val="•"/>
      <w:numFmt w:val="bullet"/>
      <w:start w:val="1"/>
    </w:lvl>
  </w:abstractNum>
  <w:abstractNum w:abstractNumId="76">
    <w:nsid w:val="6AA7B75C"/>
    <w:multiLevelType w:val="hybridMultilevel"/>
    <w:lvl w:ilvl="0">
      <w:lvlJc w:val="left"/>
      <w:lvlText w:val="•"/>
      <w:numFmt w:val="bullet"/>
      <w:start w:val="1"/>
    </w:lvl>
    <w:lvl w:ilvl="1">
      <w:lvlJc w:val="left"/>
      <w:lvlText w:val="•"/>
      <w:numFmt w:val="bullet"/>
      <w:start w:val="1"/>
    </w:lvl>
  </w:abstractNum>
  <w:abstractNum w:abstractNumId="77">
    <w:nsid w:val="1DF029D3"/>
    <w:multiLevelType w:val="hybridMultilevel"/>
    <w:lvl w:ilvl="0">
      <w:lvlJc w:val="left"/>
      <w:lvlText w:val="•"/>
      <w:numFmt w:val="bullet"/>
      <w:start w:val="1"/>
    </w:lvl>
  </w:abstractNum>
  <w:abstractNum w:abstractNumId="78">
    <w:nsid w:val="5675FF36"/>
    <w:multiLevelType w:val="hybridMultilevel"/>
    <w:lvl w:ilvl="0">
      <w:lvlJc w:val="left"/>
      <w:lvlText w:val="•"/>
      <w:numFmt w:val="bullet"/>
      <w:start w:val="1"/>
    </w:lvl>
  </w:abstractNum>
  <w:abstractNum w:abstractNumId="79">
    <w:nsid w:val="3DD15094"/>
    <w:multiLevelType w:val="hybridMultilevel"/>
    <w:lvl w:ilvl="0">
      <w:lvlJc w:val="left"/>
      <w:lvlText w:val="•"/>
      <w:numFmt w:val="bullet"/>
      <w:start w:val="1"/>
    </w:lvl>
  </w:abstractNum>
  <w:abstractNum w:abstractNumId="80">
    <w:nsid w:val="3DB012B3"/>
    <w:multiLevelType w:val="hybridMultilevel"/>
    <w:lvl w:ilvl="0">
      <w:lvlJc w:val="left"/>
      <w:lvlText w:val="•"/>
      <w:numFmt w:val="bullet"/>
      <w:start w:val="1"/>
    </w:lvl>
  </w:abstractNum>
  <w:abstractNum w:abstractNumId="81">
    <w:nsid w:val="2708C9AF"/>
    <w:multiLevelType w:val="hybridMultilevel"/>
    <w:lvl w:ilvl="0">
      <w:lvlJc w:val="left"/>
      <w:lvlText w:val="•"/>
      <w:numFmt w:val="bullet"/>
      <w:start w:val="1"/>
    </w:lvl>
  </w:abstractNum>
  <w:abstractNum w:abstractNumId="82">
    <w:nsid w:val="5B25ACE2"/>
    <w:multiLevelType w:val="hybridMultilevel"/>
    <w:lvl w:ilvl="0">
      <w:lvlJc w:val="left"/>
      <w:lvlText w:val="•"/>
      <w:numFmt w:val="bullet"/>
      <w:start w:val="1"/>
    </w:lvl>
  </w:abstractNum>
  <w:abstractNum w:abstractNumId="83">
    <w:nsid w:val="175DFCF0"/>
    <w:multiLevelType w:val="hybridMultilevel"/>
    <w:lvl w:ilvl="0">
      <w:lvlJc w:val="left"/>
      <w:lvlText w:val="•"/>
      <w:numFmt w:val="bullet"/>
      <w:start w:val="1"/>
    </w:lvl>
  </w:abstractNum>
  <w:abstractNum w:abstractNumId="84">
    <w:nsid w:val="4F97E3E4"/>
    <w:multiLevelType w:val="hybridMultilevel"/>
    <w:lvl w:ilvl="0">
      <w:lvlJc w:val="left"/>
      <w:lvlText w:val="•"/>
      <w:numFmt w:val="bullet"/>
      <w:start w:val="1"/>
    </w:lvl>
  </w:abstractNum>
  <w:abstractNum w:abstractNumId="85">
    <w:nsid w:val="53B0A9E"/>
    <w:multiLevelType w:val="hybridMultilevel"/>
    <w:lvl w:ilvl="0">
      <w:lvlJc w:val="left"/>
      <w:lvlText w:val="•"/>
      <w:numFmt w:val="bullet"/>
      <w:start w:val="1"/>
    </w:lvl>
  </w:abstractNum>
  <w:abstractNum w:abstractNumId="86">
    <w:nsid w:val="34FD6B4F"/>
    <w:multiLevelType w:val="hybridMultilevel"/>
    <w:lvl w:ilvl="0">
      <w:lvlJc w:val="left"/>
      <w:lvlText w:val="•"/>
      <w:numFmt w:val="bullet"/>
      <w:start w:val="1"/>
    </w:lvl>
  </w:abstractNum>
  <w:abstractNum w:abstractNumId="87">
    <w:nsid w:val="5915FF32"/>
    <w:multiLevelType w:val="hybridMultilevel"/>
    <w:lvl w:ilvl="0">
      <w:lvlJc w:val="left"/>
      <w:lvlText w:val="•"/>
      <w:numFmt w:val="bullet"/>
      <w:start w:val="1"/>
    </w:lvl>
  </w:abstractNum>
  <w:abstractNum w:abstractNumId="88">
    <w:nsid w:val="56438D15"/>
    <w:multiLevelType w:val="hybridMultilevel"/>
    <w:lvl w:ilvl="0">
      <w:lvlJc w:val="left"/>
      <w:lvlText w:val="•"/>
      <w:numFmt w:val="bullet"/>
      <w:start w:val="1"/>
    </w:lvl>
  </w:abstractNum>
  <w:abstractNum w:abstractNumId="89">
    <w:nsid w:val="519E3149"/>
    <w:multiLevelType w:val="hybridMultilevel"/>
    <w:lvl w:ilvl="0">
      <w:lvlJc w:val="left"/>
      <w:lvlText w:val="•"/>
      <w:numFmt w:val="bullet"/>
      <w:start w:val="1"/>
    </w:lvl>
  </w:abstractNum>
  <w:abstractNum w:abstractNumId="90">
    <w:nsid w:val="2C6E4AFD"/>
    <w:multiLevelType w:val="hybridMultilevel"/>
    <w:lvl w:ilvl="0">
      <w:lvlJc w:val="left"/>
      <w:lvlText w:val="•"/>
      <w:numFmt w:val="bullet"/>
      <w:start w:val="1"/>
    </w:lvl>
  </w:abstractNum>
  <w:abstractNum w:abstractNumId="91">
    <w:nsid w:val="17A1B582"/>
    <w:multiLevelType w:val="hybridMultilevel"/>
    <w:lvl w:ilvl="0">
      <w:lvlJc w:val="left"/>
      <w:lvlText w:val="•"/>
      <w:numFmt w:val="bullet"/>
      <w:start w:val="1"/>
    </w:lvl>
  </w:abstractNum>
  <w:abstractNum w:abstractNumId="92">
    <w:nsid w:val="4DF72E4E"/>
    <w:multiLevelType w:val="hybridMultilevel"/>
    <w:lvl w:ilvl="0">
      <w:lvlJc w:val="left"/>
      <w:lvlText w:val="•"/>
      <w:numFmt w:val="bullet"/>
      <w:start w:val="1"/>
    </w:lvl>
  </w:abstractNum>
  <w:abstractNum w:abstractNumId="93">
    <w:nsid w:val="5046B5A9"/>
    <w:multiLevelType w:val="hybridMultilevel"/>
    <w:lvl w:ilvl="0">
      <w:lvlJc w:val="left"/>
      <w:lvlText w:val="•"/>
      <w:numFmt w:val="bullet"/>
      <w:start w:val="1"/>
    </w:lvl>
  </w:abstractNum>
  <w:abstractNum w:abstractNumId="94">
    <w:nsid w:val="5D888A08"/>
    <w:multiLevelType w:val="hybridMultilevel"/>
    <w:lvl w:ilvl="0">
      <w:lvlJc w:val="left"/>
      <w:lvlText w:val="•"/>
      <w:numFmt w:val="bullet"/>
      <w:start w:val="1"/>
    </w:lvl>
  </w:abstractNum>
  <w:abstractNum w:abstractNumId="95">
    <w:nsid w:val="2A082C70"/>
    <w:multiLevelType w:val="hybridMultilevel"/>
    <w:lvl w:ilvl="0">
      <w:lvlJc w:val="left"/>
      <w:lvlText w:val="•"/>
      <w:numFmt w:val="bullet"/>
      <w:start w:val="1"/>
    </w:lvl>
  </w:abstractNum>
  <w:abstractNum w:abstractNumId="96">
    <w:nsid w:val="5EC6AFD4"/>
    <w:multiLevelType w:val="hybridMultilevel"/>
    <w:lvl w:ilvl="0">
      <w:lvlJc w:val="left"/>
      <w:lvlText w:val="•"/>
      <w:numFmt w:val="bullet"/>
      <w:start w:val="1"/>
    </w:lvl>
  </w:abstractNum>
  <w:abstractNum w:abstractNumId="97">
    <w:nsid w:val="19E21BB2"/>
    <w:multiLevelType w:val="hybridMultilevel"/>
    <w:lvl w:ilvl="0">
      <w:lvlJc w:val="left"/>
      <w:lvlText w:val="•"/>
      <w:numFmt w:val="bullet"/>
      <w:start w:val="1"/>
    </w:lvl>
    <w:lvl w:ilvl="1">
      <w:lvlJc w:val="left"/>
      <w:lvlText w:val="•"/>
      <w:numFmt w:val="bullet"/>
      <w:start w:val="1"/>
    </w:lvl>
  </w:abstractNum>
  <w:abstractNum w:abstractNumId="98">
    <w:nsid w:val="75E0858A"/>
    <w:multiLevelType w:val="hybridMultilevel"/>
    <w:lvl w:ilvl="0">
      <w:lvlJc w:val="left"/>
      <w:lvlText w:val="•"/>
      <w:numFmt w:val="bullet"/>
      <w:start w:val="1"/>
    </w:lvl>
  </w:abstractNum>
  <w:abstractNum w:abstractNumId="99">
    <w:nsid w:val="57A61A29"/>
    <w:multiLevelType w:val="hybridMultilevel"/>
    <w:lvl w:ilvl="0">
      <w:lvlJc w:val="left"/>
      <w:lvlText w:val="•"/>
      <w:numFmt w:val="bullet"/>
      <w:start w:val="1"/>
    </w:lvl>
  </w:abstractNum>
  <w:abstractNum w:abstractNumId="100">
    <w:nsid w:val="5399C654"/>
    <w:multiLevelType w:val="hybridMultilevel"/>
    <w:lvl w:ilvl="0">
      <w:lvlJc w:val="left"/>
      <w:lvlText w:val="•"/>
      <w:numFmt w:val="bullet"/>
      <w:start w:val="1"/>
    </w:lvl>
  </w:abstractNum>
  <w:abstractNum w:abstractNumId="101">
    <w:nsid w:val="20EE1348"/>
    <w:multiLevelType w:val="hybridMultilevel"/>
    <w:lvl w:ilvl="0">
      <w:lvlJc w:val="left"/>
      <w:lvlText w:val="•"/>
      <w:numFmt w:val="bullet"/>
      <w:start w:val="1"/>
    </w:lvl>
  </w:abstractNum>
  <w:abstractNum w:abstractNumId="102">
    <w:nsid w:val="4427069A"/>
    <w:multiLevelType w:val="hybridMultilevel"/>
    <w:lvl w:ilvl="0">
      <w:lvlJc w:val="left"/>
      <w:lvlText w:val="•"/>
      <w:numFmt w:val="bullet"/>
      <w:start w:val="1"/>
    </w:lvl>
  </w:abstractNum>
  <w:abstractNum w:abstractNumId="103">
    <w:nsid w:val="B37E80A"/>
    <w:multiLevelType w:val="hybridMultilevel"/>
    <w:lvl w:ilvl="0">
      <w:lvlJc w:val="left"/>
      <w:lvlText w:val="•"/>
      <w:numFmt w:val="bullet"/>
      <w:start w:val="1"/>
    </w:lvl>
  </w:abstractNum>
  <w:abstractNum w:abstractNumId="104">
    <w:nsid w:val="2157F6BC"/>
    <w:multiLevelType w:val="hybridMultilevel"/>
    <w:lvl w:ilvl="0">
      <w:lvlJc w:val="left"/>
      <w:lvlText w:val="•"/>
      <w:numFmt w:val="bullet"/>
      <w:start w:val="1"/>
    </w:lvl>
  </w:abstractNum>
  <w:abstractNum w:abstractNumId="105">
    <w:nsid w:val="704E1DD5"/>
    <w:multiLevelType w:val="hybridMultilevel"/>
    <w:lvl w:ilvl="0">
      <w:lvlJc w:val="left"/>
      <w:lvlText w:val="•"/>
      <w:numFmt w:val="bullet"/>
      <w:start w:val="1"/>
    </w:lvl>
  </w:abstractNum>
  <w:abstractNum w:abstractNumId="106">
    <w:nsid w:val="57D2F10E"/>
    <w:multiLevelType w:val="hybridMultilevel"/>
    <w:lvl w:ilvl="0">
      <w:lvlJc w:val="left"/>
      <w:lvlText w:val="•"/>
      <w:numFmt w:val="bullet"/>
      <w:start w:val="1"/>
    </w:lvl>
  </w:abstractNum>
  <w:abstractNum w:abstractNumId="107">
    <w:nsid w:val="BFFAE18"/>
    <w:multiLevelType w:val="hybridMultilevel"/>
    <w:lvl w:ilvl="0">
      <w:lvlJc w:val="left"/>
      <w:lvlText w:val="•"/>
      <w:numFmt w:val="bullet"/>
      <w:start w:val="1"/>
    </w:lvl>
  </w:abstractNum>
  <w:abstractNum w:abstractNumId="108">
    <w:nsid w:val="E3E47A8"/>
    <w:multiLevelType w:val="hybridMultilevel"/>
    <w:lvl w:ilvl="0">
      <w:lvlJc w:val="left"/>
      <w:lvlText w:val="•"/>
      <w:numFmt w:val="bullet"/>
      <w:start w:val="1"/>
    </w:lvl>
  </w:abstractNum>
  <w:abstractNum w:abstractNumId="109">
    <w:nsid w:val="2E48F044"/>
    <w:multiLevelType w:val="hybridMultilevel"/>
    <w:lvl w:ilvl="0">
      <w:lvlJc w:val="left"/>
      <w:lvlText w:val="•"/>
      <w:numFmt w:val="bullet"/>
      <w:start w:val="1"/>
    </w:lvl>
  </w:abstractNum>
  <w:abstractNum w:abstractNumId="110">
    <w:nsid w:val="49D0FEAC"/>
    <w:multiLevelType w:val="hybridMultilevel"/>
    <w:lvl w:ilvl="0">
      <w:lvlJc w:val="left"/>
      <w:lvlText w:val="•"/>
      <w:numFmt w:val="bullet"/>
      <w:start w:val="1"/>
    </w:lvl>
  </w:abstractNum>
  <w:abstractNum w:abstractNumId="111">
    <w:nsid w:val="4BEE5A5B"/>
    <w:multiLevelType w:val="hybridMultilevel"/>
    <w:lvl w:ilvl="0">
      <w:lvlJc w:val="left"/>
      <w:lvlText w:val="*"/>
      <w:numFmt w:val="bullet"/>
      <w:start w:val="1"/>
    </w:lvl>
  </w:abstractNum>
  <w:abstractNum w:abstractNumId="112">
    <w:nsid w:val="5551B9F3"/>
    <w:multiLevelType w:val="hybridMultilevel"/>
    <w:lvl w:ilvl="0">
      <w:lvlJc w:val="left"/>
      <w:lvlText w:val="​"/>
      <w:numFmt w:val="bullet"/>
      <w:start w:val="1"/>
    </w:lvl>
  </w:abstractNum>
  <w:abstractNum w:abstractNumId="113">
    <w:nsid w:val="24F6AB8E"/>
    <w:multiLevelType w:val="hybridMultilevel"/>
    <w:lvl w:ilvl="0">
      <w:lvlJc w:val="left"/>
      <w:lvlText w:val="​"/>
      <w:numFmt w:val="bullet"/>
      <w:start w:val="1"/>
    </w:lvl>
  </w:abstractNum>
  <w:abstractNum w:abstractNumId="114">
    <w:nsid w:val="634C574C"/>
    <w:multiLevelType w:val="hybridMultilevel"/>
    <w:lvl w:ilvl="0">
      <w:lvlJc w:val="left"/>
      <w:lvlText w:val="​"/>
      <w:numFmt w:val="bullet"/>
      <w:start w:val="1"/>
    </w:lvl>
  </w:abstractNum>
  <w:abstractNum w:abstractNumId="115">
    <w:nsid w:val="24E99DD7"/>
    <w:multiLevelType w:val="hybridMultilevel"/>
    <w:lvl w:ilvl="0">
      <w:lvlJc w:val="left"/>
      <w:lvlText w:val="​"/>
      <w:numFmt w:val="bullet"/>
      <w:start w:val="1"/>
    </w:lvl>
  </w:abstractNum>
  <w:abstractNum w:abstractNumId="116">
    <w:nsid w:val="2A31B62D"/>
    <w:multiLevelType w:val="hybridMultilevel"/>
    <w:lvl w:ilvl="0">
      <w:lvlJc w:val="left"/>
      <w:lvlText w:val="​"/>
      <w:numFmt w:val="bullet"/>
      <w:start w:val="1"/>
    </w:lvl>
  </w:abstractNum>
  <w:abstractNum w:abstractNumId="117">
    <w:nsid w:val="1849C29B"/>
    <w:multiLevelType w:val="hybridMultilevel"/>
    <w:lvl w:ilvl="0">
      <w:lvlJc w:val="left"/>
      <w:lvlText w:val="​​"/>
      <w:numFmt w:val="bullet"/>
      <w:start w:val="1"/>
    </w:lvl>
  </w:abstractNum>
  <w:abstractNum w:abstractNumId="118">
    <w:nsid w:val="7DFF9D09"/>
    <w:multiLevelType w:val="hybridMultilevel"/>
    <w:lvl w:ilvl="0">
      <w:lvlJc w:val="left"/>
      <w:lvlText w:val="​​"/>
      <w:numFmt w:val="bullet"/>
      <w:start w:val="1"/>
    </w:lvl>
  </w:abstractNum>
  <w:abstractNum w:abstractNumId="119">
    <w:nsid w:val="754342"/>
    <w:multiLevelType w:val="hybridMultilevel"/>
    <w:lvl w:ilvl="0">
      <w:lvlJc w:val="left"/>
      <w:lvlText w:val="​​"/>
      <w:numFmt w:val="bullet"/>
      <w:start w:val="1"/>
    </w:lvl>
  </w:abstractNum>
  <w:abstractNum w:abstractNumId="120">
    <w:nsid w:val="69E7F3E5"/>
    <w:multiLevelType w:val="hybridMultilevel"/>
    <w:lvl w:ilvl="0">
      <w:lvlJc w:val="left"/>
      <w:lvlText w:val="​"/>
      <w:numFmt w:val="bullet"/>
      <w:start w:val="1"/>
    </w:lvl>
  </w:abstractNum>
  <w:abstractNum w:abstractNumId="121">
    <w:nsid w:val="2A6DE806"/>
    <w:multiLevelType w:val="hybridMultilevel"/>
    <w:lvl w:ilvl="0">
      <w:lvlJc w:val="left"/>
      <w:lvlText w:val="​"/>
      <w:numFmt w:val="bullet"/>
      <w:start w:val="1"/>
    </w:lvl>
  </w:abstractNum>
  <w:abstractNum w:abstractNumId="122">
    <w:nsid w:val="1816F8C4"/>
    <w:multiLevelType w:val="hybridMultilevel"/>
    <w:lvl w:ilvl="0">
      <w:lvlJc w:val="left"/>
      <w:lvlText w:val="​"/>
      <w:numFmt w:val="bullet"/>
      <w:start w:val="1"/>
    </w:lvl>
  </w:abstractNum>
  <w:abstractNum w:abstractNumId="123">
    <w:nsid w:val="37DF2233"/>
    <w:multiLevelType w:val="hybridMultilevel"/>
    <w:lvl w:ilvl="0">
      <w:lvlJc w:val="left"/>
      <w:lvlText w:val="*"/>
      <w:numFmt w:val="bullet"/>
      <w:start w:val="1"/>
    </w:lvl>
  </w:abstractNum>
  <w:abstractNum w:abstractNumId="124">
    <w:nsid w:val="7AB49DAF"/>
    <w:multiLevelType w:val="hybridMultilevel"/>
    <w:lvl w:ilvl="0">
      <w:lvlJc w:val="left"/>
      <w:lvlText w:val="(%1)"/>
      <w:numFmt w:val="decimal"/>
      <w:start w:val="1"/>
    </w:lvl>
    <w:lvl w:ilvl="1">
      <w:lvlJc w:val="left"/>
      <w:lvlText w:val="(%2)"/>
      <w:numFmt w:val="lowerRoman"/>
      <w:start w:val="1"/>
    </w:lvl>
  </w:abstractNum>
  <w:abstractNum w:abstractNumId="125">
    <w:nsid w:val="759F82CD"/>
    <w:multiLevelType w:val="hybridMultilevel"/>
    <w:lvl w:ilvl="0">
      <w:lvlJc w:val="left"/>
      <w:lvlText w:val="(%1)"/>
      <w:numFmt w:val="decimal"/>
      <w:start w:val="2"/>
    </w:lvl>
  </w:abstractNum>
  <w:abstractNum w:abstractNumId="126">
    <w:nsid w:val="61E74EA3"/>
    <w:multiLevelType w:val="hybridMultilevel"/>
    <w:lvl w:ilvl="0">
      <w:lvlJc w:val="left"/>
      <w:lvlText w:val="%1"/>
      <w:numFmt w:val="decimal"/>
      <w:start w:val="1"/>
    </w:lvl>
    <w:lvl w:ilvl="1">
      <w:lvlJc w:val="left"/>
      <w:lvlText w:val="(%2)"/>
      <w:numFmt w:val="lowerRoman"/>
      <w:start w:val="1"/>
    </w:lvl>
  </w:abstractNum>
  <w:abstractNum w:abstractNumId="127">
    <w:nsid w:val="597B4D84"/>
    <w:multiLevelType w:val="hybridMultilevel"/>
    <w:lvl w:ilvl="0">
      <w:lvlJc w:val="left"/>
      <w:lvlText w:val="(%1)"/>
      <w:numFmt w:val="decimal"/>
      <w:start w:val="5"/>
    </w:lvl>
    <w:lvl w:ilvl="1">
      <w:lvlJc w:val="left"/>
      <w:lvlText w:val="(%2)"/>
      <w:numFmt w:val="lowerRoman"/>
      <w:start w:val="1"/>
    </w:lvl>
  </w:abstractNum>
  <w:abstractNum w:abstractNumId="128">
    <w:nsid w:val="F819E7F"/>
    <w:multiLevelType w:val="hybridMultilevel"/>
    <w:lvl w:ilvl="0">
      <w:lvlJc w:val="left"/>
      <w:lvlText w:val="​"/>
      <w:numFmt w:val="bullet"/>
      <w:start w:val="1"/>
    </w:lvl>
  </w:abstractNum>
  <w:abstractNum w:abstractNumId="129">
    <w:nsid w:val="57C7D42D"/>
    <w:multiLevelType w:val="hybridMultilevel"/>
    <w:lvl w:ilvl="0">
      <w:lvlJc w:val="left"/>
      <w:lvlText w:val="​"/>
      <w:numFmt w:val="bullet"/>
      <w:start w:val="1"/>
    </w:lvl>
  </w:abstractNum>
  <w:abstractNum w:abstractNumId="130">
    <w:nsid w:val="312167AD"/>
    <w:multiLevelType w:val="hybridMultilevel"/>
    <w:lvl w:ilvl="0">
      <w:lvlJc w:val="left"/>
      <w:lvlText w:val="(%1)"/>
      <w:numFmt w:val="lowerLetter"/>
      <w:start w:val="2"/>
    </w:lvl>
  </w:abstractNum>
  <w:abstractNum w:abstractNumId="131">
    <w:nsid w:val="631B64D4"/>
    <w:multiLevelType w:val="hybridMultilevel"/>
    <w:lvl w:ilvl="0">
      <w:lvlJc w:val="left"/>
      <w:lvlText w:val="(%1)"/>
      <w:numFmt w:val="lowerLetter"/>
      <w:start w:val="10"/>
    </w:lvl>
    <w:lvl w:ilvl="1">
      <w:lvlJc w:val="left"/>
      <w:lvlText w:val="·"/>
      <w:numFmt w:val="bullet"/>
      <w:start w:val="1"/>
    </w:lvl>
  </w:abstractNum>
  <w:abstractNum w:abstractNumId="132">
    <w:nsid w:val="78B5E776"/>
    <w:multiLevelType w:val="hybridMultilevel"/>
    <w:lvl w:ilvl="0">
      <w:lvlJc w:val="left"/>
      <w:lvlText w:val="(%1)"/>
      <w:numFmt w:val="lowerLetter"/>
      <w:start w:val="13"/>
    </w:lvl>
  </w:abstractNum>
  <w:abstractNum w:abstractNumId="133">
    <w:nsid w:val="75486E47"/>
    <w:multiLevelType w:val="hybridMultilevel"/>
    <w:lvl w:ilvl="0">
      <w:lvlJc w:val="left"/>
      <w:lvlText w:val="%1."/>
      <w:numFmt w:val="decimal"/>
      <w:start w:val="1"/>
    </w:lvl>
  </w:abstractNum>
  <w:abstractNum w:abstractNumId="134">
    <w:nsid w:val="6E534CDE"/>
    <w:multiLevelType w:val="hybridMultilevel"/>
    <w:lvl w:ilvl="0">
      <w:lvlJc w:val="left"/>
      <w:lvlText w:val="%1."/>
      <w:numFmt w:val="decimal"/>
      <w:start w:val="3"/>
    </w:lvl>
  </w:abstractNum>
  <w:abstractNum w:abstractNumId="135">
    <w:nsid w:val="1A0DDE32"/>
    <w:multiLevelType w:val="hybridMultilevel"/>
    <w:lvl w:ilvl="0">
      <w:lvlJc w:val="left"/>
      <w:lvlText w:val="%1."/>
      <w:numFmt w:val="decimal"/>
      <w:start w:val="1"/>
    </w:lvl>
    <w:lvl w:ilvl="1">
      <w:lvlJc w:val="left"/>
      <w:lvlText w:val="(%2)"/>
      <w:numFmt w:val="lowerLetter"/>
      <w:start w:val="1"/>
    </w:lvl>
  </w:abstractNum>
  <w:abstractNum w:abstractNumId="136">
    <w:nsid w:val="65968C1C"/>
    <w:multiLevelType w:val="hybridMultilevel"/>
    <w:lvl w:ilvl="0">
      <w:lvlJc w:val="left"/>
      <w:lvlText w:val="(%1)"/>
      <w:numFmt w:val="lowerLetter"/>
      <w:start w:val="2"/>
    </w:lvl>
  </w:abstractNum>
  <w:abstractNum w:abstractNumId="137">
    <w:nsid w:val="46263DEC"/>
    <w:multiLevelType w:val="hybridMultilevel"/>
    <w:lvl w:ilvl="0">
      <w:lvlJc w:val="left"/>
      <w:lvlText w:val="%1."/>
      <w:numFmt w:val="decimal"/>
      <w:start w:val="2"/>
    </w:lvl>
  </w:abstractNum>
  <w:abstractNum w:abstractNumId="138">
    <w:nsid w:val="260D8C4A"/>
    <w:multiLevelType w:val="hybridMultilevel"/>
    <w:lvl w:ilvl="0">
      <w:lvlJc w:val="left"/>
      <w:lvlText w:val="%1."/>
      <w:numFmt w:val="decimal"/>
      <w:start w:val="16"/>
    </w:lvl>
    <w:lvl w:ilvl="1">
      <w:lvlJc w:val="left"/>
      <w:lvlText w:val="%2."/>
      <w:numFmt w:val="decimal"/>
      <w:start w:val="1"/>
    </w:lvl>
    <w:lvl w:ilvl="2">
      <w:lvlJc w:val="left"/>
      <w:lvlText w:val="-"/>
      <w:numFmt w:val="bullet"/>
      <w:start w:val="1"/>
    </w:lvl>
  </w:abstractNum>
  <w:abstractNum w:abstractNumId="139">
    <w:nsid w:val="73D4D3C4"/>
    <w:multiLevelType w:val="hybridMultilevel"/>
    <w:lvl w:ilvl="0">
      <w:lvlJc w:val="left"/>
      <w:lvlText w:val="%1."/>
      <w:numFmt w:val="decimal"/>
      <w:start w:val="4"/>
    </w:lvl>
  </w:abstractNum>
  <w:abstractNum w:abstractNumId="140">
    <w:nsid w:val="746F2E30"/>
    <w:multiLevelType w:val="hybridMultilevel"/>
    <w:lvl w:ilvl="0">
      <w:lvlJc w:val="left"/>
      <w:lvlText w:val="%1."/>
      <w:numFmt w:val="decimal"/>
      <w:start w:val="6"/>
    </w:lvl>
    <w:lvl w:ilvl="1">
      <w:lvlJc w:val="left"/>
      <w:lvlText w:val="-"/>
      <w:numFmt w:val="bullet"/>
      <w:start w:val="1"/>
    </w:lvl>
  </w:abstractNum>
  <w:abstractNum w:abstractNumId="141">
    <w:nsid w:val="6FDE8AF6"/>
    <w:multiLevelType w:val="hybridMultilevel"/>
    <w:lvl w:ilvl="0">
      <w:lvlJc w:val="left"/>
      <w:lvlText w:val="%1."/>
      <w:numFmt w:val="decimal"/>
      <w:start w:val="1"/>
    </w:lvl>
    <w:lvl w:ilvl="1">
      <w:lvlJc w:val="left"/>
      <w:lvlText w:val="(%2)"/>
      <w:numFmt w:val="lowerLetter"/>
      <w:start w:val="1"/>
    </w:lvl>
  </w:abstractNum>
  <w:abstractNum w:abstractNumId="142">
    <w:nsid w:val="3FC32E20"/>
    <w:multiLevelType w:val="hybridMultilevel"/>
    <w:lvl w:ilvl="0">
      <w:lvlJc w:val="left"/>
      <w:lvlText w:val="(%1)"/>
      <w:numFmt w:val="lowerLetter"/>
      <w:start w:val="2"/>
    </w:lvl>
  </w:abstractNum>
  <w:abstractNum w:abstractNumId="143">
    <w:nsid w:val="49C0E823"/>
    <w:multiLevelType w:val="hybridMultilevel"/>
    <w:lvl w:ilvl="0">
      <w:lvlJc w:val="left"/>
      <w:lvlText w:val="%1."/>
      <w:numFmt w:val="decimal"/>
      <w:start w:val="2"/>
    </w:lvl>
  </w:abstractNum>
  <w:abstractNum w:abstractNumId="144">
    <w:nsid w:val="14D53685"/>
    <w:multiLevelType w:val="hybridMultilevel"/>
    <w:lvl w:ilvl="0">
      <w:lvlJc w:val="left"/>
      <w:lvlText w:val="%1."/>
      <w:numFmt w:val="decimal"/>
      <w:start w:val="16"/>
    </w:lvl>
    <w:lvl w:ilvl="1">
      <w:lvlJc w:val="left"/>
      <w:lvlText w:val="%2."/>
      <w:numFmt w:val="decimal"/>
      <w:start w:val="1"/>
    </w:lvl>
    <w:lvl w:ilvl="2">
      <w:lvlJc w:val="left"/>
      <w:lvlText w:val="-"/>
      <w:numFmt w:val="bullet"/>
      <w:start w:val="1"/>
    </w:lvl>
  </w:abstractNum>
  <w:abstractNum w:abstractNumId="145">
    <w:nsid w:val="230F856C"/>
    <w:multiLevelType w:val="hybridMultilevel"/>
    <w:lvl w:ilvl="0">
      <w:lvlJc w:val="left"/>
      <w:lvlText w:val="%1."/>
      <w:numFmt w:val="decimal"/>
      <w:start w:val="4"/>
    </w:lvl>
  </w:abstractNum>
  <w:abstractNum w:abstractNumId="146">
    <w:nsid w:val="6EAA85FB"/>
    <w:multiLevelType w:val="hybridMultilevel"/>
    <w:lvl w:ilvl="0">
      <w:lvlJc w:val="left"/>
      <w:lvlText w:val="%1."/>
      <w:numFmt w:val="decimal"/>
      <w:start w:val="6"/>
    </w:lvl>
    <w:lvl w:ilvl="1">
      <w:lvlJc w:val="left"/>
      <w:lvlText w:val="-"/>
      <w:numFmt w:val="bullet"/>
      <w:start w:val="1"/>
    </w:lvl>
  </w:abstractNum>
  <w:abstractNum w:abstractNumId="147">
    <w:nsid w:val="3F06ECB2"/>
    <w:multiLevelType w:val="hybridMultilevel"/>
    <w:lvl w:ilvl="0">
      <w:lvlJc w:val="left"/>
      <w:lvlText w:val="%1."/>
      <w:numFmt w:val="decimal"/>
      <w:start w:val="1"/>
    </w:lvl>
    <w:lvl w:ilvl="1">
      <w:lvlJc w:val="left"/>
      <w:lvlText w:val="(%2)"/>
      <w:numFmt w:val="lowerLetter"/>
      <w:start w:val="1"/>
    </w:lvl>
  </w:abstractNum>
  <w:abstractNum w:abstractNumId="148">
    <w:nsid w:val="3B594807"/>
    <w:multiLevelType w:val="hybridMultilevel"/>
    <w:lvl w:ilvl="0">
      <w:lvlJc w:val="left"/>
      <w:lvlText w:val="(%1)"/>
      <w:numFmt w:val="lowerLetter"/>
      <w:start w:val="2"/>
    </w:lvl>
  </w:abstractNum>
  <w:abstractNum w:abstractNumId="149">
    <w:nsid w:val="6CAA2304"/>
    <w:multiLevelType w:val="hybridMultilevel"/>
    <w:lvl w:ilvl="0">
      <w:lvlJc w:val="left"/>
      <w:lvlText w:val="%1."/>
      <w:numFmt w:val="decimal"/>
      <w:start w:val="2"/>
    </w:lvl>
  </w:abstractNum>
  <w:abstractNum w:abstractNumId="150">
    <w:nsid w:val="3F7C2FF4"/>
    <w:multiLevelType w:val="hybridMultilevel"/>
    <w:lvl w:ilvl="0">
      <w:lvlJc w:val="left"/>
      <w:lvlText w:val="%1."/>
      <w:numFmt w:val="decimal"/>
      <w:start w:val="16"/>
    </w:lvl>
    <w:lvl w:ilvl="1">
      <w:lvlJc w:val="left"/>
      <w:lvlText w:val="%2."/>
      <w:numFmt w:val="decimal"/>
      <w:start w:val="1"/>
    </w:lvl>
    <w:lvl w:ilvl="2">
      <w:lvlJc w:val="left"/>
      <w:lvlText w:val="-"/>
      <w:numFmt w:val="bullet"/>
      <w:start w:val="1"/>
    </w:lvl>
  </w:abstractNum>
  <w:abstractNum w:abstractNumId="151">
    <w:nsid w:val="25413BEC"/>
    <w:multiLevelType w:val="hybridMultilevel"/>
    <w:lvl w:ilvl="0">
      <w:lvlJc w:val="left"/>
      <w:lvlText w:val="%1."/>
      <w:numFmt w:val="decimal"/>
      <w:start w:val="4"/>
    </w:lvl>
  </w:abstractNum>
  <w:abstractNum w:abstractNumId="152">
    <w:nsid w:val="17180B0B"/>
    <w:multiLevelType w:val="hybridMultilevel"/>
    <w:lvl w:ilvl="0">
      <w:lvlJc w:val="left"/>
      <w:lvlText w:val="%1."/>
      <w:numFmt w:val="decimal"/>
      <w:start w:val="6"/>
    </w:lvl>
    <w:lvl w:ilvl="1">
      <w:lvlJc w:val="left"/>
      <w:lvlText w:val="-"/>
      <w:numFmt w:val="bullet"/>
      <w:start w:val="1"/>
    </w:lvl>
  </w:abstractNum>
  <w:abstractNum w:abstractNumId="153">
    <w:nsid w:val="579328B9"/>
    <w:multiLevelType w:val="hybridMultilevel"/>
    <w:lvl w:ilvl="0">
      <w:lvlJc w:val="left"/>
      <w:lvlText w:val="%1."/>
      <w:numFmt w:val="decimal"/>
      <w:start w:val="1"/>
    </w:lvl>
    <w:lvl w:ilvl="1">
      <w:lvlJc w:val="left"/>
      <w:lvlText w:val="(%2)"/>
      <w:numFmt w:val="lowerLetter"/>
      <w:start w:val="1"/>
    </w:lvl>
  </w:abstractNum>
  <w:abstractNum w:abstractNumId="154">
    <w:nsid w:val="5D205E20"/>
    <w:multiLevelType w:val="hybridMultilevel"/>
    <w:lvl w:ilvl="0">
      <w:lvlJc w:val="left"/>
      <w:lvlText w:val="(%1)"/>
      <w:numFmt w:val="lowerLetter"/>
      <w:start w:val="2"/>
    </w:lvl>
  </w:abstractNum>
  <w:abstractNum w:abstractNumId="155">
    <w:nsid w:val="11CCA8BA"/>
    <w:multiLevelType w:val="hybridMultilevel"/>
    <w:lvl w:ilvl="0">
      <w:lvlJc w:val="left"/>
      <w:lvlText w:val="%1."/>
      <w:numFmt w:val="decimal"/>
      <w:start w:val="2"/>
    </w:lvl>
  </w:abstractNum>
  <w:abstractNum w:abstractNumId="156">
    <w:nsid w:val="4D32AB86"/>
    <w:multiLevelType w:val="hybridMultilevel"/>
    <w:lvl w:ilvl="0">
      <w:lvlJc w:val="left"/>
      <w:lvlText w:val="%1."/>
      <w:numFmt w:val="decimal"/>
      <w:start w:val="16"/>
    </w:lvl>
    <w:lvl w:ilvl="1">
      <w:lvlJc w:val="left"/>
      <w:lvlText w:val="%2."/>
      <w:numFmt w:val="decimal"/>
      <w:start w:val="1"/>
    </w:lvl>
    <w:lvl w:ilvl="2">
      <w:lvlJc w:val="left"/>
      <w:lvlText w:val="-"/>
      <w:numFmt w:val="bullet"/>
      <w:start w:val="1"/>
    </w:lvl>
  </w:abstractNum>
  <w:abstractNum w:abstractNumId="157">
    <w:nsid w:val="3F07ACC3"/>
    <w:multiLevelType w:val="hybridMultilevel"/>
    <w:lvl w:ilvl="0">
      <w:lvlJc w:val="left"/>
      <w:lvlText w:val="%1."/>
      <w:numFmt w:val="decimal"/>
      <w:start w:val="4"/>
    </w:lvl>
  </w:abstractNum>
  <w:abstractNum w:abstractNumId="158">
    <w:nsid w:val="6B47F63E"/>
    <w:multiLevelType w:val="hybridMultilevel"/>
    <w:lvl w:ilvl="0">
      <w:lvlJc w:val="left"/>
      <w:lvlText w:val="%1."/>
      <w:numFmt w:val="decimal"/>
      <w:start w:val="6"/>
    </w:lvl>
    <w:lvl w:ilvl="1">
      <w:lvlJc w:val="left"/>
      <w:lvlText w:val="-"/>
      <w:numFmt w:val="bullet"/>
      <w:start w:val="1"/>
    </w:lvl>
  </w:abstractNum>
  <w:abstractNum w:abstractNumId="159">
    <w:nsid w:val="5CB44A05"/>
    <w:multiLevelType w:val="hybridMultilevel"/>
    <w:lvl w:ilvl="0">
      <w:lvlJc w:val="left"/>
      <w:lvlText w:val="1"/>
      <w:numFmt w:val="bullet"/>
      <w:start w:val="1"/>
    </w:lvl>
  </w:abstractNum>
  <w:abstractNum w:abstractNumId="160">
    <w:nsid w:val="16CF80F1"/>
    <w:multiLevelType w:val="hybridMultilevel"/>
    <w:lvl w:ilvl="0">
      <w:lvlJc w:val="left"/>
      <w:lvlText w:val="6"/>
      <w:numFmt w:val="bullet"/>
      <w:start w:val="1"/>
    </w:lvl>
  </w:abstractNum>
  <w:abstractNum w:abstractNumId="161">
    <w:nsid w:val="1C695DEC"/>
    <w:multiLevelType w:val="hybridMultilevel"/>
    <w:lvl w:ilvl="0">
      <w:lvlJc w:val="left"/>
      <w:lvlText w:val="8"/>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38" Type="http://schemas.openxmlformats.org/officeDocument/2006/relationships/image" Target="media/image108.png"/><Relationship Id="rId144" Type="http://schemas.openxmlformats.org/officeDocument/2006/relationships/image" Target="media/image109.png"/><Relationship Id="rId149" Type="http://schemas.openxmlformats.org/officeDocument/2006/relationships/image" Target="media/image110.png"/><Relationship Id="rId151" Type="http://schemas.openxmlformats.org/officeDocument/2006/relationships/image" Target="media/image111.png"/><Relationship Id="rId152" Type="http://schemas.openxmlformats.org/officeDocument/2006/relationships/image" Target="media/image112.png"/><Relationship Id="rId153" Type="http://schemas.openxmlformats.org/officeDocument/2006/relationships/image" Target="media/image113.png"/><Relationship Id="rId154" Type="http://schemas.openxmlformats.org/officeDocument/2006/relationships/image" Target="media/image114.png"/><Relationship Id="rId155" Type="http://schemas.openxmlformats.org/officeDocument/2006/relationships/image" Target="media/image115.png"/><Relationship Id="rId156" Type="http://schemas.openxmlformats.org/officeDocument/2006/relationships/image" Target="media/image116.png"/><Relationship Id="rId157" Type="http://schemas.openxmlformats.org/officeDocument/2006/relationships/image" Target="media/image117.png"/><Relationship Id="rId158" Type="http://schemas.openxmlformats.org/officeDocument/2006/relationships/image" Target="media/image118.png"/><Relationship Id="rId159" Type="http://schemas.openxmlformats.org/officeDocument/2006/relationships/image" Target="media/image119.png"/><Relationship Id="rId160" Type="http://schemas.openxmlformats.org/officeDocument/2006/relationships/image" Target="media/image120.png"/><Relationship Id="rId161" Type="http://schemas.openxmlformats.org/officeDocument/2006/relationships/image" Target="media/image121.png"/><Relationship Id="rId162" Type="http://schemas.openxmlformats.org/officeDocument/2006/relationships/image" Target="media/image122.png"/><Relationship Id="rId163" Type="http://schemas.openxmlformats.org/officeDocument/2006/relationships/image" Target="media/image123.png"/><Relationship Id="rId164" Type="http://schemas.openxmlformats.org/officeDocument/2006/relationships/image" Target="media/image124.png"/><Relationship Id="rId165" Type="http://schemas.openxmlformats.org/officeDocument/2006/relationships/image" Target="media/image125.png"/><Relationship Id="rId166" Type="http://schemas.openxmlformats.org/officeDocument/2006/relationships/image" Target="media/image126.png"/><Relationship Id="rId167" Type="http://schemas.openxmlformats.org/officeDocument/2006/relationships/image" Target="media/image127.png"/><Relationship Id="rId168" Type="http://schemas.openxmlformats.org/officeDocument/2006/relationships/image" Target="media/image128.png"/><Relationship Id="rId169" Type="http://schemas.openxmlformats.org/officeDocument/2006/relationships/image" Target="media/image129.png"/><Relationship Id="rId170" Type="http://schemas.openxmlformats.org/officeDocument/2006/relationships/image" Target="media/image130.png"/><Relationship Id="rId171" Type="http://schemas.openxmlformats.org/officeDocument/2006/relationships/image" Target="media/image131.png"/><Relationship Id="rId172" Type="http://schemas.openxmlformats.org/officeDocument/2006/relationships/image" Target="media/image132.jpeg"/><Relationship Id="rId173" Type="http://schemas.openxmlformats.org/officeDocument/2006/relationships/image" Target="media/image133.png"/><Relationship Id="rId174" Type="http://schemas.openxmlformats.org/officeDocument/2006/relationships/image" Target="media/image134.jpeg"/><Relationship Id="rId175" Type="http://schemas.openxmlformats.org/officeDocument/2006/relationships/image" Target="media/image135.png"/><Relationship Id="rId176" Type="http://schemas.openxmlformats.org/officeDocument/2006/relationships/image" Target="media/image136.jpeg"/><Relationship Id="rId177" Type="http://schemas.openxmlformats.org/officeDocument/2006/relationships/image" Target="media/image137.png"/><Relationship Id="rId178" Type="http://schemas.openxmlformats.org/officeDocument/2006/relationships/image" Target="media/image138.jpeg"/><Relationship Id="rId179" Type="http://schemas.openxmlformats.org/officeDocument/2006/relationships/image" Target="media/image139.png"/><Relationship Id="rId180" Type="http://schemas.openxmlformats.org/officeDocument/2006/relationships/image" Target="media/image140.jpeg"/><Relationship Id="rId181" Type="http://schemas.openxmlformats.org/officeDocument/2006/relationships/image" Target="media/image141.png"/><Relationship Id="rId182" Type="http://schemas.openxmlformats.org/officeDocument/2006/relationships/image" Target="media/image142.jpeg"/><Relationship Id="rId183" Type="http://schemas.openxmlformats.org/officeDocument/2006/relationships/image" Target="media/image143.png"/><Relationship Id="rId184" Type="http://schemas.openxmlformats.org/officeDocument/2006/relationships/image" Target="media/image144.png"/><Relationship Id="rId185" Type="http://schemas.openxmlformats.org/officeDocument/2006/relationships/image" Target="media/image145.png"/><Relationship Id="rId186" Type="http://schemas.openxmlformats.org/officeDocument/2006/relationships/image" Target="media/image146.png"/><Relationship Id="rId187" Type="http://schemas.openxmlformats.org/officeDocument/2006/relationships/image" Target="media/image147.png"/><Relationship Id="rId188" Type="http://schemas.openxmlformats.org/officeDocument/2006/relationships/image" Target="media/image148.png"/><Relationship Id="rId189" Type="http://schemas.openxmlformats.org/officeDocument/2006/relationships/image" Target="media/image149.png"/><Relationship Id="rId190" Type="http://schemas.openxmlformats.org/officeDocument/2006/relationships/image" Target="media/image150.png"/><Relationship Id="rId191" Type="http://schemas.openxmlformats.org/officeDocument/2006/relationships/image" Target="media/image151.png"/><Relationship Id="rId192" Type="http://schemas.openxmlformats.org/officeDocument/2006/relationships/image" Target="media/image152.png"/><Relationship Id="rId193" Type="http://schemas.openxmlformats.org/officeDocument/2006/relationships/image" Target="media/image153.png"/><Relationship Id="rId194" Type="http://schemas.openxmlformats.org/officeDocument/2006/relationships/image" Target="media/image154.png"/><Relationship Id="rId195" Type="http://schemas.openxmlformats.org/officeDocument/2006/relationships/image" Target="media/image155.png"/><Relationship Id="rId196" Type="http://schemas.openxmlformats.org/officeDocument/2006/relationships/image" Target="media/image156.png"/><Relationship Id="rId197" Type="http://schemas.openxmlformats.org/officeDocument/2006/relationships/image" Target="media/image157.png"/><Relationship Id="rId198" Type="http://schemas.openxmlformats.org/officeDocument/2006/relationships/image" Target="media/image158.png"/><Relationship Id="rId199" Type="http://schemas.openxmlformats.org/officeDocument/2006/relationships/image" Target="media/image159.png"/><Relationship Id="rId200" Type="http://schemas.openxmlformats.org/officeDocument/2006/relationships/image" Target="media/image160.png"/><Relationship Id="rId201" Type="http://schemas.openxmlformats.org/officeDocument/2006/relationships/image" Target="media/image161.png"/><Relationship Id="rId202" Type="http://schemas.openxmlformats.org/officeDocument/2006/relationships/image" Target="media/image162.png"/><Relationship Id="rId203" Type="http://schemas.openxmlformats.org/officeDocument/2006/relationships/image" Target="media/image163.png"/><Relationship Id="rId204" Type="http://schemas.openxmlformats.org/officeDocument/2006/relationships/image" Target="media/image164.png"/><Relationship Id="rId205" Type="http://schemas.openxmlformats.org/officeDocument/2006/relationships/image" Target="media/image165.png"/><Relationship Id="rId206" Type="http://schemas.openxmlformats.org/officeDocument/2006/relationships/image" Target="media/image166.png"/><Relationship Id="rId207" Type="http://schemas.openxmlformats.org/officeDocument/2006/relationships/image" Target="media/image167.png"/><Relationship Id="rId208" Type="http://schemas.openxmlformats.org/officeDocument/2006/relationships/image" Target="media/image168.png"/><Relationship Id="rId209" Type="http://schemas.openxmlformats.org/officeDocument/2006/relationships/image" Target="media/image169.png"/><Relationship Id="rId210" Type="http://schemas.openxmlformats.org/officeDocument/2006/relationships/image" Target="media/image170.png"/><Relationship Id="rId211" Type="http://schemas.openxmlformats.org/officeDocument/2006/relationships/image" Target="media/image171.png"/><Relationship Id="rId212" Type="http://schemas.openxmlformats.org/officeDocument/2006/relationships/image" Target="media/image172.png"/><Relationship Id="rId213" Type="http://schemas.openxmlformats.org/officeDocument/2006/relationships/image" Target="media/image173.png"/><Relationship Id="rId214" Type="http://schemas.openxmlformats.org/officeDocument/2006/relationships/image" Target="media/image174.png"/><Relationship Id="rId215" Type="http://schemas.openxmlformats.org/officeDocument/2006/relationships/image" Target="media/image175.png"/><Relationship Id="rId216" Type="http://schemas.openxmlformats.org/officeDocument/2006/relationships/image" Target="media/image176.png"/><Relationship Id="rId217" Type="http://schemas.openxmlformats.org/officeDocument/2006/relationships/image" Target="media/image177.png"/><Relationship Id="rId218" Type="http://schemas.openxmlformats.org/officeDocument/2006/relationships/image" Target="media/image178.png"/><Relationship Id="rId219" Type="http://schemas.openxmlformats.org/officeDocument/2006/relationships/image" Target="media/image179.png"/><Relationship Id="rId220" Type="http://schemas.openxmlformats.org/officeDocument/2006/relationships/image" Target="media/image180.png"/><Relationship Id="rId221" Type="http://schemas.openxmlformats.org/officeDocument/2006/relationships/image" Target="media/image181.png"/><Relationship Id="rId222" Type="http://schemas.openxmlformats.org/officeDocument/2006/relationships/image" Target="media/image182.png"/><Relationship Id="rId223" Type="http://schemas.openxmlformats.org/officeDocument/2006/relationships/image" Target="media/image183.png"/><Relationship Id="rId224" Type="http://schemas.openxmlformats.org/officeDocument/2006/relationships/image" Target="media/image184.png"/><Relationship Id="rId23" Type="http://schemas.openxmlformats.org/officeDocument/2006/relationships/hyperlink" Target="https://www.sec.gov/ix?doc=/Archives/edgar/data/48732/000113031026000008/cnp-20251231.htm" TargetMode="External"/><Relationship Id="rId24" Type="http://schemas.openxmlformats.org/officeDocument/2006/relationships/hyperlink" Target="https://www.sec.gov/ix?doc=/Archives/edgar/data/1130310/000110465926023457/tm261341-3_def14a.htm" TargetMode="External"/><Relationship Id="rId25" Type="http://schemas.openxmlformats.org/officeDocument/2006/relationships/hyperlink" Target="https://www.sec.gov/ix?doc=/Archives/edgar/data/1130310/000113031026000028/cnp-20260331.htm" TargetMode="External"/><Relationship Id="rId26" Type="http://schemas.openxmlformats.org/officeDocument/2006/relationships/hyperlink" Target="https://www.sec.gov/ix?doc=/Archives/edgar/data/1042773/000110465926014406/tm265560d1_8k.htm" TargetMode="External"/><Relationship Id="rId27" Type="http://schemas.openxmlformats.org/officeDocument/2006/relationships/hyperlink" Target="https://www.sec.gov/ix?doc=/Archives/edgar/data/48732/000113031026000013/cnp-20260218.htm" TargetMode="External"/><Relationship Id="rId28" Type="http://schemas.openxmlformats.org/officeDocument/2006/relationships/hyperlink" Target="https://www.sec.gov/ix?doc=/Archives/edgar/data/1130310/000110465926020626/tm267410d1_8k.htm" TargetMode="External"/><Relationship Id="rId29" Type="http://schemas.openxmlformats.org/officeDocument/2006/relationships/hyperlink" Target="https://www.sec.gov/ix?doc=/Archives/edgar/data/1130310/000110465926044889/tm2612010d1_8k.htm" TargetMode="External"/><Relationship Id="rId30" Type="http://schemas.openxmlformats.org/officeDocument/2006/relationships/hyperlink" Target="https://www.sec.gov/Archives/edgar/data/48732/000113031026000008/cnp_exhibit4tx12312025.htm" TargetMode="External"/><Relationship Id="rId36" Type="http://schemas.openxmlformats.org/officeDocument/2006/relationships/hyperlink" Target="https://www.sec.gov/ix?doc=/Archives/edgar/data/0000048732/000113031026000008/cnp-20251231.htm" TargetMode="External"/><Relationship Id="rId62" Type="http://schemas.openxmlformats.org/officeDocument/2006/relationships/hyperlink" Target="https://www.sec.gov/ix?doc=/Archives/edgar/data/48732/000113031026000028/cnp-20260331.htm" TargetMode="External"/><Relationship Id="rId63" Type="http://schemas.openxmlformats.org/officeDocument/2006/relationships/hyperlink" Target="https://www.sec.gov/ix?doc=/Archives/edgar/data/48732/000110465926017609/tm2530970d9_8k.htm" TargetMode="External"/><Relationship Id="rId64" Type="http://schemas.openxmlformats.org/officeDocument/2006/relationships/hyperlink" Target="https://www.sec.gov/ix?doc=/Archives/edgar/data/48732/000110465926019763/tm267005d4_8k.htm" TargetMode="External"/><Relationship Id="rId65" Type="http://schemas.openxmlformats.org/officeDocument/2006/relationships/hyperlink" Target="https://www.sec.gov/ix?doc=/Archives/edgar/data/48732/000110465926020633/tm267408d1_8k.htm" TargetMode="External"/><Relationship Id="rId99" Type="http://schemas.openxmlformats.org/officeDocument/2006/relationships/hyperlink" Target="https://www.sec.gov/ix?doc=/Archives/edgar/data/1042773/000110465926004560/tm263360d1_8k.htm" TargetMode="External"/><Relationship Id="rId129" Type="http://schemas.openxmlformats.org/officeDocument/2006/relationships/hyperlink" Target="https://www.sec.gov/Archives/edgar/data/48732/000113031021000024/exhibit24cerc-assetpurchas.htm" TargetMode="External"/><Relationship Id="rId130" Type="http://schemas.openxmlformats.org/officeDocument/2006/relationships/hyperlink" Target="https://www.sec.gov/Archives/edgar/data/1042773/000119312524039277/d794478dex11.htm" TargetMode="External"/><Relationship Id="rId131" Type="http://schemas.openxmlformats.org/officeDocument/2006/relationships/hyperlink" Target="https://www.sec.gov/Archives/edgar/data/1042773/000119312525245197/d921256dex21.htm" TargetMode="External"/><Relationship Id="rId132" Type="http://schemas.openxmlformats.org/officeDocument/2006/relationships/hyperlink" Target="https://www.sec.gov/Archives/edgar/data/1130310/000110465926044889/tm2612010d1_ex3-1.htm" TargetMode="External"/><Relationship Id="rId133" Type="http://schemas.openxmlformats.org/officeDocument/2006/relationships/hyperlink" Target="https://www.sec.gov/Archives/edgar/data/1130310/000113031025000122/a250925fifthamendedandre.htm" TargetMode="External"/><Relationship Id="rId134" Type="http://schemas.openxmlformats.org/officeDocument/2006/relationships/hyperlink" Target="https://www.sec.gov/Archives/edgar/data/1130310/000113031012000011/exhibit3c.htm" TargetMode="External"/><Relationship Id="rId135" Type="http://schemas.openxmlformats.org/officeDocument/2006/relationships/hyperlink" Target="https://www.sec.gov/Archives/edgar/data/1130310/000095012901503771/h90625a1ex4-1.txt" TargetMode="External"/><Relationship Id="rId136" Type="http://schemas.openxmlformats.org/officeDocument/2006/relationships/hyperlink" Target="https://www.sec.gov/Archives/edgar/data/1130310/000095012903003045/h06499exv4w1.txt" TargetMode="External"/><Relationship Id="rId137" Type="http://schemas.openxmlformats.org/officeDocument/2006/relationships/hyperlink" Target="https://www.sec.gov/Archives/edgar/data/48732/000089924399001980/0000899243-99-001980.txt" TargetMode="External"/><Relationship Id="rId139" Type="http://schemas.openxmlformats.org/officeDocument/2006/relationships/hyperlink" Target="https://www.sec.gov/Archives/edgar/data/48732/000113031024000115/ex41-cnpxbaseindentureau.htm" TargetMode="External"/><Relationship Id="rId140" Type="http://schemas.openxmlformats.org/officeDocument/2006/relationships/hyperlink" Target="https://www.sec.gov/Archives/edgar/data/48732/000113031011000048/ex3-1.htm" TargetMode="External"/><Relationship Id="rId141" Type="http://schemas.openxmlformats.org/officeDocument/2006/relationships/hyperlink" Target="https://www.sec.gov/Archives/edgar/data/48732/000113031011000048/ex3-2.htm" TargetMode="External"/><Relationship Id="rId142" Type="http://schemas.openxmlformats.org/officeDocument/2006/relationships/hyperlink" Target="https://www.sec.gov/Archives/edgar/data/48732/000095012902005703/h01010exv4wj1.txt" TargetMode="External"/><Relationship Id="rId143" Type="http://schemas.openxmlformats.org/officeDocument/2006/relationships/hyperlink" Target="https://www.sec.gov/Archives/edgar/data/48732/000095012903001324/h03758exv4wk10.txt" TargetMode="External"/><Relationship Id="rId145" Type="http://schemas.openxmlformats.org/officeDocument/2006/relationships/hyperlink" Target="https://www.sec.gov/Archives/edgar/data/48732/000095013409000323/h65378exv4w2.htm" TargetMode="External"/><Relationship Id="rId146" Type="http://schemas.openxmlformats.org/officeDocument/2006/relationships/hyperlink" Target="https://www.sec.gov/Archives/edgar/data/1042773/0000950129-98-001585.txt" TargetMode="External"/><Relationship Id="rId147" Type="http://schemas.openxmlformats.org/officeDocument/2006/relationships/hyperlink" Target="https://www.sec.gov/Archives/edgar/data/48732/0000950129-99-001059.txt" TargetMode="External"/><Relationship Id="rId148" Type="http://schemas.openxmlformats.org/officeDocument/2006/relationships/hyperlink" Target="https://www.sec.gov/Archives/edgar/data/1042773/000095012903004183/h07971exv3wa4.txt" TargetMode="External"/><Relationship Id="rId150" Type="http://schemas.openxmlformats.org/officeDocument/2006/relationships/hyperlink" Target="https://www.sec.gov/Archives/edgar/data/1042773/0000899243-98-000159.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2026-05-15T08:17:23Z</dcterms:created>
  <dcterms:modified xsi:type="dcterms:W3CDTF">2026-05-15T08:17:23Z</dcterms:modified>
</cp:coreProperties>
</file>